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EF4" w:rsidRPr="00523556" w:rsidRDefault="005908D6" w:rsidP="00A96994">
      <w:pPr>
        <w:contextualSpacing/>
        <w:jc w:val="center"/>
        <w:rPr>
          <w:rFonts w:ascii="Times New Roman" w:hAnsi="Times New Roman" w:cs="Times New Roman"/>
          <w:b/>
          <w:u w:val="single"/>
          <w:lang w:eastAsia="en-GB"/>
        </w:rPr>
      </w:pPr>
      <w:bookmarkStart w:id="0" w:name="OLE_LINK1"/>
      <w:r w:rsidRPr="00523556">
        <w:rPr>
          <w:rFonts w:ascii="Times New Roman" w:hAnsi="Times New Roman" w:cs="Times New Roman"/>
          <w:b/>
          <w:u w:val="single"/>
          <w:lang w:eastAsia="en-GB"/>
        </w:rPr>
        <w:t xml:space="preserve">Financing </w:t>
      </w:r>
      <w:r w:rsidR="000D1E51" w:rsidRPr="00523556">
        <w:rPr>
          <w:rFonts w:ascii="Times New Roman" w:hAnsi="Times New Roman" w:cs="Times New Roman"/>
          <w:b/>
          <w:u w:val="single"/>
          <w:lang w:eastAsia="en-GB"/>
        </w:rPr>
        <w:t xml:space="preserve">Fiscal </w:t>
      </w:r>
      <w:r w:rsidR="00C824D8" w:rsidRPr="00523556">
        <w:rPr>
          <w:rFonts w:ascii="Times New Roman" w:hAnsi="Times New Roman" w:cs="Times New Roman"/>
          <w:b/>
          <w:u w:val="single"/>
          <w:lang w:eastAsia="en-GB"/>
        </w:rPr>
        <w:t>Deficit</w:t>
      </w:r>
      <w:r w:rsidRPr="00523556">
        <w:rPr>
          <w:rFonts w:ascii="Times New Roman" w:hAnsi="Times New Roman" w:cs="Times New Roman"/>
          <w:b/>
          <w:u w:val="single"/>
          <w:lang w:eastAsia="en-GB"/>
        </w:rPr>
        <w:t>s in Uganda</w:t>
      </w:r>
      <w:r w:rsidR="00FF2C9B" w:rsidRPr="00523556">
        <w:rPr>
          <w:rFonts w:ascii="Times New Roman" w:hAnsi="Times New Roman" w:cs="Times New Roman"/>
          <w:b/>
          <w:u w:val="single"/>
          <w:lang w:eastAsia="en-GB"/>
        </w:rPr>
        <w:t>:</w:t>
      </w:r>
      <w:r w:rsidR="00374EF4" w:rsidRPr="00523556">
        <w:rPr>
          <w:rFonts w:ascii="Times New Roman" w:hAnsi="Times New Roman" w:cs="Times New Roman"/>
          <w:b/>
          <w:u w:val="single"/>
          <w:lang w:eastAsia="en-GB"/>
        </w:rPr>
        <w:t xml:space="preserve"> </w:t>
      </w:r>
      <w:r w:rsidR="00E35E17" w:rsidRPr="00523556">
        <w:rPr>
          <w:rFonts w:ascii="Times New Roman" w:hAnsi="Times New Roman" w:cs="Times New Roman"/>
          <w:b/>
          <w:u w:val="single"/>
          <w:lang w:eastAsia="en-GB"/>
        </w:rPr>
        <w:t>Options</w:t>
      </w:r>
      <w:r w:rsidR="00FF2C9B" w:rsidRPr="00523556">
        <w:rPr>
          <w:rFonts w:ascii="Times New Roman" w:hAnsi="Times New Roman" w:cs="Times New Roman"/>
          <w:b/>
          <w:u w:val="single"/>
          <w:lang w:eastAsia="en-GB"/>
        </w:rPr>
        <w:t xml:space="preserve"> and Strategy</w:t>
      </w:r>
    </w:p>
    <w:bookmarkEnd w:id="0"/>
    <w:p w:rsidR="00687661" w:rsidRPr="00523556" w:rsidRDefault="00687661" w:rsidP="00720181">
      <w:pPr>
        <w:rPr>
          <w:rFonts w:ascii="Times New Roman" w:hAnsi="Times New Roman" w:cs="Times New Roman"/>
        </w:rPr>
      </w:pPr>
    </w:p>
    <w:p w:rsidR="00FE3BE6" w:rsidRPr="00523556" w:rsidRDefault="009D4391" w:rsidP="00D66C2D">
      <w:pPr>
        <w:jc w:val="center"/>
        <w:rPr>
          <w:rFonts w:ascii="Times New Roman" w:hAnsi="Times New Roman" w:cs="Times New Roman"/>
          <w:i/>
          <w:lang w:eastAsia="en-GB"/>
        </w:rPr>
      </w:pPr>
      <w:r w:rsidRPr="00523556">
        <w:rPr>
          <w:rFonts w:ascii="Times New Roman" w:hAnsi="Times New Roman" w:cs="Times New Roman"/>
          <w:i/>
          <w:lang w:eastAsia="en-GB"/>
        </w:rPr>
        <w:t xml:space="preserve">International Growth Centre </w:t>
      </w:r>
      <w:r w:rsidR="00FE3BE6" w:rsidRPr="00523556">
        <w:rPr>
          <w:rFonts w:ascii="Times New Roman" w:hAnsi="Times New Roman" w:cs="Times New Roman"/>
          <w:i/>
          <w:lang w:eastAsia="en-GB"/>
        </w:rPr>
        <w:t>Working Paper</w:t>
      </w:r>
    </w:p>
    <w:p w:rsidR="00687661" w:rsidRPr="00523556" w:rsidRDefault="00687661" w:rsidP="00D66C2D">
      <w:pPr>
        <w:jc w:val="center"/>
        <w:rPr>
          <w:rFonts w:ascii="Times New Roman" w:hAnsi="Times New Roman" w:cs="Times New Roman"/>
          <w:i/>
          <w:lang w:eastAsia="en-GB"/>
        </w:rPr>
      </w:pPr>
      <w:r w:rsidRPr="00523556">
        <w:rPr>
          <w:rFonts w:ascii="Times New Roman" w:hAnsi="Times New Roman" w:cs="Times New Roman"/>
          <w:i/>
          <w:lang w:eastAsia="en-GB"/>
        </w:rPr>
        <w:t xml:space="preserve">DRAFT: </w:t>
      </w:r>
      <w:r w:rsidR="000F0793" w:rsidRPr="00523556">
        <w:rPr>
          <w:rFonts w:ascii="Times New Roman" w:hAnsi="Times New Roman" w:cs="Times New Roman"/>
          <w:i/>
          <w:lang w:eastAsia="en-GB"/>
        </w:rPr>
        <w:t>2</w:t>
      </w:r>
      <w:r w:rsidR="00FC3640" w:rsidRPr="00523556">
        <w:rPr>
          <w:rFonts w:ascii="Times New Roman" w:hAnsi="Times New Roman" w:cs="Times New Roman"/>
          <w:i/>
          <w:lang w:eastAsia="en-GB"/>
        </w:rPr>
        <w:t>7</w:t>
      </w:r>
      <w:r w:rsidR="00D006A0" w:rsidRPr="00523556">
        <w:rPr>
          <w:rFonts w:ascii="Times New Roman" w:hAnsi="Times New Roman" w:cs="Times New Roman"/>
          <w:i/>
          <w:vertAlign w:val="superscript"/>
          <w:lang w:eastAsia="en-GB"/>
        </w:rPr>
        <w:t>th</w:t>
      </w:r>
      <w:r w:rsidR="00D006A0" w:rsidRPr="00523556">
        <w:rPr>
          <w:rFonts w:ascii="Times New Roman" w:hAnsi="Times New Roman" w:cs="Times New Roman"/>
          <w:i/>
          <w:lang w:eastAsia="en-GB"/>
        </w:rPr>
        <w:t xml:space="preserve"> </w:t>
      </w:r>
      <w:r w:rsidR="00CE2089" w:rsidRPr="00523556">
        <w:rPr>
          <w:rFonts w:ascii="Times New Roman" w:hAnsi="Times New Roman" w:cs="Times New Roman"/>
          <w:i/>
          <w:lang w:eastAsia="en-GB"/>
        </w:rPr>
        <w:t xml:space="preserve">March </w:t>
      </w:r>
      <w:r w:rsidR="00F33397" w:rsidRPr="00523556">
        <w:rPr>
          <w:rFonts w:ascii="Times New Roman" w:hAnsi="Times New Roman" w:cs="Times New Roman"/>
          <w:i/>
          <w:lang w:eastAsia="en-GB"/>
        </w:rPr>
        <w:t>2014</w:t>
      </w:r>
    </w:p>
    <w:p w:rsidR="00C824D8" w:rsidRPr="00523556" w:rsidRDefault="00C824D8" w:rsidP="00D66C2D">
      <w:pPr>
        <w:jc w:val="center"/>
        <w:rPr>
          <w:rFonts w:ascii="Times New Roman" w:hAnsi="Times New Roman" w:cs="Times New Roman"/>
          <w:i/>
          <w:lang w:eastAsia="en-GB"/>
        </w:rPr>
      </w:pPr>
    </w:p>
    <w:p w:rsidR="00C824D8" w:rsidRPr="00523556" w:rsidRDefault="00C824D8" w:rsidP="00C824D8">
      <w:pPr>
        <w:jc w:val="center"/>
        <w:rPr>
          <w:rFonts w:ascii="Times New Roman" w:hAnsi="Times New Roman" w:cs="Times New Roman"/>
          <w:lang w:eastAsia="en-GB"/>
        </w:rPr>
      </w:pPr>
      <w:r w:rsidRPr="00523556">
        <w:rPr>
          <w:rFonts w:ascii="Times New Roman" w:hAnsi="Times New Roman" w:cs="Times New Roman"/>
          <w:lang w:eastAsia="en-GB"/>
        </w:rPr>
        <w:t>Ben Langford (International Growth Centre)</w:t>
      </w:r>
    </w:p>
    <w:p w:rsidR="00C824D8" w:rsidRPr="00523556" w:rsidRDefault="00C824D8" w:rsidP="00C824D8">
      <w:pPr>
        <w:jc w:val="center"/>
        <w:rPr>
          <w:rFonts w:ascii="Times New Roman" w:hAnsi="Times New Roman" w:cs="Times New Roman"/>
          <w:lang w:eastAsia="en-GB"/>
        </w:rPr>
      </w:pPr>
      <w:r w:rsidRPr="00523556">
        <w:rPr>
          <w:rFonts w:ascii="Times New Roman" w:hAnsi="Times New Roman" w:cs="Times New Roman"/>
          <w:lang w:eastAsia="en-GB"/>
        </w:rPr>
        <w:t>and</w:t>
      </w:r>
    </w:p>
    <w:p w:rsidR="00C824D8" w:rsidRPr="00523556" w:rsidRDefault="00C824D8" w:rsidP="00C824D8">
      <w:pPr>
        <w:jc w:val="center"/>
        <w:rPr>
          <w:rFonts w:ascii="Times New Roman" w:hAnsi="Times New Roman" w:cs="Times New Roman"/>
          <w:lang w:eastAsia="en-GB"/>
        </w:rPr>
      </w:pPr>
      <w:r w:rsidRPr="00523556">
        <w:rPr>
          <w:rFonts w:ascii="Times New Roman" w:hAnsi="Times New Roman" w:cs="Times New Roman"/>
          <w:lang w:eastAsia="en-GB"/>
        </w:rPr>
        <w:t xml:space="preserve">Christine </w:t>
      </w:r>
      <w:r w:rsidR="00324B3B" w:rsidRPr="00523556">
        <w:rPr>
          <w:rFonts w:ascii="Times New Roman" w:hAnsi="Times New Roman" w:cs="Times New Roman"/>
          <w:lang w:eastAsia="en-GB"/>
        </w:rPr>
        <w:t xml:space="preserve">R. </w:t>
      </w:r>
      <w:r w:rsidRPr="00523556">
        <w:rPr>
          <w:rFonts w:ascii="Times New Roman" w:hAnsi="Times New Roman" w:cs="Times New Roman"/>
          <w:lang w:eastAsia="en-GB"/>
        </w:rPr>
        <w:t xml:space="preserve">Asiimwe </w:t>
      </w:r>
      <w:r w:rsidR="00324B3B" w:rsidRPr="00523556">
        <w:rPr>
          <w:rFonts w:ascii="Times New Roman" w:hAnsi="Times New Roman" w:cs="Times New Roman"/>
          <w:lang w:eastAsia="en-GB"/>
        </w:rPr>
        <w:t xml:space="preserve">Namanya </w:t>
      </w:r>
      <w:r w:rsidRPr="00523556">
        <w:rPr>
          <w:rFonts w:ascii="Times New Roman" w:hAnsi="Times New Roman" w:cs="Times New Roman"/>
          <w:lang w:eastAsia="en-GB"/>
        </w:rPr>
        <w:t>(Bank of Uganda)</w:t>
      </w:r>
    </w:p>
    <w:p w:rsidR="00480755" w:rsidRPr="00523556" w:rsidRDefault="00480755" w:rsidP="00687661">
      <w:pPr>
        <w:rPr>
          <w:rFonts w:ascii="Times New Roman" w:hAnsi="Times New Roman" w:cs="Times New Roman"/>
          <w:lang w:eastAsia="en-GB"/>
        </w:rPr>
      </w:pPr>
    </w:p>
    <w:p w:rsidR="00642527" w:rsidRPr="00523556" w:rsidRDefault="00642527" w:rsidP="00687661">
      <w:pPr>
        <w:rPr>
          <w:rFonts w:ascii="Times New Roman" w:hAnsi="Times New Roman" w:cs="Times New Roman"/>
          <w:lang w:eastAsia="en-GB"/>
        </w:rPr>
      </w:pPr>
    </w:p>
    <w:p w:rsidR="009037AA" w:rsidRPr="00523556" w:rsidRDefault="009037AA" w:rsidP="009037AA">
      <w:pPr>
        <w:pStyle w:val="Heading1"/>
        <w:rPr>
          <w:rFonts w:ascii="Times New Roman" w:hAnsi="Times New Roman" w:cs="Times New Roman"/>
        </w:rPr>
      </w:pPr>
      <w:bookmarkStart w:id="1" w:name="_Toc383757433"/>
      <w:r w:rsidRPr="00523556">
        <w:rPr>
          <w:rFonts w:ascii="Times New Roman" w:hAnsi="Times New Roman" w:cs="Times New Roman"/>
        </w:rPr>
        <w:t>Abstract</w:t>
      </w:r>
      <w:bookmarkEnd w:id="1"/>
    </w:p>
    <w:p w:rsidR="00EF2113" w:rsidRPr="00523556" w:rsidRDefault="00857C58" w:rsidP="00BB0C9F">
      <w:pPr>
        <w:jc w:val="both"/>
        <w:rPr>
          <w:rFonts w:ascii="Times New Roman" w:hAnsi="Times New Roman" w:cs="Times New Roman"/>
        </w:rPr>
      </w:pPr>
      <w:r w:rsidRPr="00523556">
        <w:rPr>
          <w:rFonts w:ascii="Times New Roman" w:hAnsi="Times New Roman" w:cs="Times New Roman"/>
          <w:lang w:eastAsia="en-GB"/>
        </w:rPr>
        <w:t xml:space="preserve">Uganda is in a transitional period in terms </w:t>
      </w:r>
      <w:bookmarkStart w:id="2" w:name="_GoBack"/>
      <w:bookmarkEnd w:id="2"/>
      <w:r w:rsidRPr="00523556">
        <w:rPr>
          <w:rFonts w:ascii="Times New Roman" w:hAnsi="Times New Roman" w:cs="Times New Roman"/>
          <w:lang w:eastAsia="en-GB"/>
        </w:rPr>
        <w:t>of both financing n</w:t>
      </w:r>
      <w:r w:rsidR="005F1800" w:rsidRPr="00523556">
        <w:rPr>
          <w:rFonts w:ascii="Times New Roman" w:hAnsi="Times New Roman" w:cs="Times New Roman"/>
          <w:lang w:eastAsia="en-GB"/>
        </w:rPr>
        <w:t xml:space="preserve">eeds and opportunities. Since </w:t>
      </w:r>
      <w:r w:rsidR="00BA3D2E" w:rsidRPr="00523556">
        <w:rPr>
          <w:rFonts w:ascii="Times New Roman" w:hAnsi="Times New Roman" w:cs="Times New Roman"/>
          <w:lang w:eastAsia="en-GB"/>
        </w:rPr>
        <w:t>Fiscal Year 2009</w:t>
      </w:r>
      <w:r w:rsidRPr="00523556">
        <w:rPr>
          <w:rFonts w:ascii="Times New Roman" w:hAnsi="Times New Roman" w:cs="Times New Roman"/>
          <w:lang w:eastAsia="en-GB"/>
        </w:rPr>
        <w:t>/10 net financing requirements have consistently exceeded available net concessional lending – and this trend looks set to continue into the medium term.</w:t>
      </w:r>
      <w:r w:rsidR="00DE7CFA" w:rsidRPr="00523556">
        <w:rPr>
          <w:rFonts w:ascii="Times New Roman" w:hAnsi="Times New Roman" w:cs="Times New Roman"/>
          <w:lang w:eastAsia="en-GB"/>
        </w:rPr>
        <w:t xml:space="preserve"> A</w:t>
      </w:r>
      <w:r w:rsidRPr="00523556">
        <w:rPr>
          <w:rFonts w:ascii="Times New Roman" w:hAnsi="Times New Roman" w:cs="Times New Roman"/>
          <w:lang w:eastAsia="en-GB"/>
        </w:rPr>
        <w:t xml:space="preserve">t the same time an increasing range of alternative, non-concessional financing options have begun to open up, both domestic and external. </w:t>
      </w:r>
      <w:r w:rsidR="00FA24E1" w:rsidRPr="00523556">
        <w:rPr>
          <w:rFonts w:ascii="Times New Roman" w:hAnsi="Times New Roman" w:cs="Times New Roman"/>
          <w:lang w:eastAsia="en-GB"/>
        </w:rPr>
        <w:t xml:space="preserve"> </w:t>
      </w:r>
      <w:r w:rsidR="00DE7CFA" w:rsidRPr="00523556">
        <w:rPr>
          <w:rFonts w:ascii="Times New Roman" w:hAnsi="Times New Roman" w:cs="Times New Roman"/>
        </w:rPr>
        <w:t xml:space="preserve">This expansion of Uganda’s deficit financing policy space brings both opportunities and risks – and presents the authorities with new challenges, to determine the appropriate recourse to and mix between the various financing options. This paper aims to assist the authorities’ consideration of these issues. </w:t>
      </w:r>
    </w:p>
    <w:p w:rsidR="00EF2113" w:rsidRPr="00523556" w:rsidRDefault="00EF2113" w:rsidP="00BB0C9F">
      <w:pPr>
        <w:jc w:val="both"/>
        <w:rPr>
          <w:rFonts w:ascii="Times New Roman" w:hAnsi="Times New Roman" w:cs="Times New Roman"/>
        </w:rPr>
      </w:pPr>
    </w:p>
    <w:p w:rsidR="00642527" w:rsidRPr="00523556" w:rsidRDefault="00642527" w:rsidP="00BB0C9F">
      <w:pPr>
        <w:jc w:val="both"/>
        <w:rPr>
          <w:rFonts w:ascii="Times New Roman" w:hAnsi="Times New Roman" w:cs="Times New Roman"/>
        </w:rPr>
      </w:pPr>
    </w:p>
    <w:p w:rsidR="00480755" w:rsidRPr="00523556" w:rsidRDefault="00480755" w:rsidP="00BB0C9F">
      <w:pPr>
        <w:jc w:val="both"/>
        <w:rPr>
          <w:rFonts w:ascii="Times New Roman" w:hAnsi="Times New Roman" w:cs="Times New Roman"/>
        </w:rPr>
      </w:pPr>
    </w:p>
    <w:p w:rsidR="00711417" w:rsidRPr="00523556" w:rsidRDefault="002063C2" w:rsidP="00BB0C9F">
      <w:pPr>
        <w:jc w:val="both"/>
        <w:rPr>
          <w:rFonts w:ascii="Times New Roman" w:hAnsi="Times New Roman" w:cs="Times New Roman"/>
        </w:rPr>
      </w:pPr>
      <w:r w:rsidRPr="00523556">
        <w:rPr>
          <w:rFonts w:ascii="Times New Roman" w:hAnsi="Times New Roman" w:cs="Times New Roman"/>
          <w:i/>
        </w:rPr>
        <w:t xml:space="preserve">The authors would like to thank officials </w:t>
      </w:r>
      <w:r w:rsidR="00480755" w:rsidRPr="00523556">
        <w:rPr>
          <w:rFonts w:ascii="Times New Roman" w:hAnsi="Times New Roman" w:cs="Times New Roman"/>
          <w:i/>
        </w:rPr>
        <w:t xml:space="preserve">and advisors </w:t>
      </w:r>
      <w:r w:rsidRPr="00523556">
        <w:rPr>
          <w:rFonts w:ascii="Times New Roman" w:hAnsi="Times New Roman" w:cs="Times New Roman"/>
          <w:i/>
        </w:rPr>
        <w:t xml:space="preserve">at the Ministry of Finance, Planning and Economics Development (MoFPED) and the Bank of Uganda, and colleagues at the International Growth Centre, for valuable </w:t>
      </w:r>
      <w:r w:rsidR="008177A4" w:rsidRPr="00523556">
        <w:rPr>
          <w:rFonts w:ascii="Times New Roman" w:hAnsi="Times New Roman" w:cs="Times New Roman"/>
          <w:i/>
        </w:rPr>
        <w:t xml:space="preserve">comments and </w:t>
      </w:r>
      <w:r w:rsidRPr="00523556">
        <w:rPr>
          <w:rFonts w:ascii="Times New Roman" w:hAnsi="Times New Roman" w:cs="Times New Roman"/>
          <w:i/>
        </w:rPr>
        <w:t xml:space="preserve">discussions </w:t>
      </w:r>
      <w:r w:rsidR="008177A4" w:rsidRPr="00523556">
        <w:rPr>
          <w:rFonts w:ascii="Times New Roman" w:hAnsi="Times New Roman" w:cs="Times New Roman"/>
          <w:i/>
        </w:rPr>
        <w:t>–</w:t>
      </w:r>
      <w:r w:rsidRPr="00523556">
        <w:rPr>
          <w:rFonts w:ascii="Times New Roman" w:hAnsi="Times New Roman" w:cs="Times New Roman"/>
          <w:i/>
        </w:rPr>
        <w:t xml:space="preserve"> and</w:t>
      </w:r>
      <w:r w:rsidR="008177A4" w:rsidRPr="00523556">
        <w:rPr>
          <w:rFonts w:ascii="Times New Roman" w:hAnsi="Times New Roman" w:cs="Times New Roman"/>
          <w:i/>
        </w:rPr>
        <w:t xml:space="preserve"> </w:t>
      </w:r>
      <w:r w:rsidRPr="00523556">
        <w:rPr>
          <w:rFonts w:ascii="Times New Roman" w:hAnsi="Times New Roman" w:cs="Times New Roman"/>
          <w:i/>
        </w:rPr>
        <w:t xml:space="preserve">would in particular like to acknowledge the valuable contributions of Martin </w:t>
      </w:r>
      <w:r w:rsidR="001B3E09" w:rsidRPr="00523556">
        <w:rPr>
          <w:rFonts w:ascii="Times New Roman" w:hAnsi="Times New Roman" w:cs="Times New Roman"/>
          <w:i/>
        </w:rPr>
        <w:t xml:space="preserve">A. </w:t>
      </w:r>
      <w:r w:rsidRPr="00523556">
        <w:rPr>
          <w:rFonts w:ascii="Times New Roman" w:hAnsi="Times New Roman" w:cs="Times New Roman"/>
          <w:i/>
        </w:rPr>
        <w:t>Nsubuga from MoFPED. The views expressed in this paper are solely those of the authors and do not necessarily reflect the official views of the Ugandan authorities. Any errors are those of the authors.</w:t>
      </w:r>
      <w:r w:rsidR="00711417" w:rsidRPr="00523556">
        <w:rPr>
          <w:rFonts w:ascii="Times New Roman" w:hAnsi="Times New Roman" w:cs="Times New Roman"/>
          <w:b/>
          <w:bCs/>
        </w:rPr>
        <w:br w:type="page"/>
      </w:r>
    </w:p>
    <w:sdt>
      <w:sdtPr>
        <w:rPr>
          <w:rFonts w:ascii="Times New Roman" w:eastAsiaTheme="minorHAnsi" w:hAnsi="Times New Roman" w:cs="Times New Roman"/>
          <w:b w:val="0"/>
          <w:bCs w:val="0"/>
          <w:color w:val="auto"/>
          <w:sz w:val="24"/>
          <w:szCs w:val="24"/>
          <w:lang w:val="en-GB" w:eastAsia="en-US"/>
        </w:rPr>
        <w:id w:val="-106515286"/>
        <w:docPartObj>
          <w:docPartGallery w:val="Table of Contents"/>
          <w:docPartUnique/>
        </w:docPartObj>
      </w:sdtPr>
      <w:sdtEndPr>
        <w:rPr>
          <w:noProof/>
        </w:rPr>
      </w:sdtEndPr>
      <w:sdtContent>
        <w:p w:rsidR="00A26721" w:rsidRPr="00523556" w:rsidRDefault="00A26721" w:rsidP="00B748E9">
          <w:pPr>
            <w:pStyle w:val="TOCHeading"/>
            <w:spacing w:after="120"/>
            <w:rPr>
              <w:rFonts w:ascii="Times New Roman" w:hAnsi="Times New Roman" w:cs="Times New Roman"/>
              <w:color w:val="auto"/>
              <w:sz w:val="24"/>
              <w:szCs w:val="24"/>
              <w:u w:val="single"/>
            </w:rPr>
          </w:pPr>
          <w:r w:rsidRPr="00523556">
            <w:rPr>
              <w:rFonts w:ascii="Times New Roman" w:hAnsi="Times New Roman" w:cs="Times New Roman"/>
              <w:color w:val="auto"/>
              <w:sz w:val="24"/>
              <w:szCs w:val="24"/>
              <w:u w:val="single"/>
            </w:rPr>
            <w:t>Contents</w:t>
          </w:r>
        </w:p>
        <w:p w:rsidR="00B06EBD" w:rsidRPr="00523556" w:rsidRDefault="00487CCB">
          <w:pPr>
            <w:pStyle w:val="TOC1"/>
            <w:tabs>
              <w:tab w:val="right" w:leader="dot" w:pos="9016"/>
            </w:tabs>
            <w:rPr>
              <w:rFonts w:ascii="Times New Roman" w:eastAsiaTheme="minorEastAsia" w:hAnsi="Times New Roman" w:cs="Times New Roman"/>
              <w:noProof/>
              <w:lang w:eastAsia="en-GB"/>
            </w:rPr>
          </w:pPr>
          <w:r w:rsidRPr="00523556">
            <w:rPr>
              <w:rFonts w:ascii="Times New Roman" w:hAnsi="Times New Roman" w:cs="Times New Roman"/>
            </w:rPr>
            <w:fldChar w:fldCharType="begin"/>
          </w:r>
          <w:r w:rsidR="00BE74DB" w:rsidRPr="00523556">
            <w:rPr>
              <w:rFonts w:ascii="Times New Roman" w:hAnsi="Times New Roman" w:cs="Times New Roman"/>
            </w:rPr>
            <w:instrText xml:space="preserve"> TOC \o "1-2" \h \z \u </w:instrText>
          </w:r>
          <w:r w:rsidRPr="00523556">
            <w:rPr>
              <w:rFonts w:ascii="Times New Roman" w:hAnsi="Times New Roman" w:cs="Times New Roman"/>
            </w:rPr>
            <w:fldChar w:fldCharType="separate"/>
          </w:r>
          <w:hyperlink w:anchor="_Toc383757433" w:history="1">
            <w:r w:rsidR="00B06EBD" w:rsidRPr="00523556">
              <w:rPr>
                <w:rStyle w:val="Hyperlink"/>
                <w:rFonts w:ascii="Times New Roman" w:hAnsi="Times New Roman" w:cs="Times New Roman"/>
                <w:noProof/>
              </w:rPr>
              <w:t>Abstract</w:t>
            </w:r>
            <w:r w:rsidR="00B06EBD" w:rsidRPr="00523556">
              <w:rPr>
                <w:rFonts w:ascii="Times New Roman" w:hAnsi="Times New Roman" w:cs="Times New Roman"/>
                <w:noProof/>
                <w:webHidden/>
              </w:rPr>
              <w:tab/>
            </w:r>
            <w:r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_Toc383757433 \h </w:instrText>
            </w:r>
            <w:r w:rsidRPr="00523556">
              <w:rPr>
                <w:rFonts w:ascii="Times New Roman" w:hAnsi="Times New Roman" w:cs="Times New Roman"/>
                <w:noProof/>
                <w:webHidden/>
              </w:rPr>
            </w:r>
            <w:r w:rsidRPr="00523556">
              <w:rPr>
                <w:rFonts w:ascii="Times New Roman" w:hAnsi="Times New Roman" w:cs="Times New Roman"/>
                <w:noProof/>
                <w:webHidden/>
              </w:rPr>
              <w:fldChar w:fldCharType="separate"/>
            </w:r>
            <w:r w:rsidR="00616652">
              <w:rPr>
                <w:rFonts w:ascii="Times New Roman" w:hAnsi="Times New Roman" w:cs="Times New Roman"/>
                <w:noProof/>
                <w:webHidden/>
              </w:rPr>
              <w:t>1</w:t>
            </w:r>
            <w:r w:rsidRPr="00523556">
              <w:rPr>
                <w:rFonts w:ascii="Times New Roman" w:hAnsi="Times New Roman" w:cs="Times New Roman"/>
                <w:noProof/>
                <w:webHidden/>
              </w:rPr>
              <w:fldChar w:fldCharType="end"/>
            </w:r>
          </w:hyperlink>
        </w:p>
        <w:p w:rsidR="00B06EBD" w:rsidRPr="00523556" w:rsidRDefault="00AC237B">
          <w:pPr>
            <w:pStyle w:val="TOC1"/>
            <w:tabs>
              <w:tab w:val="right" w:leader="dot" w:pos="9016"/>
            </w:tabs>
            <w:rPr>
              <w:rFonts w:ascii="Times New Roman" w:eastAsiaTheme="minorEastAsia" w:hAnsi="Times New Roman" w:cs="Times New Roman"/>
              <w:noProof/>
              <w:lang w:eastAsia="en-GB"/>
            </w:rPr>
          </w:pPr>
          <w:hyperlink w:anchor="_Toc383757434" w:history="1">
            <w:r w:rsidR="00B06EBD" w:rsidRPr="00523556">
              <w:rPr>
                <w:rStyle w:val="Hyperlink"/>
                <w:rFonts w:ascii="Times New Roman" w:hAnsi="Times New Roman" w:cs="Times New Roman"/>
                <w:noProof/>
              </w:rPr>
              <w:t>List of Acronyms and Abbreviations</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_Toc383757434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3</w:t>
            </w:r>
            <w:r w:rsidR="00487CCB" w:rsidRPr="00523556">
              <w:rPr>
                <w:rFonts w:ascii="Times New Roman" w:hAnsi="Times New Roman" w:cs="Times New Roman"/>
                <w:noProof/>
                <w:webHidden/>
              </w:rPr>
              <w:fldChar w:fldCharType="end"/>
            </w:r>
          </w:hyperlink>
        </w:p>
        <w:p w:rsidR="00B06EBD" w:rsidRPr="00523556" w:rsidRDefault="00AC237B">
          <w:pPr>
            <w:pStyle w:val="TOC1"/>
            <w:tabs>
              <w:tab w:val="right" w:leader="dot" w:pos="9016"/>
            </w:tabs>
            <w:rPr>
              <w:rFonts w:ascii="Times New Roman" w:eastAsiaTheme="minorEastAsia" w:hAnsi="Times New Roman" w:cs="Times New Roman"/>
              <w:noProof/>
              <w:lang w:eastAsia="en-GB"/>
            </w:rPr>
          </w:pPr>
          <w:hyperlink w:anchor="_Toc383757435" w:history="1">
            <w:r w:rsidR="00B06EBD" w:rsidRPr="00523556">
              <w:rPr>
                <w:rStyle w:val="Hyperlink"/>
                <w:rFonts w:ascii="Times New Roman" w:hAnsi="Times New Roman" w:cs="Times New Roman"/>
                <w:noProof/>
              </w:rPr>
              <w:t>Executive Summary</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_Toc383757435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4</w:t>
            </w:r>
            <w:r w:rsidR="00487CCB" w:rsidRPr="00523556">
              <w:rPr>
                <w:rFonts w:ascii="Times New Roman" w:hAnsi="Times New Roman" w:cs="Times New Roman"/>
                <w:noProof/>
                <w:webHidden/>
              </w:rPr>
              <w:fldChar w:fldCharType="end"/>
            </w:r>
          </w:hyperlink>
        </w:p>
        <w:p w:rsidR="00B06EBD" w:rsidRPr="00523556" w:rsidRDefault="00AC237B">
          <w:pPr>
            <w:pStyle w:val="TOC1"/>
            <w:tabs>
              <w:tab w:val="right" w:leader="dot" w:pos="9016"/>
            </w:tabs>
            <w:rPr>
              <w:rFonts w:ascii="Times New Roman" w:eastAsiaTheme="minorEastAsia" w:hAnsi="Times New Roman" w:cs="Times New Roman"/>
              <w:noProof/>
              <w:lang w:eastAsia="en-GB"/>
            </w:rPr>
          </w:pPr>
          <w:hyperlink w:anchor="_Toc383757436" w:history="1">
            <w:r w:rsidR="00B06EBD" w:rsidRPr="00523556">
              <w:rPr>
                <w:rStyle w:val="Hyperlink"/>
                <w:rFonts w:ascii="Times New Roman" w:hAnsi="Times New Roman" w:cs="Times New Roman"/>
                <w:noProof/>
              </w:rPr>
              <w:t>1. Introduction</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_Toc383757436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7</w:t>
            </w:r>
            <w:r w:rsidR="00487CCB" w:rsidRPr="00523556">
              <w:rPr>
                <w:rFonts w:ascii="Times New Roman" w:hAnsi="Times New Roman" w:cs="Times New Roman"/>
                <w:noProof/>
                <w:webHidden/>
              </w:rPr>
              <w:fldChar w:fldCharType="end"/>
            </w:r>
          </w:hyperlink>
        </w:p>
        <w:p w:rsidR="00B06EBD" w:rsidRPr="00523556" w:rsidRDefault="00AC237B">
          <w:pPr>
            <w:pStyle w:val="TOC1"/>
            <w:tabs>
              <w:tab w:val="right" w:leader="dot" w:pos="9016"/>
            </w:tabs>
            <w:rPr>
              <w:rFonts w:ascii="Times New Roman" w:eastAsiaTheme="minorEastAsia" w:hAnsi="Times New Roman" w:cs="Times New Roman"/>
              <w:noProof/>
              <w:lang w:eastAsia="en-GB"/>
            </w:rPr>
          </w:pPr>
          <w:hyperlink w:anchor="_Toc383757437" w:history="1">
            <w:r w:rsidR="00B06EBD" w:rsidRPr="00523556">
              <w:rPr>
                <w:rStyle w:val="Hyperlink"/>
                <w:rFonts w:ascii="Times New Roman" w:hAnsi="Times New Roman" w:cs="Times New Roman"/>
                <w:noProof/>
              </w:rPr>
              <w:t>2. Fiscal Deficit Financing Options</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_Toc383757437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10</w:t>
            </w:r>
            <w:r w:rsidR="00487CCB" w:rsidRPr="00523556">
              <w:rPr>
                <w:rFonts w:ascii="Times New Roman" w:hAnsi="Times New Roman" w:cs="Times New Roman"/>
                <w:noProof/>
                <w:webHidden/>
              </w:rPr>
              <w:fldChar w:fldCharType="end"/>
            </w:r>
          </w:hyperlink>
        </w:p>
        <w:p w:rsidR="00B06EBD" w:rsidRPr="00523556" w:rsidRDefault="00AC237B">
          <w:pPr>
            <w:pStyle w:val="TOC2"/>
            <w:tabs>
              <w:tab w:val="right" w:leader="dot" w:pos="9016"/>
            </w:tabs>
            <w:rPr>
              <w:rFonts w:ascii="Times New Roman" w:eastAsiaTheme="minorEastAsia" w:hAnsi="Times New Roman" w:cs="Times New Roman"/>
              <w:noProof/>
              <w:lang w:eastAsia="en-GB"/>
            </w:rPr>
          </w:pPr>
          <w:hyperlink w:anchor="_Toc383757438" w:history="1">
            <w:r w:rsidR="00B06EBD" w:rsidRPr="00523556">
              <w:rPr>
                <w:rStyle w:val="Hyperlink"/>
                <w:rFonts w:ascii="Times New Roman" w:hAnsi="Times New Roman" w:cs="Times New Roman"/>
                <w:noProof/>
              </w:rPr>
              <w:t>2.1 Context</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_Toc383757438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10</w:t>
            </w:r>
            <w:r w:rsidR="00487CCB" w:rsidRPr="00523556">
              <w:rPr>
                <w:rFonts w:ascii="Times New Roman" w:hAnsi="Times New Roman" w:cs="Times New Roman"/>
                <w:noProof/>
                <w:webHidden/>
              </w:rPr>
              <w:fldChar w:fldCharType="end"/>
            </w:r>
          </w:hyperlink>
        </w:p>
        <w:p w:rsidR="00B06EBD" w:rsidRPr="00523556" w:rsidRDefault="00AC237B">
          <w:pPr>
            <w:pStyle w:val="TOC2"/>
            <w:tabs>
              <w:tab w:val="right" w:leader="dot" w:pos="9016"/>
            </w:tabs>
            <w:rPr>
              <w:rFonts w:ascii="Times New Roman" w:eastAsiaTheme="minorEastAsia" w:hAnsi="Times New Roman" w:cs="Times New Roman"/>
              <w:noProof/>
              <w:lang w:eastAsia="en-GB"/>
            </w:rPr>
          </w:pPr>
          <w:hyperlink w:anchor="_Toc383757439" w:history="1">
            <w:r w:rsidR="00B06EBD" w:rsidRPr="00523556">
              <w:rPr>
                <w:rStyle w:val="Hyperlink"/>
                <w:rFonts w:ascii="Times New Roman" w:hAnsi="Times New Roman" w:cs="Times New Roman"/>
                <w:noProof/>
              </w:rPr>
              <w:t>2.2 Domestic borrowing: Treasury Bill and Bond issuance</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_Toc383757439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13</w:t>
            </w:r>
            <w:r w:rsidR="00487CCB" w:rsidRPr="00523556">
              <w:rPr>
                <w:rFonts w:ascii="Times New Roman" w:hAnsi="Times New Roman" w:cs="Times New Roman"/>
                <w:noProof/>
                <w:webHidden/>
              </w:rPr>
              <w:fldChar w:fldCharType="end"/>
            </w:r>
          </w:hyperlink>
        </w:p>
        <w:p w:rsidR="00B06EBD" w:rsidRPr="00523556" w:rsidRDefault="00AC237B">
          <w:pPr>
            <w:pStyle w:val="TOC2"/>
            <w:tabs>
              <w:tab w:val="right" w:leader="dot" w:pos="9016"/>
            </w:tabs>
            <w:rPr>
              <w:rFonts w:ascii="Times New Roman" w:eastAsiaTheme="minorEastAsia" w:hAnsi="Times New Roman" w:cs="Times New Roman"/>
              <w:noProof/>
              <w:lang w:eastAsia="en-GB"/>
            </w:rPr>
          </w:pPr>
          <w:hyperlink w:anchor="_Toc383757440" w:history="1">
            <w:r w:rsidR="00B06EBD" w:rsidRPr="00523556">
              <w:rPr>
                <w:rStyle w:val="Hyperlink"/>
                <w:rFonts w:ascii="Times New Roman" w:hAnsi="Times New Roman" w:cs="Times New Roman"/>
                <w:noProof/>
              </w:rPr>
              <w:t>2.3 Commercial external borrowing: Eurobond issuance</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_Toc383757440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25</w:t>
            </w:r>
            <w:r w:rsidR="00487CCB" w:rsidRPr="00523556">
              <w:rPr>
                <w:rFonts w:ascii="Times New Roman" w:hAnsi="Times New Roman" w:cs="Times New Roman"/>
                <w:noProof/>
                <w:webHidden/>
              </w:rPr>
              <w:fldChar w:fldCharType="end"/>
            </w:r>
          </w:hyperlink>
        </w:p>
        <w:p w:rsidR="00B06EBD" w:rsidRPr="00523556" w:rsidRDefault="00AC237B">
          <w:pPr>
            <w:pStyle w:val="TOC2"/>
            <w:tabs>
              <w:tab w:val="right" w:leader="dot" w:pos="9016"/>
            </w:tabs>
            <w:rPr>
              <w:rFonts w:ascii="Times New Roman" w:eastAsiaTheme="minorEastAsia" w:hAnsi="Times New Roman" w:cs="Times New Roman"/>
              <w:noProof/>
              <w:lang w:eastAsia="en-GB"/>
            </w:rPr>
          </w:pPr>
          <w:hyperlink w:anchor="_Toc383757441" w:history="1">
            <w:r w:rsidR="00B06EBD" w:rsidRPr="00523556">
              <w:rPr>
                <w:rStyle w:val="Hyperlink"/>
                <w:rFonts w:ascii="Times New Roman" w:hAnsi="Times New Roman" w:cs="Times New Roman"/>
                <w:noProof/>
              </w:rPr>
              <w:t>2.4 Concessional external borrowing</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_Toc383757441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31</w:t>
            </w:r>
            <w:r w:rsidR="00487CCB" w:rsidRPr="00523556">
              <w:rPr>
                <w:rFonts w:ascii="Times New Roman" w:hAnsi="Times New Roman" w:cs="Times New Roman"/>
                <w:noProof/>
                <w:webHidden/>
              </w:rPr>
              <w:fldChar w:fldCharType="end"/>
            </w:r>
          </w:hyperlink>
        </w:p>
        <w:p w:rsidR="00B06EBD" w:rsidRPr="00523556" w:rsidRDefault="00AC237B">
          <w:pPr>
            <w:pStyle w:val="TOC2"/>
            <w:tabs>
              <w:tab w:val="right" w:leader="dot" w:pos="9016"/>
            </w:tabs>
            <w:rPr>
              <w:rFonts w:ascii="Times New Roman" w:eastAsiaTheme="minorEastAsia" w:hAnsi="Times New Roman" w:cs="Times New Roman"/>
              <w:noProof/>
              <w:lang w:eastAsia="en-GB"/>
            </w:rPr>
          </w:pPr>
          <w:hyperlink w:anchor="_Toc383757442" w:history="1">
            <w:r w:rsidR="00B06EBD" w:rsidRPr="00523556">
              <w:rPr>
                <w:rStyle w:val="Hyperlink"/>
                <w:rFonts w:ascii="Times New Roman" w:hAnsi="Times New Roman" w:cs="Times New Roman"/>
                <w:noProof/>
              </w:rPr>
              <w:t>2.5 Semi-Concessional external borrowing</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_Toc383757442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32</w:t>
            </w:r>
            <w:r w:rsidR="00487CCB" w:rsidRPr="00523556">
              <w:rPr>
                <w:rFonts w:ascii="Times New Roman" w:hAnsi="Times New Roman" w:cs="Times New Roman"/>
                <w:noProof/>
                <w:webHidden/>
              </w:rPr>
              <w:fldChar w:fldCharType="end"/>
            </w:r>
          </w:hyperlink>
        </w:p>
        <w:p w:rsidR="00B06EBD" w:rsidRPr="00523556" w:rsidRDefault="00AC237B">
          <w:pPr>
            <w:pStyle w:val="TOC2"/>
            <w:tabs>
              <w:tab w:val="right" w:leader="dot" w:pos="9016"/>
            </w:tabs>
            <w:rPr>
              <w:rFonts w:ascii="Times New Roman" w:eastAsiaTheme="minorEastAsia" w:hAnsi="Times New Roman" w:cs="Times New Roman"/>
              <w:noProof/>
              <w:lang w:eastAsia="en-GB"/>
            </w:rPr>
          </w:pPr>
          <w:hyperlink w:anchor="_Toc383757443" w:history="1">
            <w:r w:rsidR="00B06EBD" w:rsidRPr="00523556">
              <w:rPr>
                <w:rStyle w:val="Hyperlink"/>
                <w:rFonts w:ascii="Times New Roman" w:hAnsi="Times New Roman" w:cs="Times New Roman"/>
                <w:noProof/>
              </w:rPr>
              <w:t>2.6 GoU savings (Bank of Uganda Financing)</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_Toc383757443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33</w:t>
            </w:r>
            <w:r w:rsidR="00487CCB" w:rsidRPr="00523556">
              <w:rPr>
                <w:rFonts w:ascii="Times New Roman" w:hAnsi="Times New Roman" w:cs="Times New Roman"/>
                <w:noProof/>
                <w:webHidden/>
              </w:rPr>
              <w:fldChar w:fldCharType="end"/>
            </w:r>
          </w:hyperlink>
        </w:p>
        <w:p w:rsidR="00B06EBD" w:rsidRPr="00523556" w:rsidRDefault="00AC237B">
          <w:pPr>
            <w:pStyle w:val="TOC1"/>
            <w:tabs>
              <w:tab w:val="right" w:leader="dot" w:pos="9016"/>
            </w:tabs>
            <w:rPr>
              <w:rFonts w:ascii="Times New Roman" w:eastAsiaTheme="minorEastAsia" w:hAnsi="Times New Roman" w:cs="Times New Roman"/>
              <w:noProof/>
              <w:lang w:eastAsia="en-GB"/>
            </w:rPr>
          </w:pPr>
          <w:hyperlink w:anchor="_Toc383757444" w:history="1">
            <w:r w:rsidR="00B06EBD" w:rsidRPr="00523556">
              <w:rPr>
                <w:rStyle w:val="Hyperlink"/>
                <w:rFonts w:ascii="Times New Roman" w:hAnsi="Times New Roman" w:cs="Times New Roman"/>
                <w:noProof/>
              </w:rPr>
              <w:t>3. Forming a Financing Strategy: Considerations</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_Toc383757444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34</w:t>
            </w:r>
            <w:r w:rsidR="00487CCB" w:rsidRPr="00523556">
              <w:rPr>
                <w:rFonts w:ascii="Times New Roman" w:hAnsi="Times New Roman" w:cs="Times New Roman"/>
                <w:noProof/>
                <w:webHidden/>
              </w:rPr>
              <w:fldChar w:fldCharType="end"/>
            </w:r>
          </w:hyperlink>
        </w:p>
        <w:p w:rsidR="00B06EBD" w:rsidRPr="00523556" w:rsidRDefault="00AC237B">
          <w:pPr>
            <w:pStyle w:val="TOC2"/>
            <w:tabs>
              <w:tab w:val="right" w:leader="dot" w:pos="9016"/>
            </w:tabs>
            <w:rPr>
              <w:rFonts w:ascii="Times New Roman" w:eastAsiaTheme="minorEastAsia" w:hAnsi="Times New Roman" w:cs="Times New Roman"/>
              <w:noProof/>
              <w:lang w:eastAsia="en-GB"/>
            </w:rPr>
          </w:pPr>
          <w:hyperlink w:anchor="_Toc383757445" w:history="1">
            <w:r w:rsidR="00B06EBD" w:rsidRPr="00523556">
              <w:rPr>
                <w:rStyle w:val="Hyperlink"/>
                <w:rFonts w:ascii="Times New Roman" w:hAnsi="Times New Roman" w:cs="Times New Roman"/>
                <w:noProof/>
              </w:rPr>
              <w:t>3.1 Context</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_Toc383757445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34</w:t>
            </w:r>
            <w:r w:rsidR="00487CCB" w:rsidRPr="00523556">
              <w:rPr>
                <w:rFonts w:ascii="Times New Roman" w:hAnsi="Times New Roman" w:cs="Times New Roman"/>
                <w:noProof/>
                <w:webHidden/>
              </w:rPr>
              <w:fldChar w:fldCharType="end"/>
            </w:r>
          </w:hyperlink>
        </w:p>
        <w:p w:rsidR="00B06EBD" w:rsidRPr="00523556" w:rsidRDefault="00AC237B">
          <w:pPr>
            <w:pStyle w:val="TOC2"/>
            <w:tabs>
              <w:tab w:val="right" w:leader="dot" w:pos="9016"/>
            </w:tabs>
            <w:rPr>
              <w:rFonts w:ascii="Times New Roman" w:eastAsiaTheme="minorEastAsia" w:hAnsi="Times New Roman" w:cs="Times New Roman"/>
              <w:noProof/>
              <w:lang w:eastAsia="en-GB"/>
            </w:rPr>
          </w:pPr>
          <w:hyperlink w:anchor="_Toc383757446" w:history="1">
            <w:r w:rsidR="00B06EBD" w:rsidRPr="00523556">
              <w:rPr>
                <w:rStyle w:val="Hyperlink"/>
                <w:rFonts w:ascii="Times New Roman" w:hAnsi="Times New Roman" w:cs="Times New Roman"/>
                <w:noProof/>
              </w:rPr>
              <w:t>3.2 Meeting GoU’s debt management objectives</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_Toc383757446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34</w:t>
            </w:r>
            <w:r w:rsidR="00487CCB" w:rsidRPr="00523556">
              <w:rPr>
                <w:rFonts w:ascii="Times New Roman" w:hAnsi="Times New Roman" w:cs="Times New Roman"/>
                <w:noProof/>
                <w:webHidden/>
              </w:rPr>
              <w:fldChar w:fldCharType="end"/>
            </w:r>
          </w:hyperlink>
        </w:p>
        <w:p w:rsidR="00B06EBD" w:rsidRPr="00523556" w:rsidRDefault="00AC237B">
          <w:pPr>
            <w:pStyle w:val="TOC2"/>
            <w:tabs>
              <w:tab w:val="right" w:leader="dot" w:pos="9016"/>
            </w:tabs>
            <w:rPr>
              <w:rFonts w:ascii="Times New Roman" w:eastAsiaTheme="minorEastAsia" w:hAnsi="Times New Roman" w:cs="Times New Roman"/>
              <w:noProof/>
              <w:lang w:eastAsia="en-GB"/>
            </w:rPr>
          </w:pPr>
          <w:hyperlink w:anchor="_Toc383757447" w:history="1">
            <w:r w:rsidR="00B06EBD" w:rsidRPr="00523556">
              <w:rPr>
                <w:rStyle w:val="Hyperlink"/>
                <w:rFonts w:ascii="Times New Roman" w:hAnsi="Times New Roman" w:cs="Times New Roman"/>
                <w:noProof/>
              </w:rPr>
              <w:t>3.3 Potential medium-term financing strategies</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_Toc383757447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39</w:t>
            </w:r>
            <w:r w:rsidR="00487CCB" w:rsidRPr="00523556">
              <w:rPr>
                <w:rFonts w:ascii="Times New Roman" w:hAnsi="Times New Roman" w:cs="Times New Roman"/>
                <w:noProof/>
                <w:webHidden/>
              </w:rPr>
              <w:fldChar w:fldCharType="end"/>
            </w:r>
          </w:hyperlink>
        </w:p>
        <w:p w:rsidR="00B06EBD" w:rsidRPr="00523556" w:rsidRDefault="00AC237B">
          <w:pPr>
            <w:pStyle w:val="TOC1"/>
            <w:tabs>
              <w:tab w:val="right" w:leader="dot" w:pos="9016"/>
            </w:tabs>
            <w:rPr>
              <w:rFonts w:ascii="Times New Roman" w:eastAsiaTheme="minorEastAsia" w:hAnsi="Times New Roman" w:cs="Times New Roman"/>
              <w:noProof/>
              <w:lang w:eastAsia="en-GB"/>
            </w:rPr>
          </w:pPr>
          <w:hyperlink w:anchor="_Toc383757448" w:history="1">
            <w:r w:rsidR="00B06EBD" w:rsidRPr="00523556">
              <w:rPr>
                <w:rStyle w:val="Hyperlink"/>
                <w:rFonts w:ascii="Times New Roman" w:hAnsi="Times New Roman" w:cs="Times New Roman"/>
                <w:noProof/>
              </w:rPr>
              <w:t>4. Conclusion</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_Toc383757448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48</w:t>
            </w:r>
            <w:r w:rsidR="00487CCB" w:rsidRPr="00523556">
              <w:rPr>
                <w:rFonts w:ascii="Times New Roman" w:hAnsi="Times New Roman" w:cs="Times New Roman"/>
                <w:noProof/>
                <w:webHidden/>
              </w:rPr>
              <w:fldChar w:fldCharType="end"/>
            </w:r>
          </w:hyperlink>
        </w:p>
        <w:p w:rsidR="00B06EBD" w:rsidRPr="00523556" w:rsidRDefault="00AC237B">
          <w:pPr>
            <w:pStyle w:val="TOC1"/>
            <w:tabs>
              <w:tab w:val="right" w:leader="dot" w:pos="9016"/>
            </w:tabs>
            <w:rPr>
              <w:rFonts w:ascii="Times New Roman" w:eastAsiaTheme="minorEastAsia" w:hAnsi="Times New Roman" w:cs="Times New Roman"/>
              <w:noProof/>
              <w:lang w:eastAsia="en-GB"/>
            </w:rPr>
          </w:pPr>
          <w:hyperlink w:anchor="_Toc383757449" w:history="1">
            <w:r w:rsidR="00B06EBD" w:rsidRPr="00523556">
              <w:rPr>
                <w:rStyle w:val="Hyperlink"/>
                <w:rFonts w:ascii="Times New Roman" w:hAnsi="Times New Roman" w:cs="Times New Roman"/>
                <w:noProof/>
              </w:rPr>
              <w:t>References</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_Toc383757449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51</w:t>
            </w:r>
            <w:r w:rsidR="00487CCB" w:rsidRPr="00523556">
              <w:rPr>
                <w:rFonts w:ascii="Times New Roman" w:hAnsi="Times New Roman" w:cs="Times New Roman"/>
                <w:noProof/>
                <w:webHidden/>
              </w:rPr>
              <w:fldChar w:fldCharType="end"/>
            </w:r>
          </w:hyperlink>
        </w:p>
        <w:p w:rsidR="00B06EBD" w:rsidRPr="00523556" w:rsidRDefault="00AC237B">
          <w:pPr>
            <w:pStyle w:val="TOC1"/>
            <w:tabs>
              <w:tab w:val="right" w:leader="dot" w:pos="9016"/>
            </w:tabs>
            <w:rPr>
              <w:rFonts w:ascii="Times New Roman" w:eastAsiaTheme="minorEastAsia" w:hAnsi="Times New Roman" w:cs="Times New Roman"/>
              <w:noProof/>
              <w:lang w:eastAsia="en-GB"/>
            </w:rPr>
          </w:pPr>
          <w:hyperlink w:anchor="_Toc383757450" w:history="1">
            <w:r w:rsidR="00B06EBD" w:rsidRPr="00523556">
              <w:rPr>
                <w:rStyle w:val="Hyperlink"/>
                <w:rFonts w:ascii="Times New Roman" w:hAnsi="Times New Roman" w:cs="Times New Roman"/>
                <w:noProof/>
              </w:rPr>
              <w:t>Annex 1: Financing scenarios for FY13/14 to FY19/20 – Selected MTDS model outputs</w:t>
            </w:r>
            <w:r w:rsidR="00B06EBD" w:rsidRPr="00523556">
              <w:rPr>
                <w:rFonts w:ascii="Times New Roman" w:hAnsi="Times New Roman" w:cs="Times New Roman"/>
                <w:noProof/>
                <w:webHidden/>
              </w:rPr>
              <w:tab/>
            </w:r>
            <w:r w:rsidR="00487CCB" w:rsidRPr="00523556">
              <w:rPr>
                <w:rFonts w:ascii="Times New Roman" w:hAnsi="Times New Roman" w:cs="Times New Roman"/>
                <w:noProof/>
                <w:webHidden/>
              </w:rPr>
              <w:fldChar w:fldCharType="begin"/>
            </w:r>
            <w:r w:rsidR="00B06EBD" w:rsidRPr="00523556">
              <w:rPr>
                <w:rFonts w:ascii="Times New Roman" w:hAnsi="Times New Roman" w:cs="Times New Roman"/>
                <w:noProof/>
                <w:webHidden/>
              </w:rPr>
              <w:instrText xml:space="preserve"> PAGEREF _Toc383757450 \h </w:instrText>
            </w:r>
            <w:r w:rsidR="00487CCB" w:rsidRPr="00523556">
              <w:rPr>
                <w:rFonts w:ascii="Times New Roman" w:hAnsi="Times New Roman" w:cs="Times New Roman"/>
                <w:noProof/>
                <w:webHidden/>
              </w:rPr>
            </w:r>
            <w:r w:rsidR="00487CCB" w:rsidRPr="00523556">
              <w:rPr>
                <w:rFonts w:ascii="Times New Roman" w:hAnsi="Times New Roman" w:cs="Times New Roman"/>
                <w:noProof/>
                <w:webHidden/>
              </w:rPr>
              <w:fldChar w:fldCharType="separate"/>
            </w:r>
            <w:r w:rsidR="00616652">
              <w:rPr>
                <w:rFonts w:ascii="Times New Roman" w:hAnsi="Times New Roman" w:cs="Times New Roman"/>
                <w:noProof/>
                <w:webHidden/>
              </w:rPr>
              <w:t>54</w:t>
            </w:r>
            <w:r w:rsidR="00487CCB" w:rsidRPr="00523556">
              <w:rPr>
                <w:rFonts w:ascii="Times New Roman" w:hAnsi="Times New Roman" w:cs="Times New Roman"/>
                <w:noProof/>
                <w:webHidden/>
              </w:rPr>
              <w:fldChar w:fldCharType="end"/>
            </w:r>
          </w:hyperlink>
        </w:p>
        <w:p w:rsidR="005C7C79" w:rsidRPr="00523556" w:rsidRDefault="00487CCB" w:rsidP="005C7C79">
          <w:pPr>
            <w:rPr>
              <w:rFonts w:ascii="Times New Roman" w:hAnsi="Times New Roman" w:cs="Times New Roman"/>
              <w:noProof/>
            </w:rPr>
          </w:pPr>
          <w:r w:rsidRPr="00523556">
            <w:rPr>
              <w:rFonts w:ascii="Times New Roman" w:hAnsi="Times New Roman" w:cs="Times New Roman"/>
            </w:rPr>
            <w:fldChar w:fldCharType="end"/>
          </w:r>
        </w:p>
      </w:sdtContent>
    </w:sdt>
    <w:p w:rsidR="00A26721" w:rsidRPr="00523556" w:rsidRDefault="00A26721" w:rsidP="005C7C79">
      <w:pPr>
        <w:rPr>
          <w:rFonts w:ascii="Times New Roman" w:hAnsi="Times New Roman" w:cs="Times New Roman"/>
          <w:noProof/>
        </w:rPr>
      </w:pPr>
      <w:r w:rsidRPr="00523556">
        <w:rPr>
          <w:rFonts w:ascii="Times New Roman" w:hAnsi="Times New Roman" w:cs="Times New Roman"/>
        </w:rPr>
        <w:br w:type="page"/>
      </w:r>
    </w:p>
    <w:p w:rsidR="006408CD" w:rsidRPr="00523556" w:rsidRDefault="006408CD" w:rsidP="0000453F">
      <w:pPr>
        <w:pStyle w:val="Heading1"/>
        <w:rPr>
          <w:rFonts w:ascii="Times New Roman" w:hAnsi="Times New Roman" w:cs="Times New Roman"/>
        </w:rPr>
      </w:pPr>
      <w:bookmarkStart w:id="3" w:name="_Toc383757434"/>
      <w:r w:rsidRPr="00523556">
        <w:rPr>
          <w:rFonts w:ascii="Times New Roman" w:hAnsi="Times New Roman" w:cs="Times New Roman"/>
        </w:rPr>
        <w:lastRenderedPageBreak/>
        <w:t>List of Acronyms and Abbreviations</w:t>
      </w:r>
      <w:bookmarkEnd w:id="3"/>
    </w:p>
    <w:p w:rsidR="008F6824" w:rsidRPr="00523556" w:rsidRDefault="008F6824" w:rsidP="00FC319B">
      <w:pPr>
        <w:spacing w:after="0"/>
        <w:rPr>
          <w:rFonts w:ascii="Times New Roman" w:hAnsi="Times New Roman" w:cs="Times New Roman"/>
        </w:rPr>
      </w:pPr>
      <w:r w:rsidRPr="00523556">
        <w:rPr>
          <w:rFonts w:ascii="Times New Roman" w:hAnsi="Times New Roman" w:cs="Times New Roman"/>
        </w:rPr>
        <w:t>ATM</w:t>
      </w:r>
      <w:r w:rsidRPr="00523556">
        <w:rPr>
          <w:rFonts w:ascii="Times New Roman" w:hAnsi="Times New Roman" w:cs="Times New Roman"/>
        </w:rPr>
        <w:tab/>
      </w:r>
      <w:r w:rsidRPr="00523556">
        <w:rPr>
          <w:rFonts w:ascii="Times New Roman" w:hAnsi="Times New Roman" w:cs="Times New Roman"/>
        </w:rPr>
        <w:tab/>
        <w:t xml:space="preserve">Average </w:t>
      </w:r>
      <w:r w:rsidR="00914FCC" w:rsidRPr="00523556">
        <w:rPr>
          <w:rFonts w:ascii="Times New Roman" w:hAnsi="Times New Roman" w:cs="Times New Roman"/>
        </w:rPr>
        <w:t>T</w:t>
      </w:r>
      <w:r w:rsidRPr="00523556">
        <w:rPr>
          <w:rFonts w:ascii="Times New Roman" w:hAnsi="Times New Roman" w:cs="Times New Roman"/>
        </w:rPr>
        <w:t>ime to Maturity</w:t>
      </w:r>
    </w:p>
    <w:p w:rsidR="00FC319B" w:rsidRPr="00523556" w:rsidRDefault="00FC319B" w:rsidP="00FC319B">
      <w:pPr>
        <w:spacing w:after="0"/>
        <w:rPr>
          <w:rFonts w:ascii="Times New Roman" w:hAnsi="Times New Roman" w:cs="Times New Roman"/>
        </w:rPr>
      </w:pPr>
      <w:r w:rsidRPr="00523556">
        <w:rPr>
          <w:rFonts w:ascii="Times New Roman" w:hAnsi="Times New Roman" w:cs="Times New Roman"/>
        </w:rPr>
        <w:t>BoU</w:t>
      </w:r>
      <w:r w:rsidRPr="00523556">
        <w:rPr>
          <w:rFonts w:ascii="Times New Roman" w:hAnsi="Times New Roman" w:cs="Times New Roman"/>
        </w:rPr>
        <w:tab/>
      </w:r>
      <w:r w:rsidRPr="00523556">
        <w:rPr>
          <w:rFonts w:ascii="Times New Roman" w:hAnsi="Times New Roman" w:cs="Times New Roman"/>
        </w:rPr>
        <w:tab/>
        <w:t>Bank of Uganda</w:t>
      </w:r>
    </w:p>
    <w:p w:rsidR="008F6824" w:rsidRPr="00523556" w:rsidRDefault="008F6824" w:rsidP="00FC319B">
      <w:pPr>
        <w:spacing w:after="0"/>
        <w:rPr>
          <w:rFonts w:ascii="Times New Roman" w:hAnsi="Times New Roman" w:cs="Times New Roman"/>
        </w:rPr>
      </w:pPr>
      <w:r w:rsidRPr="00523556">
        <w:rPr>
          <w:rFonts w:ascii="Times New Roman" w:hAnsi="Times New Roman" w:cs="Times New Roman"/>
        </w:rPr>
        <w:t>DD</w:t>
      </w:r>
      <w:r w:rsidRPr="00523556">
        <w:rPr>
          <w:rFonts w:ascii="Times New Roman" w:hAnsi="Times New Roman" w:cs="Times New Roman"/>
        </w:rPr>
        <w:tab/>
      </w:r>
      <w:r w:rsidRPr="00523556">
        <w:rPr>
          <w:rFonts w:ascii="Times New Roman" w:hAnsi="Times New Roman" w:cs="Times New Roman"/>
        </w:rPr>
        <w:tab/>
        <w:t>Domestic Debt</w:t>
      </w:r>
    </w:p>
    <w:p w:rsidR="00C855DB" w:rsidRPr="00523556" w:rsidRDefault="00C855DB" w:rsidP="00FC319B">
      <w:pPr>
        <w:spacing w:after="0"/>
        <w:rPr>
          <w:rFonts w:ascii="Times New Roman" w:hAnsi="Times New Roman" w:cs="Times New Roman"/>
        </w:rPr>
      </w:pPr>
      <w:r w:rsidRPr="00523556">
        <w:rPr>
          <w:rFonts w:ascii="Times New Roman" w:hAnsi="Times New Roman" w:cs="Times New Roman"/>
        </w:rPr>
        <w:t>DMO</w:t>
      </w:r>
      <w:r w:rsidRPr="00523556">
        <w:rPr>
          <w:rFonts w:ascii="Times New Roman" w:hAnsi="Times New Roman" w:cs="Times New Roman"/>
        </w:rPr>
        <w:tab/>
      </w:r>
      <w:r w:rsidRPr="00523556">
        <w:rPr>
          <w:rFonts w:ascii="Times New Roman" w:hAnsi="Times New Roman" w:cs="Times New Roman"/>
        </w:rPr>
        <w:tab/>
        <w:t>Debt Management Office</w:t>
      </w:r>
    </w:p>
    <w:p w:rsidR="000B213E" w:rsidRPr="00523556" w:rsidRDefault="000B213E" w:rsidP="00FC319B">
      <w:pPr>
        <w:spacing w:after="0"/>
        <w:rPr>
          <w:rFonts w:ascii="Times New Roman" w:hAnsi="Times New Roman" w:cs="Times New Roman"/>
        </w:rPr>
      </w:pPr>
      <w:r w:rsidRPr="00523556">
        <w:rPr>
          <w:rFonts w:ascii="Times New Roman" w:hAnsi="Times New Roman" w:cs="Times New Roman"/>
        </w:rPr>
        <w:t>EAC</w:t>
      </w:r>
      <w:r w:rsidRPr="00523556">
        <w:rPr>
          <w:rFonts w:ascii="Times New Roman" w:hAnsi="Times New Roman" w:cs="Times New Roman"/>
        </w:rPr>
        <w:tab/>
      </w:r>
      <w:r w:rsidRPr="00523556">
        <w:rPr>
          <w:rFonts w:ascii="Times New Roman" w:hAnsi="Times New Roman" w:cs="Times New Roman"/>
        </w:rPr>
        <w:tab/>
        <w:t>East African Community</w:t>
      </w:r>
    </w:p>
    <w:p w:rsidR="008F6824" w:rsidRPr="00523556" w:rsidRDefault="008F6824" w:rsidP="00FC319B">
      <w:pPr>
        <w:spacing w:after="0"/>
        <w:rPr>
          <w:rFonts w:ascii="Times New Roman" w:hAnsi="Times New Roman" w:cs="Times New Roman"/>
        </w:rPr>
      </w:pPr>
      <w:r w:rsidRPr="00523556">
        <w:rPr>
          <w:rFonts w:ascii="Times New Roman" w:hAnsi="Times New Roman" w:cs="Times New Roman"/>
        </w:rPr>
        <w:t>EME</w:t>
      </w:r>
      <w:r w:rsidRPr="00523556">
        <w:rPr>
          <w:rFonts w:ascii="Times New Roman" w:hAnsi="Times New Roman" w:cs="Times New Roman"/>
        </w:rPr>
        <w:tab/>
      </w:r>
      <w:r w:rsidRPr="00523556">
        <w:rPr>
          <w:rFonts w:ascii="Times New Roman" w:hAnsi="Times New Roman" w:cs="Times New Roman"/>
        </w:rPr>
        <w:tab/>
        <w:t>Emerging-Market Economy</w:t>
      </w:r>
    </w:p>
    <w:p w:rsidR="00B56731" w:rsidRPr="00523556" w:rsidRDefault="00B56731" w:rsidP="00FC319B">
      <w:pPr>
        <w:spacing w:after="0"/>
        <w:rPr>
          <w:rFonts w:ascii="Times New Roman" w:hAnsi="Times New Roman" w:cs="Times New Roman"/>
        </w:rPr>
      </w:pPr>
      <w:r w:rsidRPr="00523556">
        <w:rPr>
          <w:rFonts w:ascii="Times New Roman" w:hAnsi="Times New Roman" w:cs="Times New Roman"/>
        </w:rPr>
        <w:t>FY</w:t>
      </w:r>
      <w:r w:rsidRPr="00523556">
        <w:rPr>
          <w:rFonts w:ascii="Times New Roman" w:hAnsi="Times New Roman" w:cs="Times New Roman"/>
        </w:rPr>
        <w:tab/>
      </w:r>
      <w:r w:rsidRPr="00523556">
        <w:rPr>
          <w:rFonts w:ascii="Times New Roman" w:hAnsi="Times New Roman" w:cs="Times New Roman"/>
        </w:rPr>
        <w:tab/>
        <w:t>Fiscal Year</w:t>
      </w:r>
    </w:p>
    <w:p w:rsidR="006408CD" w:rsidRPr="00523556" w:rsidRDefault="00FC319B" w:rsidP="00FC319B">
      <w:pPr>
        <w:spacing w:after="0"/>
        <w:rPr>
          <w:rFonts w:ascii="Times New Roman" w:hAnsi="Times New Roman" w:cs="Times New Roman"/>
        </w:rPr>
      </w:pPr>
      <w:r w:rsidRPr="00523556">
        <w:rPr>
          <w:rFonts w:ascii="Times New Roman" w:hAnsi="Times New Roman" w:cs="Times New Roman"/>
        </w:rPr>
        <w:t>GDP</w:t>
      </w:r>
      <w:r w:rsidRPr="00523556">
        <w:rPr>
          <w:rFonts w:ascii="Times New Roman" w:hAnsi="Times New Roman" w:cs="Times New Roman"/>
        </w:rPr>
        <w:tab/>
      </w:r>
      <w:r w:rsidRPr="00523556">
        <w:rPr>
          <w:rFonts w:ascii="Times New Roman" w:hAnsi="Times New Roman" w:cs="Times New Roman"/>
        </w:rPr>
        <w:tab/>
        <w:t>Gross Domestic Product</w:t>
      </w:r>
    </w:p>
    <w:p w:rsidR="00FC319B" w:rsidRPr="00523556" w:rsidRDefault="00FC319B" w:rsidP="00FC319B">
      <w:pPr>
        <w:spacing w:after="0"/>
        <w:rPr>
          <w:rFonts w:ascii="Times New Roman" w:hAnsi="Times New Roman" w:cs="Times New Roman"/>
        </w:rPr>
      </w:pPr>
      <w:r w:rsidRPr="00523556">
        <w:rPr>
          <w:rFonts w:ascii="Times New Roman" w:hAnsi="Times New Roman" w:cs="Times New Roman"/>
        </w:rPr>
        <w:t>GoU</w:t>
      </w:r>
      <w:r w:rsidRPr="00523556">
        <w:rPr>
          <w:rFonts w:ascii="Times New Roman" w:hAnsi="Times New Roman" w:cs="Times New Roman"/>
        </w:rPr>
        <w:tab/>
      </w:r>
      <w:r w:rsidRPr="00523556">
        <w:rPr>
          <w:rFonts w:ascii="Times New Roman" w:hAnsi="Times New Roman" w:cs="Times New Roman"/>
        </w:rPr>
        <w:tab/>
        <w:t>Government of Uganda</w:t>
      </w:r>
    </w:p>
    <w:p w:rsidR="00FC319B" w:rsidRPr="00523556" w:rsidRDefault="00FC319B" w:rsidP="00FC319B">
      <w:pPr>
        <w:spacing w:after="0"/>
        <w:rPr>
          <w:rFonts w:ascii="Times New Roman" w:hAnsi="Times New Roman" w:cs="Times New Roman"/>
        </w:rPr>
      </w:pPr>
      <w:r w:rsidRPr="00523556">
        <w:rPr>
          <w:rFonts w:ascii="Times New Roman" w:hAnsi="Times New Roman" w:cs="Times New Roman"/>
        </w:rPr>
        <w:t>IMF</w:t>
      </w:r>
      <w:r w:rsidRPr="00523556">
        <w:rPr>
          <w:rFonts w:ascii="Times New Roman" w:hAnsi="Times New Roman" w:cs="Times New Roman"/>
        </w:rPr>
        <w:tab/>
      </w:r>
      <w:r w:rsidRPr="00523556">
        <w:rPr>
          <w:rFonts w:ascii="Times New Roman" w:hAnsi="Times New Roman" w:cs="Times New Roman"/>
        </w:rPr>
        <w:tab/>
        <w:t>International Monetary Fund</w:t>
      </w:r>
    </w:p>
    <w:p w:rsidR="008F6824" w:rsidRPr="00523556" w:rsidRDefault="008F6824" w:rsidP="00FC319B">
      <w:pPr>
        <w:spacing w:after="0"/>
        <w:rPr>
          <w:rFonts w:ascii="Times New Roman" w:hAnsi="Times New Roman" w:cs="Times New Roman"/>
        </w:rPr>
      </w:pPr>
      <w:r w:rsidRPr="00523556">
        <w:rPr>
          <w:rFonts w:ascii="Times New Roman" w:hAnsi="Times New Roman" w:cs="Times New Roman"/>
        </w:rPr>
        <w:t>LIC</w:t>
      </w:r>
      <w:r w:rsidRPr="00523556">
        <w:rPr>
          <w:rFonts w:ascii="Times New Roman" w:hAnsi="Times New Roman" w:cs="Times New Roman"/>
        </w:rPr>
        <w:tab/>
      </w:r>
      <w:r w:rsidRPr="00523556">
        <w:rPr>
          <w:rFonts w:ascii="Times New Roman" w:hAnsi="Times New Roman" w:cs="Times New Roman"/>
        </w:rPr>
        <w:tab/>
        <w:t>Low-Income Country</w:t>
      </w:r>
    </w:p>
    <w:p w:rsidR="00FC319B" w:rsidRPr="00523556" w:rsidRDefault="00FC319B" w:rsidP="00FC319B">
      <w:pPr>
        <w:spacing w:after="0"/>
        <w:rPr>
          <w:rFonts w:ascii="Times New Roman" w:hAnsi="Times New Roman" w:cs="Times New Roman"/>
        </w:rPr>
      </w:pPr>
      <w:r w:rsidRPr="00523556">
        <w:rPr>
          <w:rFonts w:ascii="Times New Roman" w:hAnsi="Times New Roman" w:cs="Times New Roman"/>
        </w:rPr>
        <w:t>MoFPED</w:t>
      </w:r>
      <w:r w:rsidRPr="00523556">
        <w:rPr>
          <w:rFonts w:ascii="Times New Roman" w:hAnsi="Times New Roman" w:cs="Times New Roman"/>
        </w:rPr>
        <w:tab/>
        <w:t>Ministry of Finance, Planning and Economic Development</w:t>
      </w:r>
    </w:p>
    <w:p w:rsidR="008F6824" w:rsidRPr="00523556" w:rsidRDefault="008F6824" w:rsidP="00FC319B">
      <w:pPr>
        <w:spacing w:after="0"/>
        <w:rPr>
          <w:rFonts w:ascii="Times New Roman" w:hAnsi="Times New Roman" w:cs="Times New Roman"/>
        </w:rPr>
      </w:pPr>
      <w:r w:rsidRPr="00523556">
        <w:rPr>
          <w:rFonts w:ascii="Times New Roman" w:hAnsi="Times New Roman" w:cs="Times New Roman"/>
        </w:rPr>
        <w:t>MTDS</w:t>
      </w:r>
      <w:r w:rsidRPr="00523556">
        <w:rPr>
          <w:rFonts w:ascii="Times New Roman" w:hAnsi="Times New Roman" w:cs="Times New Roman"/>
        </w:rPr>
        <w:tab/>
      </w:r>
      <w:r w:rsidRPr="00523556">
        <w:rPr>
          <w:rFonts w:ascii="Times New Roman" w:hAnsi="Times New Roman" w:cs="Times New Roman"/>
        </w:rPr>
        <w:tab/>
        <w:t>Medium-Term Debt</w:t>
      </w:r>
      <w:r w:rsidR="00FE47CC" w:rsidRPr="00523556">
        <w:rPr>
          <w:rFonts w:ascii="Times New Roman" w:hAnsi="Times New Roman" w:cs="Times New Roman"/>
        </w:rPr>
        <w:t xml:space="preserve"> Management</w:t>
      </w:r>
      <w:r w:rsidRPr="00523556">
        <w:rPr>
          <w:rFonts w:ascii="Times New Roman" w:hAnsi="Times New Roman" w:cs="Times New Roman"/>
        </w:rPr>
        <w:t xml:space="preserve"> Strategy</w:t>
      </w:r>
    </w:p>
    <w:p w:rsidR="00F62CBB" w:rsidRPr="00523556" w:rsidRDefault="00F62CBB" w:rsidP="00FC319B">
      <w:pPr>
        <w:spacing w:after="0"/>
        <w:rPr>
          <w:rFonts w:ascii="Times New Roman" w:hAnsi="Times New Roman" w:cs="Times New Roman"/>
        </w:rPr>
      </w:pPr>
      <w:r w:rsidRPr="00523556">
        <w:rPr>
          <w:rFonts w:ascii="Times New Roman" w:hAnsi="Times New Roman" w:cs="Times New Roman"/>
        </w:rPr>
        <w:t>NDP</w:t>
      </w:r>
      <w:r w:rsidRPr="00523556">
        <w:rPr>
          <w:rFonts w:ascii="Times New Roman" w:hAnsi="Times New Roman" w:cs="Times New Roman"/>
        </w:rPr>
        <w:tab/>
      </w:r>
      <w:r w:rsidRPr="00523556">
        <w:rPr>
          <w:rFonts w:ascii="Times New Roman" w:hAnsi="Times New Roman" w:cs="Times New Roman"/>
        </w:rPr>
        <w:tab/>
        <w:t>National Development Plan</w:t>
      </w:r>
    </w:p>
    <w:p w:rsidR="00FC319B" w:rsidRPr="00523556" w:rsidRDefault="00FC319B" w:rsidP="00FC319B">
      <w:pPr>
        <w:spacing w:after="0"/>
        <w:rPr>
          <w:rFonts w:ascii="Times New Roman" w:hAnsi="Times New Roman" w:cs="Times New Roman"/>
        </w:rPr>
      </w:pPr>
      <w:r w:rsidRPr="00523556">
        <w:rPr>
          <w:rFonts w:ascii="Times New Roman" w:hAnsi="Times New Roman" w:cs="Times New Roman"/>
        </w:rPr>
        <w:t>PD</w:t>
      </w:r>
      <w:r w:rsidR="00DC0761" w:rsidRPr="00523556">
        <w:rPr>
          <w:rFonts w:ascii="Times New Roman" w:hAnsi="Times New Roman" w:cs="Times New Roman"/>
        </w:rPr>
        <w:t>PF</w:t>
      </w:r>
      <w:r w:rsidR="00DC0761" w:rsidRPr="00523556">
        <w:rPr>
          <w:rFonts w:ascii="Times New Roman" w:hAnsi="Times New Roman" w:cs="Times New Roman"/>
        </w:rPr>
        <w:tab/>
      </w:r>
      <w:r w:rsidRPr="00523556">
        <w:rPr>
          <w:rFonts w:ascii="Times New Roman" w:hAnsi="Times New Roman" w:cs="Times New Roman"/>
        </w:rPr>
        <w:tab/>
        <w:t xml:space="preserve">Public Debt </w:t>
      </w:r>
      <w:r w:rsidR="00DC0761" w:rsidRPr="00523556">
        <w:rPr>
          <w:rFonts w:ascii="Times New Roman" w:hAnsi="Times New Roman" w:cs="Times New Roman"/>
        </w:rPr>
        <w:t>Policy Framework</w:t>
      </w:r>
    </w:p>
    <w:p w:rsidR="00FA13A6" w:rsidRPr="00523556" w:rsidRDefault="00FA13A6" w:rsidP="00FC319B">
      <w:pPr>
        <w:spacing w:after="0"/>
        <w:rPr>
          <w:rFonts w:ascii="Times New Roman" w:hAnsi="Times New Roman" w:cs="Times New Roman"/>
        </w:rPr>
      </w:pPr>
      <w:r w:rsidRPr="00523556">
        <w:rPr>
          <w:rFonts w:ascii="Times New Roman" w:hAnsi="Times New Roman" w:cs="Times New Roman"/>
        </w:rPr>
        <w:t>PPP</w:t>
      </w:r>
      <w:r w:rsidRPr="00523556">
        <w:rPr>
          <w:rFonts w:ascii="Times New Roman" w:hAnsi="Times New Roman" w:cs="Times New Roman"/>
        </w:rPr>
        <w:tab/>
      </w:r>
      <w:r w:rsidRPr="00523556">
        <w:rPr>
          <w:rFonts w:ascii="Times New Roman" w:hAnsi="Times New Roman" w:cs="Times New Roman"/>
        </w:rPr>
        <w:tab/>
        <w:t>Public Private Partnership</w:t>
      </w:r>
    </w:p>
    <w:p w:rsidR="009033F0" w:rsidRPr="00523556" w:rsidRDefault="009033F0" w:rsidP="00FC319B">
      <w:pPr>
        <w:spacing w:after="0"/>
        <w:rPr>
          <w:rFonts w:ascii="Times New Roman" w:hAnsi="Times New Roman" w:cs="Times New Roman"/>
        </w:rPr>
      </w:pPr>
      <w:r w:rsidRPr="00523556">
        <w:rPr>
          <w:rFonts w:ascii="Times New Roman" w:hAnsi="Times New Roman" w:cs="Times New Roman"/>
        </w:rPr>
        <w:t>PSC</w:t>
      </w:r>
      <w:r w:rsidRPr="00523556">
        <w:rPr>
          <w:rFonts w:ascii="Times New Roman" w:hAnsi="Times New Roman" w:cs="Times New Roman"/>
        </w:rPr>
        <w:tab/>
      </w:r>
      <w:r w:rsidRPr="00523556">
        <w:rPr>
          <w:rFonts w:ascii="Times New Roman" w:hAnsi="Times New Roman" w:cs="Times New Roman"/>
        </w:rPr>
        <w:tab/>
        <w:t>Private Sector Credit</w:t>
      </w:r>
    </w:p>
    <w:p w:rsidR="005C0DB2" w:rsidRPr="00523556" w:rsidRDefault="005C0DB2" w:rsidP="00FC319B">
      <w:pPr>
        <w:spacing w:after="0"/>
        <w:rPr>
          <w:rFonts w:ascii="Times New Roman" w:hAnsi="Times New Roman" w:cs="Times New Roman"/>
        </w:rPr>
      </w:pPr>
      <w:r w:rsidRPr="00523556">
        <w:rPr>
          <w:rFonts w:ascii="Times New Roman" w:hAnsi="Times New Roman" w:cs="Times New Roman"/>
        </w:rPr>
        <w:t>PV</w:t>
      </w:r>
      <w:r w:rsidRPr="00523556">
        <w:rPr>
          <w:rFonts w:ascii="Times New Roman" w:hAnsi="Times New Roman" w:cs="Times New Roman"/>
        </w:rPr>
        <w:tab/>
      </w:r>
      <w:r w:rsidRPr="00523556">
        <w:rPr>
          <w:rFonts w:ascii="Times New Roman" w:hAnsi="Times New Roman" w:cs="Times New Roman"/>
        </w:rPr>
        <w:tab/>
        <w:t>Present Value</w:t>
      </w:r>
    </w:p>
    <w:p w:rsidR="00FC319B" w:rsidRPr="00523556" w:rsidRDefault="00FC319B" w:rsidP="00FC319B">
      <w:pPr>
        <w:spacing w:after="0"/>
        <w:rPr>
          <w:rFonts w:ascii="Times New Roman" w:hAnsi="Times New Roman" w:cs="Times New Roman"/>
        </w:rPr>
      </w:pPr>
      <w:r w:rsidRPr="00523556">
        <w:rPr>
          <w:rFonts w:ascii="Times New Roman" w:hAnsi="Times New Roman" w:cs="Times New Roman"/>
        </w:rPr>
        <w:t xml:space="preserve">SSA </w:t>
      </w:r>
      <w:r w:rsidRPr="00523556">
        <w:rPr>
          <w:rFonts w:ascii="Times New Roman" w:hAnsi="Times New Roman" w:cs="Times New Roman"/>
        </w:rPr>
        <w:tab/>
      </w:r>
      <w:r w:rsidRPr="00523556">
        <w:rPr>
          <w:rFonts w:ascii="Times New Roman" w:hAnsi="Times New Roman" w:cs="Times New Roman"/>
        </w:rPr>
        <w:tab/>
        <w:t>Sub-Saharan Africa</w:t>
      </w:r>
    </w:p>
    <w:p w:rsidR="00C855DB" w:rsidRPr="00523556" w:rsidRDefault="00C855DB" w:rsidP="00FC319B">
      <w:pPr>
        <w:spacing w:after="0"/>
        <w:rPr>
          <w:rFonts w:ascii="Times New Roman" w:hAnsi="Times New Roman" w:cs="Times New Roman"/>
        </w:rPr>
      </w:pPr>
      <w:r w:rsidRPr="00523556">
        <w:rPr>
          <w:rFonts w:ascii="Times New Roman" w:hAnsi="Times New Roman" w:cs="Times New Roman"/>
        </w:rPr>
        <w:t>VAT</w:t>
      </w:r>
      <w:r w:rsidRPr="00523556">
        <w:rPr>
          <w:rFonts w:ascii="Times New Roman" w:hAnsi="Times New Roman" w:cs="Times New Roman"/>
        </w:rPr>
        <w:tab/>
      </w:r>
      <w:r w:rsidRPr="00523556">
        <w:rPr>
          <w:rFonts w:ascii="Times New Roman" w:hAnsi="Times New Roman" w:cs="Times New Roman"/>
        </w:rPr>
        <w:tab/>
        <w:t>Value-Added Tax</w:t>
      </w:r>
    </w:p>
    <w:p w:rsidR="006408CD" w:rsidRPr="00523556" w:rsidRDefault="00FC319B" w:rsidP="00A92586">
      <w:pPr>
        <w:spacing w:after="0"/>
        <w:rPr>
          <w:rFonts w:ascii="Times New Roman" w:eastAsia="Times New Roman" w:hAnsi="Times New Roman" w:cs="Times New Roman"/>
          <w:b/>
          <w:bCs/>
          <w:color w:val="000000"/>
          <w:u w:val="single"/>
          <w:lang w:eastAsia="en-GB"/>
        </w:rPr>
      </w:pPr>
      <w:r w:rsidRPr="00523556">
        <w:rPr>
          <w:rFonts w:ascii="Times New Roman" w:hAnsi="Times New Roman" w:cs="Times New Roman"/>
        </w:rPr>
        <w:t xml:space="preserve">WB </w:t>
      </w:r>
      <w:r w:rsidRPr="00523556">
        <w:rPr>
          <w:rFonts w:ascii="Times New Roman" w:hAnsi="Times New Roman" w:cs="Times New Roman"/>
        </w:rPr>
        <w:tab/>
      </w:r>
      <w:r w:rsidRPr="00523556">
        <w:rPr>
          <w:rFonts w:ascii="Times New Roman" w:hAnsi="Times New Roman" w:cs="Times New Roman"/>
        </w:rPr>
        <w:tab/>
        <w:t>World Bank</w:t>
      </w:r>
      <w:r w:rsidR="006408CD" w:rsidRPr="00523556">
        <w:rPr>
          <w:rFonts w:ascii="Times New Roman" w:hAnsi="Times New Roman" w:cs="Times New Roman"/>
        </w:rPr>
        <w:br w:type="page"/>
      </w:r>
    </w:p>
    <w:p w:rsidR="00724DC8" w:rsidRPr="00523556" w:rsidRDefault="00047BE9" w:rsidP="0000453F">
      <w:pPr>
        <w:pStyle w:val="Heading1"/>
        <w:rPr>
          <w:rFonts w:ascii="Times New Roman" w:hAnsi="Times New Roman" w:cs="Times New Roman"/>
        </w:rPr>
      </w:pPr>
      <w:bookmarkStart w:id="4" w:name="_Toc383757435"/>
      <w:r w:rsidRPr="00523556">
        <w:rPr>
          <w:rFonts w:ascii="Times New Roman" w:hAnsi="Times New Roman" w:cs="Times New Roman"/>
        </w:rPr>
        <w:lastRenderedPageBreak/>
        <w:t>Executive Summary</w:t>
      </w:r>
      <w:bookmarkEnd w:id="4"/>
    </w:p>
    <w:p w:rsidR="0031564C" w:rsidRPr="00523556" w:rsidRDefault="005E02F0" w:rsidP="00553BAA">
      <w:pPr>
        <w:jc w:val="both"/>
        <w:rPr>
          <w:rFonts w:ascii="Times New Roman" w:hAnsi="Times New Roman" w:cs="Times New Roman"/>
          <w:lang w:eastAsia="en-GB"/>
        </w:rPr>
      </w:pPr>
      <w:r w:rsidRPr="00523556">
        <w:rPr>
          <w:rFonts w:ascii="Times New Roman" w:hAnsi="Times New Roman" w:cs="Times New Roman"/>
        </w:rPr>
        <w:t xml:space="preserve">Until recently Uganda’s budget deficits were financed predominantly by concessional borrowing. However, Uganda has now entered a transitional period – </w:t>
      </w:r>
      <w:r w:rsidR="004B383F" w:rsidRPr="00523556">
        <w:rPr>
          <w:rFonts w:ascii="Times New Roman" w:hAnsi="Times New Roman" w:cs="Times New Roman"/>
        </w:rPr>
        <w:t xml:space="preserve">in terms of </w:t>
      </w:r>
      <w:r w:rsidRPr="00523556">
        <w:rPr>
          <w:rFonts w:ascii="Times New Roman" w:hAnsi="Times New Roman" w:cs="Times New Roman"/>
        </w:rPr>
        <w:t xml:space="preserve">both </w:t>
      </w:r>
      <w:r w:rsidR="00D047F3" w:rsidRPr="00523556">
        <w:rPr>
          <w:rFonts w:ascii="Times New Roman" w:hAnsi="Times New Roman" w:cs="Times New Roman"/>
        </w:rPr>
        <w:t xml:space="preserve">financing </w:t>
      </w:r>
      <w:r w:rsidR="00F400C5" w:rsidRPr="00523556">
        <w:rPr>
          <w:rFonts w:ascii="Times New Roman" w:hAnsi="Times New Roman" w:cs="Times New Roman"/>
        </w:rPr>
        <w:t>needs</w:t>
      </w:r>
      <w:r w:rsidR="004B383F" w:rsidRPr="00523556">
        <w:rPr>
          <w:rFonts w:ascii="Times New Roman" w:hAnsi="Times New Roman" w:cs="Times New Roman"/>
        </w:rPr>
        <w:t xml:space="preserve"> and opportunities. Net financing requirements have begun to exceed available concessional lending – and as the government continues to increase spending on infrastructure this trend looks set to continue into the medium term. </w:t>
      </w:r>
    </w:p>
    <w:p w:rsidR="002E1612" w:rsidRPr="00523556" w:rsidRDefault="004B383F" w:rsidP="00553BAA">
      <w:pPr>
        <w:jc w:val="both"/>
        <w:rPr>
          <w:rFonts w:ascii="Times New Roman" w:hAnsi="Times New Roman" w:cs="Times New Roman"/>
          <w:lang w:eastAsia="en-GB"/>
        </w:rPr>
      </w:pPr>
      <w:r w:rsidRPr="00523556">
        <w:rPr>
          <w:rFonts w:ascii="Times New Roman" w:hAnsi="Times New Roman" w:cs="Times New Roman"/>
        </w:rPr>
        <w:t>However, at the same time</w:t>
      </w:r>
      <w:r w:rsidR="00BC7694" w:rsidRPr="00523556">
        <w:rPr>
          <w:rFonts w:ascii="Times New Roman" w:hAnsi="Times New Roman" w:cs="Times New Roman"/>
        </w:rPr>
        <w:t>,</w:t>
      </w:r>
      <w:r w:rsidRPr="00523556">
        <w:rPr>
          <w:rFonts w:ascii="Times New Roman" w:hAnsi="Times New Roman" w:cs="Times New Roman"/>
        </w:rPr>
        <w:t xml:space="preserve"> an i</w:t>
      </w:r>
      <w:r w:rsidR="00F400C5" w:rsidRPr="00523556">
        <w:rPr>
          <w:rFonts w:ascii="Times New Roman" w:hAnsi="Times New Roman" w:cs="Times New Roman"/>
        </w:rPr>
        <w:t xml:space="preserve">ncreasing range of alternative </w:t>
      </w:r>
      <w:r w:rsidRPr="00523556">
        <w:rPr>
          <w:rFonts w:ascii="Times New Roman" w:hAnsi="Times New Roman" w:cs="Times New Roman"/>
        </w:rPr>
        <w:t>financing</w:t>
      </w:r>
      <w:r w:rsidR="00BC7694" w:rsidRPr="00523556">
        <w:rPr>
          <w:rFonts w:ascii="Times New Roman" w:hAnsi="Times New Roman" w:cs="Times New Roman"/>
        </w:rPr>
        <w:t xml:space="preserve"> options have begun to open up. Domestically, </w:t>
      </w:r>
      <w:r w:rsidRPr="00523556">
        <w:rPr>
          <w:rFonts w:ascii="Times New Roman" w:hAnsi="Times New Roman" w:cs="Times New Roman"/>
        </w:rPr>
        <w:t xml:space="preserve">the </w:t>
      </w:r>
      <w:r w:rsidR="00F0190E" w:rsidRPr="00523556">
        <w:rPr>
          <w:rFonts w:ascii="Times New Roman" w:hAnsi="Times New Roman" w:cs="Times New Roman"/>
        </w:rPr>
        <w:t>continued</w:t>
      </w:r>
      <w:r w:rsidRPr="00523556">
        <w:rPr>
          <w:rFonts w:ascii="Times New Roman" w:hAnsi="Times New Roman" w:cs="Times New Roman"/>
        </w:rPr>
        <w:t xml:space="preserve"> development of the financial sector has expanded the opportunities f</w:t>
      </w:r>
      <w:r w:rsidR="00BC7694" w:rsidRPr="00523556">
        <w:rPr>
          <w:rFonts w:ascii="Times New Roman" w:hAnsi="Times New Roman" w:cs="Times New Roman"/>
        </w:rPr>
        <w:t>or Treasury securities issuance. E</w:t>
      </w:r>
      <w:r w:rsidRPr="00523556">
        <w:rPr>
          <w:rFonts w:ascii="Times New Roman" w:hAnsi="Times New Roman" w:cs="Times New Roman"/>
        </w:rPr>
        <w:t xml:space="preserve">xternally, </w:t>
      </w:r>
      <w:r w:rsidR="00987EF8" w:rsidRPr="00523556">
        <w:rPr>
          <w:rFonts w:ascii="Times New Roman" w:hAnsi="Times New Roman" w:cs="Times New Roman"/>
        </w:rPr>
        <w:t>semi</w:t>
      </w:r>
      <w:r w:rsidR="00E5308F" w:rsidRPr="00523556">
        <w:rPr>
          <w:rFonts w:ascii="Times New Roman" w:hAnsi="Times New Roman" w:cs="Times New Roman"/>
        </w:rPr>
        <w:t xml:space="preserve">-concessional </w:t>
      </w:r>
      <w:r w:rsidR="00F760C8" w:rsidRPr="00523556">
        <w:rPr>
          <w:rFonts w:ascii="Times New Roman" w:hAnsi="Times New Roman" w:cs="Times New Roman"/>
        </w:rPr>
        <w:t>lending</w:t>
      </w:r>
      <w:r w:rsidR="00E5308F" w:rsidRPr="00523556">
        <w:rPr>
          <w:rFonts w:ascii="Times New Roman" w:hAnsi="Times New Roman" w:cs="Times New Roman"/>
        </w:rPr>
        <w:t xml:space="preserve"> </w:t>
      </w:r>
      <w:r w:rsidR="00F400C5" w:rsidRPr="00523556">
        <w:rPr>
          <w:rFonts w:ascii="Times New Roman" w:hAnsi="Times New Roman" w:cs="Times New Roman"/>
        </w:rPr>
        <w:t xml:space="preserve">(particularly </w:t>
      </w:r>
      <w:r w:rsidR="00E5308F" w:rsidRPr="00523556">
        <w:rPr>
          <w:rFonts w:ascii="Times New Roman" w:hAnsi="Times New Roman" w:cs="Times New Roman"/>
        </w:rPr>
        <w:t xml:space="preserve">from </w:t>
      </w:r>
      <w:r w:rsidRPr="00523556">
        <w:rPr>
          <w:rFonts w:ascii="Times New Roman" w:hAnsi="Times New Roman" w:cs="Times New Roman"/>
        </w:rPr>
        <w:t>non-traditional lenders</w:t>
      </w:r>
      <w:r w:rsidR="00F400C5" w:rsidRPr="00523556">
        <w:rPr>
          <w:rFonts w:ascii="Times New Roman" w:hAnsi="Times New Roman" w:cs="Times New Roman"/>
        </w:rPr>
        <w:t>)</w:t>
      </w:r>
      <w:r w:rsidRPr="00523556">
        <w:rPr>
          <w:rFonts w:ascii="Times New Roman" w:hAnsi="Times New Roman" w:cs="Times New Roman"/>
        </w:rPr>
        <w:t xml:space="preserve"> </w:t>
      </w:r>
      <w:r w:rsidR="00F0190E" w:rsidRPr="00523556">
        <w:rPr>
          <w:rFonts w:ascii="Times New Roman" w:hAnsi="Times New Roman" w:cs="Times New Roman"/>
        </w:rPr>
        <w:t xml:space="preserve">is </w:t>
      </w:r>
      <w:r w:rsidR="00F760C8" w:rsidRPr="00523556">
        <w:rPr>
          <w:rFonts w:ascii="Times New Roman" w:hAnsi="Times New Roman" w:cs="Times New Roman"/>
        </w:rPr>
        <w:t xml:space="preserve">emerging as an </w:t>
      </w:r>
      <w:r w:rsidR="00BC7694" w:rsidRPr="00523556">
        <w:rPr>
          <w:rFonts w:ascii="Times New Roman" w:hAnsi="Times New Roman" w:cs="Times New Roman"/>
        </w:rPr>
        <w:t>increasing</w:t>
      </w:r>
      <w:r w:rsidR="00F760C8" w:rsidRPr="00523556">
        <w:rPr>
          <w:rFonts w:ascii="Times New Roman" w:hAnsi="Times New Roman" w:cs="Times New Roman"/>
        </w:rPr>
        <w:t>ly important financing source</w:t>
      </w:r>
      <w:r w:rsidR="00BC7694" w:rsidRPr="00523556">
        <w:rPr>
          <w:rFonts w:ascii="Times New Roman" w:hAnsi="Times New Roman" w:cs="Times New Roman"/>
        </w:rPr>
        <w:t xml:space="preserve">, whilst international </w:t>
      </w:r>
      <w:r w:rsidRPr="00523556">
        <w:rPr>
          <w:rFonts w:ascii="Times New Roman" w:hAnsi="Times New Roman" w:cs="Times New Roman"/>
        </w:rPr>
        <w:t>market</w:t>
      </w:r>
      <w:r w:rsidR="00BC7694" w:rsidRPr="00523556">
        <w:rPr>
          <w:rFonts w:ascii="Times New Roman" w:hAnsi="Times New Roman" w:cs="Times New Roman"/>
        </w:rPr>
        <w:t xml:space="preserve">s have displayed considerable </w:t>
      </w:r>
      <w:r w:rsidRPr="00523556">
        <w:rPr>
          <w:rFonts w:ascii="Times New Roman" w:hAnsi="Times New Roman" w:cs="Times New Roman"/>
        </w:rPr>
        <w:t>appetite for commercial lending to ‘frontier’ sovereigns.</w:t>
      </w:r>
      <w:r w:rsidR="00067CE7" w:rsidRPr="00523556">
        <w:rPr>
          <w:rFonts w:ascii="Times New Roman" w:hAnsi="Times New Roman" w:cs="Times New Roman"/>
          <w:lang w:eastAsia="en-GB"/>
        </w:rPr>
        <w:t xml:space="preserve"> </w:t>
      </w:r>
      <w:r w:rsidR="002E1612" w:rsidRPr="00523556">
        <w:rPr>
          <w:rFonts w:ascii="Times New Roman" w:hAnsi="Times New Roman" w:cs="Times New Roman"/>
        </w:rPr>
        <w:t xml:space="preserve">This expansion of Uganda’s deficit financing policy space brings both opportunities and risks – and presents the authorities with new challenges, to determine the appropriate recourse to and mix between the various financing options. Addressing these challenges requires identifying the different costs, risks and broader impacts of each potential financing option, and assessing the trade-offs between them. </w:t>
      </w:r>
    </w:p>
    <w:p w:rsidR="008A5325" w:rsidRPr="00523556" w:rsidRDefault="00010B76" w:rsidP="00553BAA">
      <w:pPr>
        <w:jc w:val="both"/>
        <w:rPr>
          <w:rFonts w:ascii="Times New Roman" w:hAnsi="Times New Roman" w:cs="Times New Roman"/>
        </w:rPr>
      </w:pPr>
      <w:r w:rsidRPr="00523556">
        <w:rPr>
          <w:rFonts w:ascii="Times New Roman" w:hAnsi="Times New Roman" w:cs="Times New Roman"/>
        </w:rPr>
        <w:t xml:space="preserve">Since </w:t>
      </w:r>
      <w:r w:rsidR="00431307" w:rsidRPr="00523556">
        <w:rPr>
          <w:rFonts w:ascii="Times New Roman" w:hAnsi="Times New Roman" w:cs="Times New Roman"/>
        </w:rPr>
        <w:t>Financial Year 2012/13 (</w:t>
      </w:r>
      <w:r w:rsidRPr="00523556">
        <w:rPr>
          <w:rFonts w:ascii="Times New Roman" w:hAnsi="Times New Roman" w:cs="Times New Roman"/>
        </w:rPr>
        <w:t>FY12/13</w:t>
      </w:r>
      <w:r w:rsidR="00431307" w:rsidRPr="00523556">
        <w:rPr>
          <w:rFonts w:ascii="Times New Roman" w:hAnsi="Times New Roman" w:cs="Times New Roman"/>
        </w:rPr>
        <w:t>)</w:t>
      </w:r>
      <w:r w:rsidRPr="00523556">
        <w:rPr>
          <w:rFonts w:ascii="Times New Roman" w:hAnsi="Times New Roman" w:cs="Times New Roman"/>
        </w:rPr>
        <w:t xml:space="preserve"> Uganda has begun to issue Treasury securities for fiscal purposes</w:t>
      </w:r>
      <w:r w:rsidR="00456D78" w:rsidRPr="00523556">
        <w:rPr>
          <w:rFonts w:ascii="Times New Roman" w:hAnsi="Times New Roman" w:cs="Times New Roman"/>
        </w:rPr>
        <w:t>.</w:t>
      </w:r>
      <w:r w:rsidRPr="00523556">
        <w:rPr>
          <w:rFonts w:ascii="Times New Roman" w:hAnsi="Times New Roman" w:cs="Times New Roman"/>
        </w:rPr>
        <w:t xml:space="preserve"> </w:t>
      </w:r>
      <w:r w:rsidR="00456D78" w:rsidRPr="00523556">
        <w:rPr>
          <w:rFonts w:ascii="Times New Roman" w:hAnsi="Times New Roman" w:cs="Times New Roman"/>
        </w:rPr>
        <w:t>T</w:t>
      </w:r>
      <w:r w:rsidRPr="00523556">
        <w:rPr>
          <w:rFonts w:ascii="Times New Roman" w:hAnsi="Times New Roman" w:cs="Times New Roman"/>
        </w:rPr>
        <w:t>he authorities face a challenge in determining what space this avenue of financing may provide, and to what extent this space should be taken up</w:t>
      </w:r>
      <w:r w:rsidR="00BA3D95" w:rsidRPr="00523556">
        <w:rPr>
          <w:rFonts w:ascii="Times New Roman" w:hAnsi="Times New Roman" w:cs="Times New Roman"/>
        </w:rPr>
        <w:t>.</w:t>
      </w:r>
      <w:r w:rsidR="00456D78" w:rsidRPr="00523556">
        <w:rPr>
          <w:rFonts w:ascii="Times New Roman" w:hAnsi="Times New Roman" w:cs="Times New Roman"/>
        </w:rPr>
        <w:t xml:space="preserve"> </w:t>
      </w:r>
      <w:r w:rsidR="00D22FDF" w:rsidRPr="00523556">
        <w:rPr>
          <w:rFonts w:ascii="Times New Roman" w:hAnsi="Times New Roman" w:cs="Times New Roman"/>
        </w:rPr>
        <w:t xml:space="preserve">In particular, evidence suggests that domestic debt (DD) issuance can cause crowding out of private sector investment – but that this can be mitigated and potentially, up to a certain level, offset by a variety of other factors. </w:t>
      </w:r>
      <w:r w:rsidR="0063590B" w:rsidRPr="00523556">
        <w:rPr>
          <w:rFonts w:ascii="Times New Roman" w:hAnsi="Times New Roman" w:cs="Times New Roman"/>
        </w:rPr>
        <w:t xml:space="preserve">Whilst </w:t>
      </w:r>
      <w:r w:rsidR="006B50C3" w:rsidRPr="00523556">
        <w:rPr>
          <w:rFonts w:ascii="Times New Roman" w:hAnsi="Times New Roman" w:cs="Times New Roman"/>
        </w:rPr>
        <w:t xml:space="preserve">precise, quantitative </w:t>
      </w:r>
      <w:r w:rsidR="00D22FDF" w:rsidRPr="00523556">
        <w:rPr>
          <w:rFonts w:ascii="Times New Roman" w:hAnsi="Times New Roman" w:cs="Times New Roman"/>
        </w:rPr>
        <w:t xml:space="preserve">guidance in this area is </w:t>
      </w:r>
      <w:r w:rsidR="0063590B" w:rsidRPr="00523556">
        <w:rPr>
          <w:rFonts w:ascii="Times New Roman" w:hAnsi="Times New Roman" w:cs="Times New Roman"/>
        </w:rPr>
        <w:t xml:space="preserve">limited, </w:t>
      </w:r>
      <w:r w:rsidR="00D22FDF" w:rsidRPr="00523556">
        <w:rPr>
          <w:rFonts w:ascii="Times New Roman" w:hAnsi="Times New Roman" w:cs="Times New Roman"/>
        </w:rPr>
        <w:t xml:space="preserve">some </w:t>
      </w:r>
      <w:r w:rsidR="0063590B" w:rsidRPr="00523556">
        <w:rPr>
          <w:rFonts w:ascii="Times New Roman" w:hAnsi="Times New Roman" w:cs="Times New Roman"/>
        </w:rPr>
        <w:t>r</w:t>
      </w:r>
      <w:r w:rsidR="00EA10C7" w:rsidRPr="00523556">
        <w:rPr>
          <w:rFonts w:ascii="Times New Roman" w:hAnsi="Times New Roman" w:cs="Times New Roman"/>
        </w:rPr>
        <w:t xml:space="preserve">ecent academic research combined with further policy and practical considerations can help provide some useful steers as </w:t>
      </w:r>
      <w:r w:rsidR="00E44147" w:rsidRPr="00523556">
        <w:rPr>
          <w:rFonts w:ascii="Times New Roman" w:hAnsi="Times New Roman" w:cs="Times New Roman"/>
        </w:rPr>
        <w:t>the Government of Uganda (</w:t>
      </w:r>
      <w:r w:rsidR="00EA10C7" w:rsidRPr="00523556">
        <w:rPr>
          <w:rFonts w:ascii="Times New Roman" w:hAnsi="Times New Roman" w:cs="Times New Roman"/>
        </w:rPr>
        <w:t>GoU</w:t>
      </w:r>
      <w:r w:rsidR="00E44147" w:rsidRPr="00523556">
        <w:rPr>
          <w:rFonts w:ascii="Times New Roman" w:hAnsi="Times New Roman" w:cs="Times New Roman"/>
        </w:rPr>
        <w:t>)</w:t>
      </w:r>
      <w:r w:rsidR="00EA10C7" w:rsidRPr="00523556">
        <w:rPr>
          <w:rFonts w:ascii="Times New Roman" w:hAnsi="Times New Roman" w:cs="Times New Roman"/>
        </w:rPr>
        <w:t xml:space="preserve"> addresses this issue. </w:t>
      </w:r>
    </w:p>
    <w:p w:rsidR="00010B76" w:rsidRPr="00523556" w:rsidRDefault="008A5325" w:rsidP="00553BAA">
      <w:pPr>
        <w:jc w:val="both"/>
        <w:rPr>
          <w:rFonts w:ascii="Times New Roman" w:hAnsi="Times New Roman" w:cs="Times New Roman"/>
        </w:rPr>
      </w:pPr>
      <w:r w:rsidRPr="00523556">
        <w:rPr>
          <w:rFonts w:ascii="Times New Roman" w:hAnsi="Times New Roman" w:cs="Times New Roman"/>
        </w:rPr>
        <w:t xml:space="preserve">At 11.1 per cent of GDP at end-FY12/13, Uganda’s DD stock is below the SSA average of around 15 per cent of GDP, and comfortably within some approximate IMF and World Bank guidelines. </w:t>
      </w:r>
      <w:r w:rsidR="00B80D6B" w:rsidRPr="00523556">
        <w:rPr>
          <w:rFonts w:ascii="Times New Roman" w:hAnsi="Times New Roman" w:cs="Times New Roman"/>
        </w:rPr>
        <w:t xml:space="preserve">What evidence is available suggests: that a range for annual net DD issuance over the medium term of 1.2 per cent of GDP (consistent with maintaining the DD-to-GDP ratio at its current level) to 2.0 per cent of GDP </w:t>
      </w:r>
      <w:r w:rsidRPr="00523556">
        <w:rPr>
          <w:rFonts w:ascii="Times New Roman" w:hAnsi="Times New Roman" w:cs="Times New Roman"/>
        </w:rPr>
        <w:t>(consistent with the DD stock rising to 15 per cent of GDP) is</w:t>
      </w:r>
      <w:r w:rsidR="00B80D6B" w:rsidRPr="00523556">
        <w:rPr>
          <w:rFonts w:ascii="Times New Roman" w:hAnsi="Times New Roman" w:cs="Times New Roman"/>
        </w:rPr>
        <w:t xml:space="preserve"> a useful guide for what levels </w:t>
      </w:r>
      <w:r w:rsidRPr="00523556">
        <w:rPr>
          <w:rFonts w:ascii="Times New Roman" w:hAnsi="Times New Roman" w:cs="Times New Roman"/>
        </w:rPr>
        <w:t xml:space="preserve">GoU </w:t>
      </w:r>
      <w:r w:rsidR="00B80D6B" w:rsidRPr="00523556">
        <w:rPr>
          <w:rFonts w:ascii="Times New Roman" w:hAnsi="Times New Roman" w:cs="Times New Roman"/>
        </w:rPr>
        <w:t xml:space="preserve">might </w:t>
      </w:r>
      <w:r w:rsidRPr="00523556">
        <w:rPr>
          <w:rFonts w:ascii="Times New Roman" w:hAnsi="Times New Roman" w:cs="Times New Roman"/>
        </w:rPr>
        <w:t>consider</w:t>
      </w:r>
      <w:r w:rsidR="00B80D6B" w:rsidRPr="00523556">
        <w:rPr>
          <w:rFonts w:ascii="Times New Roman" w:hAnsi="Times New Roman" w:cs="Times New Roman"/>
        </w:rPr>
        <w:t xml:space="preserve">; that the 1.6 per cent of GDP net issuance planned in the Budget for FY13/14 looks very reasonable for this year; and that levels of net issuance </w:t>
      </w:r>
      <w:r w:rsidR="0031564C" w:rsidRPr="00523556">
        <w:rPr>
          <w:rFonts w:ascii="Times New Roman" w:hAnsi="Times New Roman" w:cs="Times New Roman"/>
        </w:rPr>
        <w:t xml:space="preserve">up to 2.0 per cent of GDP per year </w:t>
      </w:r>
      <w:r w:rsidR="00B80D6B" w:rsidRPr="00523556">
        <w:rPr>
          <w:rFonts w:ascii="Times New Roman" w:hAnsi="Times New Roman" w:cs="Times New Roman"/>
        </w:rPr>
        <w:t>could be warranted over the medium term</w:t>
      </w:r>
      <w:r w:rsidR="0031564C" w:rsidRPr="00523556">
        <w:rPr>
          <w:rFonts w:ascii="Times New Roman" w:hAnsi="Times New Roman" w:cs="Times New Roman"/>
        </w:rPr>
        <w:t xml:space="preserve"> </w:t>
      </w:r>
      <w:r w:rsidR="00B80D6B" w:rsidRPr="00523556">
        <w:rPr>
          <w:rFonts w:ascii="Times New Roman" w:hAnsi="Times New Roman" w:cs="Times New Roman"/>
        </w:rPr>
        <w:t>– but the higher the level of net issuance undertaken, the more pressing it will be to deliver reforms that increase financial depth, broaden the Treasury securities investor base, and that overall help to minimise the costs and maximise the benefits of DD issuance.</w:t>
      </w:r>
    </w:p>
    <w:p w:rsidR="00151F68" w:rsidRPr="00523556" w:rsidRDefault="00151F68" w:rsidP="00553BAA">
      <w:pPr>
        <w:jc w:val="both"/>
        <w:rPr>
          <w:rFonts w:ascii="Times New Roman" w:hAnsi="Times New Roman" w:cs="Times New Roman"/>
        </w:rPr>
      </w:pPr>
      <w:r w:rsidRPr="00523556">
        <w:rPr>
          <w:rFonts w:ascii="Times New Roman" w:hAnsi="Times New Roman" w:cs="Times New Roman"/>
        </w:rPr>
        <w:t xml:space="preserve">There are a range of policy actions government can implement to help minimise the costs and maximise the benefits of </w:t>
      </w:r>
      <w:r w:rsidR="003A7F0C" w:rsidRPr="00523556">
        <w:rPr>
          <w:rFonts w:ascii="Times New Roman" w:hAnsi="Times New Roman" w:cs="Times New Roman"/>
        </w:rPr>
        <w:t>DD</w:t>
      </w:r>
      <w:r w:rsidRPr="00523556">
        <w:rPr>
          <w:rFonts w:ascii="Times New Roman" w:hAnsi="Times New Roman" w:cs="Times New Roman"/>
        </w:rPr>
        <w:t xml:space="preserve">, for any level and composition of issuance. These include </w:t>
      </w:r>
      <w:r w:rsidR="00322DCB" w:rsidRPr="00523556">
        <w:rPr>
          <w:rFonts w:ascii="Times New Roman" w:hAnsi="Times New Roman" w:cs="Times New Roman"/>
        </w:rPr>
        <w:t>actio</w:t>
      </w:r>
      <w:r w:rsidR="008A5325" w:rsidRPr="00523556">
        <w:rPr>
          <w:rFonts w:ascii="Times New Roman" w:hAnsi="Times New Roman" w:cs="Times New Roman"/>
        </w:rPr>
        <w:t>ns to broaden the investor base</w:t>
      </w:r>
      <w:r w:rsidR="00322DCB" w:rsidRPr="00523556">
        <w:rPr>
          <w:rFonts w:ascii="Times New Roman" w:hAnsi="Times New Roman" w:cs="Times New Roman"/>
        </w:rPr>
        <w:t xml:space="preserve">, strengthening the operation and credibility of Uganda’s inflation targeting framework, extending the yield curve, and continued improvement to the predictability and transparency of the government’s </w:t>
      </w:r>
      <w:r w:rsidR="008A5325" w:rsidRPr="00523556">
        <w:rPr>
          <w:rFonts w:ascii="Times New Roman" w:hAnsi="Times New Roman" w:cs="Times New Roman"/>
        </w:rPr>
        <w:t>DD</w:t>
      </w:r>
      <w:r w:rsidR="00322DCB" w:rsidRPr="00523556">
        <w:rPr>
          <w:rFonts w:ascii="Times New Roman" w:hAnsi="Times New Roman" w:cs="Times New Roman"/>
        </w:rPr>
        <w:t xml:space="preserve"> operations. Underpinning these factors is the fundamental importance of the </w:t>
      </w:r>
      <w:r w:rsidR="0061796B" w:rsidRPr="00523556">
        <w:rPr>
          <w:rFonts w:ascii="Times New Roman" w:hAnsi="Times New Roman" w:cs="Times New Roman"/>
        </w:rPr>
        <w:t>purpose</w:t>
      </w:r>
      <w:r w:rsidR="00322DCB" w:rsidRPr="00523556">
        <w:rPr>
          <w:rFonts w:ascii="Times New Roman" w:hAnsi="Times New Roman" w:cs="Times New Roman"/>
        </w:rPr>
        <w:t xml:space="preserve"> </w:t>
      </w:r>
      <w:r w:rsidR="0061796B" w:rsidRPr="00523556">
        <w:rPr>
          <w:rFonts w:ascii="Times New Roman" w:hAnsi="Times New Roman" w:cs="Times New Roman"/>
        </w:rPr>
        <w:t xml:space="preserve">for </w:t>
      </w:r>
      <w:r w:rsidR="00C778E5" w:rsidRPr="00523556">
        <w:rPr>
          <w:rFonts w:ascii="Times New Roman" w:hAnsi="Times New Roman" w:cs="Times New Roman"/>
        </w:rPr>
        <w:t xml:space="preserve">which </w:t>
      </w:r>
      <w:r w:rsidR="00322DCB" w:rsidRPr="00523556">
        <w:rPr>
          <w:rFonts w:ascii="Times New Roman" w:hAnsi="Times New Roman" w:cs="Times New Roman"/>
        </w:rPr>
        <w:t>net issuance proceeds</w:t>
      </w:r>
      <w:r w:rsidR="00C778E5" w:rsidRPr="00523556">
        <w:rPr>
          <w:rFonts w:ascii="Times New Roman" w:hAnsi="Times New Roman" w:cs="Times New Roman"/>
        </w:rPr>
        <w:t xml:space="preserve"> are </w:t>
      </w:r>
      <w:r w:rsidR="0061796B" w:rsidRPr="00523556">
        <w:rPr>
          <w:rFonts w:ascii="Times New Roman" w:hAnsi="Times New Roman" w:cs="Times New Roman"/>
        </w:rPr>
        <w:lastRenderedPageBreak/>
        <w:t>being raised</w:t>
      </w:r>
      <w:r w:rsidR="00322DCB" w:rsidRPr="00523556">
        <w:rPr>
          <w:rFonts w:ascii="Times New Roman" w:hAnsi="Times New Roman" w:cs="Times New Roman"/>
        </w:rPr>
        <w:t xml:space="preserve">; as for all non-concessional borrowing, </w:t>
      </w:r>
      <w:r w:rsidR="00061CB6" w:rsidRPr="00523556">
        <w:rPr>
          <w:rFonts w:ascii="Times New Roman" w:hAnsi="Times New Roman" w:cs="Times New Roman"/>
        </w:rPr>
        <w:t>it</w:t>
      </w:r>
      <w:r w:rsidR="00322DCB" w:rsidRPr="00523556">
        <w:rPr>
          <w:rFonts w:ascii="Times New Roman" w:hAnsi="Times New Roman" w:cs="Times New Roman"/>
        </w:rPr>
        <w:t xml:space="preserve"> can only be justified if </w:t>
      </w:r>
      <w:r w:rsidR="00061CB6" w:rsidRPr="00523556">
        <w:rPr>
          <w:rFonts w:ascii="Times New Roman" w:hAnsi="Times New Roman" w:cs="Times New Roman"/>
        </w:rPr>
        <w:t xml:space="preserve">being </w:t>
      </w:r>
      <w:r w:rsidR="00D07A08" w:rsidRPr="00523556">
        <w:rPr>
          <w:rFonts w:ascii="Times New Roman" w:hAnsi="Times New Roman" w:cs="Times New Roman"/>
        </w:rPr>
        <w:t xml:space="preserve">undertaken </w:t>
      </w:r>
      <w:r w:rsidR="00322DCB" w:rsidRPr="00523556">
        <w:rPr>
          <w:rFonts w:ascii="Times New Roman" w:hAnsi="Times New Roman" w:cs="Times New Roman"/>
        </w:rPr>
        <w:t xml:space="preserve">to </w:t>
      </w:r>
      <w:r w:rsidR="002A1C31" w:rsidRPr="00523556">
        <w:rPr>
          <w:rFonts w:ascii="Times New Roman" w:hAnsi="Times New Roman" w:cs="Times New Roman"/>
        </w:rPr>
        <w:t xml:space="preserve">support </w:t>
      </w:r>
      <w:r w:rsidRPr="00523556">
        <w:rPr>
          <w:rFonts w:ascii="Times New Roman" w:hAnsi="Times New Roman" w:cs="Times New Roman"/>
        </w:rPr>
        <w:t xml:space="preserve">public </w:t>
      </w:r>
      <w:r w:rsidR="00322DCB" w:rsidRPr="00523556">
        <w:rPr>
          <w:rFonts w:ascii="Times New Roman" w:hAnsi="Times New Roman" w:cs="Times New Roman"/>
        </w:rPr>
        <w:t xml:space="preserve">expenditure with a </w:t>
      </w:r>
      <w:r w:rsidR="00820FF5" w:rsidRPr="00523556">
        <w:rPr>
          <w:rFonts w:ascii="Times New Roman" w:hAnsi="Times New Roman" w:cs="Times New Roman"/>
        </w:rPr>
        <w:t>sufficiently-</w:t>
      </w:r>
      <w:r w:rsidR="00322DCB" w:rsidRPr="00523556">
        <w:rPr>
          <w:rFonts w:ascii="Times New Roman" w:hAnsi="Times New Roman" w:cs="Times New Roman"/>
        </w:rPr>
        <w:t>high rate of return</w:t>
      </w:r>
      <w:r w:rsidR="00045558" w:rsidRPr="00523556">
        <w:rPr>
          <w:rFonts w:ascii="Times New Roman" w:hAnsi="Times New Roman" w:cs="Times New Roman"/>
        </w:rPr>
        <w:t xml:space="preserve"> (at the </w:t>
      </w:r>
      <w:r w:rsidR="00061CB6" w:rsidRPr="00523556">
        <w:rPr>
          <w:rFonts w:ascii="Times New Roman" w:hAnsi="Times New Roman" w:cs="Times New Roman"/>
        </w:rPr>
        <w:t xml:space="preserve">very </w:t>
      </w:r>
      <w:r w:rsidR="00045558" w:rsidRPr="00523556">
        <w:rPr>
          <w:rFonts w:ascii="Times New Roman" w:hAnsi="Times New Roman" w:cs="Times New Roman"/>
        </w:rPr>
        <w:t>least, the social rate of return must exceed the borrowing cost)</w:t>
      </w:r>
      <w:r w:rsidR="00322DCB" w:rsidRPr="00523556">
        <w:rPr>
          <w:rFonts w:ascii="Times New Roman" w:hAnsi="Times New Roman" w:cs="Times New Roman"/>
        </w:rPr>
        <w:t>.</w:t>
      </w:r>
      <w:r w:rsidRPr="00523556">
        <w:rPr>
          <w:rFonts w:ascii="Times New Roman" w:hAnsi="Times New Roman" w:cs="Times New Roman"/>
        </w:rPr>
        <w:t xml:space="preserve"> </w:t>
      </w:r>
    </w:p>
    <w:p w:rsidR="0031564C" w:rsidRPr="00523556" w:rsidRDefault="004F264C" w:rsidP="00D15B06">
      <w:pPr>
        <w:jc w:val="both"/>
        <w:rPr>
          <w:rFonts w:ascii="Times New Roman" w:hAnsi="Times New Roman" w:cs="Times New Roman"/>
        </w:rPr>
      </w:pPr>
      <w:r w:rsidRPr="00523556">
        <w:rPr>
          <w:rFonts w:ascii="Times New Roman" w:hAnsi="Times New Roman" w:cs="Times New Roman"/>
        </w:rPr>
        <w:t>International investor interest in ‘frontier’ market debt</w:t>
      </w:r>
      <w:r w:rsidR="00B45F00" w:rsidRPr="00523556">
        <w:rPr>
          <w:rFonts w:ascii="Times New Roman" w:hAnsi="Times New Roman" w:cs="Times New Roman"/>
        </w:rPr>
        <w:t>,</w:t>
      </w:r>
      <w:r w:rsidRPr="00523556">
        <w:rPr>
          <w:rFonts w:ascii="Times New Roman" w:hAnsi="Times New Roman" w:cs="Times New Roman"/>
        </w:rPr>
        <w:t xml:space="preserve"> </w:t>
      </w:r>
      <w:r w:rsidR="00C82BF3" w:rsidRPr="00523556">
        <w:rPr>
          <w:rFonts w:ascii="Times New Roman" w:hAnsi="Times New Roman" w:cs="Times New Roman"/>
        </w:rPr>
        <w:t>combined with Uganda’s current level of borrowing space</w:t>
      </w:r>
      <w:r w:rsidR="00B45F00" w:rsidRPr="00523556">
        <w:rPr>
          <w:rFonts w:ascii="Times New Roman" w:hAnsi="Times New Roman" w:cs="Times New Roman"/>
        </w:rPr>
        <w:t>,</w:t>
      </w:r>
      <w:r w:rsidR="00C82BF3" w:rsidRPr="00523556">
        <w:rPr>
          <w:rFonts w:ascii="Times New Roman" w:hAnsi="Times New Roman" w:cs="Times New Roman"/>
        </w:rPr>
        <w:t xml:space="preserve"> means </w:t>
      </w:r>
      <w:r w:rsidRPr="00523556">
        <w:rPr>
          <w:rFonts w:ascii="Times New Roman" w:hAnsi="Times New Roman" w:cs="Times New Roman"/>
        </w:rPr>
        <w:t xml:space="preserve">that </w:t>
      </w:r>
      <w:r w:rsidR="006E7B37" w:rsidRPr="00523556">
        <w:rPr>
          <w:rFonts w:ascii="Times New Roman" w:hAnsi="Times New Roman" w:cs="Times New Roman"/>
        </w:rPr>
        <w:t xml:space="preserve">borrowing from </w:t>
      </w:r>
      <w:r w:rsidRPr="00523556">
        <w:rPr>
          <w:rFonts w:ascii="Times New Roman" w:hAnsi="Times New Roman" w:cs="Times New Roman"/>
        </w:rPr>
        <w:t xml:space="preserve">external </w:t>
      </w:r>
      <w:r w:rsidR="006E7B37" w:rsidRPr="00523556">
        <w:rPr>
          <w:rFonts w:ascii="Times New Roman" w:hAnsi="Times New Roman" w:cs="Times New Roman"/>
        </w:rPr>
        <w:t>sources</w:t>
      </w:r>
      <w:r w:rsidR="00B45F00" w:rsidRPr="00523556">
        <w:rPr>
          <w:rFonts w:ascii="Times New Roman" w:hAnsi="Times New Roman" w:cs="Times New Roman"/>
        </w:rPr>
        <w:t xml:space="preserve"> </w:t>
      </w:r>
      <w:r w:rsidR="006E7B37" w:rsidRPr="00523556">
        <w:rPr>
          <w:rFonts w:ascii="Times New Roman" w:hAnsi="Times New Roman" w:cs="Times New Roman"/>
        </w:rPr>
        <w:t xml:space="preserve">on commercial terms </w:t>
      </w:r>
      <w:r w:rsidR="00B45F00" w:rsidRPr="00523556">
        <w:rPr>
          <w:rFonts w:ascii="Times New Roman" w:hAnsi="Times New Roman" w:cs="Times New Roman"/>
        </w:rPr>
        <w:t>–</w:t>
      </w:r>
      <w:r w:rsidRPr="00523556">
        <w:rPr>
          <w:rFonts w:ascii="Times New Roman" w:hAnsi="Times New Roman" w:cs="Times New Roman"/>
        </w:rPr>
        <w:t xml:space="preserve"> such</w:t>
      </w:r>
      <w:r w:rsidR="00B45F00" w:rsidRPr="00523556">
        <w:rPr>
          <w:rFonts w:ascii="Times New Roman" w:hAnsi="Times New Roman" w:cs="Times New Roman"/>
        </w:rPr>
        <w:t xml:space="preserve"> </w:t>
      </w:r>
      <w:r w:rsidR="003A7F0C" w:rsidRPr="00523556">
        <w:rPr>
          <w:rFonts w:ascii="Times New Roman" w:hAnsi="Times New Roman" w:cs="Times New Roman"/>
        </w:rPr>
        <w:t xml:space="preserve">as in the form of a Eurobond </w:t>
      </w:r>
      <w:r w:rsidR="00B45F00" w:rsidRPr="00523556">
        <w:rPr>
          <w:rFonts w:ascii="Times New Roman" w:hAnsi="Times New Roman" w:cs="Times New Roman"/>
        </w:rPr>
        <w:t xml:space="preserve">– </w:t>
      </w:r>
      <w:r w:rsidR="00A73250" w:rsidRPr="00523556">
        <w:rPr>
          <w:rFonts w:ascii="Times New Roman" w:hAnsi="Times New Roman" w:cs="Times New Roman"/>
        </w:rPr>
        <w:t xml:space="preserve">is now </w:t>
      </w:r>
      <w:r w:rsidRPr="00523556">
        <w:rPr>
          <w:rFonts w:ascii="Times New Roman" w:hAnsi="Times New Roman" w:cs="Times New Roman"/>
        </w:rPr>
        <w:t xml:space="preserve">a feasible financing option for Uganda. </w:t>
      </w:r>
      <w:r w:rsidR="00B55903" w:rsidRPr="00523556">
        <w:rPr>
          <w:rFonts w:ascii="Times New Roman" w:hAnsi="Times New Roman" w:cs="Times New Roman"/>
        </w:rPr>
        <w:t xml:space="preserve">As of </w:t>
      </w:r>
      <w:r w:rsidR="005A3029" w:rsidRPr="00523556">
        <w:rPr>
          <w:rFonts w:ascii="Times New Roman" w:hAnsi="Times New Roman" w:cs="Times New Roman"/>
        </w:rPr>
        <w:t>5</w:t>
      </w:r>
      <w:r w:rsidR="005A3029" w:rsidRPr="00523556">
        <w:rPr>
          <w:rFonts w:ascii="Times New Roman" w:hAnsi="Times New Roman" w:cs="Times New Roman"/>
          <w:vertAlign w:val="superscript"/>
        </w:rPr>
        <w:t>th</w:t>
      </w:r>
      <w:r w:rsidR="005A3029" w:rsidRPr="00523556">
        <w:rPr>
          <w:rFonts w:ascii="Times New Roman" w:hAnsi="Times New Roman" w:cs="Times New Roman"/>
        </w:rPr>
        <w:t xml:space="preserve"> December </w:t>
      </w:r>
      <w:r w:rsidR="00B55903" w:rsidRPr="00523556">
        <w:rPr>
          <w:rFonts w:ascii="Times New Roman" w:hAnsi="Times New Roman" w:cs="Times New Roman"/>
        </w:rPr>
        <w:t>2013, y</w:t>
      </w:r>
      <w:r w:rsidR="009F33DE" w:rsidRPr="00523556">
        <w:rPr>
          <w:rFonts w:ascii="Times New Roman" w:hAnsi="Times New Roman" w:cs="Times New Roman"/>
        </w:rPr>
        <w:t>ields on Eurobond</w:t>
      </w:r>
      <w:r w:rsidR="00B55903" w:rsidRPr="00523556">
        <w:rPr>
          <w:rFonts w:ascii="Times New Roman" w:hAnsi="Times New Roman" w:cs="Times New Roman"/>
        </w:rPr>
        <w:t>s</w:t>
      </w:r>
      <w:r w:rsidR="009F33DE" w:rsidRPr="00523556">
        <w:rPr>
          <w:rFonts w:ascii="Times New Roman" w:hAnsi="Times New Roman" w:cs="Times New Roman"/>
        </w:rPr>
        <w:t xml:space="preserve"> issu</w:t>
      </w:r>
      <w:r w:rsidR="00B55903" w:rsidRPr="00523556">
        <w:rPr>
          <w:rFonts w:ascii="Times New Roman" w:hAnsi="Times New Roman" w:cs="Times New Roman"/>
        </w:rPr>
        <w:t>ed by SSA countries with similar credit ratings to Uganda</w:t>
      </w:r>
      <w:r w:rsidR="009F33DE" w:rsidRPr="00523556">
        <w:rPr>
          <w:rFonts w:ascii="Times New Roman" w:hAnsi="Times New Roman" w:cs="Times New Roman"/>
        </w:rPr>
        <w:t xml:space="preserve"> – which provide a reasonable guide as to the </w:t>
      </w:r>
      <w:r w:rsidR="003C344B" w:rsidRPr="00523556">
        <w:rPr>
          <w:rFonts w:ascii="Times New Roman" w:hAnsi="Times New Roman" w:cs="Times New Roman"/>
        </w:rPr>
        <w:t xml:space="preserve">potential yield on a </w:t>
      </w:r>
      <w:r w:rsidR="009F33DE" w:rsidRPr="00523556">
        <w:rPr>
          <w:rFonts w:ascii="Times New Roman" w:hAnsi="Times New Roman" w:cs="Times New Roman"/>
        </w:rPr>
        <w:t>Uganda</w:t>
      </w:r>
      <w:r w:rsidR="003C344B" w:rsidRPr="00523556">
        <w:rPr>
          <w:rFonts w:ascii="Times New Roman" w:hAnsi="Times New Roman" w:cs="Times New Roman"/>
        </w:rPr>
        <w:t>n</w:t>
      </w:r>
      <w:r w:rsidR="009F33DE" w:rsidRPr="00523556">
        <w:rPr>
          <w:rFonts w:ascii="Times New Roman" w:hAnsi="Times New Roman" w:cs="Times New Roman"/>
        </w:rPr>
        <w:t xml:space="preserve"> issue</w:t>
      </w:r>
      <w:r w:rsidR="003C344B" w:rsidRPr="00523556">
        <w:rPr>
          <w:rFonts w:ascii="Times New Roman" w:hAnsi="Times New Roman" w:cs="Times New Roman"/>
        </w:rPr>
        <w:t xml:space="preserve"> </w:t>
      </w:r>
      <w:r w:rsidR="009F33DE" w:rsidRPr="00523556">
        <w:rPr>
          <w:rFonts w:ascii="Times New Roman" w:hAnsi="Times New Roman" w:cs="Times New Roman"/>
        </w:rPr>
        <w:t>–</w:t>
      </w:r>
      <w:r w:rsidR="00B55903" w:rsidRPr="00523556">
        <w:rPr>
          <w:rFonts w:ascii="Times New Roman" w:hAnsi="Times New Roman" w:cs="Times New Roman"/>
        </w:rPr>
        <w:t xml:space="preserve"> were </w:t>
      </w:r>
      <w:r w:rsidR="009F33DE" w:rsidRPr="00523556">
        <w:rPr>
          <w:rFonts w:ascii="Times New Roman" w:hAnsi="Times New Roman" w:cs="Times New Roman"/>
        </w:rPr>
        <w:t xml:space="preserve">around </w:t>
      </w:r>
      <w:r w:rsidR="005A3029" w:rsidRPr="00523556">
        <w:rPr>
          <w:rFonts w:ascii="Times New Roman" w:hAnsi="Times New Roman" w:cs="Times New Roman"/>
        </w:rPr>
        <w:t>7½-8</w:t>
      </w:r>
      <w:r w:rsidR="00296F41" w:rsidRPr="00523556">
        <w:rPr>
          <w:rFonts w:ascii="Times New Roman" w:hAnsi="Times New Roman" w:cs="Times New Roman"/>
        </w:rPr>
        <w:t>½</w:t>
      </w:r>
      <w:r w:rsidR="00E557B8" w:rsidRPr="00523556">
        <w:rPr>
          <w:rFonts w:ascii="Times New Roman" w:hAnsi="Times New Roman" w:cs="Times New Roman"/>
        </w:rPr>
        <w:t xml:space="preserve"> per cent</w:t>
      </w:r>
      <w:r w:rsidR="00A92E83" w:rsidRPr="00523556">
        <w:rPr>
          <w:rFonts w:ascii="Times New Roman" w:hAnsi="Times New Roman" w:cs="Times New Roman"/>
        </w:rPr>
        <w:t xml:space="preserve">, in US$ terms. This is </w:t>
      </w:r>
      <w:r w:rsidR="00322DCB" w:rsidRPr="00523556">
        <w:rPr>
          <w:rFonts w:ascii="Times New Roman" w:hAnsi="Times New Roman" w:cs="Times New Roman"/>
        </w:rPr>
        <w:t xml:space="preserve">broadly equivalent to </w:t>
      </w:r>
      <w:r w:rsidR="002E5138" w:rsidRPr="00523556">
        <w:rPr>
          <w:rFonts w:ascii="Times New Roman" w:hAnsi="Times New Roman" w:cs="Times New Roman"/>
        </w:rPr>
        <w:t xml:space="preserve">a yield in Shilling terms of </w:t>
      </w:r>
      <w:r w:rsidR="00322DCB" w:rsidRPr="00523556">
        <w:rPr>
          <w:rFonts w:ascii="Times New Roman" w:hAnsi="Times New Roman" w:cs="Times New Roman"/>
        </w:rPr>
        <w:t>around 10½-11½</w:t>
      </w:r>
      <w:r w:rsidR="00E557B8" w:rsidRPr="00523556">
        <w:rPr>
          <w:rFonts w:ascii="Times New Roman" w:hAnsi="Times New Roman" w:cs="Times New Roman"/>
        </w:rPr>
        <w:t xml:space="preserve"> per cent</w:t>
      </w:r>
      <w:r w:rsidR="00DF7086" w:rsidRPr="00523556">
        <w:rPr>
          <w:rFonts w:ascii="Times New Roman" w:hAnsi="Times New Roman" w:cs="Times New Roman"/>
        </w:rPr>
        <w:t>;</w:t>
      </w:r>
      <w:r w:rsidR="0008087B" w:rsidRPr="00523556">
        <w:rPr>
          <w:rFonts w:ascii="Times New Roman" w:hAnsi="Times New Roman" w:cs="Times New Roman"/>
        </w:rPr>
        <w:t xml:space="preserve"> </w:t>
      </w:r>
      <w:r w:rsidR="00DF7086" w:rsidRPr="00523556">
        <w:rPr>
          <w:rFonts w:ascii="Times New Roman" w:hAnsi="Times New Roman" w:cs="Times New Roman"/>
        </w:rPr>
        <w:t xml:space="preserve">this is </w:t>
      </w:r>
      <w:r w:rsidR="0008087B" w:rsidRPr="00523556">
        <w:rPr>
          <w:rFonts w:ascii="Times New Roman" w:hAnsi="Times New Roman" w:cs="Times New Roman"/>
        </w:rPr>
        <w:t xml:space="preserve">below the weighted average interest rate on </w:t>
      </w:r>
      <w:r w:rsidR="006933EA" w:rsidRPr="00523556">
        <w:rPr>
          <w:rFonts w:ascii="Times New Roman" w:hAnsi="Times New Roman" w:cs="Times New Roman"/>
        </w:rPr>
        <w:t>DD</w:t>
      </w:r>
      <w:r w:rsidR="0008087B" w:rsidRPr="00523556">
        <w:rPr>
          <w:rFonts w:ascii="Times New Roman" w:hAnsi="Times New Roman" w:cs="Times New Roman"/>
        </w:rPr>
        <w:t xml:space="preserve"> </w:t>
      </w:r>
      <w:r w:rsidR="00DF7086" w:rsidRPr="00523556">
        <w:rPr>
          <w:rFonts w:ascii="Times New Roman" w:hAnsi="Times New Roman" w:cs="Times New Roman"/>
        </w:rPr>
        <w:t>as at end-</w:t>
      </w:r>
      <w:r w:rsidR="0008087B" w:rsidRPr="00523556">
        <w:rPr>
          <w:rFonts w:ascii="Times New Roman" w:hAnsi="Times New Roman" w:cs="Times New Roman"/>
        </w:rPr>
        <w:t>FY12/13 of 13.1</w:t>
      </w:r>
      <w:r w:rsidR="00E557B8" w:rsidRPr="00523556">
        <w:rPr>
          <w:rFonts w:ascii="Times New Roman" w:hAnsi="Times New Roman" w:cs="Times New Roman"/>
        </w:rPr>
        <w:t xml:space="preserve"> per cent</w:t>
      </w:r>
      <w:r w:rsidR="00DF7086" w:rsidRPr="00523556">
        <w:rPr>
          <w:rFonts w:ascii="Times New Roman" w:hAnsi="Times New Roman" w:cs="Times New Roman"/>
        </w:rPr>
        <w:t xml:space="preserve"> – but th</w:t>
      </w:r>
      <w:r w:rsidR="00BA3300" w:rsidRPr="00523556">
        <w:rPr>
          <w:rFonts w:ascii="Times New Roman" w:hAnsi="Times New Roman" w:cs="Times New Roman"/>
        </w:rPr>
        <w:t>is</w:t>
      </w:r>
      <w:r w:rsidR="00DF7086" w:rsidRPr="00523556">
        <w:rPr>
          <w:rFonts w:ascii="Times New Roman" w:hAnsi="Times New Roman" w:cs="Times New Roman"/>
        </w:rPr>
        <w:t xml:space="preserve"> difference is significantly reduced once tax treatment is taken into account</w:t>
      </w:r>
      <w:r w:rsidR="00A83E8D" w:rsidRPr="00523556">
        <w:rPr>
          <w:rFonts w:ascii="Times New Roman" w:hAnsi="Times New Roman" w:cs="Times New Roman"/>
        </w:rPr>
        <w:t>.</w:t>
      </w:r>
      <w:r w:rsidR="006933EA" w:rsidRPr="00523556">
        <w:rPr>
          <w:rFonts w:ascii="Times New Roman" w:hAnsi="Times New Roman" w:cs="Times New Roman"/>
        </w:rPr>
        <w:t xml:space="preserve"> </w:t>
      </w:r>
      <w:r w:rsidR="00BA3300" w:rsidRPr="00523556">
        <w:rPr>
          <w:rFonts w:ascii="Times New Roman" w:hAnsi="Times New Roman" w:cs="Times New Roman"/>
        </w:rPr>
        <w:t>T</w:t>
      </w:r>
      <w:r w:rsidR="00A83E8D" w:rsidRPr="00523556">
        <w:rPr>
          <w:rFonts w:ascii="Times New Roman" w:hAnsi="Times New Roman" w:cs="Times New Roman"/>
        </w:rPr>
        <w:t xml:space="preserve">he precise yield on any future Ugandan Eurobond issue </w:t>
      </w:r>
      <w:r w:rsidR="00BE7601" w:rsidRPr="00523556">
        <w:rPr>
          <w:rFonts w:ascii="Times New Roman" w:hAnsi="Times New Roman" w:cs="Times New Roman"/>
        </w:rPr>
        <w:t xml:space="preserve">would </w:t>
      </w:r>
      <w:r w:rsidR="00A83E8D" w:rsidRPr="00523556">
        <w:rPr>
          <w:rFonts w:ascii="Times New Roman" w:hAnsi="Times New Roman" w:cs="Times New Roman"/>
        </w:rPr>
        <w:t xml:space="preserve">depend on the global interest rate environment and risk appetite </w:t>
      </w:r>
      <w:r w:rsidR="00347622" w:rsidRPr="00523556">
        <w:rPr>
          <w:rFonts w:ascii="Times New Roman" w:hAnsi="Times New Roman" w:cs="Times New Roman"/>
        </w:rPr>
        <w:t>at</w:t>
      </w:r>
      <w:r w:rsidR="00A83E8D" w:rsidRPr="00523556">
        <w:rPr>
          <w:rFonts w:ascii="Times New Roman" w:hAnsi="Times New Roman" w:cs="Times New Roman"/>
        </w:rPr>
        <w:t xml:space="preserve"> the time of issuance, </w:t>
      </w:r>
      <w:r w:rsidR="00880CC5" w:rsidRPr="00523556">
        <w:rPr>
          <w:rFonts w:ascii="Times New Roman" w:hAnsi="Times New Roman" w:cs="Times New Roman"/>
        </w:rPr>
        <w:t xml:space="preserve">investors’ risk perceptions of Uganda, </w:t>
      </w:r>
      <w:r w:rsidR="00A83E8D" w:rsidRPr="00523556">
        <w:rPr>
          <w:rFonts w:ascii="Times New Roman" w:hAnsi="Times New Roman" w:cs="Times New Roman"/>
        </w:rPr>
        <w:t>and t</w:t>
      </w:r>
      <w:r w:rsidR="003A7F0C" w:rsidRPr="00523556">
        <w:rPr>
          <w:rFonts w:ascii="Times New Roman" w:hAnsi="Times New Roman" w:cs="Times New Roman"/>
        </w:rPr>
        <w:t xml:space="preserve">he precise nature of the issue. </w:t>
      </w:r>
    </w:p>
    <w:p w:rsidR="00D15B06" w:rsidRPr="00523556" w:rsidRDefault="009F33DE" w:rsidP="00D15B06">
      <w:pPr>
        <w:jc w:val="both"/>
        <w:rPr>
          <w:rFonts w:ascii="Times New Roman" w:hAnsi="Times New Roman" w:cs="Times New Roman"/>
        </w:rPr>
      </w:pPr>
      <w:r w:rsidRPr="00523556">
        <w:rPr>
          <w:rFonts w:ascii="Times New Roman" w:hAnsi="Times New Roman" w:cs="Times New Roman"/>
        </w:rPr>
        <w:t>W</w:t>
      </w:r>
      <w:r w:rsidR="004F264C" w:rsidRPr="00523556">
        <w:rPr>
          <w:rFonts w:ascii="Times New Roman" w:hAnsi="Times New Roman" w:cs="Times New Roman"/>
        </w:rPr>
        <w:t xml:space="preserve">hilst </w:t>
      </w:r>
      <w:r w:rsidR="00103C7A" w:rsidRPr="00523556">
        <w:rPr>
          <w:rFonts w:ascii="Times New Roman" w:hAnsi="Times New Roman" w:cs="Times New Roman"/>
        </w:rPr>
        <w:t xml:space="preserve">Eurobond issuance allows </w:t>
      </w:r>
      <w:r w:rsidR="004F264C" w:rsidRPr="00523556">
        <w:rPr>
          <w:rFonts w:ascii="Times New Roman" w:hAnsi="Times New Roman" w:cs="Times New Roman"/>
        </w:rPr>
        <w:t xml:space="preserve">access to a much broader pool of financing, it </w:t>
      </w:r>
      <w:r w:rsidR="002E5138" w:rsidRPr="00523556">
        <w:rPr>
          <w:rFonts w:ascii="Times New Roman" w:hAnsi="Times New Roman" w:cs="Times New Roman"/>
        </w:rPr>
        <w:t xml:space="preserve">also </w:t>
      </w:r>
      <w:r w:rsidR="00103C7A" w:rsidRPr="00523556">
        <w:rPr>
          <w:rFonts w:ascii="Times New Roman" w:hAnsi="Times New Roman" w:cs="Times New Roman"/>
        </w:rPr>
        <w:t xml:space="preserve">brings with it </w:t>
      </w:r>
      <w:r w:rsidR="002E5138" w:rsidRPr="00523556">
        <w:rPr>
          <w:rFonts w:ascii="Times New Roman" w:hAnsi="Times New Roman" w:cs="Times New Roman"/>
        </w:rPr>
        <w:t>a set of potentially significant risks that would need to be carefully managed</w:t>
      </w:r>
      <w:r w:rsidR="00F2782F" w:rsidRPr="00523556">
        <w:rPr>
          <w:rFonts w:ascii="Times New Roman" w:hAnsi="Times New Roman" w:cs="Times New Roman"/>
        </w:rPr>
        <w:t xml:space="preserve"> (particularly in relation to large ‘bullet’ principle repayments)</w:t>
      </w:r>
      <w:r w:rsidR="002E5138" w:rsidRPr="00523556">
        <w:rPr>
          <w:rFonts w:ascii="Times New Roman" w:hAnsi="Times New Roman" w:cs="Times New Roman"/>
        </w:rPr>
        <w:t xml:space="preserve">, and </w:t>
      </w:r>
      <w:r w:rsidR="0009646B" w:rsidRPr="00523556">
        <w:rPr>
          <w:rFonts w:ascii="Times New Roman" w:hAnsi="Times New Roman" w:cs="Times New Roman"/>
        </w:rPr>
        <w:t xml:space="preserve">a </w:t>
      </w:r>
      <w:r w:rsidR="002E5138" w:rsidRPr="00523556">
        <w:rPr>
          <w:rFonts w:ascii="Times New Roman" w:hAnsi="Times New Roman" w:cs="Times New Roman"/>
        </w:rPr>
        <w:t>broad</w:t>
      </w:r>
      <w:r w:rsidR="00D15B06" w:rsidRPr="00523556">
        <w:rPr>
          <w:rFonts w:ascii="Times New Roman" w:hAnsi="Times New Roman" w:cs="Times New Roman"/>
        </w:rPr>
        <w:t xml:space="preserve"> set </w:t>
      </w:r>
      <w:r w:rsidR="0009646B" w:rsidRPr="00523556">
        <w:rPr>
          <w:rFonts w:ascii="Times New Roman" w:hAnsi="Times New Roman" w:cs="Times New Roman"/>
        </w:rPr>
        <w:t xml:space="preserve">of </w:t>
      </w:r>
      <w:r w:rsidR="002E5138" w:rsidRPr="00523556">
        <w:rPr>
          <w:rFonts w:ascii="Times New Roman" w:hAnsi="Times New Roman" w:cs="Times New Roman"/>
        </w:rPr>
        <w:t xml:space="preserve">additional </w:t>
      </w:r>
      <w:r w:rsidR="00D15B06" w:rsidRPr="00523556">
        <w:rPr>
          <w:rFonts w:ascii="Times New Roman" w:hAnsi="Times New Roman" w:cs="Times New Roman"/>
        </w:rPr>
        <w:t>macroeconomic and fiscal consideration</w:t>
      </w:r>
      <w:r w:rsidR="0009646B" w:rsidRPr="00523556">
        <w:rPr>
          <w:rFonts w:ascii="Times New Roman" w:hAnsi="Times New Roman" w:cs="Times New Roman"/>
        </w:rPr>
        <w:t>s</w:t>
      </w:r>
      <w:r w:rsidR="002E5138" w:rsidRPr="00523556">
        <w:rPr>
          <w:rFonts w:ascii="Times New Roman" w:hAnsi="Times New Roman" w:cs="Times New Roman"/>
        </w:rPr>
        <w:t>, that it is vital be fully taken into account before any issuance decision is made.</w:t>
      </w:r>
      <w:r w:rsidR="00103C7A" w:rsidRPr="00523556">
        <w:rPr>
          <w:rFonts w:ascii="Times New Roman" w:hAnsi="Times New Roman" w:cs="Times New Roman"/>
        </w:rPr>
        <w:t xml:space="preserve"> </w:t>
      </w:r>
      <w:r w:rsidR="00347622" w:rsidRPr="00523556">
        <w:rPr>
          <w:rFonts w:ascii="Times New Roman" w:hAnsi="Times New Roman" w:cs="Times New Roman"/>
        </w:rPr>
        <w:t>To help maximise</w:t>
      </w:r>
      <w:r w:rsidR="00D15B06" w:rsidRPr="00523556">
        <w:rPr>
          <w:rFonts w:ascii="Times New Roman" w:hAnsi="Times New Roman" w:cs="Times New Roman"/>
        </w:rPr>
        <w:t xml:space="preserve"> the benefits and minimise drawbacks</w:t>
      </w:r>
      <w:r w:rsidR="002E5138" w:rsidRPr="00523556">
        <w:rPr>
          <w:rFonts w:ascii="Times New Roman" w:hAnsi="Times New Roman" w:cs="Times New Roman"/>
        </w:rPr>
        <w:t xml:space="preserve"> of any issue</w:t>
      </w:r>
      <w:r w:rsidR="00347622" w:rsidRPr="00523556">
        <w:rPr>
          <w:rFonts w:ascii="Times New Roman" w:hAnsi="Times New Roman" w:cs="Times New Roman"/>
        </w:rPr>
        <w:t>,</w:t>
      </w:r>
      <w:r w:rsidR="00D15B06" w:rsidRPr="00523556">
        <w:rPr>
          <w:rFonts w:ascii="Times New Roman" w:hAnsi="Times New Roman" w:cs="Times New Roman"/>
        </w:rPr>
        <w:t xml:space="preserve"> </w:t>
      </w:r>
      <w:r w:rsidR="00347622" w:rsidRPr="00523556">
        <w:rPr>
          <w:rFonts w:ascii="Times New Roman" w:hAnsi="Times New Roman" w:cs="Times New Roman"/>
        </w:rPr>
        <w:t xml:space="preserve">GoU could consider issuing </w:t>
      </w:r>
      <w:r w:rsidR="00D15B06" w:rsidRPr="00523556">
        <w:rPr>
          <w:rFonts w:ascii="Times New Roman" w:hAnsi="Times New Roman" w:cs="Times New Roman"/>
        </w:rPr>
        <w:t xml:space="preserve">a Eurobond </w:t>
      </w:r>
      <w:r w:rsidR="00347622" w:rsidRPr="00523556">
        <w:rPr>
          <w:rFonts w:ascii="Times New Roman" w:hAnsi="Times New Roman" w:cs="Times New Roman"/>
        </w:rPr>
        <w:t xml:space="preserve">only </w:t>
      </w:r>
      <w:r w:rsidR="008625F4" w:rsidRPr="00523556">
        <w:rPr>
          <w:rFonts w:ascii="Times New Roman" w:hAnsi="Times New Roman" w:cs="Times New Roman"/>
        </w:rPr>
        <w:t xml:space="preserve">where it is helping </w:t>
      </w:r>
      <w:r w:rsidR="00D15B06" w:rsidRPr="00523556">
        <w:rPr>
          <w:rFonts w:ascii="Times New Roman" w:hAnsi="Times New Roman" w:cs="Times New Roman"/>
        </w:rPr>
        <w:t xml:space="preserve">to finance expenditures that </w:t>
      </w:r>
      <w:r w:rsidR="00347622" w:rsidRPr="00523556">
        <w:rPr>
          <w:rFonts w:ascii="Times New Roman" w:hAnsi="Times New Roman" w:cs="Times New Roman"/>
        </w:rPr>
        <w:t xml:space="preserve">would </w:t>
      </w:r>
      <w:r w:rsidR="00D15B06" w:rsidRPr="00523556">
        <w:rPr>
          <w:rFonts w:ascii="Times New Roman" w:hAnsi="Times New Roman" w:cs="Times New Roman"/>
        </w:rPr>
        <w:t xml:space="preserve">generate significant fiscal returns and </w:t>
      </w:r>
      <w:r w:rsidR="0009646B" w:rsidRPr="00523556">
        <w:rPr>
          <w:rFonts w:ascii="Times New Roman" w:hAnsi="Times New Roman" w:cs="Times New Roman"/>
        </w:rPr>
        <w:t xml:space="preserve">are predominantly denominated in </w:t>
      </w:r>
      <w:r w:rsidR="00D15B06" w:rsidRPr="00523556">
        <w:rPr>
          <w:rFonts w:ascii="Times New Roman" w:hAnsi="Times New Roman" w:cs="Times New Roman"/>
        </w:rPr>
        <w:t xml:space="preserve">foreign currency. </w:t>
      </w:r>
      <w:r w:rsidR="003253E9" w:rsidRPr="00523556">
        <w:rPr>
          <w:rFonts w:ascii="Times New Roman" w:hAnsi="Times New Roman" w:cs="Times New Roman"/>
        </w:rPr>
        <w:t>If Eurobond issu</w:t>
      </w:r>
      <w:r w:rsidR="00F760C8" w:rsidRPr="00523556">
        <w:rPr>
          <w:rFonts w:ascii="Times New Roman" w:hAnsi="Times New Roman" w:cs="Times New Roman"/>
        </w:rPr>
        <w:t>ance were pursued</w:t>
      </w:r>
      <w:r w:rsidR="003253E9" w:rsidRPr="00523556">
        <w:rPr>
          <w:rFonts w:ascii="Times New Roman" w:hAnsi="Times New Roman" w:cs="Times New Roman"/>
        </w:rPr>
        <w:t xml:space="preserve">, </w:t>
      </w:r>
      <w:r w:rsidR="00D15B06" w:rsidRPr="00523556">
        <w:rPr>
          <w:rFonts w:ascii="Times New Roman" w:hAnsi="Times New Roman" w:cs="Times New Roman"/>
        </w:rPr>
        <w:t xml:space="preserve">it </w:t>
      </w:r>
      <w:r w:rsidR="003253E9" w:rsidRPr="00523556">
        <w:rPr>
          <w:rFonts w:ascii="Times New Roman" w:hAnsi="Times New Roman" w:cs="Times New Roman"/>
        </w:rPr>
        <w:t>would be important</w:t>
      </w:r>
      <w:r w:rsidR="00D15B06" w:rsidRPr="00523556">
        <w:rPr>
          <w:rFonts w:ascii="Times New Roman" w:hAnsi="Times New Roman" w:cs="Times New Roman"/>
        </w:rPr>
        <w:t xml:space="preserve"> that the size and timing of any issue </w:t>
      </w:r>
      <w:r w:rsidR="00BE5CE0" w:rsidRPr="00523556">
        <w:rPr>
          <w:rFonts w:ascii="Times New Roman" w:hAnsi="Times New Roman" w:cs="Times New Roman"/>
        </w:rPr>
        <w:t>be</w:t>
      </w:r>
      <w:r w:rsidR="00D15B06" w:rsidRPr="00523556">
        <w:rPr>
          <w:rFonts w:ascii="Times New Roman" w:hAnsi="Times New Roman" w:cs="Times New Roman"/>
        </w:rPr>
        <w:t xml:space="preserve"> appropriate: to avoid excess interest payments, the size of </w:t>
      </w:r>
      <w:r w:rsidR="003A7F0C" w:rsidRPr="00523556">
        <w:rPr>
          <w:rFonts w:ascii="Times New Roman" w:hAnsi="Times New Roman" w:cs="Times New Roman"/>
        </w:rPr>
        <w:t>any issue</w:t>
      </w:r>
      <w:r w:rsidR="00D15B06" w:rsidRPr="00523556">
        <w:rPr>
          <w:rFonts w:ascii="Times New Roman" w:hAnsi="Times New Roman" w:cs="Times New Roman"/>
        </w:rPr>
        <w:t xml:space="preserve"> should not exceed that required for the intended purpose, and issuance should as far </w:t>
      </w:r>
      <w:r w:rsidR="00F2782F" w:rsidRPr="00523556">
        <w:rPr>
          <w:rFonts w:ascii="Times New Roman" w:hAnsi="Times New Roman" w:cs="Times New Roman"/>
        </w:rPr>
        <w:t xml:space="preserve">as </w:t>
      </w:r>
      <w:r w:rsidR="00D15B06" w:rsidRPr="00523556">
        <w:rPr>
          <w:rFonts w:ascii="Times New Roman" w:hAnsi="Times New Roman" w:cs="Times New Roman"/>
        </w:rPr>
        <w:t>is feasible be conducted only when GoU is ready to put the proceeds to use.</w:t>
      </w:r>
      <w:r w:rsidR="00DB4EA5" w:rsidRPr="00523556">
        <w:rPr>
          <w:rFonts w:ascii="Times New Roman" w:hAnsi="Times New Roman" w:cs="Times New Roman"/>
        </w:rPr>
        <w:t xml:space="preserve"> </w:t>
      </w:r>
    </w:p>
    <w:p w:rsidR="0054259C" w:rsidRPr="00523556" w:rsidRDefault="00DB4EA5" w:rsidP="000D711E">
      <w:pPr>
        <w:jc w:val="both"/>
        <w:rPr>
          <w:rFonts w:ascii="Times New Roman" w:hAnsi="Times New Roman" w:cs="Times New Roman"/>
        </w:rPr>
      </w:pPr>
      <w:r w:rsidRPr="00523556">
        <w:rPr>
          <w:rFonts w:ascii="Times New Roman" w:hAnsi="Times New Roman" w:cs="Times New Roman"/>
        </w:rPr>
        <w:t>Other deficit financing options open to Uganda include c</w:t>
      </w:r>
      <w:r w:rsidR="00C82BF3" w:rsidRPr="00523556">
        <w:rPr>
          <w:rFonts w:ascii="Times New Roman" w:hAnsi="Times New Roman" w:cs="Times New Roman"/>
        </w:rPr>
        <w:t xml:space="preserve">oncessional external borrowing, </w:t>
      </w:r>
      <w:r w:rsidR="00987EF8" w:rsidRPr="00523556">
        <w:rPr>
          <w:rFonts w:ascii="Times New Roman" w:hAnsi="Times New Roman" w:cs="Times New Roman"/>
        </w:rPr>
        <w:t>semi</w:t>
      </w:r>
      <w:r w:rsidR="00C82BF3" w:rsidRPr="00523556">
        <w:rPr>
          <w:rFonts w:ascii="Times New Roman" w:hAnsi="Times New Roman" w:cs="Times New Roman"/>
        </w:rPr>
        <w:t xml:space="preserve">-concessional external borrowing, and </w:t>
      </w:r>
      <w:r w:rsidR="00DD7CB6" w:rsidRPr="00523556">
        <w:rPr>
          <w:rFonts w:ascii="Times New Roman" w:hAnsi="Times New Roman" w:cs="Times New Roman"/>
        </w:rPr>
        <w:t xml:space="preserve">drawing down </w:t>
      </w:r>
      <w:r w:rsidR="00C82BF3" w:rsidRPr="00523556">
        <w:rPr>
          <w:rFonts w:ascii="Times New Roman" w:hAnsi="Times New Roman" w:cs="Times New Roman"/>
        </w:rPr>
        <w:t>GoU’s net savings with the BoU</w:t>
      </w:r>
      <w:r w:rsidR="00DD7CB6" w:rsidRPr="00523556">
        <w:rPr>
          <w:rFonts w:ascii="Times New Roman" w:hAnsi="Times New Roman" w:cs="Times New Roman"/>
        </w:rPr>
        <w:t xml:space="preserve">. </w:t>
      </w:r>
      <w:r w:rsidRPr="00523556">
        <w:rPr>
          <w:rFonts w:ascii="Times New Roman" w:hAnsi="Times New Roman" w:cs="Times New Roman"/>
        </w:rPr>
        <w:t>A key point is that c</w:t>
      </w:r>
      <w:r w:rsidR="00A214D3" w:rsidRPr="00523556">
        <w:rPr>
          <w:rFonts w:ascii="Times New Roman" w:hAnsi="Times New Roman" w:cs="Times New Roman"/>
        </w:rPr>
        <w:t xml:space="preserve">oncessional lending </w:t>
      </w:r>
      <w:r w:rsidR="00EC3203" w:rsidRPr="00523556">
        <w:rPr>
          <w:rFonts w:ascii="Times New Roman" w:hAnsi="Times New Roman" w:cs="Times New Roman"/>
        </w:rPr>
        <w:t>should be maximised as far as is possible,</w:t>
      </w:r>
      <w:r w:rsidR="00A214D3" w:rsidRPr="00523556">
        <w:rPr>
          <w:rFonts w:ascii="Times New Roman" w:hAnsi="Times New Roman" w:cs="Times New Roman"/>
        </w:rPr>
        <w:t xml:space="preserve"> g</w:t>
      </w:r>
      <w:r w:rsidR="00DD7CB6" w:rsidRPr="00523556">
        <w:rPr>
          <w:rFonts w:ascii="Times New Roman" w:hAnsi="Times New Roman" w:cs="Times New Roman"/>
        </w:rPr>
        <w:t>iven</w:t>
      </w:r>
      <w:r w:rsidR="00A214D3" w:rsidRPr="00523556">
        <w:rPr>
          <w:rFonts w:ascii="Times New Roman" w:hAnsi="Times New Roman" w:cs="Times New Roman"/>
        </w:rPr>
        <w:t xml:space="preserve"> </w:t>
      </w:r>
      <w:r w:rsidR="00DD7CB6" w:rsidRPr="00523556">
        <w:rPr>
          <w:rFonts w:ascii="Times New Roman" w:hAnsi="Times New Roman" w:cs="Times New Roman"/>
        </w:rPr>
        <w:t xml:space="preserve">the extremely generous terms on which </w:t>
      </w:r>
      <w:r w:rsidR="00A214D3" w:rsidRPr="00523556">
        <w:rPr>
          <w:rFonts w:ascii="Times New Roman" w:hAnsi="Times New Roman" w:cs="Times New Roman"/>
        </w:rPr>
        <w:t xml:space="preserve">it is </w:t>
      </w:r>
      <w:r w:rsidR="00DD7CB6" w:rsidRPr="00523556">
        <w:rPr>
          <w:rFonts w:ascii="Times New Roman" w:hAnsi="Times New Roman" w:cs="Times New Roman"/>
        </w:rPr>
        <w:t>offered</w:t>
      </w:r>
      <w:r w:rsidR="00EC3203" w:rsidRPr="00523556">
        <w:rPr>
          <w:rFonts w:ascii="Times New Roman" w:hAnsi="Times New Roman" w:cs="Times New Roman"/>
        </w:rPr>
        <w:t xml:space="preserve"> relative to other financing options; for example, the average interest on Uganda’s external debt stock as at end-FY12/13 was 0.8</w:t>
      </w:r>
      <w:r w:rsidR="00E557B8" w:rsidRPr="00523556">
        <w:rPr>
          <w:rFonts w:ascii="Times New Roman" w:hAnsi="Times New Roman" w:cs="Times New Roman"/>
        </w:rPr>
        <w:t xml:space="preserve"> per cent</w:t>
      </w:r>
      <w:r w:rsidR="00EC3203" w:rsidRPr="00523556">
        <w:rPr>
          <w:rFonts w:ascii="Times New Roman" w:hAnsi="Times New Roman" w:cs="Times New Roman"/>
        </w:rPr>
        <w:t>, compared to  13.1</w:t>
      </w:r>
      <w:r w:rsidR="00E557B8" w:rsidRPr="00523556">
        <w:rPr>
          <w:rFonts w:ascii="Times New Roman" w:hAnsi="Times New Roman" w:cs="Times New Roman"/>
        </w:rPr>
        <w:t xml:space="preserve"> per cent</w:t>
      </w:r>
      <w:r w:rsidR="00EC3203" w:rsidRPr="00523556">
        <w:rPr>
          <w:rFonts w:ascii="Times New Roman" w:hAnsi="Times New Roman" w:cs="Times New Roman"/>
        </w:rPr>
        <w:t xml:space="preserve"> on its domestic debt stock</w:t>
      </w:r>
      <w:r w:rsidR="00DD7CB6" w:rsidRPr="00523556">
        <w:rPr>
          <w:rFonts w:ascii="Times New Roman" w:hAnsi="Times New Roman" w:cs="Times New Roman"/>
        </w:rPr>
        <w:t>.</w:t>
      </w:r>
      <w:r w:rsidR="001237DB" w:rsidRPr="00523556">
        <w:rPr>
          <w:rFonts w:ascii="Times New Roman" w:hAnsi="Times New Roman" w:cs="Times New Roman"/>
        </w:rPr>
        <w:t xml:space="preserve"> Semi-concessional</w:t>
      </w:r>
      <w:r w:rsidR="001D2F1E" w:rsidRPr="00523556">
        <w:rPr>
          <w:rFonts w:ascii="Times New Roman" w:hAnsi="Times New Roman" w:cs="Times New Roman"/>
        </w:rPr>
        <w:t xml:space="preserve"> </w:t>
      </w:r>
      <w:r w:rsidR="001237DB" w:rsidRPr="00523556">
        <w:rPr>
          <w:rFonts w:ascii="Times New Roman" w:hAnsi="Times New Roman" w:cs="Times New Roman"/>
        </w:rPr>
        <w:t xml:space="preserve">financing </w:t>
      </w:r>
      <w:r w:rsidR="007C59B7" w:rsidRPr="00523556">
        <w:rPr>
          <w:rFonts w:ascii="Times New Roman" w:hAnsi="Times New Roman" w:cs="Times New Roman"/>
        </w:rPr>
        <w:t xml:space="preserve">will </w:t>
      </w:r>
      <w:r w:rsidR="00A40AEB" w:rsidRPr="00523556">
        <w:rPr>
          <w:rFonts w:ascii="Times New Roman" w:hAnsi="Times New Roman" w:cs="Times New Roman"/>
        </w:rPr>
        <w:t xml:space="preserve">always </w:t>
      </w:r>
      <w:r w:rsidR="007C59B7" w:rsidRPr="00523556">
        <w:rPr>
          <w:rFonts w:ascii="Times New Roman" w:hAnsi="Times New Roman" w:cs="Times New Roman"/>
        </w:rPr>
        <w:t>be</w:t>
      </w:r>
      <w:r w:rsidR="001D2F1E" w:rsidRPr="00523556">
        <w:rPr>
          <w:rFonts w:ascii="Times New Roman" w:hAnsi="Times New Roman" w:cs="Times New Roman"/>
        </w:rPr>
        <w:t xml:space="preserve"> </w:t>
      </w:r>
      <w:r w:rsidR="00A40AEB" w:rsidRPr="00523556">
        <w:rPr>
          <w:rFonts w:ascii="Times New Roman" w:hAnsi="Times New Roman" w:cs="Times New Roman"/>
        </w:rPr>
        <w:t>preferable to commercial external financing</w:t>
      </w:r>
      <w:r w:rsidR="001237DB" w:rsidRPr="00523556">
        <w:rPr>
          <w:rFonts w:ascii="Times New Roman" w:hAnsi="Times New Roman" w:cs="Times New Roman"/>
        </w:rPr>
        <w:t>, all else equal</w:t>
      </w:r>
      <w:r w:rsidR="00A40AEB" w:rsidRPr="00523556">
        <w:rPr>
          <w:rFonts w:ascii="Times New Roman" w:hAnsi="Times New Roman" w:cs="Times New Roman"/>
        </w:rPr>
        <w:t xml:space="preserve"> </w:t>
      </w:r>
      <w:r w:rsidR="001237DB" w:rsidRPr="00523556">
        <w:rPr>
          <w:rFonts w:ascii="Times New Roman" w:hAnsi="Times New Roman" w:cs="Times New Roman"/>
        </w:rPr>
        <w:t xml:space="preserve">– </w:t>
      </w:r>
      <w:r w:rsidR="00A40AEB" w:rsidRPr="00523556">
        <w:rPr>
          <w:rFonts w:ascii="Times New Roman" w:hAnsi="Times New Roman" w:cs="Times New Roman"/>
        </w:rPr>
        <w:t>and</w:t>
      </w:r>
      <w:r w:rsidR="001237DB" w:rsidRPr="00523556">
        <w:rPr>
          <w:rFonts w:ascii="Times New Roman" w:hAnsi="Times New Roman" w:cs="Times New Roman"/>
        </w:rPr>
        <w:t xml:space="preserve"> </w:t>
      </w:r>
      <w:r w:rsidR="00A40AEB" w:rsidRPr="00523556">
        <w:rPr>
          <w:rFonts w:ascii="Times New Roman" w:hAnsi="Times New Roman" w:cs="Times New Roman"/>
        </w:rPr>
        <w:t xml:space="preserve">is </w:t>
      </w:r>
      <w:r w:rsidR="001237DB" w:rsidRPr="00523556">
        <w:rPr>
          <w:rFonts w:ascii="Times New Roman" w:hAnsi="Times New Roman" w:cs="Times New Roman"/>
        </w:rPr>
        <w:t xml:space="preserve">also </w:t>
      </w:r>
      <w:r w:rsidR="00A40AEB" w:rsidRPr="00523556">
        <w:rPr>
          <w:rFonts w:ascii="Times New Roman" w:hAnsi="Times New Roman" w:cs="Times New Roman"/>
        </w:rPr>
        <w:t xml:space="preserve">clearly preferable </w:t>
      </w:r>
      <w:r w:rsidR="0017660B" w:rsidRPr="00523556">
        <w:rPr>
          <w:rFonts w:ascii="Times New Roman" w:hAnsi="Times New Roman" w:cs="Times New Roman"/>
        </w:rPr>
        <w:t xml:space="preserve">in debt management cost-risk terms </w:t>
      </w:r>
      <w:r w:rsidR="00A40AEB" w:rsidRPr="00523556">
        <w:rPr>
          <w:rFonts w:ascii="Times New Roman" w:hAnsi="Times New Roman" w:cs="Times New Roman"/>
        </w:rPr>
        <w:t>to domestic borrowing</w:t>
      </w:r>
      <w:r w:rsidR="0017660B" w:rsidRPr="00523556">
        <w:rPr>
          <w:rFonts w:ascii="Times New Roman" w:hAnsi="Times New Roman" w:cs="Times New Roman"/>
        </w:rPr>
        <w:t xml:space="preserve">, </w:t>
      </w:r>
      <w:r w:rsidR="00A40AEB" w:rsidRPr="00523556">
        <w:rPr>
          <w:rFonts w:ascii="Times New Roman" w:hAnsi="Times New Roman" w:cs="Times New Roman"/>
        </w:rPr>
        <w:t>when the grant element of such loans is still substantial</w:t>
      </w:r>
      <w:r w:rsidR="001237DB" w:rsidRPr="00523556">
        <w:rPr>
          <w:rFonts w:ascii="Times New Roman" w:hAnsi="Times New Roman" w:cs="Times New Roman"/>
        </w:rPr>
        <w:t>.</w:t>
      </w:r>
      <w:r w:rsidR="001D2F1E" w:rsidRPr="00523556">
        <w:rPr>
          <w:rFonts w:ascii="Times New Roman" w:hAnsi="Times New Roman" w:cs="Times New Roman"/>
        </w:rPr>
        <w:t xml:space="preserve"> </w:t>
      </w:r>
      <w:r w:rsidR="0017660B" w:rsidRPr="00523556">
        <w:rPr>
          <w:rFonts w:ascii="Times New Roman" w:hAnsi="Times New Roman" w:cs="Times New Roman"/>
        </w:rPr>
        <w:t>However, w</w:t>
      </w:r>
      <w:r w:rsidR="001D2F1E" w:rsidRPr="00523556">
        <w:rPr>
          <w:rFonts w:ascii="Times New Roman" w:hAnsi="Times New Roman" w:cs="Times New Roman"/>
        </w:rPr>
        <w:t>here</w:t>
      </w:r>
      <w:r w:rsidR="001237DB" w:rsidRPr="00523556">
        <w:rPr>
          <w:rFonts w:ascii="Times New Roman" w:hAnsi="Times New Roman" w:cs="Times New Roman"/>
        </w:rPr>
        <w:t xml:space="preserve"> such lending</w:t>
      </w:r>
      <w:r w:rsidR="001D2F1E" w:rsidRPr="00523556">
        <w:rPr>
          <w:rFonts w:ascii="Times New Roman" w:hAnsi="Times New Roman" w:cs="Times New Roman"/>
        </w:rPr>
        <w:t xml:space="preserve"> takes the form of tied aid</w:t>
      </w:r>
      <w:r w:rsidR="00980A63" w:rsidRPr="00523556">
        <w:rPr>
          <w:rFonts w:ascii="Times New Roman" w:hAnsi="Times New Roman" w:cs="Times New Roman"/>
        </w:rPr>
        <w:t>,</w:t>
      </w:r>
      <w:r w:rsidR="001D2F1E" w:rsidRPr="00523556">
        <w:rPr>
          <w:rFonts w:ascii="Times New Roman" w:hAnsi="Times New Roman" w:cs="Times New Roman"/>
        </w:rPr>
        <w:t xml:space="preserve"> without competitive procurement or independent ev</w:t>
      </w:r>
      <w:r w:rsidR="00980A63" w:rsidRPr="00523556">
        <w:rPr>
          <w:rFonts w:ascii="Times New Roman" w:hAnsi="Times New Roman" w:cs="Times New Roman"/>
        </w:rPr>
        <w:t>aluation of associated projects</w:t>
      </w:r>
      <w:r w:rsidR="0017660B" w:rsidRPr="00523556">
        <w:rPr>
          <w:rFonts w:ascii="Times New Roman" w:hAnsi="Times New Roman" w:cs="Times New Roman"/>
        </w:rPr>
        <w:t xml:space="preserve"> it is </w:t>
      </w:r>
      <w:r w:rsidR="00685DAF" w:rsidRPr="00523556">
        <w:rPr>
          <w:rFonts w:ascii="Times New Roman" w:hAnsi="Times New Roman" w:cs="Times New Roman"/>
        </w:rPr>
        <w:t>difficult</w:t>
      </w:r>
      <w:r w:rsidR="0017660B" w:rsidRPr="00523556">
        <w:rPr>
          <w:rFonts w:ascii="Times New Roman" w:hAnsi="Times New Roman" w:cs="Times New Roman"/>
        </w:rPr>
        <w:t xml:space="preserve"> to </w:t>
      </w:r>
      <w:r w:rsidR="00685DAF" w:rsidRPr="00523556">
        <w:rPr>
          <w:rFonts w:ascii="Times New Roman" w:hAnsi="Times New Roman" w:cs="Times New Roman"/>
        </w:rPr>
        <w:t>assess</w:t>
      </w:r>
      <w:r w:rsidR="0017660B" w:rsidRPr="00523556">
        <w:rPr>
          <w:rFonts w:ascii="Times New Roman" w:hAnsi="Times New Roman" w:cs="Times New Roman"/>
        </w:rPr>
        <w:t xml:space="preserve"> the true financing cost and degree of concessionality.</w:t>
      </w:r>
    </w:p>
    <w:p w:rsidR="007E3F2E" w:rsidRPr="00523556" w:rsidRDefault="0066686B" w:rsidP="00E51FEE">
      <w:pPr>
        <w:jc w:val="both"/>
        <w:rPr>
          <w:rFonts w:ascii="Times New Roman" w:hAnsi="Times New Roman" w:cs="Times New Roman"/>
        </w:rPr>
      </w:pPr>
      <w:r w:rsidRPr="00523556">
        <w:rPr>
          <w:rFonts w:ascii="Times New Roman" w:hAnsi="Times New Roman" w:cs="Times New Roman"/>
        </w:rPr>
        <w:t>The illustrative fiscal scenario considered in this paper shows that m</w:t>
      </w:r>
      <w:r w:rsidR="009C77C7" w:rsidRPr="00523556">
        <w:rPr>
          <w:rFonts w:ascii="Times New Roman" w:hAnsi="Times New Roman" w:cs="Times New Roman"/>
        </w:rPr>
        <w:t xml:space="preserve">eeting the full extent of GoU’s infrastructure financing goals </w:t>
      </w:r>
      <w:r w:rsidR="0031564C" w:rsidRPr="00523556">
        <w:rPr>
          <w:rFonts w:ascii="Times New Roman" w:hAnsi="Times New Roman" w:cs="Times New Roman"/>
        </w:rPr>
        <w:t xml:space="preserve">over the medium term </w:t>
      </w:r>
      <w:r w:rsidR="009C77C7" w:rsidRPr="00523556">
        <w:rPr>
          <w:rFonts w:ascii="Times New Roman" w:hAnsi="Times New Roman" w:cs="Times New Roman"/>
        </w:rPr>
        <w:t xml:space="preserve">would </w:t>
      </w:r>
      <w:r w:rsidR="00C11D6A" w:rsidRPr="00523556">
        <w:rPr>
          <w:rFonts w:ascii="Times New Roman" w:hAnsi="Times New Roman" w:cs="Times New Roman"/>
        </w:rPr>
        <w:t xml:space="preserve">require a series of elevated fiscal deficits, and drive an accompanying increase in the debt-to-GDP ratio (although to an extent that should remain comfortably within standard debt sustainability benchmarks), </w:t>
      </w:r>
      <w:r w:rsidR="009C77C7" w:rsidRPr="00523556">
        <w:rPr>
          <w:rFonts w:ascii="Times New Roman" w:hAnsi="Times New Roman" w:cs="Times New Roman"/>
        </w:rPr>
        <w:t xml:space="preserve">before oil revenues come on stream towards the end of this decade. In such a scenario, the </w:t>
      </w:r>
      <w:r w:rsidR="009C77C7" w:rsidRPr="00523556">
        <w:rPr>
          <w:rFonts w:ascii="Times New Roman" w:hAnsi="Times New Roman" w:cs="Times New Roman"/>
        </w:rPr>
        <w:lastRenderedPageBreak/>
        <w:t>availability of semi-concessional borrowing would be an important factor in influencing GoU’s freedom in determining its financing strategy. Some simple simulations</w:t>
      </w:r>
      <w:r w:rsidR="005C01FD" w:rsidRPr="00523556">
        <w:rPr>
          <w:rFonts w:ascii="Times New Roman" w:hAnsi="Times New Roman" w:cs="Times New Roman"/>
        </w:rPr>
        <w:t xml:space="preserve"> suggest</w:t>
      </w:r>
      <w:r w:rsidR="009C77C7" w:rsidRPr="00523556">
        <w:rPr>
          <w:rFonts w:ascii="Times New Roman" w:hAnsi="Times New Roman" w:cs="Times New Roman"/>
        </w:rPr>
        <w:t xml:space="preserve"> that if around $250m (or around 0.8</w:t>
      </w:r>
      <w:r w:rsidR="00E557B8" w:rsidRPr="00523556">
        <w:rPr>
          <w:rFonts w:ascii="Times New Roman" w:hAnsi="Times New Roman" w:cs="Times New Roman"/>
        </w:rPr>
        <w:t xml:space="preserve"> per cent</w:t>
      </w:r>
      <w:r w:rsidR="009C77C7" w:rsidRPr="00523556">
        <w:rPr>
          <w:rFonts w:ascii="Times New Roman" w:hAnsi="Times New Roman" w:cs="Times New Roman"/>
        </w:rPr>
        <w:t xml:space="preserve"> of GDP) on average were raised from this source each year, then net </w:t>
      </w:r>
      <w:r w:rsidR="00977661" w:rsidRPr="00523556">
        <w:rPr>
          <w:rFonts w:ascii="Times New Roman" w:hAnsi="Times New Roman" w:cs="Times New Roman"/>
        </w:rPr>
        <w:t>DD</w:t>
      </w:r>
      <w:r w:rsidR="009C77C7" w:rsidRPr="00523556">
        <w:rPr>
          <w:rFonts w:ascii="Times New Roman" w:hAnsi="Times New Roman" w:cs="Times New Roman"/>
        </w:rPr>
        <w:t xml:space="preserve"> issuance consistent with raising the </w:t>
      </w:r>
      <w:r w:rsidR="00977661" w:rsidRPr="00523556">
        <w:rPr>
          <w:rFonts w:ascii="Times New Roman" w:hAnsi="Times New Roman" w:cs="Times New Roman"/>
        </w:rPr>
        <w:t>DD-</w:t>
      </w:r>
      <w:r w:rsidR="009C77C7" w:rsidRPr="00523556">
        <w:rPr>
          <w:rFonts w:ascii="Times New Roman" w:hAnsi="Times New Roman" w:cs="Times New Roman"/>
        </w:rPr>
        <w:t>to</w:t>
      </w:r>
      <w:r w:rsidR="00977661" w:rsidRPr="00523556">
        <w:rPr>
          <w:rFonts w:ascii="Times New Roman" w:hAnsi="Times New Roman" w:cs="Times New Roman"/>
        </w:rPr>
        <w:t>-GDP ratio to</w:t>
      </w:r>
      <w:r w:rsidR="009C77C7" w:rsidRPr="00523556">
        <w:rPr>
          <w:rFonts w:ascii="Times New Roman" w:hAnsi="Times New Roman" w:cs="Times New Roman"/>
        </w:rPr>
        <w:t xml:space="preserve"> 15</w:t>
      </w:r>
      <w:r w:rsidR="00E557B8" w:rsidRPr="00523556">
        <w:rPr>
          <w:rFonts w:ascii="Times New Roman" w:hAnsi="Times New Roman" w:cs="Times New Roman"/>
        </w:rPr>
        <w:t xml:space="preserve"> per cent</w:t>
      </w:r>
      <w:r w:rsidR="009C77C7" w:rsidRPr="00523556">
        <w:rPr>
          <w:rFonts w:ascii="Times New Roman" w:hAnsi="Times New Roman" w:cs="Times New Roman"/>
        </w:rPr>
        <w:t xml:space="preserve"> would still not fully cover GoU’s net financing requirements, and it </w:t>
      </w:r>
      <w:r w:rsidR="005C01FD" w:rsidRPr="00523556">
        <w:rPr>
          <w:rFonts w:ascii="Times New Roman" w:hAnsi="Times New Roman" w:cs="Times New Roman"/>
        </w:rPr>
        <w:t>could</w:t>
      </w:r>
      <w:r w:rsidR="009C77C7" w:rsidRPr="00523556">
        <w:rPr>
          <w:rFonts w:ascii="Times New Roman" w:hAnsi="Times New Roman" w:cs="Times New Roman"/>
        </w:rPr>
        <w:t xml:space="preserve"> be necessary to issue around $400m of commercial external debt over the medium term. A higher degree of semi-concessional lending would permit greater freedom in choosing whether or not to issue a Eurobond, versus higher recourse to domestic borrowing.  </w:t>
      </w:r>
    </w:p>
    <w:p w:rsidR="007E3F2E" w:rsidRPr="00523556" w:rsidRDefault="00E44F80" w:rsidP="00E44F80">
      <w:pPr>
        <w:jc w:val="both"/>
        <w:rPr>
          <w:rFonts w:ascii="Times New Roman" w:hAnsi="Times New Roman" w:cs="Times New Roman"/>
        </w:rPr>
      </w:pPr>
      <w:r w:rsidRPr="00523556">
        <w:rPr>
          <w:rFonts w:ascii="Times New Roman" w:hAnsi="Times New Roman" w:cs="Times New Roman"/>
        </w:rPr>
        <w:t>A</w:t>
      </w:r>
      <w:r w:rsidR="007E3F2E" w:rsidRPr="00523556">
        <w:rPr>
          <w:rFonts w:ascii="Times New Roman" w:hAnsi="Times New Roman" w:cs="Times New Roman"/>
        </w:rPr>
        <w:t xml:space="preserve">s projected levels of debt rise and </w:t>
      </w:r>
      <w:r w:rsidR="0031564C" w:rsidRPr="00523556">
        <w:rPr>
          <w:rFonts w:ascii="Times New Roman" w:hAnsi="Times New Roman" w:cs="Times New Roman"/>
        </w:rPr>
        <w:t>financing choices become more complex</w:t>
      </w:r>
      <w:r w:rsidR="007E3F2E" w:rsidRPr="00523556">
        <w:rPr>
          <w:rFonts w:ascii="Times New Roman" w:hAnsi="Times New Roman" w:cs="Times New Roman"/>
        </w:rPr>
        <w:t xml:space="preserve">, the continued development of debt management capacity becomes increasingly important; this should include accelerating the setting-up of </w:t>
      </w:r>
      <w:r w:rsidR="00C11D6A" w:rsidRPr="00523556">
        <w:rPr>
          <w:rFonts w:ascii="Times New Roman" w:hAnsi="Times New Roman" w:cs="Times New Roman"/>
        </w:rPr>
        <w:t>a</w:t>
      </w:r>
      <w:r w:rsidR="007E3F2E" w:rsidRPr="00523556">
        <w:rPr>
          <w:rFonts w:ascii="Times New Roman" w:hAnsi="Times New Roman" w:cs="Times New Roman"/>
        </w:rPr>
        <w:t xml:space="preserve"> specialist Debt Management Office.</w:t>
      </w:r>
      <w:r w:rsidRPr="00523556">
        <w:rPr>
          <w:rFonts w:ascii="Times New Roman" w:hAnsi="Times New Roman" w:cs="Times New Roman"/>
        </w:rPr>
        <w:t xml:space="preserve"> Continued improvement in the predictability and transparency of GoU’s market-based debt operations – such as through the proposed annual publications of a medium-term debt management strategy document and Debt Management Report – should also help build market confidence, and ultimately help support market demand.</w:t>
      </w:r>
    </w:p>
    <w:p w:rsidR="00D97557" w:rsidRPr="00523556" w:rsidRDefault="007D6247" w:rsidP="00E44F80">
      <w:pPr>
        <w:jc w:val="both"/>
        <w:rPr>
          <w:rFonts w:ascii="Times New Roman" w:hAnsi="Times New Roman" w:cs="Times New Roman"/>
        </w:rPr>
      </w:pPr>
      <w:r w:rsidRPr="00523556">
        <w:rPr>
          <w:rFonts w:ascii="Times New Roman" w:hAnsi="Times New Roman" w:cs="Times New Roman"/>
        </w:rPr>
        <w:t>I</w:t>
      </w:r>
      <w:r w:rsidR="007E3F2E" w:rsidRPr="00523556">
        <w:rPr>
          <w:rFonts w:ascii="Times New Roman" w:hAnsi="Times New Roman" w:cs="Times New Roman"/>
        </w:rPr>
        <w:t xml:space="preserve">t is also </w:t>
      </w:r>
      <w:r w:rsidR="00A80542" w:rsidRPr="00523556">
        <w:rPr>
          <w:rFonts w:ascii="Times New Roman" w:hAnsi="Times New Roman" w:cs="Times New Roman"/>
        </w:rPr>
        <w:t xml:space="preserve">important </w:t>
      </w:r>
      <w:r w:rsidR="007E3F2E" w:rsidRPr="00523556">
        <w:rPr>
          <w:rFonts w:ascii="Times New Roman" w:hAnsi="Times New Roman" w:cs="Times New Roman"/>
        </w:rPr>
        <w:t xml:space="preserve">to consider the broader fiscal context. </w:t>
      </w:r>
      <w:r w:rsidR="00FC07FD" w:rsidRPr="00523556">
        <w:rPr>
          <w:rFonts w:ascii="Times New Roman" w:hAnsi="Times New Roman" w:cs="Times New Roman"/>
        </w:rPr>
        <w:t>T</w:t>
      </w:r>
      <w:r w:rsidR="007E3F2E" w:rsidRPr="00523556">
        <w:rPr>
          <w:rFonts w:ascii="Times New Roman" w:hAnsi="Times New Roman" w:cs="Times New Roman"/>
        </w:rPr>
        <w:t xml:space="preserve">he choice between alternative financing strategies </w:t>
      </w:r>
      <w:r w:rsidR="00692D5E" w:rsidRPr="00523556">
        <w:rPr>
          <w:rFonts w:ascii="Times New Roman" w:hAnsi="Times New Roman" w:cs="Times New Roman"/>
        </w:rPr>
        <w:t>can</w:t>
      </w:r>
      <w:r w:rsidR="007E3F2E" w:rsidRPr="00523556">
        <w:rPr>
          <w:rFonts w:ascii="Times New Roman" w:hAnsi="Times New Roman" w:cs="Times New Roman"/>
        </w:rPr>
        <w:t xml:space="preserve"> </w:t>
      </w:r>
      <w:r w:rsidR="00FC07FD" w:rsidRPr="00523556">
        <w:rPr>
          <w:rFonts w:ascii="Times New Roman" w:hAnsi="Times New Roman" w:cs="Times New Roman"/>
        </w:rPr>
        <w:t xml:space="preserve">have a substantive impact on </w:t>
      </w:r>
      <w:r w:rsidR="007E3F2E" w:rsidRPr="00523556">
        <w:rPr>
          <w:rFonts w:ascii="Times New Roman" w:hAnsi="Times New Roman" w:cs="Times New Roman"/>
        </w:rPr>
        <w:t>the overall fiscal position</w:t>
      </w:r>
      <w:r w:rsidR="00FC07FD" w:rsidRPr="00523556">
        <w:rPr>
          <w:rFonts w:ascii="Times New Roman" w:hAnsi="Times New Roman" w:cs="Times New Roman"/>
        </w:rPr>
        <w:t xml:space="preserve"> and the risks to which it is exposed – but it should be noted that this </w:t>
      </w:r>
      <w:r w:rsidR="00D97557" w:rsidRPr="00523556">
        <w:rPr>
          <w:rFonts w:ascii="Times New Roman" w:hAnsi="Times New Roman" w:cs="Times New Roman"/>
        </w:rPr>
        <w:t>can be</w:t>
      </w:r>
      <w:r w:rsidR="00FC07FD" w:rsidRPr="00523556">
        <w:rPr>
          <w:rFonts w:ascii="Times New Roman" w:hAnsi="Times New Roman" w:cs="Times New Roman"/>
        </w:rPr>
        <w:t xml:space="preserve"> </w:t>
      </w:r>
      <w:r w:rsidR="00D97557" w:rsidRPr="00523556">
        <w:rPr>
          <w:rFonts w:ascii="Times New Roman" w:hAnsi="Times New Roman" w:cs="Times New Roman"/>
        </w:rPr>
        <w:t>considerably</w:t>
      </w:r>
      <w:r w:rsidR="007E3F2E" w:rsidRPr="00523556">
        <w:rPr>
          <w:rFonts w:ascii="Times New Roman" w:hAnsi="Times New Roman" w:cs="Times New Roman"/>
        </w:rPr>
        <w:t xml:space="preserve"> outweighed by </w:t>
      </w:r>
      <w:r w:rsidR="00D97557" w:rsidRPr="00523556">
        <w:rPr>
          <w:rFonts w:ascii="Times New Roman" w:hAnsi="Times New Roman" w:cs="Times New Roman"/>
        </w:rPr>
        <w:t xml:space="preserve">the magnitudes involved with </w:t>
      </w:r>
      <w:r w:rsidR="00FC07FD" w:rsidRPr="00523556">
        <w:rPr>
          <w:rFonts w:ascii="Times New Roman" w:hAnsi="Times New Roman" w:cs="Times New Roman"/>
        </w:rPr>
        <w:t xml:space="preserve">fiscal policy choices on </w:t>
      </w:r>
      <w:r w:rsidR="007E3F2E" w:rsidRPr="00523556">
        <w:rPr>
          <w:rFonts w:ascii="Times New Roman" w:hAnsi="Times New Roman" w:cs="Times New Roman"/>
        </w:rPr>
        <w:t>revenue</w:t>
      </w:r>
      <w:r w:rsidR="00D97557" w:rsidRPr="00523556">
        <w:rPr>
          <w:rFonts w:ascii="Times New Roman" w:hAnsi="Times New Roman" w:cs="Times New Roman"/>
        </w:rPr>
        <w:t>s,</w:t>
      </w:r>
      <w:r w:rsidR="007E3F2E" w:rsidRPr="00523556">
        <w:rPr>
          <w:rFonts w:ascii="Times New Roman" w:hAnsi="Times New Roman" w:cs="Times New Roman"/>
        </w:rPr>
        <w:t xml:space="preserve"> expenditure</w:t>
      </w:r>
      <w:r w:rsidR="00D97557" w:rsidRPr="00523556">
        <w:rPr>
          <w:rFonts w:ascii="Times New Roman" w:hAnsi="Times New Roman" w:cs="Times New Roman"/>
        </w:rPr>
        <w:t>s</w:t>
      </w:r>
      <w:r w:rsidR="007E3F2E" w:rsidRPr="00523556">
        <w:rPr>
          <w:rFonts w:ascii="Times New Roman" w:hAnsi="Times New Roman" w:cs="Times New Roman"/>
        </w:rPr>
        <w:t xml:space="preserve"> and the size of the primary fiscal deficit.</w:t>
      </w:r>
      <w:r w:rsidRPr="00523556">
        <w:rPr>
          <w:rFonts w:ascii="Times New Roman" w:hAnsi="Times New Roman" w:cs="Times New Roman"/>
        </w:rPr>
        <w:t xml:space="preserve"> </w:t>
      </w:r>
      <w:r w:rsidR="00667B60" w:rsidRPr="00523556">
        <w:rPr>
          <w:rFonts w:ascii="Times New Roman" w:hAnsi="Times New Roman" w:cs="Times New Roman"/>
        </w:rPr>
        <w:t>On the expenditure side, the e</w:t>
      </w:r>
      <w:r w:rsidR="007E0C37" w:rsidRPr="00523556">
        <w:rPr>
          <w:rFonts w:ascii="Times New Roman" w:hAnsi="Times New Roman" w:cs="Times New Roman"/>
        </w:rPr>
        <w:t xml:space="preserve">ffective use of borrowing proceeds will be crucial </w:t>
      </w:r>
      <w:r w:rsidRPr="00523556">
        <w:rPr>
          <w:rFonts w:ascii="Times New Roman" w:hAnsi="Times New Roman" w:cs="Times New Roman"/>
        </w:rPr>
        <w:t>to maximise</w:t>
      </w:r>
      <w:r w:rsidR="007E0C37" w:rsidRPr="00523556">
        <w:rPr>
          <w:rFonts w:ascii="Times New Roman" w:hAnsi="Times New Roman" w:cs="Times New Roman"/>
        </w:rPr>
        <w:t xml:space="preserve"> the benefits of issuance and </w:t>
      </w:r>
      <w:r w:rsidR="00D97557" w:rsidRPr="00523556">
        <w:rPr>
          <w:rFonts w:ascii="Times New Roman" w:hAnsi="Times New Roman" w:cs="Times New Roman"/>
        </w:rPr>
        <w:t xml:space="preserve">to </w:t>
      </w:r>
      <w:r w:rsidRPr="00523556">
        <w:rPr>
          <w:rFonts w:ascii="Times New Roman" w:hAnsi="Times New Roman" w:cs="Times New Roman"/>
        </w:rPr>
        <w:t>best-support</w:t>
      </w:r>
      <w:r w:rsidR="007E0C37" w:rsidRPr="00523556">
        <w:rPr>
          <w:rFonts w:ascii="Times New Roman" w:hAnsi="Times New Roman" w:cs="Times New Roman"/>
        </w:rPr>
        <w:t xml:space="preserve"> debt dynamics.</w:t>
      </w:r>
      <w:r w:rsidRPr="00523556">
        <w:rPr>
          <w:rFonts w:ascii="Times New Roman" w:hAnsi="Times New Roman" w:cs="Times New Roman"/>
        </w:rPr>
        <w:t xml:space="preserve"> </w:t>
      </w:r>
    </w:p>
    <w:p w:rsidR="0031564C" w:rsidRPr="00523556" w:rsidRDefault="00D97557" w:rsidP="0031564C">
      <w:pPr>
        <w:jc w:val="both"/>
        <w:rPr>
          <w:rFonts w:ascii="Times New Roman" w:hAnsi="Times New Roman" w:cs="Times New Roman"/>
        </w:rPr>
      </w:pPr>
      <w:r w:rsidRPr="00523556">
        <w:rPr>
          <w:rFonts w:ascii="Times New Roman" w:hAnsi="Times New Roman" w:cs="Times New Roman"/>
        </w:rPr>
        <w:t>Furthermore, t</w:t>
      </w:r>
      <w:r w:rsidR="007E3F2E" w:rsidRPr="00523556">
        <w:rPr>
          <w:rFonts w:ascii="Times New Roman" w:hAnsi="Times New Roman" w:cs="Times New Roman"/>
        </w:rPr>
        <w:t xml:space="preserve">here are </w:t>
      </w:r>
      <w:r w:rsidR="007E0C37" w:rsidRPr="00523556">
        <w:rPr>
          <w:rFonts w:ascii="Times New Roman" w:hAnsi="Times New Roman" w:cs="Times New Roman"/>
        </w:rPr>
        <w:t xml:space="preserve">also </w:t>
      </w:r>
      <w:r w:rsidR="007E3F2E" w:rsidRPr="00523556">
        <w:rPr>
          <w:rFonts w:ascii="Times New Roman" w:hAnsi="Times New Roman" w:cs="Times New Roman"/>
        </w:rPr>
        <w:t xml:space="preserve">a number of measures GoU should pursue which will reduce the </w:t>
      </w:r>
      <w:r w:rsidR="007E0C37" w:rsidRPr="00523556">
        <w:rPr>
          <w:rFonts w:ascii="Times New Roman" w:hAnsi="Times New Roman" w:cs="Times New Roman"/>
        </w:rPr>
        <w:t xml:space="preserve">overall </w:t>
      </w:r>
      <w:r w:rsidR="00326BCB" w:rsidRPr="00523556">
        <w:rPr>
          <w:rFonts w:ascii="Times New Roman" w:hAnsi="Times New Roman" w:cs="Times New Roman"/>
        </w:rPr>
        <w:t>need for recourse to borrowing –</w:t>
      </w:r>
      <w:r w:rsidR="007E3F2E" w:rsidRPr="00523556">
        <w:rPr>
          <w:rFonts w:ascii="Times New Roman" w:hAnsi="Times New Roman" w:cs="Times New Roman"/>
        </w:rPr>
        <w:t xml:space="preserve"> including</w:t>
      </w:r>
      <w:r w:rsidR="00326BCB" w:rsidRPr="00523556">
        <w:rPr>
          <w:rFonts w:ascii="Times New Roman" w:hAnsi="Times New Roman" w:cs="Times New Roman"/>
        </w:rPr>
        <w:t xml:space="preserve"> </w:t>
      </w:r>
      <w:r w:rsidR="007E3F2E" w:rsidRPr="00523556">
        <w:rPr>
          <w:rFonts w:ascii="Times New Roman" w:hAnsi="Times New Roman" w:cs="Times New Roman"/>
        </w:rPr>
        <w:t xml:space="preserve">encouraging greater private sector involvement (such as through </w:t>
      </w:r>
      <w:r w:rsidR="00326BCB" w:rsidRPr="00523556">
        <w:rPr>
          <w:rFonts w:ascii="Times New Roman" w:hAnsi="Times New Roman" w:cs="Times New Roman"/>
        </w:rPr>
        <w:t>public-private partnerships</w:t>
      </w:r>
      <w:r w:rsidR="007E3F2E" w:rsidRPr="00523556">
        <w:rPr>
          <w:rFonts w:ascii="Times New Roman" w:hAnsi="Times New Roman" w:cs="Times New Roman"/>
        </w:rPr>
        <w:t>), re-balancing budgetary priorities and improving value for money across government expenditures, increasing tax and non-tax revenues</w:t>
      </w:r>
      <w:r w:rsidR="00E81863" w:rsidRPr="00523556">
        <w:rPr>
          <w:rFonts w:ascii="Times New Roman" w:hAnsi="Times New Roman" w:cs="Times New Roman"/>
        </w:rPr>
        <w:t>, and maximising access to grants</w:t>
      </w:r>
      <w:r w:rsidR="007E3F2E" w:rsidRPr="00523556">
        <w:rPr>
          <w:rFonts w:ascii="Times New Roman" w:hAnsi="Times New Roman" w:cs="Times New Roman"/>
        </w:rPr>
        <w:t xml:space="preserve">. </w:t>
      </w:r>
      <w:r w:rsidRPr="00523556">
        <w:rPr>
          <w:rFonts w:ascii="Times New Roman" w:hAnsi="Times New Roman" w:cs="Times New Roman"/>
        </w:rPr>
        <w:t>Finally</w:t>
      </w:r>
      <w:r w:rsidR="007E3F2E" w:rsidRPr="00523556">
        <w:rPr>
          <w:rFonts w:ascii="Times New Roman" w:hAnsi="Times New Roman" w:cs="Times New Roman"/>
        </w:rPr>
        <w:t xml:space="preserve">, as GoU moves towards greater use of market-based financing, it will be increasingly important that investor perceptions and confidence in </w:t>
      </w:r>
      <w:r w:rsidR="00E81863" w:rsidRPr="00523556">
        <w:rPr>
          <w:rFonts w:ascii="Times New Roman" w:hAnsi="Times New Roman" w:cs="Times New Roman"/>
        </w:rPr>
        <w:t xml:space="preserve">GoU’s </w:t>
      </w:r>
      <w:r w:rsidR="0001134B" w:rsidRPr="00523556">
        <w:rPr>
          <w:rFonts w:ascii="Times New Roman" w:hAnsi="Times New Roman" w:cs="Times New Roman"/>
        </w:rPr>
        <w:t>fiscal plans are managed.</w:t>
      </w:r>
      <w:r w:rsidR="007E3F2E" w:rsidRPr="00523556">
        <w:rPr>
          <w:rFonts w:ascii="Times New Roman" w:hAnsi="Times New Roman" w:cs="Times New Roman"/>
        </w:rPr>
        <w:t xml:space="preserve"> </w:t>
      </w:r>
      <w:r w:rsidR="0001134B" w:rsidRPr="00523556">
        <w:rPr>
          <w:rFonts w:ascii="Times New Roman" w:hAnsi="Times New Roman" w:cs="Times New Roman"/>
        </w:rPr>
        <w:t>If</w:t>
      </w:r>
      <w:r w:rsidR="007E3F2E" w:rsidRPr="00523556">
        <w:rPr>
          <w:rFonts w:ascii="Times New Roman" w:hAnsi="Times New Roman" w:cs="Times New Roman"/>
        </w:rPr>
        <w:t xml:space="preserve"> GoU </w:t>
      </w:r>
      <w:r w:rsidR="0001134B" w:rsidRPr="00523556">
        <w:rPr>
          <w:rFonts w:ascii="Times New Roman" w:hAnsi="Times New Roman" w:cs="Times New Roman"/>
        </w:rPr>
        <w:t>were to undertake a significant expansion in public investment, resulting in an extended period of sizeable fiscal deficits prior to oil revenues coming on stream</w:t>
      </w:r>
      <w:r w:rsidR="007E3F2E" w:rsidRPr="00523556">
        <w:rPr>
          <w:rFonts w:ascii="Times New Roman" w:hAnsi="Times New Roman" w:cs="Times New Roman"/>
        </w:rPr>
        <w:t xml:space="preserve">, it </w:t>
      </w:r>
      <w:r w:rsidR="0001134B" w:rsidRPr="00523556">
        <w:rPr>
          <w:rFonts w:ascii="Times New Roman" w:hAnsi="Times New Roman" w:cs="Times New Roman"/>
        </w:rPr>
        <w:t xml:space="preserve">would </w:t>
      </w:r>
      <w:r w:rsidR="007E3F2E" w:rsidRPr="00523556">
        <w:rPr>
          <w:rFonts w:ascii="Times New Roman" w:hAnsi="Times New Roman" w:cs="Times New Roman"/>
        </w:rPr>
        <w:t xml:space="preserve">be vital </w:t>
      </w:r>
      <w:r w:rsidR="0001134B" w:rsidRPr="00523556">
        <w:rPr>
          <w:rFonts w:ascii="Times New Roman" w:hAnsi="Times New Roman" w:cs="Times New Roman"/>
        </w:rPr>
        <w:t>for GoU to build, maintain and communicate</w:t>
      </w:r>
      <w:r w:rsidR="007E3F2E" w:rsidRPr="00523556">
        <w:rPr>
          <w:rFonts w:ascii="Times New Roman" w:hAnsi="Times New Roman" w:cs="Times New Roman"/>
        </w:rPr>
        <w:t xml:space="preserve"> a strong and credible story around the effective management of debt, the use of issuance proceeds, and the promise that deficits will be unwound over time.</w:t>
      </w:r>
      <w:r w:rsidR="0031564C" w:rsidRPr="00523556">
        <w:rPr>
          <w:rFonts w:ascii="Times New Roman" w:hAnsi="Times New Roman" w:cs="Times New Roman"/>
        </w:rPr>
        <w:t xml:space="preserve"> </w:t>
      </w:r>
      <w:r w:rsidR="0031564C" w:rsidRPr="00523556">
        <w:rPr>
          <w:rFonts w:ascii="Times New Roman" w:hAnsi="Times New Roman" w:cs="Times New Roman"/>
        </w:rPr>
        <w:br w:type="page"/>
      </w:r>
    </w:p>
    <w:p w:rsidR="001C79EA" w:rsidRPr="00523556" w:rsidRDefault="00664BB0" w:rsidP="00E65A94">
      <w:pPr>
        <w:pStyle w:val="Heading1"/>
        <w:rPr>
          <w:rFonts w:ascii="Times New Roman" w:hAnsi="Times New Roman" w:cs="Times New Roman"/>
        </w:rPr>
      </w:pPr>
      <w:bookmarkStart w:id="5" w:name="_Toc383757436"/>
      <w:r w:rsidRPr="00523556">
        <w:rPr>
          <w:rFonts w:ascii="Times New Roman" w:hAnsi="Times New Roman" w:cs="Times New Roman"/>
        </w:rPr>
        <w:lastRenderedPageBreak/>
        <w:t xml:space="preserve">1. </w:t>
      </w:r>
      <w:r w:rsidR="00047BE9" w:rsidRPr="00523556">
        <w:rPr>
          <w:rFonts w:ascii="Times New Roman" w:hAnsi="Times New Roman" w:cs="Times New Roman"/>
        </w:rPr>
        <w:t>Introduction</w:t>
      </w:r>
      <w:bookmarkEnd w:id="5"/>
    </w:p>
    <w:p w:rsidR="0037021E" w:rsidRPr="00523556" w:rsidRDefault="00071C5C" w:rsidP="004223BD">
      <w:pPr>
        <w:jc w:val="both"/>
        <w:rPr>
          <w:rFonts w:ascii="Times New Roman" w:hAnsi="Times New Roman" w:cs="Times New Roman"/>
        </w:rPr>
      </w:pPr>
      <w:r w:rsidRPr="00523556">
        <w:rPr>
          <w:rFonts w:ascii="Times New Roman" w:hAnsi="Times New Roman" w:cs="Times New Roman"/>
        </w:rPr>
        <w:t xml:space="preserve">Until recently </w:t>
      </w:r>
      <w:r w:rsidR="00A25DC9" w:rsidRPr="00523556">
        <w:rPr>
          <w:rFonts w:ascii="Times New Roman" w:hAnsi="Times New Roman" w:cs="Times New Roman"/>
        </w:rPr>
        <w:t xml:space="preserve">Uganda’s budget deficits </w:t>
      </w:r>
      <w:r w:rsidRPr="00523556">
        <w:rPr>
          <w:rFonts w:ascii="Times New Roman" w:hAnsi="Times New Roman" w:cs="Times New Roman"/>
        </w:rPr>
        <w:t>were</w:t>
      </w:r>
      <w:r w:rsidR="00A25DC9" w:rsidRPr="00523556">
        <w:rPr>
          <w:rFonts w:ascii="Times New Roman" w:hAnsi="Times New Roman" w:cs="Times New Roman"/>
        </w:rPr>
        <w:t xml:space="preserve"> financed predominantly by concessional borrowing. However, Uganda has now entered a transitional period</w:t>
      </w:r>
      <w:r w:rsidR="00E65A94" w:rsidRPr="00523556">
        <w:rPr>
          <w:rFonts w:ascii="Times New Roman" w:hAnsi="Times New Roman" w:cs="Times New Roman"/>
        </w:rPr>
        <w:t xml:space="preserve"> </w:t>
      </w:r>
      <w:r w:rsidR="00A25DC9" w:rsidRPr="00523556">
        <w:rPr>
          <w:rFonts w:ascii="Times New Roman" w:hAnsi="Times New Roman" w:cs="Times New Roman"/>
        </w:rPr>
        <w:t xml:space="preserve">– in terms of both financing needs, and opportunities. Since </w:t>
      </w:r>
      <w:r w:rsidR="002D3830" w:rsidRPr="00523556">
        <w:rPr>
          <w:rFonts w:ascii="Times New Roman" w:hAnsi="Times New Roman" w:cs="Times New Roman"/>
        </w:rPr>
        <w:t xml:space="preserve">Fiscal Year </w:t>
      </w:r>
      <w:r w:rsidR="00A25DC9" w:rsidRPr="00523556">
        <w:rPr>
          <w:rFonts w:ascii="Times New Roman" w:hAnsi="Times New Roman" w:cs="Times New Roman"/>
        </w:rPr>
        <w:t xml:space="preserve">2009/10 </w:t>
      </w:r>
      <w:r w:rsidR="002D3830" w:rsidRPr="00523556">
        <w:rPr>
          <w:rFonts w:ascii="Times New Roman" w:hAnsi="Times New Roman" w:cs="Times New Roman"/>
        </w:rPr>
        <w:t xml:space="preserve">(FY09/10) </w:t>
      </w:r>
      <w:r w:rsidR="00A25DC9" w:rsidRPr="00523556">
        <w:rPr>
          <w:rFonts w:ascii="Times New Roman" w:hAnsi="Times New Roman" w:cs="Times New Roman"/>
        </w:rPr>
        <w:t>net financing requirements have consistently exceeded available concessional</w:t>
      </w:r>
      <w:r w:rsidRPr="00523556">
        <w:rPr>
          <w:rFonts w:ascii="Times New Roman" w:hAnsi="Times New Roman" w:cs="Times New Roman"/>
        </w:rPr>
        <w:t xml:space="preserve"> </w:t>
      </w:r>
      <w:r w:rsidR="004B383F" w:rsidRPr="00523556">
        <w:rPr>
          <w:rFonts w:ascii="Times New Roman" w:hAnsi="Times New Roman" w:cs="Times New Roman"/>
        </w:rPr>
        <w:t>lending</w:t>
      </w:r>
      <w:r w:rsidR="00A25DC9" w:rsidRPr="00523556">
        <w:rPr>
          <w:rFonts w:ascii="Times New Roman" w:hAnsi="Times New Roman" w:cs="Times New Roman"/>
        </w:rPr>
        <w:t xml:space="preserve"> – and </w:t>
      </w:r>
      <w:r w:rsidR="0001575C" w:rsidRPr="00523556">
        <w:rPr>
          <w:rFonts w:ascii="Times New Roman" w:hAnsi="Times New Roman" w:cs="Times New Roman"/>
        </w:rPr>
        <w:t xml:space="preserve">as the government continues to increase spending on infrastructure </w:t>
      </w:r>
      <w:r w:rsidR="00A25DC9" w:rsidRPr="00523556">
        <w:rPr>
          <w:rFonts w:ascii="Times New Roman" w:hAnsi="Times New Roman" w:cs="Times New Roman"/>
        </w:rPr>
        <w:t>this trend looks set to continue into the medium term.</w:t>
      </w:r>
      <w:r w:rsidR="00C3602A" w:rsidRPr="00523556">
        <w:rPr>
          <w:rStyle w:val="FootnoteReference"/>
          <w:rFonts w:ascii="Times New Roman" w:hAnsi="Times New Roman" w:cs="Times New Roman"/>
        </w:rPr>
        <w:footnoteReference w:id="1"/>
      </w:r>
      <w:r w:rsidR="00A25DC9" w:rsidRPr="00523556">
        <w:rPr>
          <w:rFonts w:ascii="Times New Roman" w:hAnsi="Times New Roman" w:cs="Times New Roman"/>
        </w:rPr>
        <w:t xml:space="preserve"> </w:t>
      </w:r>
    </w:p>
    <w:p w:rsidR="000A5863" w:rsidRPr="00523556" w:rsidRDefault="00A25DC9" w:rsidP="004223BD">
      <w:pPr>
        <w:jc w:val="both"/>
        <w:rPr>
          <w:rFonts w:ascii="Times New Roman" w:hAnsi="Times New Roman" w:cs="Times New Roman"/>
        </w:rPr>
      </w:pPr>
      <w:r w:rsidRPr="00523556">
        <w:rPr>
          <w:rFonts w:ascii="Times New Roman" w:hAnsi="Times New Roman" w:cs="Times New Roman"/>
        </w:rPr>
        <w:t xml:space="preserve">However, at the same time an increasing range of alternative, non-concessional financing options have begun to open up – both domestically, </w:t>
      </w:r>
      <w:r w:rsidR="002D3830" w:rsidRPr="00523556">
        <w:rPr>
          <w:rFonts w:ascii="Times New Roman" w:hAnsi="Times New Roman" w:cs="Times New Roman"/>
        </w:rPr>
        <w:t>as</w:t>
      </w:r>
      <w:r w:rsidR="0001575C" w:rsidRPr="00523556">
        <w:rPr>
          <w:rFonts w:ascii="Times New Roman" w:hAnsi="Times New Roman" w:cs="Times New Roman"/>
        </w:rPr>
        <w:t xml:space="preserve"> </w:t>
      </w:r>
      <w:r w:rsidRPr="00523556">
        <w:rPr>
          <w:rFonts w:ascii="Times New Roman" w:hAnsi="Times New Roman" w:cs="Times New Roman"/>
        </w:rPr>
        <w:t>the increasing development of the domestic financial sector</w:t>
      </w:r>
      <w:r w:rsidR="0001575C" w:rsidRPr="00523556">
        <w:rPr>
          <w:rFonts w:ascii="Times New Roman" w:hAnsi="Times New Roman" w:cs="Times New Roman"/>
        </w:rPr>
        <w:t xml:space="preserve"> </w:t>
      </w:r>
      <w:r w:rsidR="002D3830" w:rsidRPr="00523556">
        <w:rPr>
          <w:rFonts w:ascii="Times New Roman" w:hAnsi="Times New Roman" w:cs="Times New Roman"/>
        </w:rPr>
        <w:t>has expanded</w:t>
      </w:r>
      <w:r w:rsidR="0001575C" w:rsidRPr="00523556">
        <w:rPr>
          <w:rFonts w:ascii="Times New Roman" w:hAnsi="Times New Roman" w:cs="Times New Roman"/>
        </w:rPr>
        <w:t xml:space="preserve"> the opportunities for Treasury securities issuance</w:t>
      </w:r>
      <w:r w:rsidRPr="00523556">
        <w:rPr>
          <w:rFonts w:ascii="Times New Roman" w:hAnsi="Times New Roman" w:cs="Times New Roman"/>
        </w:rPr>
        <w:t xml:space="preserve">, and externally, reflecting the increased importance of non-traditional lenders and </w:t>
      </w:r>
      <w:r w:rsidR="008C6992" w:rsidRPr="00523556">
        <w:rPr>
          <w:rFonts w:ascii="Times New Roman" w:hAnsi="Times New Roman" w:cs="Times New Roman"/>
        </w:rPr>
        <w:t xml:space="preserve">market </w:t>
      </w:r>
      <w:r w:rsidRPr="00523556">
        <w:rPr>
          <w:rFonts w:ascii="Times New Roman" w:hAnsi="Times New Roman" w:cs="Times New Roman"/>
        </w:rPr>
        <w:t xml:space="preserve">appetite for </w:t>
      </w:r>
      <w:r w:rsidR="002D3830" w:rsidRPr="00523556">
        <w:rPr>
          <w:rFonts w:ascii="Times New Roman" w:hAnsi="Times New Roman" w:cs="Times New Roman"/>
        </w:rPr>
        <w:t>commercial lending to</w:t>
      </w:r>
      <w:r w:rsidRPr="00523556">
        <w:rPr>
          <w:rFonts w:ascii="Times New Roman" w:hAnsi="Times New Roman" w:cs="Times New Roman"/>
        </w:rPr>
        <w:t xml:space="preserve"> ‘frontier’ sovereign</w:t>
      </w:r>
      <w:r w:rsidR="0001575C" w:rsidRPr="00523556">
        <w:rPr>
          <w:rFonts w:ascii="Times New Roman" w:hAnsi="Times New Roman" w:cs="Times New Roman"/>
        </w:rPr>
        <w:t>s.</w:t>
      </w:r>
      <w:r w:rsidRPr="00523556">
        <w:rPr>
          <w:rFonts w:ascii="Times New Roman" w:hAnsi="Times New Roman" w:cs="Times New Roman"/>
        </w:rPr>
        <w:t xml:space="preserve"> </w:t>
      </w:r>
      <w:r w:rsidR="00CC27FA" w:rsidRPr="00523556">
        <w:rPr>
          <w:rFonts w:ascii="Times New Roman" w:hAnsi="Times New Roman" w:cs="Times New Roman"/>
        </w:rPr>
        <w:t>Since 2010 the Government of Uganda (GoU) has secured</w:t>
      </w:r>
      <w:r w:rsidR="009F0888" w:rsidRPr="00523556">
        <w:rPr>
          <w:rFonts w:ascii="Times New Roman" w:hAnsi="Times New Roman" w:cs="Times New Roman"/>
        </w:rPr>
        <w:t xml:space="preserve"> </w:t>
      </w:r>
      <w:r w:rsidR="00CC6B89" w:rsidRPr="00523556">
        <w:rPr>
          <w:rFonts w:ascii="Times New Roman" w:hAnsi="Times New Roman" w:cs="Times New Roman"/>
        </w:rPr>
        <w:t>increases</w:t>
      </w:r>
      <w:r w:rsidR="00CC27FA" w:rsidRPr="00523556">
        <w:rPr>
          <w:rFonts w:ascii="Times New Roman" w:hAnsi="Times New Roman" w:cs="Times New Roman"/>
        </w:rPr>
        <w:t xml:space="preserve"> </w:t>
      </w:r>
      <w:r w:rsidR="004D6CCC" w:rsidRPr="00523556">
        <w:rPr>
          <w:rFonts w:ascii="Times New Roman" w:hAnsi="Times New Roman" w:cs="Times New Roman"/>
        </w:rPr>
        <w:t>to</w:t>
      </w:r>
      <w:r w:rsidR="00CC27FA" w:rsidRPr="00523556">
        <w:rPr>
          <w:rFonts w:ascii="Times New Roman" w:hAnsi="Times New Roman" w:cs="Times New Roman"/>
        </w:rPr>
        <w:t xml:space="preserve"> the non-concessional external borrowing limit under the</w:t>
      </w:r>
      <w:r w:rsidR="004D6CCC" w:rsidRPr="00523556">
        <w:rPr>
          <w:rFonts w:ascii="Times New Roman" w:hAnsi="Times New Roman" w:cs="Times New Roman"/>
        </w:rPr>
        <w:t xml:space="preserve"> country’s</w:t>
      </w:r>
      <w:r w:rsidR="00CC27FA" w:rsidRPr="00523556">
        <w:rPr>
          <w:rFonts w:ascii="Times New Roman" w:hAnsi="Times New Roman" w:cs="Times New Roman"/>
        </w:rPr>
        <w:t xml:space="preserve"> </w:t>
      </w:r>
      <w:r w:rsidR="00B56731" w:rsidRPr="00523556">
        <w:rPr>
          <w:rFonts w:ascii="Times New Roman" w:hAnsi="Times New Roman" w:cs="Times New Roman"/>
        </w:rPr>
        <w:t>Policy Support Instrument</w:t>
      </w:r>
      <w:r w:rsidR="004D6CCC" w:rsidRPr="00523556">
        <w:rPr>
          <w:rFonts w:ascii="Times New Roman" w:hAnsi="Times New Roman" w:cs="Times New Roman"/>
        </w:rPr>
        <w:t xml:space="preserve"> with the </w:t>
      </w:r>
      <w:r w:rsidR="00CC27FA" w:rsidRPr="00523556">
        <w:rPr>
          <w:rFonts w:ascii="Times New Roman" w:hAnsi="Times New Roman" w:cs="Times New Roman"/>
        </w:rPr>
        <w:t>IMF</w:t>
      </w:r>
      <w:r w:rsidR="008C78ED" w:rsidRPr="00523556">
        <w:rPr>
          <w:rFonts w:ascii="Times New Roman" w:hAnsi="Times New Roman" w:cs="Times New Roman"/>
        </w:rPr>
        <w:t xml:space="preserve"> </w:t>
      </w:r>
      <w:r w:rsidR="00CC6B89" w:rsidRPr="00523556">
        <w:rPr>
          <w:rFonts w:ascii="Times New Roman" w:hAnsi="Times New Roman" w:cs="Times New Roman"/>
        </w:rPr>
        <w:t xml:space="preserve">from $500m to $2.2bn, </w:t>
      </w:r>
      <w:r w:rsidR="008C78ED" w:rsidRPr="00523556">
        <w:rPr>
          <w:rFonts w:ascii="Times New Roman" w:hAnsi="Times New Roman" w:cs="Times New Roman"/>
        </w:rPr>
        <w:t xml:space="preserve">to provide greater space to pursue non-concessional </w:t>
      </w:r>
      <w:r w:rsidR="00CC6B89" w:rsidRPr="00523556">
        <w:rPr>
          <w:rFonts w:ascii="Times New Roman" w:hAnsi="Times New Roman" w:cs="Times New Roman"/>
        </w:rPr>
        <w:t xml:space="preserve">external </w:t>
      </w:r>
      <w:r w:rsidR="008C78ED" w:rsidRPr="00523556">
        <w:rPr>
          <w:rFonts w:ascii="Times New Roman" w:hAnsi="Times New Roman" w:cs="Times New Roman"/>
        </w:rPr>
        <w:t>borrowing options</w:t>
      </w:r>
      <w:r w:rsidR="00CC27FA" w:rsidRPr="00523556">
        <w:rPr>
          <w:rFonts w:ascii="Times New Roman" w:hAnsi="Times New Roman" w:cs="Times New Roman"/>
        </w:rPr>
        <w:t>,</w:t>
      </w:r>
      <w:r w:rsidR="00E42FBD" w:rsidRPr="00523556">
        <w:rPr>
          <w:rStyle w:val="FootnoteReference"/>
          <w:rFonts w:ascii="Times New Roman" w:hAnsi="Times New Roman" w:cs="Times New Roman"/>
        </w:rPr>
        <w:footnoteReference w:id="2"/>
      </w:r>
      <w:r w:rsidR="00CC27FA" w:rsidRPr="00523556">
        <w:rPr>
          <w:rFonts w:ascii="Times New Roman" w:hAnsi="Times New Roman" w:cs="Times New Roman"/>
        </w:rPr>
        <w:t xml:space="preserve"> and </w:t>
      </w:r>
      <w:r w:rsidR="00335632" w:rsidRPr="00523556">
        <w:rPr>
          <w:rFonts w:ascii="Times New Roman" w:hAnsi="Times New Roman" w:cs="Times New Roman"/>
        </w:rPr>
        <w:t xml:space="preserve">in </w:t>
      </w:r>
      <w:r w:rsidR="00405100" w:rsidRPr="00523556">
        <w:rPr>
          <w:rFonts w:ascii="Times New Roman" w:hAnsi="Times New Roman" w:cs="Times New Roman"/>
        </w:rPr>
        <w:t>FY12/13 beg</w:t>
      </w:r>
      <w:r w:rsidR="00335632" w:rsidRPr="00523556">
        <w:rPr>
          <w:rFonts w:ascii="Times New Roman" w:hAnsi="Times New Roman" w:cs="Times New Roman"/>
        </w:rPr>
        <w:t>a</w:t>
      </w:r>
      <w:r w:rsidR="00405100" w:rsidRPr="00523556">
        <w:rPr>
          <w:rFonts w:ascii="Times New Roman" w:hAnsi="Times New Roman" w:cs="Times New Roman"/>
        </w:rPr>
        <w:t xml:space="preserve">n to issue </w:t>
      </w:r>
      <w:r w:rsidR="00CC27FA" w:rsidRPr="00523556">
        <w:rPr>
          <w:rFonts w:ascii="Times New Roman" w:hAnsi="Times New Roman" w:cs="Times New Roman"/>
        </w:rPr>
        <w:t>domestic debt explicitly for fiscal purposes</w:t>
      </w:r>
      <w:r w:rsidR="00405100" w:rsidRPr="00523556">
        <w:rPr>
          <w:rFonts w:ascii="Times New Roman" w:hAnsi="Times New Roman" w:cs="Times New Roman"/>
        </w:rPr>
        <w:t xml:space="preserve">. </w:t>
      </w:r>
    </w:p>
    <w:p w:rsidR="00C10FBC" w:rsidRPr="00523556" w:rsidRDefault="000A5863" w:rsidP="004223BD">
      <w:pPr>
        <w:jc w:val="both"/>
        <w:rPr>
          <w:rFonts w:ascii="Times New Roman" w:hAnsi="Times New Roman" w:cs="Times New Roman"/>
        </w:rPr>
      </w:pPr>
      <w:r w:rsidRPr="00523556">
        <w:rPr>
          <w:rFonts w:ascii="Times New Roman" w:hAnsi="Times New Roman" w:cs="Times New Roman"/>
        </w:rPr>
        <w:t>This expansion of Uganda’s deficit financing policy space brings both opportunities and risks – and presents the authorities with new challenges,</w:t>
      </w:r>
      <w:r w:rsidR="00405100" w:rsidRPr="00523556">
        <w:rPr>
          <w:rFonts w:ascii="Times New Roman" w:hAnsi="Times New Roman" w:cs="Times New Roman"/>
        </w:rPr>
        <w:t xml:space="preserve"> </w:t>
      </w:r>
      <w:r w:rsidRPr="00523556">
        <w:rPr>
          <w:rFonts w:ascii="Times New Roman" w:hAnsi="Times New Roman" w:cs="Times New Roman"/>
        </w:rPr>
        <w:t>to determine</w:t>
      </w:r>
      <w:r w:rsidR="00405100" w:rsidRPr="00523556">
        <w:rPr>
          <w:rFonts w:ascii="Times New Roman" w:hAnsi="Times New Roman" w:cs="Times New Roman"/>
        </w:rPr>
        <w:t xml:space="preserve"> the appropriate recourse to and mix </w:t>
      </w:r>
      <w:r w:rsidRPr="00523556">
        <w:rPr>
          <w:rFonts w:ascii="Times New Roman" w:hAnsi="Times New Roman" w:cs="Times New Roman"/>
        </w:rPr>
        <w:t>between</w:t>
      </w:r>
      <w:r w:rsidR="00405100" w:rsidRPr="00523556">
        <w:rPr>
          <w:rFonts w:ascii="Times New Roman" w:hAnsi="Times New Roman" w:cs="Times New Roman"/>
        </w:rPr>
        <w:t xml:space="preserve"> the various financing options</w:t>
      </w:r>
      <w:r w:rsidRPr="00523556">
        <w:rPr>
          <w:rFonts w:ascii="Times New Roman" w:hAnsi="Times New Roman" w:cs="Times New Roman"/>
        </w:rPr>
        <w:t>. Addressing these challenges</w:t>
      </w:r>
      <w:r w:rsidR="00405100" w:rsidRPr="00523556">
        <w:rPr>
          <w:rFonts w:ascii="Times New Roman" w:hAnsi="Times New Roman" w:cs="Times New Roman"/>
        </w:rPr>
        <w:t xml:space="preserve"> require</w:t>
      </w:r>
      <w:r w:rsidRPr="00523556">
        <w:rPr>
          <w:rFonts w:ascii="Times New Roman" w:hAnsi="Times New Roman" w:cs="Times New Roman"/>
        </w:rPr>
        <w:t>s</w:t>
      </w:r>
      <w:r w:rsidR="00405100" w:rsidRPr="00523556">
        <w:rPr>
          <w:rFonts w:ascii="Times New Roman" w:hAnsi="Times New Roman" w:cs="Times New Roman"/>
        </w:rPr>
        <w:t xml:space="preserve"> identifying the different costs, risks and broader impacts of each potential financing option, and </w:t>
      </w:r>
      <w:r w:rsidRPr="00523556">
        <w:rPr>
          <w:rFonts w:ascii="Times New Roman" w:hAnsi="Times New Roman" w:cs="Times New Roman"/>
        </w:rPr>
        <w:t xml:space="preserve">assessing </w:t>
      </w:r>
      <w:r w:rsidR="00405100" w:rsidRPr="00523556">
        <w:rPr>
          <w:rFonts w:ascii="Times New Roman" w:hAnsi="Times New Roman" w:cs="Times New Roman"/>
        </w:rPr>
        <w:t>the</w:t>
      </w:r>
      <w:r w:rsidRPr="00523556">
        <w:rPr>
          <w:rFonts w:ascii="Times New Roman" w:hAnsi="Times New Roman" w:cs="Times New Roman"/>
        </w:rPr>
        <w:t xml:space="preserve"> </w:t>
      </w:r>
      <w:r w:rsidR="00AA1D9A" w:rsidRPr="00523556">
        <w:rPr>
          <w:rFonts w:ascii="Times New Roman" w:hAnsi="Times New Roman" w:cs="Times New Roman"/>
        </w:rPr>
        <w:t>trade-offs</w:t>
      </w:r>
      <w:r w:rsidR="00405100" w:rsidRPr="00523556">
        <w:rPr>
          <w:rFonts w:ascii="Times New Roman" w:hAnsi="Times New Roman" w:cs="Times New Roman"/>
        </w:rPr>
        <w:t xml:space="preserve"> </w:t>
      </w:r>
      <w:r w:rsidR="00C61CB8" w:rsidRPr="00523556">
        <w:rPr>
          <w:rFonts w:ascii="Times New Roman" w:hAnsi="Times New Roman" w:cs="Times New Roman"/>
        </w:rPr>
        <w:t>between them</w:t>
      </w:r>
      <w:r w:rsidR="00A25DC9" w:rsidRPr="00523556">
        <w:rPr>
          <w:rFonts w:ascii="Times New Roman" w:hAnsi="Times New Roman" w:cs="Times New Roman"/>
        </w:rPr>
        <w:t xml:space="preserve">. </w:t>
      </w:r>
      <w:r w:rsidR="00F16C86" w:rsidRPr="00523556">
        <w:rPr>
          <w:rFonts w:ascii="Times New Roman" w:hAnsi="Times New Roman" w:cs="Times New Roman"/>
        </w:rPr>
        <w:t>This paper</w:t>
      </w:r>
      <w:r w:rsidR="00A6676D" w:rsidRPr="00523556">
        <w:rPr>
          <w:rFonts w:ascii="Times New Roman" w:hAnsi="Times New Roman" w:cs="Times New Roman"/>
        </w:rPr>
        <w:t xml:space="preserve"> </w:t>
      </w:r>
      <w:r w:rsidR="00464AFD" w:rsidRPr="00523556">
        <w:rPr>
          <w:rFonts w:ascii="Times New Roman" w:hAnsi="Times New Roman" w:cs="Times New Roman"/>
        </w:rPr>
        <w:t xml:space="preserve">aims to </w:t>
      </w:r>
      <w:r w:rsidR="00AE4622" w:rsidRPr="00523556">
        <w:rPr>
          <w:rFonts w:ascii="Times New Roman" w:hAnsi="Times New Roman" w:cs="Times New Roman"/>
        </w:rPr>
        <w:t xml:space="preserve">assist </w:t>
      </w:r>
      <w:r w:rsidR="00464AFD" w:rsidRPr="00523556">
        <w:rPr>
          <w:rFonts w:ascii="Times New Roman" w:hAnsi="Times New Roman" w:cs="Times New Roman"/>
        </w:rPr>
        <w:t xml:space="preserve">the authorities’ consideration of </w:t>
      </w:r>
      <w:r w:rsidR="00017E88" w:rsidRPr="00523556">
        <w:rPr>
          <w:rFonts w:ascii="Times New Roman" w:hAnsi="Times New Roman" w:cs="Times New Roman"/>
        </w:rPr>
        <w:t xml:space="preserve">these issues. It </w:t>
      </w:r>
      <w:r w:rsidR="00AE4622" w:rsidRPr="00523556">
        <w:rPr>
          <w:rFonts w:ascii="Times New Roman" w:hAnsi="Times New Roman" w:cs="Times New Roman"/>
        </w:rPr>
        <w:t>seeks</w:t>
      </w:r>
      <w:r w:rsidR="00506CDB" w:rsidRPr="00523556">
        <w:rPr>
          <w:rFonts w:ascii="Times New Roman" w:hAnsi="Times New Roman" w:cs="Times New Roman"/>
        </w:rPr>
        <w:t xml:space="preserve"> to complement </w:t>
      </w:r>
      <w:r w:rsidR="00DF6C57" w:rsidRPr="00523556">
        <w:rPr>
          <w:rFonts w:ascii="Times New Roman" w:hAnsi="Times New Roman" w:cs="Times New Roman"/>
        </w:rPr>
        <w:t xml:space="preserve">Ministry of Finance, Planning and Economic Development </w:t>
      </w:r>
      <w:r w:rsidR="00AA1D9A" w:rsidRPr="00523556">
        <w:rPr>
          <w:rFonts w:ascii="Times New Roman" w:hAnsi="Times New Roman" w:cs="Times New Roman"/>
        </w:rPr>
        <w:t>(</w:t>
      </w:r>
      <w:r w:rsidR="00DF6C57" w:rsidRPr="00523556">
        <w:rPr>
          <w:rFonts w:ascii="Times New Roman" w:hAnsi="Times New Roman" w:cs="Times New Roman"/>
        </w:rPr>
        <w:t>MoFPED</w:t>
      </w:r>
      <w:r w:rsidR="00AA1D9A" w:rsidRPr="00523556">
        <w:rPr>
          <w:rFonts w:ascii="Times New Roman" w:hAnsi="Times New Roman" w:cs="Times New Roman"/>
        </w:rPr>
        <w:t xml:space="preserve">) </w:t>
      </w:r>
      <w:r w:rsidR="00506CDB" w:rsidRPr="00523556">
        <w:rPr>
          <w:rFonts w:ascii="Times New Roman" w:hAnsi="Times New Roman" w:cs="Times New Roman"/>
        </w:rPr>
        <w:t>(2013</w:t>
      </w:r>
      <w:r w:rsidR="00DF6C57" w:rsidRPr="00523556">
        <w:rPr>
          <w:rFonts w:ascii="Times New Roman" w:hAnsi="Times New Roman" w:cs="Times New Roman"/>
        </w:rPr>
        <w:t>c</w:t>
      </w:r>
      <w:r w:rsidR="00506CDB" w:rsidRPr="00523556">
        <w:rPr>
          <w:rFonts w:ascii="Times New Roman" w:hAnsi="Times New Roman" w:cs="Times New Roman"/>
        </w:rPr>
        <w:t>)</w:t>
      </w:r>
      <w:r w:rsidR="005147BE" w:rsidRPr="00523556">
        <w:rPr>
          <w:rFonts w:ascii="Times New Roman" w:hAnsi="Times New Roman" w:cs="Times New Roman"/>
        </w:rPr>
        <w:t>’s</w:t>
      </w:r>
      <w:r w:rsidR="00506CDB" w:rsidRPr="00523556">
        <w:rPr>
          <w:rFonts w:ascii="Times New Roman" w:hAnsi="Times New Roman" w:cs="Times New Roman"/>
        </w:rPr>
        <w:t xml:space="preserve"> </w:t>
      </w:r>
      <w:r w:rsidR="000306CD" w:rsidRPr="00523556">
        <w:rPr>
          <w:rFonts w:ascii="Times New Roman" w:hAnsi="Times New Roman" w:cs="Times New Roman"/>
        </w:rPr>
        <w:t xml:space="preserve">overview </w:t>
      </w:r>
      <w:r w:rsidR="005147BE" w:rsidRPr="00523556">
        <w:rPr>
          <w:rFonts w:ascii="Times New Roman" w:hAnsi="Times New Roman" w:cs="Times New Roman"/>
        </w:rPr>
        <w:t>of</w:t>
      </w:r>
      <w:r w:rsidR="00506CDB" w:rsidRPr="00523556">
        <w:rPr>
          <w:rFonts w:ascii="Times New Roman" w:hAnsi="Times New Roman" w:cs="Times New Roman"/>
        </w:rPr>
        <w:t xml:space="preserve"> </w:t>
      </w:r>
      <w:r w:rsidR="001C3613" w:rsidRPr="00523556">
        <w:rPr>
          <w:rFonts w:ascii="Times New Roman" w:hAnsi="Times New Roman" w:cs="Times New Roman"/>
        </w:rPr>
        <w:t>Uganda’s medium- and long-term fiscal policy options</w:t>
      </w:r>
      <w:r w:rsidR="006E6D0C" w:rsidRPr="00523556">
        <w:rPr>
          <w:rFonts w:ascii="Times New Roman" w:hAnsi="Times New Roman" w:cs="Times New Roman"/>
        </w:rPr>
        <w:t xml:space="preserve"> and their macroeconomic implications</w:t>
      </w:r>
      <w:r w:rsidR="001C3613" w:rsidRPr="00523556">
        <w:rPr>
          <w:rFonts w:ascii="Times New Roman" w:hAnsi="Times New Roman" w:cs="Times New Roman"/>
        </w:rPr>
        <w:t xml:space="preserve">, </w:t>
      </w:r>
      <w:r w:rsidR="00506CDB" w:rsidRPr="00523556">
        <w:rPr>
          <w:rFonts w:ascii="Times New Roman" w:hAnsi="Times New Roman" w:cs="Times New Roman"/>
        </w:rPr>
        <w:t>and</w:t>
      </w:r>
      <w:r w:rsidR="001C3613" w:rsidRPr="00523556">
        <w:rPr>
          <w:rFonts w:ascii="Times New Roman" w:hAnsi="Times New Roman" w:cs="Times New Roman"/>
        </w:rPr>
        <w:t xml:space="preserve"> </w:t>
      </w:r>
      <w:r w:rsidR="00506CDB" w:rsidRPr="00523556">
        <w:rPr>
          <w:rFonts w:ascii="Times New Roman" w:hAnsi="Times New Roman" w:cs="Times New Roman"/>
        </w:rPr>
        <w:t>Adam</w:t>
      </w:r>
      <w:r w:rsidR="001C3613" w:rsidRPr="00523556">
        <w:rPr>
          <w:rFonts w:ascii="Times New Roman" w:hAnsi="Times New Roman" w:cs="Times New Roman"/>
        </w:rPr>
        <w:t xml:space="preserve"> and Bevan (2013)</w:t>
      </w:r>
      <w:r w:rsidR="005147BE" w:rsidRPr="00523556">
        <w:rPr>
          <w:rFonts w:ascii="Times New Roman" w:hAnsi="Times New Roman" w:cs="Times New Roman"/>
        </w:rPr>
        <w:t>’s</w:t>
      </w:r>
      <w:r w:rsidR="001C3613" w:rsidRPr="00523556">
        <w:rPr>
          <w:rFonts w:ascii="Times New Roman" w:hAnsi="Times New Roman" w:cs="Times New Roman"/>
        </w:rPr>
        <w:t xml:space="preserve"> </w:t>
      </w:r>
      <w:r w:rsidR="005147BE" w:rsidRPr="00523556">
        <w:rPr>
          <w:rFonts w:ascii="Times New Roman" w:hAnsi="Times New Roman" w:cs="Times New Roman"/>
        </w:rPr>
        <w:t xml:space="preserve">analysis of </w:t>
      </w:r>
      <w:r w:rsidR="006E6D0C" w:rsidRPr="00523556">
        <w:rPr>
          <w:rFonts w:ascii="Times New Roman" w:hAnsi="Times New Roman" w:cs="Times New Roman"/>
        </w:rPr>
        <w:t xml:space="preserve">the interaction between </w:t>
      </w:r>
      <w:r w:rsidR="005147BE" w:rsidRPr="00523556">
        <w:rPr>
          <w:rFonts w:ascii="Times New Roman" w:hAnsi="Times New Roman" w:cs="Times New Roman"/>
        </w:rPr>
        <w:t>public investment</w:t>
      </w:r>
      <w:r w:rsidR="006E6D0C" w:rsidRPr="00523556">
        <w:rPr>
          <w:rFonts w:ascii="Times New Roman" w:hAnsi="Times New Roman" w:cs="Times New Roman"/>
        </w:rPr>
        <w:t>, broader</w:t>
      </w:r>
      <w:r w:rsidR="005147BE" w:rsidRPr="00523556">
        <w:rPr>
          <w:rFonts w:ascii="Times New Roman" w:hAnsi="Times New Roman" w:cs="Times New Roman"/>
        </w:rPr>
        <w:t xml:space="preserve"> </w:t>
      </w:r>
      <w:r w:rsidR="00125C6E" w:rsidRPr="00523556">
        <w:rPr>
          <w:rFonts w:ascii="Times New Roman" w:hAnsi="Times New Roman" w:cs="Times New Roman"/>
        </w:rPr>
        <w:t xml:space="preserve">fiscal policy </w:t>
      </w:r>
      <w:r w:rsidR="006E6D0C" w:rsidRPr="00523556">
        <w:rPr>
          <w:rFonts w:ascii="Times New Roman" w:hAnsi="Times New Roman" w:cs="Times New Roman"/>
        </w:rPr>
        <w:t>and the macroeconomy</w:t>
      </w:r>
      <w:r w:rsidR="00AE4622" w:rsidRPr="00523556">
        <w:rPr>
          <w:rFonts w:ascii="Times New Roman" w:hAnsi="Times New Roman" w:cs="Times New Roman"/>
        </w:rPr>
        <w:t>,</w:t>
      </w:r>
      <w:r w:rsidR="00125C6E" w:rsidRPr="00523556">
        <w:rPr>
          <w:rFonts w:ascii="Times New Roman" w:hAnsi="Times New Roman" w:cs="Times New Roman"/>
        </w:rPr>
        <w:t xml:space="preserve"> b</w:t>
      </w:r>
      <w:r w:rsidR="000306CD" w:rsidRPr="00523556">
        <w:rPr>
          <w:rFonts w:ascii="Times New Roman" w:hAnsi="Times New Roman" w:cs="Times New Roman"/>
        </w:rPr>
        <w:t>y</w:t>
      </w:r>
      <w:r w:rsidR="00AA1D9A" w:rsidRPr="00523556">
        <w:rPr>
          <w:rFonts w:ascii="Times New Roman" w:hAnsi="Times New Roman" w:cs="Times New Roman"/>
        </w:rPr>
        <w:t xml:space="preserve"> </w:t>
      </w:r>
      <w:r w:rsidR="00125C6E" w:rsidRPr="00523556">
        <w:rPr>
          <w:rFonts w:ascii="Times New Roman" w:hAnsi="Times New Roman" w:cs="Times New Roman"/>
        </w:rPr>
        <w:t xml:space="preserve">focusing on ‘below-the-line’ issues of </w:t>
      </w:r>
      <w:r w:rsidR="00E8067F" w:rsidRPr="00523556">
        <w:rPr>
          <w:rFonts w:ascii="Times New Roman" w:hAnsi="Times New Roman" w:cs="Times New Roman"/>
        </w:rPr>
        <w:t>financing fiscal deficits</w:t>
      </w:r>
      <w:r w:rsidR="00DB58F4" w:rsidRPr="00523556">
        <w:rPr>
          <w:rFonts w:ascii="Times New Roman" w:hAnsi="Times New Roman" w:cs="Times New Roman"/>
        </w:rPr>
        <w:t xml:space="preserve">. </w:t>
      </w:r>
    </w:p>
    <w:p w:rsidR="006511BA" w:rsidRPr="00523556" w:rsidRDefault="00DB58F4" w:rsidP="004223BD">
      <w:pPr>
        <w:jc w:val="both"/>
        <w:rPr>
          <w:rFonts w:ascii="Times New Roman" w:hAnsi="Times New Roman" w:cs="Times New Roman"/>
        </w:rPr>
      </w:pPr>
      <w:r w:rsidRPr="00523556">
        <w:rPr>
          <w:rFonts w:ascii="Times New Roman" w:hAnsi="Times New Roman" w:cs="Times New Roman"/>
        </w:rPr>
        <w:t>The specific period considered in this paper is from FY13/14 to FY19/20 – i.e. out to the end of the next five-year National Development Plan</w:t>
      </w:r>
      <w:r w:rsidR="00E41E27" w:rsidRPr="00523556">
        <w:rPr>
          <w:rFonts w:ascii="Times New Roman" w:hAnsi="Times New Roman" w:cs="Times New Roman"/>
        </w:rPr>
        <w:t xml:space="preserve"> (NDP)</w:t>
      </w:r>
      <w:r w:rsidRPr="00523556">
        <w:rPr>
          <w:rFonts w:ascii="Times New Roman" w:hAnsi="Times New Roman" w:cs="Times New Roman"/>
        </w:rPr>
        <w:t xml:space="preserve">. </w:t>
      </w:r>
      <w:r w:rsidR="006E6D0C" w:rsidRPr="00523556">
        <w:rPr>
          <w:rFonts w:ascii="Times New Roman" w:hAnsi="Times New Roman" w:cs="Times New Roman"/>
        </w:rPr>
        <w:t>Th</w:t>
      </w:r>
      <w:r w:rsidR="00E41E27" w:rsidRPr="00523556">
        <w:rPr>
          <w:rFonts w:ascii="Times New Roman" w:hAnsi="Times New Roman" w:cs="Times New Roman"/>
        </w:rPr>
        <w:t>e</w:t>
      </w:r>
      <w:r w:rsidR="006E6D0C" w:rsidRPr="00523556">
        <w:rPr>
          <w:rFonts w:ascii="Times New Roman" w:hAnsi="Times New Roman" w:cs="Times New Roman"/>
        </w:rPr>
        <w:t xml:space="preserve"> paper aims to set out considerations that can </w:t>
      </w:r>
      <w:r w:rsidR="00E14EEC" w:rsidRPr="00523556">
        <w:rPr>
          <w:rFonts w:ascii="Times New Roman" w:hAnsi="Times New Roman" w:cs="Times New Roman"/>
        </w:rPr>
        <w:t>help guide</w:t>
      </w:r>
      <w:r w:rsidR="006E6D0C" w:rsidRPr="00523556">
        <w:rPr>
          <w:rFonts w:ascii="Times New Roman" w:hAnsi="Times New Roman" w:cs="Times New Roman"/>
        </w:rPr>
        <w:t xml:space="preserve"> financing decisions regardless of the precise path for the fiscal deficit over this period. </w:t>
      </w:r>
      <w:r w:rsidR="00E14EEC" w:rsidRPr="00523556">
        <w:rPr>
          <w:rFonts w:ascii="Times New Roman" w:hAnsi="Times New Roman" w:cs="Times New Roman"/>
        </w:rPr>
        <w:t xml:space="preserve">However, </w:t>
      </w:r>
      <w:r w:rsidR="00E41E27" w:rsidRPr="00523556">
        <w:rPr>
          <w:rFonts w:ascii="Times New Roman" w:hAnsi="Times New Roman" w:cs="Times New Roman"/>
        </w:rPr>
        <w:t xml:space="preserve">MoFPED (2013c) is used as </w:t>
      </w:r>
      <w:r w:rsidR="00E14EEC" w:rsidRPr="00523556">
        <w:rPr>
          <w:rFonts w:ascii="Times New Roman" w:hAnsi="Times New Roman" w:cs="Times New Roman"/>
        </w:rPr>
        <w:t xml:space="preserve">a </w:t>
      </w:r>
      <w:r w:rsidR="00E41E27" w:rsidRPr="00523556">
        <w:rPr>
          <w:rFonts w:ascii="Times New Roman" w:hAnsi="Times New Roman" w:cs="Times New Roman"/>
        </w:rPr>
        <w:t>practical</w:t>
      </w:r>
      <w:r w:rsidR="00E14EEC" w:rsidRPr="00523556">
        <w:rPr>
          <w:rFonts w:ascii="Times New Roman" w:hAnsi="Times New Roman" w:cs="Times New Roman"/>
        </w:rPr>
        <w:t xml:space="preserve"> frame of reference </w:t>
      </w:r>
      <w:r w:rsidR="00E41E27" w:rsidRPr="00523556">
        <w:rPr>
          <w:rFonts w:ascii="Times New Roman" w:hAnsi="Times New Roman" w:cs="Times New Roman"/>
        </w:rPr>
        <w:t>for some quantitative discussions; it</w:t>
      </w:r>
      <w:r w:rsidR="00E14EEC" w:rsidRPr="00523556">
        <w:rPr>
          <w:rFonts w:ascii="Times New Roman" w:hAnsi="Times New Roman" w:cs="Times New Roman"/>
        </w:rPr>
        <w:t xml:space="preserve"> shows that delivering the full extent of GoU’s public investment goals </w:t>
      </w:r>
      <w:r w:rsidR="00E41E27" w:rsidRPr="00523556">
        <w:rPr>
          <w:rFonts w:ascii="Times New Roman" w:hAnsi="Times New Roman" w:cs="Times New Roman"/>
        </w:rPr>
        <w:t>over the</w:t>
      </w:r>
      <w:r w:rsidR="00E14EEC" w:rsidRPr="00523556">
        <w:rPr>
          <w:rFonts w:ascii="Times New Roman" w:hAnsi="Times New Roman" w:cs="Times New Roman"/>
        </w:rPr>
        <w:t xml:space="preserve"> period</w:t>
      </w:r>
      <w:r w:rsidR="00E41E27" w:rsidRPr="00523556">
        <w:rPr>
          <w:rFonts w:ascii="Times New Roman" w:hAnsi="Times New Roman" w:cs="Times New Roman"/>
        </w:rPr>
        <w:t xml:space="preserve"> to the end of the next NDP</w:t>
      </w:r>
      <w:r w:rsidR="00E14EEC" w:rsidRPr="00523556">
        <w:rPr>
          <w:rFonts w:ascii="Times New Roman" w:hAnsi="Times New Roman" w:cs="Times New Roman"/>
        </w:rPr>
        <w:t xml:space="preserve">, </w:t>
      </w:r>
      <w:r w:rsidRPr="00523556">
        <w:rPr>
          <w:rFonts w:ascii="Times New Roman" w:hAnsi="Times New Roman" w:cs="Times New Roman"/>
        </w:rPr>
        <w:t xml:space="preserve">even if ambitious domestic revenue goals are achieved, </w:t>
      </w:r>
      <w:r w:rsidR="00D921A4" w:rsidRPr="00523556">
        <w:rPr>
          <w:rFonts w:ascii="Times New Roman" w:hAnsi="Times New Roman" w:cs="Times New Roman"/>
        </w:rPr>
        <w:t>would imply</w:t>
      </w:r>
      <w:r w:rsidRPr="00523556">
        <w:rPr>
          <w:rFonts w:ascii="Times New Roman" w:hAnsi="Times New Roman" w:cs="Times New Roman"/>
        </w:rPr>
        <w:t xml:space="preserve"> </w:t>
      </w:r>
      <w:r w:rsidR="00AA1D9A" w:rsidRPr="00523556">
        <w:rPr>
          <w:rFonts w:ascii="Times New Roman" w:hAnsi="Times New Roman" w:cs="Times New Roman"/>
        </w:rPr>
        <w:t xml:space="preserve">a need to finance </w:t>
      </w:r>
      <w:r w:rsidRPr="00523556">
        <w:rPr>
          <w:rFonts w:ascii="Times New Roman" w:hAnsi="Times New Roman" w:cs="Times New Roman"/>
        </w:rPr>
        <w:t xml:space="preserve">a </w:t>
      </w:r>
      <w:r w:rsidR="00AA1D9A" w:rsidRPr="00523556">
        <w:rPr>
          <w:rFonts w:ascii="Times New Roman" w:hAnsi="Times New Roman" w:cs="Times New Roman"/>
        </w:rPr>
        <w:t xml:space="preserve">series of </w:t>
      </w:r>
      <w:r w:rsidR="00D76F2B" w:rsidRPr="00523556">
        <w:rPr>
          <w:rFonts w:ascii="Times New Roman" w:hAnsi="Times New Roman" w:cs="Times New Roman"/>
        </w:rPr>
        <w:t>elevated</w:t>
      </w:r>
      <w:r w:rsidRPr="00523556">
        <w:rPr>
          <w:rFonts w:ascii="Times New Roman" w:hAnsi="Times New Roman" w:cs="Times New Roman"/>
        </w:rPr>
        <w:t xml:space="preserve"> fiscal deficit</w:t>
      </w:r>
      <w:r w:rsidR="00AA1D9A" w:rsidRPr="00523556">
        <w:rPr>
          <w:rFonts w:ascii="Times New Roman" w:hAnsi="Times New Roman" w:cs="Times New Roman"/>
        </w:rPr>
        <w:t>s</w:t>
      </w:r>
      <w:r w:rsidRPr="00523556">
        <w:rPr>
          <w:rFonts w:ascii="Times New Roman" w:hAnsi="Times New Roman" w:cs="Times New Roman"/>
        </w:rPr>
        <w:t xml:space="preserve"> before oil revenues come on stream around the end of the decade.</w:t>
      </w:r>
      <w:r w:rsidR="00E14EEC" w:rsidRPr="00523556">
        <w:rPr>
          <w:rStyle w:val="FootnoteReference"/>
          <w:rFonts w:ascii="Times New Roman" w:hAnsi="Times New Roman" w:cs="Times New Roman"/>
        </w:rPr>
        <w:footnoteReference w:id="3"/>
      </w:r>
      <w:r w:rsidR="000306CD" w:rsidRPr="00523556">
        <w:rPr>
          <w:rFonts w:ascii="Times New Roman" w:hAnsi="Times New Roman" w:cs="Times New Roman"/>
        </w:rPr>
        <w:t xml:space="preserve"> </w:t>
      </w:r>
    </w:p>
    <w:p w:rsidR="00902484" w:rsidRPr="00523556" w:rsidRDefault="00895E41" w:rsidP="00902484">
      <w:pPr>
        <w:jc w:val="both"/>
        <w:rPr>
          <w:rFonts w:ascii="Times New Roman" w:hAnsi="Times New Roman" w:cs="Times New Roman"/>
        </w:rPr>
      </w:pPr>
      <w:r w:rsidRPr="00523556">
        <w:rPr>
          <w:rFonts w:ascii="Times New Roman" w:hAnsi="Times New Roman" w:cs="Times New Roman"/>
        </w:rPr>
        <w:t xml:space="preserve">Whilst this paper </w:t>
      </w:r>
      <w:r w:rsidR="00AA1D9A" w:rsidRPr="00523556">
        <w:rPr>
          <w:rFonts w:ascii="Times New Roman" w:hAnsi="Times New Roman" w:cs="Times New Roman"/>
        </w:rPr>
        <w:t>focus</w:t>
      </w:r>
      <w:r w:rsidR="00850273" w:rsidRPr="00523556">
        <w:rPr>
          <w:rFonts w:ascii="Times New Roman" w:hAnsi="Times New Roman" w:cs="Times New Roman"/>
        </w:rPr>
        <w:t>es</w:t>
      </w:r>
      <w:r w:rsidRPr="00523556">
        <w:rPr>
          <w:rFonts w:ascii="Times New Roman" w:hAnsi="Times New Roman" w:cs="Times New Roman"/>
        </w:rPr>
        <w:t xml:space="preserve"> on below-the-line</w:t>
      </w:r>
      <w:r w:rsidR="006E6D0C" w:rsidRPr="00523556">
        <w:rPr>
          <w:rFonts w:ascii="Times New Roman" w:hAnsi="Times New Roman" w:cs="Times New Roman"/>
        </w:rPr>
        <w:t xml:space="preserve"> </w:t>
      </w:r>
      <w:r w:rsidRPr="00523556">
        <w:rPr>
          <w:rFonts w:ascii="Times New Roman" w:hAnsi="Times New Roman" w:cs="Times New Roman"/>
        </w:rPr>
        <w:t xml:space="preserve">issues, it is important to note the broader fiscal issues around infrastructure financing, the total size of the deficit and debt, and debt </w:t>
      </w:r>
      <w:r w:rsidRPr="00523556">
        <w:rPr>
          <w:rFonts w:ascii="Times New Roman" w:hAnsi="Times New Roman" w:cs="Times New Roman"/>
        </w:rPr>
        <w:lastRenderedPageBreak/>
        <w:t>sustainability.</w:t>
      </w:r>
      <w:r w:rsidR="00AA1D9A" w:rsidRPr="00523556">
        <w:rPr>
          <w:rFonts w:ascii="Times New Roman" w:hAnsi="Times New Roman" w:cs="Times New Roman"/>
        </w:rPr>
        <w:t xml:space="preserve"> T</w:t>
      </w:r>
      <w:r w:rsidR="00D67A53" w:rsidRPr="00523556">
        <w:rPr>
          <w:rFonts w:ascii="Times New Roman" w:hAnsi="Times New Roman" w:cs="Times New Roman"/>
        </w:rPr>
        <w:t xml:space="preserve">here are a </w:t>
      </w:r>
      <w:r w:rsidR="00902484" w:rsidRPr="00523556">
        <w:rPr>
          <w:rFonts w:ascii="Times New Roman" w:hAnsi="Times New Roman" w:cs="Times New Roman"/>
        </w:rPr>
        <w:t xml:space="preserve">variety of options available to GoU to </w:t>
      </w:r>
      <w:r w:rsidR="00D67A53" w:rsidRPr="00523556">
        <w:rPr>
          <w:rFonts w:ascii="Times New Roman" w:hAnsi="Times New Roman" w:cs="Times New Roman"/>
        </w:rPr>
        <w:t>help finance an expansion of infrastructure investment</w:t>
      </w:r>
      <w:r w:rsidR="00902484" w:rsidRPr="00523556">
        <w:rPr>
          <w:rFonts w:ascii="Times New Roman" w:hAnsi="Times New Roman" w:cs="Times New Roman"/>
        </w:rPr>
        <w:t xml:space="preserve">, </w:t>
      </w:r>
      <w:r w:rsidR="00850273" w:rsidRPr="00523556">
        <w:rPr>
          <w:rFonts w:ascii="Times New Roman" w:hAnsi="Times New Roman" w:cs="Times New Roman"/>
        </w:rPr>
        <w:t>before</w:t>
      </w:r>
      <w:r w:rsidR="00902484" w:rsidRPr="00523556">
        <w:rPr>
          <w:rFonts w:ascii="Times New Roman" w:hAnsi="Times New Roman" w:cs="Times New Roman"/>
        </w:rPr>
        <w:t xml:space="preserve"> </w:t>
      </w:r>
      <w:r w:rsidR="00850273" w:rsidRPr="00523556">
        <w:rPr>
          <w:rFonts w:ascii="Times New Roman" w:hAnsi="Times New Roman" w:cs="Times New Roman"/>
        </w:rPr>
        <w:t>recourse to additional borrowing</w:t>
      </w:r>
      <w:r w:rsidR="00902484" w:rsidRPr="00523556">
        <w:rPr>
          <w:rFonts w:ascii="Times New Roman" w:hAnsi="Times New Roman" w:cs="Times New Roman"/>
        </w:rPr>
        <w:t xml:space="preserve">: </w:t>
      </w:r>
      <w:r w:rsidR="00AA1D9A" w:rsidRPr="00523556">
        <w:rPr>
          <w:rFonts w:ascii="Times New Roman" w:hAnsi="Times New Roman" w:cs="Times New Roman"/>
        </w:rPr>
        <w:t xml:space="preserve">for example, </w:t>
      </w:r>
      <w:r w:rsidR="00902484" w:rsidRPr="00523556">
        <w:rPr>
          <w:rFonts w:ascii="Times New Roman" w:hAnsi="Times New Roman" w:cs="Times New Roman"/>
        </w:rPr>
        <w:t xml:space="preserve">private sector involvement through </w:t>
      </w:r>
      <w:r w:rsidR="008F6824" w:rsidRPr="00523556">
        <w:rPr>
          <w:rFonts w:ascii="Times New Roman" w:hAnsi="Times New Roman" w:cs="Times New Roman"/>
        </w:rPr>
        <w:t>Public-Private Partnerships (</w:t>
      </w:r>
      <w:r w:rsidR="00902484" w:rsidRPr="00523556">
        <w:rPr>
          <w:rFonts w:ascii="Times New Roman" w:hAnsi="Times New Roman" w:cs="Times New Roman"/>
        </w:rPr>
        <w:t>PPPs</w:t>
      </w:r>
      <w:r w:rsidR="008F6824" w:rsidRPr="00523556">
        <w:rPr>
          <w:rFonts w:ascii="Times New Roman" w:hAnsi="Times New Roman" w:cs="Times New Roman"/>
        </w:rPr>
        <w:t>)</w:t>
      </w:r>
      <w:r w:rsidR="00902484" w:rsidRPr="00523556">
        <w:rPr>
          <w:rFonts w:ascii="Times New Roman" w:hAnsi="Times New Roman" w:cs="Times New Roman"/>
        </w:rPr>
        <w:t xml:space="preserve"> will limit the </w:t>
      </w:r>
      <w:r w:rsidR="00D67A53" w:rsidRPr="00523556">
        <w:rPr>
          <w:rFonts w:ascii="Times New Roman" w:hAnsi="Times New Roman" w:cs="Times New Roman"/>
        </w:rPr>
        <w:t xml:space="preserve">volume of </w:t>
      </w:r>
      <w:r w:rsidR="00590EC7" w:rsidRPr="00523556">
        <w:rPr>
          <w:rFonts w:ascii="Times New Roman" w:hAnsi="Times New Roman" w:cs="Times New Roman"/>
        </w:rPr>
        <w:t xml:space="preserve">investment </w:t>
      </w:r>
      <w:r w:rsidR="00850273" w:rsidRPr="00523556">
        <w:rPr>
          <w:rFonts w:ascii="Times New Roman" w:hAnsi="Times New Roman" w:cs="Times New Roman"/>
        </w:rPr>
        <w:t xml:space="preserve">required of </w:t>
      </w:r>
      <w:r w:rsidR="00902484" w:rsidRPr="00523556">
        <w:rPr>
          <w:rFonts w:ascii="Times New Roman" w:hAnsi="Times New Roman" w:cs="Times New Roman"/>
        </w:rPr>
        <w:t xml:space="preserve">government; re-balancing budgetary priorities and improving value for money across government expenditures </w:t>
      </w:r>
      <w:r w:rsidR="00D67A53" w:rsidRPr="00523556">
        <w:rPr>
          <w:rFonts w:ascii="Times New Roman" w:hAnsi="Times New Roman" w:cs="Times New Roman"/>
        </w:rPr>
        <w:t xml:space="preserve">would </w:t>
      </w:r>
      <w:r w:rsidR="00902484" w:rsidRPr="00523556">
        <w:rPr>
          <w:rFonts w:ascii="Times New Roman" w:hAnsi="Times New Roman" w:cs="Times New Roman"/>
        </w:rPr>
        <w:t xml:space="preserve">free up more resources </w:t>
      </w:r>
      <w:r w:rsidR="00D67A53" w:rsidRPr="00523556">
        <w:rPr>
          <w:rFonts w:ascii="Times New Roman" w:hAnsi="Times New Roman" w:cs="Times New Roman"/>
        </w:rPr>
        <w:t xml:space="preserve">for GoU </w:t>
      </w:r>
      <w:r w:rsidR="00902484" w:rsidRPr="00523556">
        <w:rPr>
          <w:rFonts w:ascii="Times New Roman" w:hAnsi="Times New Roman" w:cs="Times New Roman"/>
        </w:rPr>
        <w:t>to spend on infrastructure</w:t>
      </w:r>
      <w:r w:rsidR="00D67A53" w:rsidRPr="00523556">
        <w:rPr>
          <w:rFonts w:ascii="Times New Roman" w:hAnsi="Times New Roman" w:cs="Times New Roman"/>
        </w:rPr>
        <w:t>, for any given level of</w:t>
      </w:r>
      <w:r w:rsidR="00902484" w:rsidRPr="00523556">
        <w:rPr>
          <w:rFonts w:ascii="Times New Roman" w:hAnsi="Times New Roman" w:cs="Times New Roman"/>
        </w:rPr>
        <w:t xml:space="preserve"> total government expenditure; and increasing tax </w:t>
      </w:r>
      <w:r w:rsidR="00FD3BAE" w:rsidRPr="00523556">
        <w:rPr>
          <w:rFonts w:ascii="Times New Roman" w:hAnsi="Times New Roman" w:cs="Times New Roman"/>
        </w:rPr>
        <w:t xml:space="preserve">and </w:t>
      </w:r>
      <w:r w:rsidR="00902484" w:rsidRPr="00523556">
        <w:rPr>
          <w:rFonts w:ascii="Times New Roman" w:hAnsi="Times New Roman" w:cs="Times New Roman"/>
        </w:rPr>
        <w:t xml:space="preserve">non-tax revenues will allow total government expenditure to </w:t>
      </w:r>
      <w:r w:rsidR="00D67A53" w:rsidRPr="00523556">
        <w:rPr>
          <w:rFonts w:ascii="Times New Roman" w:hAnsi="Times New Roman" w:cs="Times New Roman"/>
        </w:rPr>
        <w:t xml:space="preserve">expand </w:t>
      </w:r>
      <w:r w:rsidR="00902484" w:rsidRPr="00523556">
        <w:rPr>
          <w:rFonts w:ascii="Times New Roman" w:hAnsi="Times New Roman" w:cs="Times New Roman"/>
        </w:rPr>
        <w:t xml:space="preserve">without widening the </w:t>
      </w:r>
      <w:r w:rsidR="00D67A53" w:rsidRPr="00523556">
        <w:rPr>
          <w:rFonts w:ascii="Times New Roman" w:hAnsi="Times New Roman" w:cs="Times New Roman"/>
        </w:rPr>
        <w:t xml:space="preserve">fiscal </w:t>
      </w:r>
      <w:r w:rsidR="00902484" w:rsidRPr="00523556">
        <w:rPr>
          <w:rFonts w:ascii="Times New Roman" w:hAnsi="Times New Roman" w:cs="Times New Roman"/>
        </w:rPr>
        <w:t>deficit. All these options should be pursued by government</w:t>
      </w:r>
      <w:r w:rsidR="00FD3BAE" w:rsidRPr="00523556">
        <w:rPr>
          <w:rFonts w:ascii="Times New Roman" w:hAnsi="Times New Roman" w:cs="Times New Roman"/>
        </w:rPr>
        <w:t xml:space="preserve"> (in addition to maximising donor grants aid flows)</w:t>
      </w:r>
      <w:r w:rsidR="00E25B9D" w:rsidRPr="00523556">
        <w:rPr>
          <w:rFonts w:ascii="Times New Roman" w:hAnsi="Times New Roman" w:cs="Times New Roman"/>
        </w:rPr>
        <w:t>.</w:t>
      </w:r>
      <w:r w:rsidR="00902484" w:rsidRPr="00523556">
        <w:rPr>
          <w:rFonts w:ascii="Times New Roman" w:hAnsi="Times New Roman" w:cs="Times New Roman"/>
        </w:rPr>
        <w:t xml:space="preserve"> </w:t>
      </w:r>
      <w:r w:rsidR="00E25B9D" w:rsidRPr="00523556">
        <w:rPr>
          <w:rFonts w:ascii="Times New Roman" w:hAnsi="Times New Roman" w:cs="Times New Roman"/>
        </w:rPr>
        <w:t>H</w:t>
      </w:r>
      <w:r w:rsidR="00902484" w:rsidRPr="00523556">
        <w:rPr>
          <w:rFonts w:ascii="Times New Roman" w:hAnsi="Times New Roman" w:cs="Times New Roman"/>
        </w:rPr>
        <w:t xml:space="preserve">owever, the size of the government’s investment plans are such that it is likely </w:t>
      </w:r>
      <w:r w:rsidR="00E25B9D" w:rsidRPr="00523556">
        <w:rPr>
          <w:rFonts w:ascii="Times New Roman" w:hAnsi="Times New Roman" w:cs="Times New Roman"/>
        </w:rPr>
        <w:t xml:space="preserve">that </w:t>
      </w:r>
      <w:r w:rsidR="00902484" w:rsidRPr="00523556">
        <w:rPr>
          <w:rFonts w:ascii="Times New Roman" w:hAnsi="Times New Roman" w:cs="Times New Roman"/>
        </w:rPr>
        <w:t>expenditure will need to increase beyond what can be met from these sources</w:t>
      </w:r>
      <w:r w:rsidR="00E25B9D" w:rsidRPr="00523556">
        <w:rPr>
          <w:rFonts w:ascii="Times New Roman" w:hAnsi="Times New Roman" w:cs="Times New Roman"/>
        </w:rPr>
        <w:t xml:space="preserve"> alone – necessitating </w:t>
      </w:r>
      <w:r w:rsidR="00902484" w:rsidRPr="00523556">
        <w:rPr>
          <w:rFonts w:ascii="Times New Roman" w:hAnsi="Times New Roman" w:cs="Times New Roman"/>
        </w:rPr>
        <w:t xml:space="preserve">a </w:t>
      </w:r>
      <w:r w:rsidR="00E25B9D" w:rsidRPr="00523556">
        <w:rPr>
          <w:rFonts w:ascii="Times New Roman" w:hAnsi="Times New Roman" w:cs="Times New Roman"/>
        </w:rPr>
        <w:t xml:space="preserve">sustained </w:t>
      </w:r>
      <w:r w:rsidR="00902484" w:rsidRPr="00523556">
        <w:rPr>
          <w:rFonts w:ascii="Times New Roman" w:hAnsi="Times New Roman" w:cs="Times New Roman"/>
        </w:rPr>
        <w:t xml:space="preserve">fiscal deficit </w:t>
      </w:r>
      <w:r w:rsidR="00E25B9D" w:rsidRPr="00523556">
        <w:rPr>
          <w:rFonts w:ascii="Times New Roman" w:hAnsi="Times New Roman" w:cs="Times New Roman"/>
        </w:rPr>
        <w:t>that will need to be financed by other means</w:t>
      </w:r>
      <w:r w:rsidR="00902484" w:rsidRPr="00523556">
        <w:rPr>
          <w:rFonts w:ascii="Times New Roman" w:hAnsi="Times New Roman" w:cs="Times New Roman"/>
        </w:rPr>
        <w:t>.</w:t>
      </w:r>
      <w:r w:rsidR="00EB3CCA" w:rsidRPr="00523556">
        <w:rPr>
          <w:rFonts w:ascii="Times New Roman" w:hAnsi="Times New Roman" w:cs="Times New Roman"/>
        </w:rPr>
        <w:t xml:space="preserve"> </w:t>
      </w:r>
    </w:p>
    <w:p w:rsidR="00895E41" w:rsidRPr="00523556" w:rsidRDefault="00A05CC6" w:rsidP="00D67A53">
      <w:pPr>
        <w:jc w:val="both"/>
        <w:rPr>
          <w:rFonts w:ascii="Times New Roman" w:hAnsi="Times New Roman" w:cs="Times New Roman"/>
        </w:rPr>
      </w:pPr>
      <w:r w:rsidRPr="00523556">
        <w:rPr>
          <w:rFonts w:ascii="Times New Roman" w:hAnsi="Times New Roman" w:cs="Times New Roman"/>
        </w:rPr>
        <w:t>Similarly, it is crucial to bear in mind the potential impact of a series of sustained fiscal deficits</w:t>
      </w:r>
      <w:r w:rsidR="0053589A" w:rsidRPr="00523556">
        <w:rPr>
          <w:rFonts w:ascii="Times New Roman" w:hAnsi="Times New Roman" w:cs="Times New Roman"/>
        </w:rPr>
        <w:t>, and how they are financed,</w:t>
      </w:r>
      <w:r w:rsidRPr="00523556">
        <w:rPr>
          <w:rFonts w:ascii="Times New Roman" w:hAnsi="Times New Roman" w:cs="Times New Roman"/>
        </w:rPr>
        <w:t xml:space="preserve"> on the level of government debt and debt sustainability.</w:t>
      </w:r>
      <w:r w:rsidR="00D921A4" w:rsidRPr="00523556">
        <w:rPr>
          <w:rStyle w:val="FootnoteReference"/>
          <w:rFonts w:ascii="Times New Roman" w:hAnsi="Times New Roman" w:cs="Times New Roman"/>
        </w:rPr>
        <w:footnoteReference w:id="4"/>
      </w:r>
      <w:r w:rsidRPr="00523556">
        <w:rPr>
          <w:rFonts w:ascii="Times New Roman" w:hAnsi="Times New Roman" w:cs="Times New Roman"/>
        </w:rPr>
        <w:t xml:space="preserve"> </w:t>
      </w:r>
      <w:r w:rsidR="00531D60" w:rsidRPr="00523556">
        <w:rPr>
          <w:rFonts w:ascii="Times New Roman" w:hAnsi="Times New Roman" w:cs="Times New Roman"/>
        </w:rPr>
        <w:t>However, with total nominal public debt at 29.3</w:t>
      </w:r>
      <w:r w:rsidR="00E557B8" w:rsidRPr="00523556">
        <w:rPr>
          <w:rFonts w:ascii="Times New Roman" w:hAnsi="Times New Roman" w:cs="Times New Roman"/>
        </w:rPr>
        <w:t xml:space="preserve"> per cent</w:t>
      </w:r>
      <w:r w:rsidR="00531D60" w:rsidRPr="00523556">
        <w:rPr>
          <w:rFonts w:ascii="Times New Roman" w:hAnsi="Times New Roman" w:cs="Times New Roman"/>
        </w:rPr>
        <w:t xml:space="preserve"> of GDP at the end of FY12/13</w:t>
      </w:r>
      <w:r w:rsidR="00856F3A" w:rsidRPr="00523556">
        <w:rPr>
          <w:rFonts w:ascii="Times New Roman" w:hAnsi="Times New Roman" w:cs="Times New Roman"/>
        </w:rPr>
        <w:t xml:space="preserve"> (21.7</w:t>
      </w:r>
      <w:r w:rsidR="00E557B8" w:rsidRPr="00523556">
        <w:rPr>
          <w:rFonts w:ascii="Times New Roman" w:hAnsi="Times New Roman" w:cs="Times New Roman"/>
        </w:rPr>
        <w:t xml:space="preserve"> per cent</w:t>
      </w:r>
      <w:r w:rsidR="00856F3A" w:rsidRPr="00523556">
        <w:rPr>
          <w:rFonts w:ascii="Times New Roman" w:hAnsi="Times New Roman" w:cs="Times New Roman"/>
        </w:rPr>
        <w:t xml:space="preserve"> of GDP in present value terms)</w:t>
      </w:r>
      <w:r w:rsidR="00531D60" w:rsidRPr="00523556">
        <w:rPr>
          <w:rFonts w:ascii="Times New Roman" w:hAnsi="Times New Roman" w:cs="Times New Roman"/>
        </w:rPr>
        <w:t>,</w:t>
      </w:r>
      <w:r w:rsidR="00CE16E7" w:rsidRPr="00523556">
        <w:rPr>
          <w:rStyle w:val="FootnoteReference"/>
          <w:rFonts w:ascii="Times New Roman" w:hAnsi="Times New Roman" w:cs="Times New Roman"/>
        </w:rPr>
        <w:footnoteReference w:id="5"/>
      </w:r>
      <w:r w:rsidR="00531D60" w:rsidRPr="00523556">
        <w:rPr>
          <w:rFonts w:ascii="Times New Roman" w:hAnsi="Times New Roman" w:cs="Times New Roman"/>
        </w:rPr>
        <w:t xml:space="preserve"> GoU has room to expand its debt stock if it so wishes; </w:t>
      </w:r>
      <w:r w:rsidR="00355BBC" w:rsidRPr="00523556">
        <w:rPr>
          <w:rFonts w:ascii="Times New Roman" w:hAnsi="Times New Roman" w:cs="Times New Roman"/>
        </w:rPr>
        <w:t xml:space="preserve">and </w:t>
      </w:r>
      <w:r w:rsidR="00AA1D9A" w:rsidRPr="00523556">
        <w:rPr>
          <w:rFonts w:ascii="Times New Roman" w:hAnsi="Times New Roman" w:cs="Times New Roman"/>
        </w:rPr>
        <w:t>recent debt sustainability analyses by both GoU and the IMF</w:t>
      </w:r>
      <w:r w:rsidR="00AA1D9A" w:rsidRPr="00523556">
        <w:rPr>
          <w:rStyle w:val="FootnoteReference"/>
          <w:rFonts w:ascii="Times New Roman" w:hAnsi="Times New Roman" w:cs="Times New Roman"/>
        </w:rPr>
        <w:footnoteReference w:id="6"/>
      </w:r>
      <w:r w:rsidR="00AA1D9A" w:rsidRPr="00523556">
        <w:rPr>
          <w:rFonts w:ascii="Times New Roman" w:hAnsi="Times New Roman" w:cs="Times New Roman"/>
        </w:rPr>
        <w:t xml:space="preserve"> – </w:t>
      </w:r>
      <w:r w:rsidR="00531D60" w:rsidRPr="00523556">
        <w:rPr>
          <w:rFonts w:ascii="Times New Roman" w:hAnsi="Times New Roman" w:cs="Times New Roman"/>
        </w:rPr>
        <w:t>although</w:t>
      </w:r>
      <w:r w:rsidR="00AA1D9A" w:rsidRPr="00523556">
        <w:rPr>
          <w:rFonts w:ascii="Times New Roman" w:hAnsi="Times New Roman" w:cs="Times New Roman"/>
        </w:rPr>
        <w:t xml:space="preserve"> </w:t>
      </w:r>
      <w:r w:rsidR="00531D60" w:rsidRPr="00523556">
        <w:rPr>
          <w:rFonts w:ascii="Times New Roman" w:hAnsi="Times New Roman" w:cs="Times New Roman"/>
        </w:rPr>
        <w:t>highlighting potential risks</w:t>
      </w:r>
      <w:r w:rsidR="00AA1D9A" w:rsidRPr="00523556">
        <w:rPr>
          <w:rFonts w:ascii="Times New Roman" w:hAnsi="Times New Roman" w:cs="Times New Roman"/>
        </w:rPr>
        <w:t xml:space="preserve"> –</w:t>
      </w:r>
      <w:r w:rsidR="00531D60" w:rsidRPr="00523556">
        <w:rPr>
          <w:rFonts w:ascii="Times New Roman" w:hAnsi="Times New Roman" w:cs="Times New Roman"/>
        </w:rPr>
        <w:t xml:space="preserve"> judge</w:t>
      </w:r>
      <w:r w:rsidR="00AA1D9A" w:rsidRPr="00523556">
        <w:rPr>
          <w:rFonts w:ascii="Times New Roman" w:hAnsi="Times New Roman" w:cs="Times New Roman"/>
        </w:rPr>
        <w:t xml:space="preserve"> </w:t>
      </w:r>
      <w:r w:rsidR="00531D60" w:rsidRPr="00523556">
        <w:rPr>
          <w:rFonts w:ascii="Times New Roman" w:hAnsi="Times New Roman" w:cs="Times New Roman"/>
        </w:rPr>
        <w:t>Uganda to be at low risk of debt distress.</w:t>
      </w:r>
      <w:r w:rsidR="00AE6607" w:rsidRPr="00523556">
        <w:rPr>
          <w:rFonts w:ascii="Times New Roman" w:hAnsi="Times New Roman" w:cs="Times New Roman"/>
        </w:rPr>
        <w:t xml:space="preserve"> T</w:t>
      </w:r>
      <w:r w:rsidR="00C33570" w:rsidRPr="00523556">
        <w:rPr>
          <w:rFonts w:ascii="Times New Roman" w:hAnsi="Times New Roman" w:cs="Times New Roman"/>
        </w:rPr>
        <w:t>he fiscal projec</w:t>
      </w:r>
      <w:r w:rsidR="007918BB" w:rsidRPr="00523556">
        <w:rPr>
          <w:rFonts w:ascii="Times New Roman" w:hAnsi="Times New Roman" w:cs="Times New Roman"/>
        </w:rPr>
        <w:t>tions set out in MoFPED (2013c),</w:t>
      </w:r>
      <w:r w:rsidR="00C33570" w:rsidRPr="00523556">
        <w:rPr>
          <w:rFonts w:ascii="Times New Roman" w:hAnsi="Times New Roman" w:cs="Times New Roman"/>
        </w:rPr>
        <w:t xml:space="preserve"> consistent with GoU meeting the full extent of its public investment goals</w:t>
      </w:r>
      <w:r w:rsidR="007918BB" w:rsidRPr="00523556">
        <w:rPr>
          <w:rFonts w:ascii="Times New Roman" w:hAnsi="Times New Roman" w:cs="Times New Roman"/>
        </w:rPr>
        <w:t xml:space="preserve"> over the medium term</w:t>
      </w:r>
      <w:r w:rsidR="00C33570" w:rsidRPr="00523556">
        <w:rPr>
          <w:rFonts w:ascii="Times New Roman" w:hAnsi="Times New Roman" w:cs="Times New Roman"/>
        </w:rPr>
        <w:t>, are consistent with the total public debt-to-GDP ratio remaining within standard debt sustainability benchmarks</w:t>
      </w:r>
      <w:r w:rsidR="00531D60" w:rsidRPr="00523556">
        <w:rPr>
          <w:rFonts w:ascii="Times New Roman" w:hAnsi="Times New Roman" w:cs="Times New Roman"/>
        </w:rPr>
        <w:t>.</w:t>
      </w:r>
      <w:r w:rsidR="00F44AF7" w:rsidRPr="00523556">
        <w:rPr>
          <w:rStyle w:val="FootnoteReference"/>
          <w:rFonts w:ascii="Times New Roman" w:hAnsi="Times New Roman" w:cs="Times New Roman"/>
        </w:rPr>
        <w:footnoteReference w:id="7"/>
      </w:r>
      <w:r w:rsidR="00531D60" w:rsidRPr="00523556">
        <w:rPr>
          <w:rFonts w:ascii="Times New Roman" w:hAnsi="Times New Roman" w:cs="Times New Roman"/>
        </w:rPr>
        <w:t xml:space="preserve"> </w:t>
      </w:r>
      <w:r w:rsidR="0053589A" w:rsidRPr="00523556">
        <w:rPr>
          <w:rFonts w:ascii="Times New Roman" w:hAnsi="Times New Roman" w:cs="Times New Roman"/>
        </w:rPr>
        <w:t>Furthermore, w</w:t>
      </w:r>
      <w:r w:rsidR="00355BBC" w:rsidRPr="00523556">
        <w:rPr>
          <w:rFonts w:ascii="Times New Roman" w:hAnsi="Times New Roman" w:cs="Times New Roman"/>
        </w:rPr>
        <w:t>hilst debt management will feed</w:t>
      </w:r>
      <w:r w:rsidR="0053589A" w:rsidRPr="00523556">
        <w:rPr>
          <w:rFonts w:ascii="Times New Roman" w:hAnsi="Times New Roman" w:cs="Times New Roman"/>
        </w:rPr>
        <w:t xml:space="preserve"> </w:t>
      </w:r>
      <w:r w:rsidR="00355BBC" w:rsidRPr="00523556">
        <w:rPr>
          <w:rFonts w:ascii="Times New Roman" w:hAnsi="Times New Roman" w:cs="Times New Roman"/>
        </w:rPr>
        <w:t xml:space="preserve">back </w:t>
      </w:r>
      <w:r w:rsidR="0053589A" w:rsidRPr="00523556">
        <w:rPr>
          <w:rFonts w:ascii="Times New Roman" w:hAnsi="Times New Roman" w:cs="Times New Roman"/>
        </w:rPr>
        <w:t>in</w:t>
      </w:r>
      <w:r w:rsidR="00355BBC" w:rsidRPr="00523556">
        <w:rPr>
          <w:rFonts w:ascii="Times New Roman" w:hAnsi="Times New Roman" w:cs="Times New Roman"/>
        </w:rPr>
        <w:t xml:space="preserve">to debt sustainability dynamics to some extent </w:t>
      </w:r>
      <w:r w:rsidR="00D165A9" w:rsidRPr="00523556">
        <w:rPr>
          <w:rFonts w:ascii="Times New Roman" w:hAnsi="Times New Roman" w:cs="Times New Roman"/>
        </w:rPr>
        <w:t>(</w:t>
      </w:r>
      <w:r w:rsidR="00355BBC" w:rsidRPr="00523556">
        <w:rPr>
          <w:rFonts w:ascii="Times New Roman" w:hAnsi="Times New Roman" w:cs="Times New Roman"/>
        </w:rPr>
        <w:t xml:space="preserve">for example, </w:t>
      </w:r>
      <w:r w:rsidR="007918BB" w:rsidRPr="00523556">
        <w:rPr>
          <w:rFonts w:ascii="Times New Roman" w:hAnsi="Times New Roman" w:cs="Times New Roman"/>
        </w:rPr>
        <w:t xml:space="preserve">for a given primary deficit, </w:t>
      </w:r>
      <w:r w:rsidR="00355BBC" w:rsidRPr="00523556">
        <w:rPr>
          <w:rFonts w:ascii="Times New Roman" w:hAnsi="Times New Roman" w:cs="Times New Roman"/>
        </w:rPr>
        <w:t xml:space="preserve">a greater reliance on non-concessional </w:t>
      </w:r>
      <w:r w:rsidR="007918BB" w:rsidRPr="00523556">
        <w:rPr>
          <w:rFonts w:ascii="Times New Roman" w:hAnsi="Times New Roman" w:cs="Times New Roman"/>
        </w:rPr>
        <w:t xml:space="preserve">financing will </w:t>
      </w:r>
      <w:r w:rsidR="00C20ED3" w:rsidRPr="00523556">
        <w:rPr>
          <w:rFonts w:ascii="Times New Roman" w:hAnsi="Times New Roman" w:cs="Times New Roman"/>
        </w:rPr>
        <w:t xml:space="preserve">entail higher interest costs and thus </w:t>
      </w:r>
      <w:r w:rsidR="00355BBC" w:rsidRPr="00523556">
        <w:rPr>
          <w:rFonts w:ascii="Times New Roman" w:hAnsi="Times New Roman" w:cs="Times New Roman"/>
        </w:rPr>
        <w:t xml:space="preserve">lead to a higher </w:t>
      </w:r>
      <w:r w:rsidR="00C20ED3" w:rsidRPr="00523556">
        <w:rPr>
          <w:rFonts w:ascii="Times New Roman" w:hAnsi="Times New Roman" w:cs="Times New Roman"/>
        </w:rPr>
        <w:t xml:space="preserve">total deficit and </w:t>
      </w:r>
      <w:r w:rsidR="00355BBC" w:rsidRPr="00523556">
        <w:rPr>
          <w:rFonts w:ascii="Times New Roman" w:hAnsi="Times New Roman" w:cs="Times New Roman"/>
        </w:rPr>
        <w:t xml:space="preserve">debt stock over </w:t>
      </w:r>
      <w:r w:rsidR="007918BB" w:rsidRPr="00523556">
        <w:rPr>
          <w:rFonts w:ascii="Times New Roman" w:hAnsi="Times New Roman" w:cs="Times New Roman"/>
        </w:rPr>
        <w:t>time</w:t>
      </w:r>
      <w:r w:rsidR="00D165A9" w:rsidRPr="00523556">
        <w:rPr>
          <w:rFonts w:ascii="Times New Roman" w:hAnsi="Times New Roman" w:cs="Times New Roman"/>
        </w:rPr>
        <w:t>),</w:t>
      </w:r>
      <w:r w:rsidR="00355BBC" w:rsidRPr="00523556">
        <w:rPr>
          <w:rFonts w:ascii="Times New Roman" w:hAnsi="Times New Roman" w:cs="Times New Roman"/>
        </w:rPr>
        <w:t xml:space="preserve"> </w:t>
      </w:r>
      <w:r w:rsidR="00C33570" w:rsidRPr="00523556">
        <w:rPr>
          <w:rFonts w:ascii="Times New Roman" w:hAnsi="Times New Roman" w:cs="Times New Roman"/>
        </w:rPr>
        <w:t xml:space="preserve">simple </w:t>
      </w:r>
      <w:r w:rsidR="00355BBC" w:rsidRPr="00523556">
        <w:rPr>
          <w:rFonts w:ascii="Times New Roman" w:hAnsi="Times New Roman" w:cs="Times New Roman"/>
        </w:rPr>
        <w:t xml:space="preserve">analysis </w:t>
      </w:r>
      <w:r w:rsidR="00C33570" w:rsidRPr="00523556">
        <w:rPr>
          <w:rFonts w:ascii="Times New Roman" w:hAnsi="Times New Roman" w:cs="Times New Roman"/>
        </w:rPr>
        <w:t xml:space="preserve">suggests </w:t>
      </w:r>
      <w:r w:rsidR="00355BBC" w:rsidRPr="00523556">
        <w:rPr>
          <w:rFonts w:ascii="Times New Roman" w:hAnsi="Times New Roman" w:cs="Times New Roman"/>
        </w:rPr>
        <w:t>that these concerns are only of second order importance compared to fiscal policy decisions on the planned path for the fiscal deficit</w:t>
      </w:r>
      <w:r w:rsidR="00B5318B" w:rsidRPr="00523556">
        <w:rPr>
          <w:rFonts w:ascii="Times New Roman" w:hAnsi="Times New Roman" w:cs="Times New Roman"/>
        </w:rPr>
        <w:t xml:space="preserve"> (see Section 3)</w:t>
      </w:r>
      <w:r w:rsidR="00355BBC" w:rsidRPr="00523556">
        <w:rPr>
          <w:rFonts w:ascii="Times New Roman" w:hAnsi="Times New Roman" w:cs="Times New Roman"/>
        </w:rPr>
        <w:t xml:space="preserve">. </w:t>
      </w:r>
      <w:r w:rsidR="0012329C" w:rsidRPr="00523556">
        <w:rPr>
          <w:rFonts w:ascii="Times New Roman" w:hAnsi="Times New Roman" w:cs="Times New Roman"/>
        </w:rPr>
        <w:t xml:space="preserve">Therefore, whilst it is vital to ensure debt sustainability is maintained, it is not deemed at risk within the time period </w:t>
      </w:r>
      <w:r w:rsidR="0012637D" w:rsidRPr="00523556">
        <w:rPr>
          <w:rFonts w:ascii="Times New Roman" w:hAnsi="Times New Roman" w:cs="Times New Roman"/>
        </w:rPr>
        <w:t xml:space="preserve">and a scenario of considerably-higher public investment (see Section 3.3.1) </w:t>
      </w:r>
      <w:r w:rsidR="0012329C" w:rsidRPr="00523556">
        <w:rPr>
          <w:rFonts w:ascii="Times New Roman" w:hAnsi="Times New Roman" w:cs="Times New Roman"/>
        </w:rPr>
        <w:t>considered in this paper.</w:t>
      </w:r>
    </w:p>
    <w:p w:rsidR="00FC0983" w:rsidRPr="00523556" w:rsidRDefault="00355BBC" w:rsidP="00DE7A69">
      <w:pPr>
        <w:jc w:val="both"/>
        <w:rPr>
          <w:rFonts w:ascii="Times New Roman" w:hAnsi="Times New Roman" w:cs="Times New Roman"/>
        </w:rPr>
      </w:pPr>
      <w:r w:rsidRPr="00523556">
        <w:rPr>
          <w:rFonts w:ascii="Times New Roman" w:hAnsi="Times New Roman" w:cs="Times New Roman"/>
        </w:rPr>
        <w:t xml:space="preserve">Within this context, this paper </w:t>
      </w:r>
      <w:r w:rsidR="0012329C" w:rsidRPr="00523556">
        <w:rPr>
          <w:rFonts w:ascii="Times New Roman" w:hAnsi="Times New Roman" w:cs="Times New Roman"/>
        </w:rPr>
        <w:t xml:space="preserve">therefore </w:t>
      </w:r>
      <w:r w:rsidRPr="00523556">
        <w:rPr>
          <w:rFonts w:ascii="Times New Roman" w:hAnsi="Times New Roman" w:cs="Times New Roman"/>
        </w:rPr>
        <w:t>focuses on below-the-line issues</w:t>
      </w:r>
      <w:r w:rsidR="0012329C" w:rsidRPr="00523556">
        <w:rPr>
          <w:rFonts w:ascii="Times New Roman" w:hAnsi="Times New Roman" w:cs="Times New Roman"/>
        </w:rPr>
        <w:t xml:space="preserve"> of deficit financing</w:t>
      </w:r>
      <w:r w:rsidRPr="00523556">
        <w:rPr>
          <w:rFonts w:ascii="Times New Roman" w:hAnsi="Times New Roman" w:cs="Times New Roman"/>
        </w:rPr>
        <w:t xml:space="preserve">. </w:t>
      </w:r>
      <w:r w:rsidR="008B1F36" w:rsidRPr="00523556">
        <w:rPr>
          <w:rFonts w:ascii="Times New Roman" w:hAnsi="Times New Roman" w:cs="Times New Roman"/>
        </w:rPr>
        <w:t>In particular, it seeks to address these questions: w</w:t>
      </w:r>
      <w:r w:rsidR="008303A1" w:rsidRPr="00523556">
        <w:rPr>
          <w:rFonts w:ascii="Times New Roman" w:hAnsi="Times New Roman" w:cs="Times New Roman"/>
        </w:rPr>
        <w:t>hat are the key costs and</w:t>
      </w:r>
      <w:r w:rsidR="00A25DC9" w:rsidRPr="00523556">
        <w:rPr>
          <w:rFonts w:ascii="Times New Roman" w:hAnsi="Times New Roman" w:cs="Times New Roman"/>
        </w:rPr>
        <w:t xml:space="preserve"> risks</w:t>
      </w:r>
      <w:r w:rsidR="008303A1" w:rsidRPr="00523556">
        <w:rPr>
          <w:rFonts w:ascii="Times New Roman" w:hAnsi="Times New Roman" w:cs="Times New Roman"/>
        </w:rPr>
        <w:t>,</w:t>
      </w:r>
      <w:r w:rsidR="00A25DC9" w:rsidRPr="00523556">
        <w:rPr>
          <w:rFonts w:ascii="Times New Roman" w:hAnsi="Times New Roman" w:cs="Times New Roman"/>
        </w:rPr>
        <w:t xml:space="preserve"> </w:t>
      </w:r>
      <w:r w:rsidR="008303A1" w:rsidRPr="00523556">
        <w:rPr>
          <w:rFonts w:ascii="Times New Roman" w:hAnsi="Times New Roman" w:cs="Times New Roman"/>
        </w:rPr>
        <w:t xml:space="preserve">broader macroeconomic implications, </w:t>
      </w:r>
      <w:r w:rsidR="00E40844" w:rsidRPr="00523556">
        <w:rPr>
          <w:rFonts w:ascii="Times New Roman" w:hAnsi="Times New Roman" w:cs="Times New Roman"/>
        </w:rPr>
        <w:t xml:space="preserve">and implementation issues associated with </w:t>
      </w:r>
      <w:r w:rsidR="00A25DC9" w:rsidRPr="00523556">
        <w:rPr>
          <w:rFonts w:ascii="Times New Roman" w:hAnsi="Times New Roman" w:cs="Times New Roman"/>
        </w:rPr>
        <w:t xml:space="preserve">the </w:t>
      </w:r>
      <w:r w:rsidR="00E40844" w:rsidRPr="00523556">
        <w:rPr>
          <w:rFonts w:ascii="Times New Roman" w:hAnsi="Times New Roman" w:cs="Times New Roman"/>
        </w:rPr>
        <w:t xml:space="preserve">different </w:t>
      </w:r>
      <w:r w:rsidR="00A25DC9" w:rsidRPr="00523556">
        <w:rPr>
          <w:rFonts w:ascii="Times New Roman" w:hAnsi="Times New Roman" w:cs="Times New Roman"/>
        </w:rPr>
        <w:t>financing sources</w:t>
      </w:r>
      <w:r w:rsidR="00170F6A" w:rsidRPr="00523556">
        <w:rPr>
          <w:rFonts w:ascii="Times New Roman" w:hAnsi="Times New Roman" w:cs="Times New Roman"/>
        </w:rPr>
        <w:t xml:space="preserve"> open to </w:t>
      </w:r>
      <w:r w:rsidR="0012329C" w:rsidRPr="00523556">
        <w:rPr>
          <w:rFonts w:ascii="Times New Roman" w:hAnsi="Times New Roman" w:cs="Times New Roman"/>
        </w:rPr>
        <w:t>GoU</w:t>
      </w:r>
      <w:r w:rsidR="00A25DC9" w:rsidRPr="00523556">
        <w:rPr>
          <w:rFonts w:ascii="Times New Roman" w:hAnsi="Times New Roman" w:cs="Times New Roman"/>
        </w:rPr>
        <w:t xml:space="preserve">? To what extent can domestic debt help finance the budget deficit over the medium term? And how should domestic borrowing be balanced with concessional and non-concessional external borrowing? </w:t>
      </w:r>
    </w:p>
    <w:p w:rsidR="00047BE9" w:rsidRPr="00523556" w:rsidRDefault="008B1F36" w:rsidP="006F712B">
      <w:pPr>
        <w:jc w:val="both"/>
        <w:rPr>
          <w:rFonts w:ascii="Times New Roman" w:hAnsi="Times New Roman" w:cs="Times New Roman"/>
        </w:rPr>
      </w:pPr>
      <w:r w:rsidRPr="00523556">
        <w:rPr>
          <w:rFonts w:ascii="Times New Roman" w:hAnsi="Times New Roman" w:cs="Times New Roman"/>
        </w:rPr>
        <w:t>After this introduction, Section 2 sets out the main deficit financing options open to GoU and t</w:t>
      </w:r>
      <w:r w:rsidR="00FC0983" w:rsidRPr="00523556">
        <w:rPr>
          <w:rFonts w:ascii="Times New Roman" w:hAnsi="Times New Roman" w:cs="Times New Roman"/>
        </w:rPr>
        <w:t>he key considerations with each –</w:t>
      </w:r>
      <w:r w:rsidRPr="00523556">
        <w:rPr>
          <w:rFonts w:ascii="Times New Roman" w:hAnsi="Times New Roman" w:cs="Times New Roman"/>
        </w:rPr>
        <w:t xml:space="preserve"> </w:t>
      </w:r>
      <w:r w:rsidR="00EA2A38" w:rsidRPr="00523556">
        <w:rPr>
          <w:rFonts w:ascii="Times New Roman" w:hAnsi="Times New Roman" w:cs="Times New Roman"/>
        </w:rPr>
        <w:t>incorporating</w:t>
      </w:r>
      <w:r w:rsidR="00FC0983" w:rsidRPr="00523556">
        <w:rPr>
          <w:rFonts w:ascii="Times New Roman" w:hAnsi="Times New Roman" w:cs="Times New Roman"/>
        </w:rPr>
        <w:t xml:space="preserve"> </w:t>
      </w:r>
      <w:r w:rsidR="00EA2A38" w:rsidRPr="00523556">
        <w:rPr>
          <w:rFonts w:ascii="Times New Roman" w:hAnsi="Times New Roman" w:cs="Times New Roman"/>
        </w:rPr>
        <w:t xml:space="preserve">evidence from recent research findings, </w:t>
      </w:r>
      <w:r w:rsidR="00FC0983" w:rsidRPr="00523556">
        <w:rPr>
          <w:rFonts w:ascii="Times New Roman" w:hAnsi="Times New Roman" w:cs="Times New Roman"/>
        </w:rPr>
        <w:t xml:space="preserve">and </w:t>
      </w:r>
      <w:r w:rsidRPr="00523556">
        <w:rPr>
          <w:rFonts w:ascii="Times New Roman" w:hAnsi="Times New Roman" w:cs="Times New Roman"/>
        </w:rPr>
        <w:lastRenderedPageBreak/>
        <w:t xml:space="preserve">with a particular focus on domestic debt and Eurobond issuance. </w:t>
      </w:r>
      <w:r w:rsidR="002C0EAE" w:rsidRPr="00523556">
        <w:rPr>
          <w:rFonts w:ascii="Times New Roman" w:hAnsi="Times New Roman" w:cs="Times New Roman"/>
        </w:rPr>
        <w:t xml:space="preserve">Section 3 provides some initial considerations for determining the appropriate balance between the available financing options, within the context of </w:t>
      </w:r>
      <w:r w:rsidR="002C0EAE" w:rsidRPr="00523556">
        <w:rPr>
          <w:rFonts w:ascii="Times New Roman" w:hAnsi="Times New Roman" w:cs="Times New Roman"/>
          <w:lang w:eastAsia="en-GB"/>
        </w:rPr>
        <w:t>a scenario where GoU aims to meet the full extent of its public investment goals.</w:t>
      </w:r>
      <w:r w:rsidR="002C0EAE" w:rsidRPr="00523556">
        <w:rPr>
          <w:rFonts w:ascii="Times New Roman" w:hAnsi="Times New Roman" w:cs="Times New Roman"/>
        </w:rPr>
        <w:t xml:space="preserve"> Section 4 concludes.</w:t>
      </w:r>
      <w:r w:rsidR="00047BE9" w:rsidRPr="00523556">
        <w:rPr>
          <w:rFonts w:ascii="Times New Roman" w:hAnsi="Times New Roman" w:cs="Times New Roman"/>
        </w:rPr>
        <w:br w:type="page"/>
      </w:r>
    </w:p>
    <w:p w:rsidR="00047BE9" w:rsidRPr="00523556" w:rsidRDefault="006C79C2" w:rsidP="0000453F">
      <w:pPr>
        <w:pStyle w:val="Heading1"/>
        <w:rPr>
          <w:rFonts w:ascii="Times New Roman" w:hAnsi="Times New Roman" w:cs="Times New Roman"/>
        </w:rPr>
      </w:pPr>
      <w:bookmarkStart w:id="6" w:name="_Toc383757437"/>
      <w:r w:rsidRPr="00523556">
        <w:rPr>
          <w:rFonts w:ascii="Times New Roman" w:hAnsi="Times New Roman" w:cs="Times New Roman"/>
        </w:rPr>
        <w:lastRenderedPageBreak/>
        <w:t>2</w:t>
      </w:r>
      <w:r w:rsidR="00664BB0" w:rsidRPr="00523556">
        <w:rPr>
          <w:rFonts w:ascii="Times New Roman" w:hAnsi="Times New Roman" w:cs="Times New Roman"/>
        </w:rPr>
        <w:t xml:space="preserve">. </w:t>
      </w:r>
      <w:r w:rsidR="00E950FF" w:rsidRPr="00523556">
        <w:rPr>
          <w:rFonts w:ascii="Times New Roman" w:hAnsi="Times New Roman" w:cs="Times New Roman"/>
        </w:rPr>
        <w:t xml:space="preserve">Fiscal Deficit </w:t>
      </w:r>
      <w:r w:rsidR="00047BE9" w:rsidRPr="00523556">
        <w:rPr>
          <w:rFonts w:ascii="Times New Roman" w:hAnsi="Times New Roman" w:cs="Times New Roman"/>
        </w:rPr>
        <w:t xml:space="preserve">Financing </w:t>
      </w:r>
      <w:r w:rsidR="0014255B" w:rsidRPr="00523556">
        <w:rPr>
          <w:rFonts w:ascii="Times New Roman" w:hAnsi="Times New Roman" w:cs="Times New Roman"/>
        </w:rPr>
        <w:t>Options</w:t>
      </w:r>
      <w:bookmarkEnd w:id="6"/>
    </w:p>
    <w:p w:rsidR="00A52433" w:rsidRPr="00523556" w:rsidRDefault="00D3484D" w:rsidP="0000453F">
      <w:pPr>
        <w:pStyle w:val="Heading2"/>
        <w:rPr>
          <w:rFonts w:ascii="Times New Roman" w:hAnsi="Times New Roman" w:cs="Times New Roman"/>
        </w:rPr>
      </w:pPr>
      <w:bookmarkStart w:id="7" w:name="_Toc383757438"/>
      <w:r w:rsidRPr="00523556">
        <w:rPr>
          <w:rFonts w:ascii="Times New Roman" w:hAnsi="Times New Roman" w:cs="Times New Roman"/>
        </w:rPr>
        <w:t xml:space="preserve">2.1 </w:t>
      </w:r>
      <w:r w:rsidR="00030241" w:rsidRPr="00523556">
        <w:rPr>
          <w:rFonts w:ascii="Times New Roman" w:hAnsi="Times New Roman" w:cs="Times New Roman"/>
        </w:rPr>
        <w:t>Context</w:t>
      </w:r>
      <w:bookmarkEnd w:id="7"/>
    </w:p>
    <w:p w:rsidR="00EF5903" w:rsidRPr="00523556" w:rsidRDefault="00605A71" w:rsidP="00EF5903">
      <w:pPr>
        <w:pStyle w:val="Heading3"/>
        <w:rPr>
          <w:rFonts w:ascii="Times New Roman" w:hAnsi="Times New Roman" w:cs="Times New Roman"/>
        </w:rPr>
      </w:pPr>
      <w:r w:rsidRPr="00523556">
        <w:rPr>
          <w:rFonts w:ascii="Times New Roman" w:hAnsi="Times New Roman" w:cs="Times New Roman"/>
        </w:rPr>
        <w:t xml:space="preserve">2.1.1 </w:t>
      </w:r>
      <w:r w:rsidR="00EF5903" w:rsidRPr="00523556">
        <w:rPr>
          <w:rFonts w:ascii="Times New Roman" w:hAnsi="Times New Roman" w:cs="Times New Roman"/>
        </w:rPr>
        <w:t>GoU deficit financing in the recent past</w:t>
      </w:r>
    </w:p>
    <w:p w:rsidR="00CA1A6B" w:rsidRPr="00523556" w:rsidRDefault="00CA1A6B" w:rsidP="00D64959">
      <w:pPr>
        <w:jc w:val="both"/>
        <w:rPr>
          <w:rFonts w:ascii="Times New Roman" w:hAnsi="Times New Roman" w:cs="Times New Roman"/>
        </w:rPr>
      </w:pPr>
      <w:r w:rsidRPr="00523556">
        <w:rPr>
          <w:rFonts w:ascii="Times New Roman" w:hAnsi="Times New Roman" w:cs="Times New Roman"/>
        </w:rPr>
        <w:t xml:space="preserve">Over most of </w:t>
      </w:r>
      <w:r w:rsidR="00C81826" w:rsidRPr="00523556">
        <w:rPr>
          <w:rFonts w:ascii="Times New Roman" w:hAnsi="Times New Roman" w:cs="Times New Roman"/>
        </w:rPr>
        <w:t xml:space="preserve">the </w:t>
      </w:r>
      <w:r w:rsidRPr="00523556">
        <w:rPr>
          <w:rFonts w:ascii="Times New Roman" w:hAnsi="Times New Roman" w:cs="Times New Roman"/>
        </w:rPr>
        <w:t xml:space="preserve">last </w:t>
      </w:r>
      <w:r w:rsidR="00C81826" w:rsidRPr="00523556">
        <w:rPr>
          <w:rFonts w:ascii="Times New Roman" w:hAnsi="Times New Roman" w:cs="Times New Roman"/>
        </w:rPr>
        <w:t>decade</w:t>
      </w:r>
      <w:r w:rsidR="00137547" w:rsidRPr="00523556">
        <w:rPr>
          <w:rFonts w:ascii="Times New Roman" w:hAnsi="Times New Roman" w:cs="Times New Roman"/>
        </w:rPr>
        <w:t xml:space="preserve"> </w:t>
      </w:r>
      <w:r w:rsidR="006607F1" w:rsidRPr="00523556">
        <w:rPr>
          <w:rFonts w:ascii="Times New Roman" w:hAnsi="Times New Roman" w:cs="Times New Roman"/>
        </w:rPr>
        <w:t>GoU</w:t>
      </w:r>
      <w:r w:rsidR="00137547" w:rsidRPr="00523556">
        <w:rPr>
          <w:rFonts w:ascii="Times New Roman" w:hAnsi="Times New Roman" w:cs="Times New Roman"/>
        </w:rPr>
        <w:t xml:space="preserve"> funded its fiscal deficits primarily </w:t>
      </w:r>
      <w:r w:rsidR="00C1710C" w:rsidRPr="00523556">
        <w:rPr>
          <w:rFonts w:ascii="Times New Roman" w:hAnsi="Times New Roman" w:cs="Times New Roman"/>
        </w:rPr>
        <w:t xml:space="preserve">with </w:t>
      </w:r>
      <w:r w:rsidR="00137547" w:rsidRPr="00523556">
        <w:rPr>
          <w:rFonts w:ascii="Times New Roman" w:hAnsi="Times New Roman" w:cs="Times New Roman"/>
        </w:rPr>
        <w:t>conces</w:t>
      </w:r>
      <w:r w:rsidR="00E52E47" w:rsidRPr="00523556">
        <w:rPr>
          <w:rFonts w:ascii="Times New Roman" w:hAnsi="Times New Roman" w:cs="Times New Roman"/>
        </w:rPr>
        <w:t>sional external financing alone</w:t>
      </w:r>
      <w:r w:rsidR="0094427B" w:rsidRPr="00523556">
        <w:rPr>
          <w:rFonts w:ascii="Times New Roman" w:hAnsi="Times New Roman" w:cs="Times New Roman"/>
        </w:rPr>
        <w:t>;</w:t>
      </w:r>
      <w:r w:rsidRPr="00523556">
        <w:rPr>
          <w:rFonts w:ascii="Times New Roman" w:hAnsi="Times New Roman" w:cs="Times New Roman"/>
        </w:rPr>
        <w:t xml:space="preserve"> </w:t>
      </w:r>
      <w:r w:rsidR="0094427B" w:rsidRPr="00523556">
        <w:rPr>
          <w:rFonts w:ascii="Times New Roman" w:hAnsi="Times New Roman" w:cs="Times New Roman"/>
        </w:rPr>
        <w:t xml:space="preserve">no non-concessional external loans were </w:t>
      </w:r>
      <w:r w:rsidRPr="00523556">
        <w:rPr>
          <w:rFonts w:ascii="Times New Roman" w:hAnsi="Times New Roman" w:cs="Times New Roman"/>
        </w:rPr>
        <w:t>contracted</w:t>
      </w:r>
      <w:r w:rsidR="0094427B" w:rsidRPr="00523556">
        <w:rPr>
          <w:rFonts w:ascii="Times New Roman" w:hAnsi="Times New Roman" w:cs="Times New Roman"/>
        </w:rPr>
        <w:t xml:space="preserve">, and domestic financing was </w:t>
      </w:r>
      <w:r w:rsidR="00CF562F" w:rsidRPr="00523556">
        <w:rPr>
          <w:rFonts w:ascii="Times New Roman" w:hAnsi="Times New Roman" w:cs="Times New Roman"/>
        </w:rPr>
        <w:t>predominantly</w:t>
      </w:r>
      <w:r w:rsidRPr="00523556">
        <w:rPr>
          <w:rFonts w:ascii="Times New Roman" w:hAnsi="Times New Roman" w:cs="Times New Roman"/>
        </w:rPr>
        <w:t xml:space="preserve"> </w:t>
      </w:r>
      <w:r w:rsidR="0094427B" w:rsidRPr="00523556">
        <w:rPr>
          <w:rFonts w:ascii="Times New Roman" w:hAnsi="Times New Roman" w:cs="Times New Roman"/>
        </w:rPr>
        <w:t xml:space="preserve">limited to moderate </w:t>
      </w:r>
      <w:r w:rsidR="00CF562F" w:rsidRPr="00523556">
        <w:rPr>
          <w:rFonts w:ascii="Times New Roman" w:hAnsi="Times New Roman" w:cs="Times New Roman"/>
        </w:rPr>
        <w:t>changes</w:t>
      </w:r>
      <w:r w:rsidR="0094427B" w:rsidRPr="00523556">
        <w:rPr>
          <w:rFonts w:ascii="Times New Roman" w:hAnsi="Times New Roman" w:cs="Times New Roman"/>
        </w:rPr>
        <w:t xml:space="preserve"> in GoU’s </w:t>
      </w:r>
      <w:r w:rsidR="00CF562F" w:rsidRPr="00523556">
        <w:rPr>
          <w:rFonts w:ascii="Times New Roman" w:hAnsi="Times New Roman" w:cs="Times New Roman"/>
        </w:rPr>
        <w:t xml:space="preserve">net </w:t>
      </w:r>
      <w:r w:rsidR="0094427B" w:rsidRPr="00523556">
        <w:rPr>
          <w:rFonts w:ascii="Times New Roman" w:hAnsi="Times New Roman" w:cs="Times New Roman"/>
        </w:rPr>
        <w:t xml:space="preserve">position with the </w:t>
      </w:r>
      <w:r w:rsidR="00D97C6D" w:rsidRPr="00523556">
        <w:rPr>
          <w:rFonts w:ascii="Times New Roman" w:hAnsi="Times New Roman" w:cs="Times New Roman"/>
        </w:rPr>
        <w:t xml:space="preserve">Bank of Uganda </w:t>
      </w:r>
      <w:r w:rsidRPr="00523556">
        <w:rPr>
          <w:rFonts w:ascii="Times New Roman" w:hAnsi="Times New Roman" w:cs="Times New Roman"/>
        </w:rPr>
        <w:t>(</w:t>
      </w:r>
      <w:r w:rsidR="00D97C6D" w:rsidRPr="00523556">
        <w:rPr>
          <w:rFonts w:ascii="Times New Roman" w:hAnsi="Times New Roman" w:cs="Times New Roman"/>
        </w:rPr>
        <w:t>BoU</w:t>
      </w:r>
      <w:r w:rsidR="00481562" w:rsidRPr="00523556">
        <w:rPr>
          <w:rFonts w:ascii="Times New Roman" w:hAnsi="Times New Roman" w:cs="Times New Roman"/>
        </w:rPr>
        <w:t>)</w:t>
      </w:r>
      <w:r w:rsidR="002F02AF" w:rsidRPr="00523556">
        <w:rPr>
          <w:rFonts w:ascii="Times New Roman" w:hAnsi="Times New Roman" w:cs="Times New Roman"/>
        </w:rPr>
        <w:t>.</w:t>
      </w:r>
      <w:r w:rsidR="002002D0" w:rsidRPr="00523556">
        <w:rPr>
          <w:rStyle w:val="FootnoteReference"/>
          <w:rFonts w:ascii="Times New Roman" w:hAnsi="Times New Roman" w:cs="Times New Roman"/>
        </w:rPr>
        <w:footnoteReference w:id="8"/>
      </w:r>
      <w:r w:rsidR="00D97C6D" w:rsidRPr="00523556">
        <w:rPr>
          <w:rFonts w:ascii="Times New Roman" w:hAnsi="Times New Roman" w:cs="Times New Roman"/>
        </w:rPr>
        <w:t xml:space="preserve"> </w:t>
      </w:r>
      <w:r w:rsidR="00EB0FA2" w:rsidRPr="00523556">
        <w:rPr>
          <w:rFonts w:ascii="Times New Roman" w:hAnsi="Times New Roman" w:cs="Times New Roman"/>
        </w:rPr>
        <w:t>Figure 2.1</w:t>
      </w:r>
      <w:r w:rsidRPr="00523556">
        <w:rPr>
          <w:rFonts w:ascii="Times New Roman" w:hAnsi="Times New Roman" w:cs="Times New Roman"/>
        </w:rPr>
        <w:t xml:space="preserve"> </w:t>
      </w:r>
      <w:r w:rsidR="002F02AF" w:rsidRPr="00523556">
        <w:rPr>
          <w:rFonts w:ascii="Times New Roman" w:hAnsi="Times New Roman" w:cs="Times New Roman"/>
        </w:rPr>
        <w:t>illustrates</w:t>
      </w:r>
      <w:r w:rsidR="00DF2366" w:rsidRPr="00523556">
        <w:rPr>
          <w:rFonts w:ascii="Times New Roman" w:hAnsi="Times New Roman" w:cs="Times New Roman"/>
        </w:rPr>
        <w:t xml:space="preserve"> the </w:t>
      </w:r>
      <w:r w:rsidRPr="00523556">
        <w:rPr>
          <w:rFonts w:ascii="Times New Roman" w:hAnsi="Times New Roman" w:cs="Times New Roman"/>
        </w:rPr>
        <w:t xml:space="preserve">breakdown of </w:t>
      </w:r>
      <w:r w:rsidR="00DF2366" w:rsidRPr="00523556">
        <w:rPr>
          <w:rFonts w:ascii="Times New Roman" w:hAnsi="Times New Roman" w:cs="Times New Roman"/>
        </w:rPr>
        <w:t xml:space="preserve">total net </w:t>
      </w:r>
      <w:r w:rsidRPr="00523556">
        <w:rPr>
          <w:rFonts w:ascii="Times New Roman" w:hAnsi="Times New Roman" w:cs="Times New Roman"/>
        </w:rPr>
        <w:t>financing in to external and domestic sources since FY0</w:t>
      </w:r>
      <w:r w:rsidR="001E6A04" w:rsidRPr="00523556">
        <w:rPr>
          <w:rFonts w:ascii="Times New Roman" w:hAnsi="Times New Roman" w:cs="Times New Roman"/>
        </w:rPr>
        <w:t>1</w:t>
      </w:r>
      <w:r w:rsidRPr="00523556">
        <w:rPr>
          <w:rFonts w:ascii="Times New Roman" w:hAnsi="Times New Roman" w:cs="Times New Roman"/>
        </w:rPr>
        <w:t>/0</w:t>
      </w:r>
      <w:r w:rsidR="001E6A04" w:rsidRPr="00523556">
        <w:rPr>
          <w:rFonts w:ascii="Times New Roman" w:hAnsi="Times New Roman" w:cs="Times New Roman"/>
        </w:rPr>
        <w:t>2</w:t>
      </w:r>
      <w:r w:rsidR="00B27DF5" w:rsidRPr="00523556">
        <w:rPr>
          <w:rFonts w:ascii="Times New Roman" w:hAnsi="Times New Roman" w:cs="Times New Roman"/>
        </w:rPr>
        <w:t>.</w:t>
      </w:r>
      <w:r w:rsidR="00E52E47" w:rsidRPr="00523556">
        <w:rPr>
          <w:rFonts w:ascii="Times New Roman" w:hAnsi="Times New Roman" w:cs="Times New Roman"/>
        </w:rPr>
        <w:t xml:space="preserve"> </w:t>
      </w:r>
    </w:p>
    <w:p w:rsidR="0008191E" w:rsidRPr="00523556" w:rsidRDefault="00EB0FA2" w:rsidP="0008191E">
      <w:pPr>
        <w:pStyle w:val="Figheader"/>
        <w:ind w:left="720" w:firstLine="0"/>
        <w:rPr>
          <w:rFonts w:ascii="Times New Roman" w:hAnsi="Times New Roman" w:cs="Times New Roman"/>
        </w:rPr>
      </w:pPr>
      <w:r w:rsidRPr="00523556">
        <w:rPr>
          <w:rFonts w:ascii="Times New Roman" w:hAnsi="Times New Roman" w:cs="Times New Roman"/>
        </w:rPr>
        <w:t>Figure</w:t>
      </w:r>
      <w:r w:rsidR="0008191E" w:rsidRPr="00523556">
        <w:rPr>
          <w:rFonts w:ascii="Times New Roman" w:hAnsi="Times New Roman" w:cs="Times New Roman"/>
        </w:rPr>
        <w:t xml:space="preserve"> </w:t>
      </w:r>
      <w:r w:rsidRPr="00523556">
        <w:rPr>
          <w:rFonts w:ascii="Times New Roman" w:hAnsi="Times New Roman" w:cs="Times New Roman"/>
        </w:rPr>
        <w:t>2.1</w:t>
      </w:r>
      <w:r w:rsidR="0008191E" w:rsidRPr="00523556">
        <w:rPr>
          <w:rFonts w:ascii="Times New Roman" w:hAnsi="Times New Roman" w:cs="Times New Roman"/>
        </w:rPr>
        <w:t>: External</w:t>
      </w:r>
      <w:r w:rsidR="0008191E" w:rsidRPr="00523556">
        <w:rPr>
          <w:rStyle w:val="FootnoteReference"/>
          <w:rFonts w:ascii="Times New Roman" w:hAnsi="Times New Roman" w:cs="Times New Roman"/>
        </w:rPr>
        <w:footnoteReference w:id="9"/>
      </w:r>
      <w:r w:rsidR="0008191E" w:rsidRPr="00523556">
        <w:rPr>
          <w:rFonts w:ascii="Times New Roman" w:hAnsi="Times New Roman" w:cs="Times New Roman"/>
        </w:rPr>
        <w:t xml:space="preserve"> and domestic</w:t>
      </w:r>
      <w:r w:rsidR="00012EE7" w:rsidRPr="00523556">
        <w:rPr>
          <w:rStyle w:val="FootnoteReference"/>
          <w:rFonts w:ascii="Times New Roman" w:hAnsi="Times New Roman" w:cs="Times New Roman"/>
        </w:rPr>
        <w:footnoteReference w:id="10"/>
      </w:r>
      <w:r w:rsidR="0008191E" w:rsidRPr="00523556">
        <w:rPr>
          <w:rFonts w:ascii="Times New Roman" w:hAnsi="Times New Roman" w:cs="Times New Roman"/>
        </w:rPr>
        <w:t xml:space="preserve"> financing of the fiscal deficit </w:t>
      </w:r>
      <w:r w:rsidR="001E6A04" w:rsidRPr="00523556">
        <w:rPr>
          <w:rFonts w:ascii="Times New Roman" w:hAnsi="Times New Roman" w:cs="Times New Roman"/>
        </w:rPr>
        <w:t>since FY01</w:t>
      </w:r>
      <w:r w:rsidR="00852385" w:rsidRPr="00523556">
        <w:rPr>
          <w:rFonts w:ascii="Times New Roman" w:hAnsi="Times New Roman" w:cs="Times New Roman"/>
        </w:rPr>
        <w:t>/0</w:t>
      </w:r>
      <w:r w:rsidR="001E6A04" w:rsidRPr="00523556">
        <w:rPr>
          <w:rFonts w:ascii="Times New Roman" w:hAnsi="Times New Roman" w:cs="Times New Roman"/>
        </w:rPr>
        <w:t>2</w:t>
      </w:r>
    </w:p>
    <w:p w:rsidR="0008191E" w:rsidRPr="00523556" w:rsidRDefault="00016822" w:rsidP="0008191E">
      <w:pPr>
        <w:jc w:val="center"/>
        <w:rPr>
          <w:rFonts w:ascii="Times New Roman" w:hAnsi="Times New Roman" w:cs="Times New Roman"/>
        </w:rPr>
      </w:pPr>
      <w:r w:rsidRPr="00523556">
        <w:rPr>
          <w:rFonts w:ascii="Times New Roman" w:hAnsi="Times New Roman" w:cs="Times New Roman"/>
          <w:noProof/>
          <w:lang w:eastAsia="en-GB"/>
        </w:rPr>
        <w:drawing>
          <wp:inline distT="0" distB="0" distL="0" distR="0">
            <wp:extent cx="4327451" cy="29336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7710" cy="2940591"/>
                    </a:xfrm>
                    <a:prstGeom prst="rect">
                      <a:avLst/>
                    </a:prstGeom>
                    <a:noFill/>
                    <a:ln>
                      <a:noFill/>
                    </a:ln>
                  </pic:spPr>
                </pic:pic>
              </a:graphicData>
            </a:graphic>
          </wp:inline>
        </w:drawing>
      </w:r>
    </w:p>
    <w:p w:rsidR="0008191E" w:rsidRPr="00523556" w:rsidRDefault="0008191E" w:rsidP="0008191E">
      <w:pPr>
        <w:pStyle w:val="Figfootnote"/>
        <w:rPr>
          <w:rFonts w:ascii="Times New Roman" w:hAnsi="Times New Roman" w:cs="Times New Roman"/>
          <w:sz w:val="24"/>
          <w:szCs w:val="24"/>
        </w:rPr>
      </w:pPr>
      <w:r w:rsidRPr="00523556">
        <w:rPr>
          <w:rFonts w:ascii="Times New Roman" w:hAnsi="Times New Roman" w:cs="Times New Roman"/>
          <w:sz w:val="24"/>
          <w:szCs w:val="24"/>
        </w:rPr>
        <w:t xml:space="preserve">Notes: (1) Net external financing almost wholly reflects net concessional lending. (2) Net domestic financing up to FY11/12 </w:t>
      </w:r>
      <w:r w:rsidR="006607F1" w:rsidRPr="00523556">
        <w:rPr>
          <w:rFonts w:ascii="Times New Roman" w:hAnsi="Times New Roman" w:cs="Times New Roman"/>
          <w:sz w:val="24"/>
          <w:szCs w:val="24"/>
        </w:rPr>
        <w:t xml:space="preserve">predominantly </w:t>
      </w:r>
      <w:r w:rsidRPr="00523556">
        <w:rPr>
          <w:rFonts w:ascii="Times New Roman" w:hAnsi="Times New Roman" w:cs="Times New Roman"/>
          <w:sz w:val="24"/>
          <w:szCs w:val="24"/>
        </w:rPr>
        <w:t xml:space="preserve">reflects changes in GoU’s net position with the BoU; in </w:t>
      </w:r>
      <w:r w:rsidR="00DF2366" w:rsidRPr="00523556">
        <w:rPr>
          <w:rFonts w:ascii="Times New Roman" w:hAnsi="Times New Roman" w:cs="Times New Roman"/>
          <w:sz w:val="24"/>
          <w:szCs w:val="24"/>
        </w:rPr>
        <w:t xml:space="preserve">contrast, </w:t>
      </w:r>
      <w:r w:rsidR="009C7CFF" w:rsidRPr="00523556">
        <w:rPr>
          <w:rFonts w:ascii="Times New Roman" w:hAnsi="Times New Roman" w:cs="Times New Roman"/>
          <w:sz w:val="24"/>
          <w:szCs w:val="24"/>
        </w:rPr>
        <w:t xml:space="preserve">in </w:t>
      </w:r>
      <w:r w:rsidRPr="00523556">
        <w:rPr>
          <w:rFonts w:ascii="Times New Roman" w:hAnsi="Times New Roman" w:cs="Times New Roman"/>
          <w:sz w:val="24"/>
          <w:szCs w:val="24"/>
        </w:rPr>
        <w:t xml:space="preserve">FY12/13 it </w:t>
      </w:r>
      <w:r w:rsidR="009C7CFF" w:rsidRPr="00523556">
        <w:rPr>
          <w:rFonts w:ascii="Times New Roman" w:hAnsi="Times New Roman" w:cs="Times New Roman"/>
          <w:sz w:val="24"/>
          <w:szCs w:val="24"/>
        </w:rPr>
        <w:t xml:space="preserve">is </w:t>
      </w:r>
      <w:r w:rsidR="00DF2366" w:rsidRPr="00523556">
        <w:rPr>
          <w:rFonts w:ascii="Times New Roman" w:hAnsi="Times New Roman" w:cs="Times New Roman"/>
          <w:sz w:val="24"/>
          <w:szCs w:val="24"/>
        </w:rPr>
        <w:t xml:space="preserve">predominantly </w:t>
      </w:r>
      <w:r w:rsidR="009C7CFF" w:rsidRPr="00523556">
        <w:rPr>
          <w:rFonts w:ascii="Times New Roman" w:hAnsi="Times New Roman" w:cs="Times New Roman"/>
          <w:sz w:val="24"/>
          <w:szCs w:val="24"/>
        </w:rPr>
        <w:t>(over 90</w:t>
      </w:r>
      <w:r w:rsidR="00E557B8" w:rsidRPr="00523556">
        <w:rPr>
          <w:rFonts w:ascii="Times New Roman" w:hAnsi="Times New Roman" w:cs="Times New Roman"/>
          <w:sz w:val="24"/>
          <w:szCs w:val="24"/>
        </w:rPr>
        <w:t xml:space="preserve"> per cent</w:t>
      </w:r>
      <w:r w:rsidR="009C7CFF" w:rsidRPr="00523556">
        <w:rPr>
          <w:rFonts w:ascii="Times New Roman" w:hAnsi="Times New Roman" w:cs="Times New Roman"/>
          <w:sz w:val="24"/>
          <w:szCs w:val="24"/>
        </w:rPr>
        <w:t xml:space="preserve">) accounted for by </w:t>
      </w:r>
      <w:r w:rsidRPr="00523556">
        <w:rPr>
          <w:rFonts w:ascii="Times New Roman" w:hAnsi="Times New Roman" w:cs="Times New Roman"/>
          <w:sz w:val="24"/>
          <w:szCs w:val="24"/>
        </w:rPr>
        <w:t xml:space="preserve">net issuance of Treasury securities to commercial banks and the broader non-bank public. (3) Differences between the fiscal deficit and the sum of net external and net domestic financing </w:t>
      </w:r>
      <w:r w:rsidR="009C7CFF" w:rsidRPr="00523556">
        <w:rPr>
          <w:rFonts w:ascii="Times New Roman" w:hAnsi="Times New Roman" w:cs="Times New Roman"/>
          <w:sz w:val="24"/>
          <w:szCs w:val="24"/>
        </w:rPr>
        <w:t>reflect</w:t>
      </w:r>
      <w:r w:rsidRPr="00523556">
        <w:rPr>
          <w:rFonts w:ascii="Times New Roman" w:hAnsi="Times New Roman" w:cs="Times New Roman"/>
          <w:sz w:val="24"/>
          <w:szCs w:val="24"/>
        </w:rPr>
        <w:t xml:space="preserve"> errors and omissions. </w:t>
      </w:r>
    </w:p>
    <w:p w:rsidR="0008191E" w:rsidRPr="00523556" w:rsidRDefault="0008191E" w:rsidP="0008191E">
      <w:pPr>
        <w:spacing w:after="0"/>
        <w:jc w:val="both"/>
        <w:rPr>
          <w:rFonts w:ascii="Times New Roman" w:hAnsi="Times New Roman" w:cs="Times New Roman"/>
          <w:i/>
        </w:rPr>
      </w:pPr>
      <w:r w:rsidRPr="00523556">
        <w:rPr>
          <w:rFonts w:ascii="Times New Roman" w:hAnsi="Times New Roman" w:cs="Times New Roman"/>
          <w:i/>
        </w:rPr>
        <w:t>Source: MoFPED Central Government Budgetary Statistics.</w:t>
      </w:r>
    </w:p>
    <w:p w:rsidR="0008191E" w:rsidRPr="00523556" w:rsidRDefault="0008191E" w:rsidP="0008191E">
      <w:pPr>
        <w:spacing w:after="0"/>
        <w:jc w:val="both"/>
        <w:rPr>
          <w:rFonts w:ascii="Times New Roman" w:hAnsi="Times New Roman" w:cs="Times New Roman"/>
        </w:rPr>
      </w:pPr>
    </w:p>
    <w:p w:rsidR="0094427B" w:rsidRPr="00523556" w:rsidRDefault="0094427B" w:rsidP="00D64959">
      <w:pPr>
        <w:jc w:val="both"/>
        <w:rPr>
          <w:rFonts w:ascii="Times New Roman" w:hAnsi="Times New Roman" w:cs="Times New Roman"/>
        </w:rPr>
      </w:pPr>
      <w:r w:rsidRPr="00523556">
        <w:rPr>
          <w:rFonts w:ascii="Times New Roman" w:hAnsi="Times New Roman" w:cs="Times New Roman"/>
        </w:rPr>
        <w:lastRenderedPageBreak/>
        <w:t>However, since FY09/10</w:t>
      </w:r>
      <w:r w:rsidR="00CA1A6B" w:rsidRPr="00523556">
        <w:rPr>
          <w:rFonts w:ascii="Times New Roman" w:hAnsi="Times New Roman" w:cs="Times New Roman"/>
        </w:rPr>
        <w:t>, some significant changes have begun to take place</w:t>
      </w:r>
      <w:r w:rsidR="00DD5F4A" w:rsidRPr="00523556">
        <w:rPr>
          <w:rFonts w:ascii="Times New Roman" w:hAnsi="Times New Roman" w:cs="Times New Roman"/>
        </w:rPr>
        <w:t xml:space="preserve">: </w:t>
      </w:r>
      <w:r w:rsidR="00012EE7" w:rsidRPr="00523556">
        <w:rPr>
          <w:rFonts w:ascii="Times New Roman" w:hAnsi="Times New Roman" w:cs="Times New Roman"/>
        </w:rPr>
        <w:t>as the fiscal deficit expanded</w:t>
      </w:r>
      <w:r w:rsidR="00F27D83" w:rsidRPr="00523556">
        <w:rPr>
          <w:rFonts w:ascii="Times New Roman" w:hAnsi="Times New Roman" w:cs="Times New Roman"/>
        </w:rPr>
        <w:t>,</w:t>
      </w:r>
      <w:r w:rsidR="00012EE7" w:rsidRPr="00523556">
        <w:rPr>
          <w:rFonts w:ascii="Times New Roman" w:hAnsi="Times New Roman" w:cs="Times New Roman"/>
        </w:rPr>
        <w:t xml:space="preserve"> </w:t>
      </w:r>
      <w:r w:rsidR="00AA3BE3" w:rsidRPr="00523556">
        <w:rPr>
          <w:rFonts w:ascii="Times New Roman" w:hAnsi="Times New Roman" w:cs="Times New Roman"/>
        </w:rPr>
        <w:t xml:space="preserve">domestic financing </w:t>
      </w:r>
      <w:r w:rsidR="00594379" w:rsidRPr="00523556">
        <w:rPr>
          <w:rFonts w:ascii="Times New Roman" w:hAnsi="Times New Roman" w:cs="Times New Roman"/>
        </w:rPr>
        <w:t xml:space="preserve">has begun to </w:t>
      </w:r>
      <w:r w:rsidR="00DD5F4A" w:rsidRPr="00523556">
        <w:rPr>
          <w:rFonts w:ascii="Times New Roman" w:hAnsi="Times New Roman" w:cs="Times New Roman"/>
        </w:rPr>
        <w:t xml:space="preserve">play </w:t>
      </w:r>
      <w:r w:rsidR="00CF562F" w:rsidRPr="00523556">
        <w:rPr>
          <w:rFonts w:ascii="Times New Roman" w:hAnsi="Times New Roman" w:cs="Times New Roman"/>
        </w:rPr>
        <w:t>a much more</w:t>
      </w:r>
      <w:r w:rsidR="00DD5F4A" w:rsidRPr="00523556">
        <w:rPr>
          <w:rFonts w:ascii="Times New Roman" w:hAnsi="Times New Roman" w:cs="Times New Roman"/>
        </w:rPr>
        <w:t xml:space="preserve"> important role, and new modes of deficit financing </w:t>
      </w:r>
      <w:r w:rsidR="00AA3BE3" w:rsidRPr="00523556">
        <w:rPr>
          <w:rFonts w:ascii="Times New Roman" w:hAnsi="Times New Roman" w:cs="Times New Roman"/>
        </w:rPr>
        <w:t>have begu</w:t>
      </w:r>
      <w:r w:rsidR="00DD5F4A" w:rsidRPr="00523556">
        <w:rPr>
          <w:rFonts w:ascii="Times New Roman" w:hAnsi="Times New Roman" w:cs="Times New Roman"/>
        </w:rPr>
        <w:t xml:space="preserve">n to be </w:t>
      </w:r>
      <w:r w:rsidR="00CF562F" w:rsidRPr="00523556">
        <w:rPr>
          <w:rFonts w:ascii="Times New Roman" w:hAnsi="Times New Roman" w:cs="Times New Roman"/>
        </w:rPr>
        <w:t>used</w:t>
      </w:r>
      <w:r w:rsidR="00CA1A6B" w:rsidRPr="00523556">
        <w:rPr>
          <w:rFonts w:ascii="Times New Roman" w:hAnsi="Times New Roman" w:cs="Times New Roman"/>
        </w:rPr>
        <w:t xml:space="preserve">. Over </w:t>
      </w:r>
      <w:r w:rsidRPr="00523556">
        <w:rPr>
          <w:rFonts w:ascii="Times New Roman" w:hAnsi="Times New Roman" w:cs="Times New Roman"/>
        </w:rPr>
        <w:t xml:space="preserve">FY09/10 and FY10/11 </w:t>
      </w:r>
      <w:r w:rsidR="00CA1A6B" w:rsidRPr="00523556">
        <w:rPr>
          <w:rFonts w:ascii="Times New Roman" w:hAnsi="Times New Roman" w:cs="Times New Roman"/>
        </w:rPr>
        <w:t xml:space="preserve">around half of </w:t>
      </w:r>
      <w:r w:rsidRPr="00523556">
        <w:rPr>
          <w:rFonts w:ascii="Times New Roman" w:hAnsi="Times New Roman" w:cs="Times New Roman"/>
        </w:rPr>
        <w:t>GoU</w:t>
      </w:r>
      <w:r w:rsidR="00CA1A6B" w:rsidRPr="00523556">
        <w:rPr>
          <w:rFonts w:ascii="Times New Roman" w:hAnsi="Times New Roman" w:cs="Times New Roman"/>
        </w:rPr>
        <w:t xml:space="preserve">’s deficit financing requirements were met domestically, </w:t>
      </w:r>
      <w:r w:rsidR="00DD5F4A" w:rsidRPr="00523556">
        <w:rPr>
          <w:rFonts w:ascii="Times New Roman" w:hAnsi="Times New Roman" w:cs="Times New Roman"/>
        </w:rPr>
        <w:t>with GoU dra</w:t>
      </w:r>
      <w:r w:rsidRPr="00523556">
        <w:rPr>
          <w:rFonts w:ascii="Times New Roman" w:hAnsi="Times New Roman" w:cs="Times New Roman"/>
        </w:rPr>
        <w:t>w</w:t>
      </w:r>
      <w:r w:rsidR="00DD5F4A" w:rsidRPr="00523556">
        <w:rPr>
          <w:rFonts w:ascii="Times New Roman" w:hAnsi="Times New Roman" w:cs="Times New Roman"/>
        </w:rPr>
        <w:t>ing</w:t>
      </w:r>
      <w:r w:rsidRPr="00523556">
        <w:rPr>
          <w:rFonts w:ascii="Times New Roman" w:hAnsi="Times New Roman" w:cs="Times New Roman"/>
        </w:rPr>
        <w:t xml:space="preserve"> down on its net position with the BoU</w:t>
      </w:r>
      <w:r w:rsidR="00DD5F4A" w:rsidRPr="00523556">
        <w:rPr>
          <w:rFonts w:ascii="Times New Roman" w:hAnsi="Times New Roman" w:cs="Times New Roman"/>
        </w:rPr>
        <w:t xml:space="preserve">; and </w:t>
      </w:r>
      <w:r w:rsidRPr="00523556">
        <w:rPr>
          <w:rFonts w:ascii="Times New Roman" w:hAnsi="Times New Roman" w:cs="Times New Roman"/>
        </w:rPr>
        <w:t>in FY12/13</w:t>
      </w:r>
      <w:r w:rsidR="00DD5F4A" w:rsidRPr="00523556">
        <w:rPr>
          <w:rFonts w:ascii="Times New Roman" w:hAnsi="Times New Roman" w:cs="Times New Roman"/>
        </w:rPr>
        <w:t>, Uganda</w:t>
      </w:r>
      <w:r w:rsidRPr="00523556">
        <w:rPr>
          <w:rFonts w:ascii="Times New Roman" w:hAnsi="Times New Roman" w:cs="Times New Roman"/>
        </w:rPr>
        <w:t xml:space="preserve"> issue</w:t>
      </w:r>
      <w:r w:rsidR="00DD5F4A" w:rsidRPr="00523556">
        <w:rPr>
          <w:rFonts w:ascii="Times New Roman" w:hAnsi="Times New Roman" w:cs="Times New Roman"/>
        </w:rPr>
        <w:t>d</w:t>
      </w:r>
      <w:r w:rsidRPr="00523556">
        <w:rPr>
          <w:rFonts w:ascii="Times New Roman" w:hAnsi="Times New Roman" w:cs="Times New Roman"/>
        </w:rPr>
        <w:t xml:space="preserve"> Treasury securities explicitly for fiscal purposes</w:t>
      </w:r>
      <w:r w:rsidR="00DD5F4A" w:rsidRPr="00523556">
        <w:rPr>
          <w:rFonts w:ascii="Times New Roman" w:hAnsi="Times New Roman" w:cs="Times New Roman"/>
        </w:rPr>
        <w:t xml:space="preserve"> for the first time</w:t>
      </w:r>
      <w:r w:rsidR="00012EE7" w:rsidRPr="00523556">
        <w:rPr>
          <w:rFonts w:ascii="Times New Roman" w:hAnsi="Times New Roman" w:cs="Times New Roman"/>
        </w:rPr>
        <w:t>, with net issuance</w:t>
      </w:r>
      <w:r w:rsidR="00FD4EBE" w:rsidRPr="00523556">
        <w:rPr>
          <w:rFonts w:ascii="Times New Roman" w:hAnsi="Times New Roman" w:cs="Times New Roman"/>
        </w:rPr>
        <w:t xml:space="preserve"> </w:t>
      </w:r>
      <w:r w:rsidR="00012EE7" w:rsidRPr="00523556">
        <w:rPr>
          <w:rFonts w:ascii="Times New Roman" w:hAnsi="Times New Roman" w:cs="Times New Roman"/>
        </w:rPr>
        <w:t>equivalent to 1.2</w:t>
      </w:r>
      <w:r w:rsidR="00E557B8" w:rsidRPr="00523556">
        <w:rPr>
          <w:rFonts w:ascii="Times New Roman" w:hAnsi="Times New Roman" w:cs="Times New Roman"/>
        </w:rPr>
        <w:t xml:space="preserve"> per cent</w:t>
      </w:r>
      <w:r w:rsidR="00012EE7" w:rsidRPr="00523556">
        <w:rPr>
          <w:rFonts w:ascii="Times New Roman" w:hAnsi="Times New Roman" w:cs="Times New Roman"/>
        </w:rPr>
        <w:t xml:space="preserve"> of GDP</w:t>
      </w:r>
      <w:r w:rsidRPr="00523556">
        <w:rPr>
          <w:rFonts w:ascii="Times New Roman" w:hAnsi="Times New Roman" w:cs="Times New Roman"/>
        </w:rPr>
        <w:t>.</w:t>
      </w:r>
      <w:r w:rsidR="004B2C28" w:rsidRPr="00523556">
        <w:rPr>
          <w:rStyle w:val="FootnoteReference"/>
          <w:rFonts w:ascii="Times New Roman" w:hAnsi="Times New Roman" w:cs="Times New Roman"/>
        </w:rPr>
        <w:footnoteReference w:id="11"/>
      </w:r>
      <w:r w:rsidRPr="00523556">
        <w:rPr>
          <w:rFonts w:ascii="Times New Roman" w:hAnsi="Times New Roman" w:cs="Times New Roman"/>
        </w:rPr>
        <w:t xml:space="preserve"> Furthermore, since 2009 Uganda has begun to contract some </w:t>
      </w:r>
      <w:r w:rsidR="00987EF8" w:rsidRPr="00523556">
        <w:rPr>
          <w:rFonts w:ascii="Times New Roman" w:hAnsi="Times New Roman" w:cs="Times New Roman"/>
        </w:rPr>
        <w:t xml:space="preserve">semi-concessional </w:t>
      </w:r>
      <w:r w:rsidR="00345CE5" w:rsidRPr="00523556">
        <w:rPr>
          <w:rFonts w:ascii="Times New Roman" w:hAnsi="Times New Roman" w:cs="Times New Roman"/>
        </w:rPr>
        <w:t xml:space="preserve">external </w:t>
      </w:r>
      <w:r w:rsidRPr="00523556">
        <w:rPr>
          <w:rFonts w:ascii="Times New Roman" w:hAnsi="Times New Roman" w:cs="Times New Roman"/>
        </w:rPr>
        <w:t>debt</w:t>
      </w:r>
      <w:r w:rsidR="0012010B" w:rsidRPr="00523556">
        <w:rPr>
          <w:rFonts w:ascii="Times New Roman" w:hAnsi="Times New Roman" w:cs="Times New Roman"/>
        </w:rPr>
        <w:t xml:space="preserve"> </w:t>
      </w:r>
      <w:r w:rsidR="002B3863" w:rsidRPr="00523556">
        <w:rPr>
          <w:rFonts w:ascii="Times New Roman" w:hAnsi="Times New Roman" w:cs="Times New Roman"/>
        </w:rPr>
        <w:t>(</w:t>
      </w:r>
      <w:r w:rsidR="00C15420" w:rsidRPr="00523556">
        <w:rPr>
          <w:rFonts w:ascii="Times New Roman" w:hAnsi="Times New Roman" w:cs="Times New Roman"/>
        </w:rPr>
        <w:t>see below)</w:t>
      </w:r>
      <w:r w:rsidRPr="00523556">
        <w:rPr>
          <w:rFonts w:ascii="Times New Roman" w:hAnsi="Times New Roman" w:cs="Times New Roman"/>
        </w:rPr>
        <w:t xml:space="preserve">. </w:t>
      </w:r>
    </w:p>
    <w:p w:rsidR="008B60B4" w:rsidRPr="00523556" w:rsidRDefault="00605A71" w:rsidP="00EF5903">
      <w:pPr>
        <w:pStyle w:val="Heading3"/>
        <w:rPr>
          <w:rFonts w:ascii="Times New Roman" w:hAnsi="Times New Roman" w:cs="Times New Roman"/>
        </w:rPr>
      </w:pPr>
      <w:r w:rsidRPr="00523556">
        <w:rPr>
          <w:rFonts w:ascii="Times New Roman" w:hAnsi="Times New Roman" w:cs="Times New Roman"/>
        </w:rPr>
        <w:t xml:space="preserve">2.1.2 </w:t>
      </w:r>
      <w:r w:rsidR="006E1C5F" w:rsidRPr="00523556">
        <w:rPr>
          <w:rFonts w:ascii="Times New Roman" w:hAnsi="Times New Roman" w:cs="Times New Roman"/>
        </w:rPr>
        <w:t>T</w:t>
      </w:r>
      <w:r w:rsidR="00EF5903" w:rsidRPr="00523556">
        <w:rPr>
          <w:rFonts w:ascii="Times New Roman" w:hAnsi="Times New Roman" w:cs="Times New Roman"/>
        </w:rPr>
        <w:t>he current debt stock</w:t>
      </w:r>
    </w:p>
    <w:p w:rsidR="00594379" w:rsidRPr="00523556" w:rsidRDefault="00EB0FA2" w:rsidP="00930A0B">
      <w:pPr>
        <w:spacing w:after="0"/>
        <w:jc w:val="both"/>
        <w:rPr>
          <w:rFonts w:ascii="Times New Roman" w:hAnsi="Times New Roman" w:cs="Times New Roman"/>
        </w:rPr>
      </w:pPr>
      <w:r w:rsidRPr="00523556">
        <w:rPr>
          <w:rFonts w:ascii="Times New Roman" w:hAnsi="Times New Roman" w:cs="Times New Roman"/>
        </w:rPr>
        <w:t>Figure</w:t>
      </w:r>
      <w:r w:rsidR="00594379" w:rsidRPr="00523556">
        <w:rPr>
          <w:rFonts w:ascii="Times New Roman" w:hAnsi="Times New Roman" w:cs="Times New Roman"/>
        </w:rPr>
        <w:t xml:space="preserve"> </w:t>
      </w:r>
      <w:r w:rsidRPr="00523556">
        <w:rPr>
          <w:rFonts w:ascii="Times New Roman" w:hAnsi="Times New Roman" w:cs="Times New Roman"/>
        </w:rPr>
        <w:t>2.2</w:t>
      </w:r>
      <w:r w:rsidR="00594379" w:rsidRPr="00523556">
        <w:rPr>
          <w:rFonts w:ascii="Times New Roman" w:hAnsi="Times New Roman" w:cs="Times New Roman"/>
        </w:rPr>
        <w:t xml:space="preserve"> </w:t>
      </w:r>
      <w:r w:rsidR="0044603E" w:rsidRPr="00523556">
        <w:rPr>
          <w:rFonts w:ascii="Times New Roman" w:hAnsi="Times New Roman" w:cs="Times New Roman"/>
        </w:rPr>
        <w:t>plots the stock of</w:t>
      </w:r>
      <w:r w:rsidR="00594379" w:rsidRPr="00523556">
        <w:rPr>
          <w:rFonts w:ascii="Times New Roman" w:hAnsi="Times New Roman" w:cs="Times New Roman"/>
        </w:rPr>
        <w:t xml:space="preserve"> total, external and domestic debt </w:t>
      </w:r>
      <w:r w:rsidR="0044603E" w:rsidRPr="00523556">
        <w:rPr>
          <w:rFonts w:ascii="Times New Roman" w:hAnsi="Times New Roman" w:cs="Times New Roman"/>
        </w:rPr>
        <w:t xml:space="preserve">over </w:t>
      </w:r>
      <w:r w:rsidR="00594379" w:rsidRPr="00523556">
        <w:rPr>
          <w:rFonts w:ascii="Times New Roman" w:hAnsi="Times New Roman" w:cs="Times New Roman"/>
        </w:rPr>
        <w:t xml:space="preserve">recent years. </w:t>
      </w:r>
      <w:r w:rsidR="00620D7D" w:rsidRPr="00523556">
        <w:rPr>
          <w:rFonts w:ascii="Times New Roman" w:hAnsi="Times New Roman" w:cs="Times New Roman"/>
        </w:rPr>
        <w:t>In addition to the direct effect of a</w:t>
      </w:r>
      <w:r w:rsidR="003410F5" w:rsidRPr="00523556">
        <w:rPr>
          <w:rFonts w:ascii="Times New Roman" w:hAnsi="Times New Roman" w:cs="Times New Roman"/>
        </w:rPr>
        <w:t>nnual borrowing</w:t>
      </w:r>
      <w:r w:rsidR="006E1C5F" w:rsidRPr="00523556">
        <w:rPr>
          <w:rFonts w:ascii="Times New Roman" w:hAnsi="Times New Roman" w:cs="Times New Roman"/>
        </w:rPr>
        <w:t xml:space="preserve"> flows</w:t>
      </w:r>
      <w:r w:rsidR="00620D7D" w:rsidRPr="00523556">
        <w:rPr>
          <w:rFonts w:ascii="Times New Roman" w:hAnsi="Times New Roman" w:cs="Times New Roman"/>
        </w:rPr>
        <w:t xml:space="preserve">, the size of the </w:t>
      </w:r>
      <w:r w:rsidR="0044603E" w:rsidRPr="00523556">
        <w:rPr>
          <w:rFonts w:ascii="Times New Roman" w:hAnsi="Times New Roman" w:cs="Times New Roman"/>
        </w:rPr>
        <w:t xml:space="preserve">total </w:t>
      </w:r>
      <w:r w:rsidR="00620D7D" w:rsidRPr="00523556">
        <w:rPr>
          <w:rFonts w:ascii="Times New Roman" w:hAnsi="Times New Roman" w:cs="Times New Roman"/>
        </w:rPr>
        <w:t>debt stock is also influenced by</w:t>
      </w:r>
      <w:r w:rsidR="00F13FE9" w:rsidRPr="00523556">
        <w:rPr>
          <w:rFonts w:ascii="Times New Roman" w:hAnsi="Times New Roman" w:cs="Times New Roman"/>
        </w:rPr>
        <w:t xml:space="preserve"> </w:t>
      </w:r>
      <w:r w:rsidR="00EE37EE" w:rsidRPr="00523556">
        <w:rPr>
          <w:rFonts w:ascii="Times New Roman" w:hAnsi="Times New Roman" w:cs="Times New Roman"/>
        </w:rPr>
        <w:t xml:space="preserve">factors such as </w:t>
      </w:r>
      <w:r w:rsidR="00F13FE9" w:rsidRPr="00523556">
        <w:rPr>
          <w:rFonts w:ascii="Times New Roman" w:hAnsi="Times New Roman" w:cs="Times New Roman"/>
        </w:rPr>
        <w:t xml:space="preserve">exchange rate movements, </w:t>
      </w:r>
      <w:r w:rsidR="00EE37EE" w:rsidRPr="00523556">
        <w:rPr>
          <w:rFonts w:ascii="Times New Roman" w:hAnsi="Times New Roman" w:cs="Times New Roman"/>
        </w:rPr>
        <w:t xml:space="preserve">domestic debt issuance for monetary policy purposes, and </w:t>
      </w:r>
      <w:r w:rsidR="00F13FE9" w:rsidRPr="00523556">
        <w:rPr>
          <w:rFonts w:ascii="Times New Roman" w:hAnsi="Times New Roman" w:cs="Times New Roman"/>
        </w:rPr>
        <w:t>(</w:t>
      </w:r>
      <w:r w:rsidR="00FC0217" w:rsidRPr="00523556">
        <w:rPr>
          <w:rFonts w:ascii="Times New Roman" w:hAnsi="Times New Roman" w:cs="Times New Roman"/>
        </w:rPr>
        <w:t>in years past</w:t>
      </w:r>
      <w:r w:rsidR="00F13FE9" w:rsidRPr="00523556">
        <w:rPr>
          <w:rFonts w:ascii="Times New Roman" w:hAnsi="Times New Roman" w:cs="Times New Roman"/>
        </w:rPr>
        <w:t xml:space="preserve">) </w:t>
      </w:r>
      <w:r w:rsidR="0044603E" w:rsidRPr="00523556">
        <w:rPr>
          <w:rFonts w:ascii="Times New Roman" w:hAnsi="Times New Roman" w:cs="Times New Roman"/>
        </w:rPr>
        <w:t xml:space="preserve">external </w:t>
      </w:r>
      <w:r w:rsidR="00F13FE9" w:rsidRPr="00523556">
        <w:rPr>
          <w:rFonts w:ascii="Times New Roman" w:hAnsi="Times New Roman" w:cs="Times New Roman"/>
        </w:rPr>
        <w:t>debt relief</w:t>
      </w:r>
      <w:r w:rsidR="00EE37EE" w:rsidRPr="00523556">
        <w:rPr>
          <w:rFonts w:ascii="Times New Roman" w:hAnsi="Times New Roman" w:cs="Times New Roman"/>
        </w:rPr>
        <w:t>.</w:t>
      </w:r>
      <w:r w:rsidR="00220B41" w:rsidRPr="00523556">
        <w:rPr>
          <w:rFonts w:ascii="Times New Roman" w:hAnsi="Times New Roman" w:cs="Times New Roman"/>
        </w:rPr>
        <w:t xml:space="preserve"> </w:t>
      </w:r>
    </w:p>
    <w:p w:rsidR="000A5E58" w:rsidRPr="00523556" w:rsidRDefault="000A5E58" w:rsidP="00930A0B">
      <w:pPr>
        <w:spacing w:after="0"/>
        <w:jc w:val="both"/>
        <w:rPr>
          <w:rFonts w:ascii="Times New Roman" w:hAnsi="Times New Roman" w:cs="Times New Roman"/>
        </w:rPr>
      </w:pPr>
    </w:p>
    <w:p w:rsidR="000A5E58" w:rsidRPr="00523556" w:rsidRDefault="000A5E58" w:rsidP="00930A0B">
      <w:pPr>
        <w:spacing w:after="0"/>
        <w:jc w:val="both"/>
        <w:rPr>
          <w:rFonts w:ascii="Times New Roman" w:hAnsi="Times New Roman" w:cs="Times New Roman"/>
        </w:rPr>
      </w:pPr>
      <w:r w:rsidRPr="00523556">
        <w:rPr>
          <w:rFonts w:ascii="Times New Roman" w:hAnsi="Times New Roman" w:cs="Times New Roman"/>
        </w:rPr>
        <w:t>The figure shows the significant impact of debt relief</w:t>
      </w:r>
      <w:r w:rsidR="007A3E85" w:rsidRPr="00523556">
        <w:rPr>
          <w:rFonts w:ascii="Times New Roman" w:hAnsi="Times New Roman" w:cs="Times New Roman"/>
        </w:rPr>
        <w:t>:</w:t>
      </w:r>
      <w:r w:rsidRPr="00523556">
        <w:rPr>
          <w:rFonts w:ascii="Times New Roman" w:hAnsi="Times New Roman" w:cs="Times New Roman"/>
        </w:rPr>
        <w:t xml:space="preserve"> external debt </w:t>
      </w:r>
      <w:r w:rsidR="007A3E85" w:rsidRPr="00523556">
        <w:rPr>
          <w:rFonts w:ascii="Times New Roman" w:hAnsi="Times New Roman" w:cs="Times New Roman"/>
        </w:rPr>
        <w:t>reduced</w:t>
      </w:r>
      <w:r w:rsidRPr="00523556">
        <w:rPr>
          <w:rFonts w:ascii="Times New Roman" w:hAnsi="Times New Roman" w:cs="Times New Roman"/>
        </w:rPr>
        <w:t xml:space="preserve"> from a peak of 67.8</w:t>
      </w:r>
      <w:r w:rsidR="00E557B8" w:rsidRPr="00523556">
        <w:rPr>
          <w:rFonts w:ascii="Times New Roman" w:hAnsi="Times New Roman" w:cs="Times New Roman"/>
        </w:rPr>
        <w:t xml:space="preserve"> per cent</w:t>
      </w:r>
      <w:r w:rsidRPr="00523556">
        <w:rPr>
          <w:rFonts w:ascii="Times New Roman" w:hAnsi="Times New Roman" w:cs="Times New Roman"/>
        </w:rPr>
        <w:t xml:space="preserve"> </w:t>
      </w:r>
      <w:r w:rsidR="00170E23" w:rsidRPr="00523556">
        <w:rPr>
          <w:rFonts w:ascii="Times New Roman" w:hAnsi="Times New Roman" w:cs="Times New Roman"/>
        </w:rPr>
        <w:t xml:space="preserve">of GDP </w:t>
      </w:r>
      <w:r w:rsidRPr="00523556">
        <w:rPr>
          <w:rFonts w:ascii="Times New Roman" w:hAnsi="Times New Roman" w:cs="Times New Roman"/>
        </w:rPr>
        <w:t>at end-FY02/03 to a low of 11.0</w:t>
      </w:r>
      <w:r w:rsidR="00E557B8" w:rsidRPr="00523556">
        <w:rPr>
          <w:rFonts w:ascii="Times New Roman" w:hAnsi="Times New Roman" w:cs="Times New Roman"/>
        </w:rPr>
        <w:t xml:space="preserve"> per cent</w:t>
      </w:r>
      <w:r w:rsidRPr="00523556">
        <w:rPr>
          <w:rFonts w:ascii="Times New Roman" w:hAnsi="Times New Roman" w:cs="Times New Roman"/>
        </w:rPr>
        <w:t xml:space="preserve"> </w:t>
      </w:r>
      <w:r w:rsidR="00170E23" w:rsidRPr="00523556">
        <w:rPr>
          <w:rFonts w:ascii="Times New Roman" w:hAnsi="Times New Roman" w:cs="Times New Roman"/>
        </w:rPr>
        <w:t xml:space="preserve">of GDP </w:t>
      </w:r>
      <w:r w:rsidRPr="00523556">
        <w:rPr>
          <w:rFonts w:ascii="Times New Roman" w:hAnsi="Times New Roman" w:cs="Times New Roman"/>
        </w:rPr>
        <w:t>at end-FY06/07</w:t>
      </w:r>
      <w:r w:rsidR="007A3E85" w:rsidRPr="00523556">
        <w:rPr>
          <w:rFonts w:ascii="Times New Roman" w:hAnsi="Times New Roman" w:cs="Times New Roman"/>
        </w:rPr>
        <w:t xml:space="preserve">. </w:t>
      </w:r>
      <w:r w:rsidRPr="00523556">
        <w:rPr>
          <w:rFonts w:ascii="Times New Roman" w:hAnsi="Times New Roman" w:cs="Times New Roman"/>
        </w:rPr>
        <w:t xml:space="preserve">GoU has </w:t>
      </w:r>
      <w:r w:rsidR="00B96A15" w:rsidRPr="00523556">
        <w:rPr>
          <w:rFonts w:ascii="Times New Roman" w:hAnsi="Times New Roman" w:cs="Times New Roman"/>
        </w:rPr>
        <w:t xml:space="preserve">already </w:t>
      </w:r>
      <w:r w:rsidRPr="00523556">
        <w:rPr>
          <w:rFonts w:ascii="Times New Roman" w:hAnsi="Times New Roman" w:cs="Times New Roman"/>
        </w:rPr>
        <w:t>begun to utilise</w:t>
      </w:r>
      <w:r w:rsidR="00B96A15" w:rsidRPr="00523556">
        <w:rPr>
          <w:rFonts w:ascii="Times New Roman" w:hAnsi="Times New Roman" w:cs="Times New Roman"/>
        </w:rPr>
        <w:t xml:space="preserve"> the borrowing space this created</w:t>
      </w:r>
      <w:r w:rsidRPr="00523556">
        <w:rPr>
          <w:rFonts w:ascii="Times New Roman" w:hAnsi="Times New Roman" w:cs="Times New Roman"/>
        </w:rPr>
        <w:t>: total debt has increased from 20.0</w:t>
      </w:r>
      <w:r w:rsidR="00E557B8" w:rsidRPr="00523556">
        <w:rPr>
          <w:rFonts w:ascii="Times New Roman" w:hAnsi="Times New Roman" w:cs="Times New Roman"/>
        </w:rPr>
        <w:t xml:space="preserve"> per cent</w:t>
      </w:r>
      <w:r w:rsidRPr="00523556">
        <w:rPr>
          <w:rFonts w:ascii="Times New Roman" w:hAnsi="Times New Roman" w:cs="Times New Roman"/>
        </w:rPr>
        <w:t xml:space="preserve"> </w:t>
      </w:r>
      <w:r w:rsidR="00170E23" w:rsidRPr="00523556">
        <w:rPr>
          <w:rFonts w:ascii="Times New Roman" w:hAnsi="Times New Roman" w:cs="Times New Roman"/>
        </w:rPr>
        <w:t xml:space="preserve">of GDP </w:t>
      </w:r>
      <w:r w:rsidRPr="00523556">
        <w:rPr>
          <w:rFonts w:ascii="Times New Roman" w:hAnsi="Times New Roman" w:cs="Times New Roman"/>
        </w:rPr>
        <w:t>at end-FY06/07 to 29.3</w:t>
      </w:r>
      <w:r w:rsidR="00E557B8" w:rsidRPr="00523556">
        <w:rPr>
          <w:rFonts w:ascii="Times New Roman" w:hAnsi="Times New Roman" w:cs="Times New Roman"/>
        </w:rPr>
        <w:t xml:space="preserve"> per cent</w:t>
      </w:r>
      <w:r w:rsidRPr="00523556">
        <w:rPr>
          <w:rFonts w:ascii="Times New Roman" w:hAnsi="Times New Roman" w:cs="Times New Roman"/>
        </w:rPr>
        <w:t xml:space="preserve"> </w:t>
      </w:r>
      <w:r w:rsidR="00170E23" w:rsidRPr="00523556">
        <w:rPr>
          <w:rFonts w:ascii="Times New Roman" w:hAnsi="Times New Roman" w:cs="Times New Roman"/>
        </w:rPr>
        <w:t xml:space="preserve">of GDP </w:t>
      </w:r>
      <w:r w:rsidRPr="00523556">
        <w:rPr>
          <w:rFonts w:ascii="Times New Roman" w:hAnsi="Times New Roman" w:cs="Times New Roman"/>
        </w:rPr>
        <w:t xml:space="preserve">at end-FY12/13 (Shs.16,003.0bn). This rise </w:t>
      </w:r>
      <w:r w:rsidR="009C2D8B" w:rsidRPr="00523556">
        <w:rPr>
          <w:rFonts w:ascii="Times New Roman" w:hAnsi="Times New Roman" w:cs="Times New Roman"/>
        </w:rPr>
        <w:t xml:space="preserve">has been driven </w:t>
      </w:r>
      <w:r w:rsidR="009F1FEA" w:rsidRPr="00523556">
        <w:rPr>
          <w:rFonts w:ascii="Times New Roman" w:hAnsi="Times New Roman" w:cs="Times New Roman"/>
        </w:rPr>
        <w:t xml:space="preserve">in </w:t>
      </w:r>
      <w:r w:rsidR="001F48D8" w:rsidRPr="00523556">
        <w:rPr>
          <w:rFonts w:ascii="Times New Roman" w:hAnsi="Times New Roman" w:cs="Times New Roman"/>
        </w:rPr>
        <w:t xml:space="preserve">large </w:t>
      </w:r>
      <w:r w:rsidR="009F1FEA" w:rsidRPr="00523556">
        <w:rPr>
          <w:rFonts w:ascii="Times New Roman" w:hAnsi="Times New Roman" w:cs="Times New Roman"/>
        </w:rPr>
        <w:t xml:space="preserve">part </w:t>
      </w:r>
      <w:r w:rsidR="001F48D8" w:rsidRPr="00523556">
        <w:rPr>
          <w:rFonts w:ascii="Times New Roman" w:hAnsi="Times New Roman" w:cs="Times New Roman"/>
        </w:rPr>
        <w:t xml:space="preserve">by </w:t>
      </w:r>
      <w:r w:rsidR="009F1FEA" w:rsidRPr="00523556">
        <w:rPr>
          <w:rFonts w:ascii="Times New Roman" w:hAnsi="Times New Roman" w:cs="Times New Roman"/>
        </w:rPr>
        <w:t xml:space="preserve">a </w:t>
      </w:r>
      <w:r w:rsidR="001F48D8" w:rsidRPr="00523556">
        <w:rPr>
          <w:rFonts w:ascii="Times New Roman" w:hAnsi="Times New Roman" w:cs="Times New Roman"/>
        </w:rPr>
        <w:t>substantial</w:t>
      </w:r>
      <w:r w:rsidR="009F1FEA" w:rsidRPr="00523556">
        <w:rPr>
          <w:rFonts w:ascii="Times New Roman" w:hAnsi="Times New Roman" w:cs="Times New Roman"/>
        </w:rPr>
        <w:t xml:space="preserve"> increase in public investment,</w:t>
      </w:r>
      <w:r w:rsidR="009F1FEA" w:rsidRPr="00523556">
        <w:rPr>
          <w:rStyle w:val="FootnoteReference"/>
          <w:rFonts w:ascii="Times New Roman" w:hAnsi="Times New Roman" w:cs="Times New Roman"/>
        </w:rPr>
        <w:footnoteReference w:id="12"/>
      </w:r>
      <w:r w:rsidR="009F1FEA" w:rsidRPr="00523556">
        <w:rPr>
          <w:rFonts w:ascii="Times New Roman" w:hAnsi="Times New Roman" w:cs="Times New Roman"/>
        </w:rPr>
        <w:t xml:space="preserve"> and</w:t>
      </w:r>
      <w:r w:rsidR="001F48D8" w:rsidRPr="00523556">
        <w:rPr>
          <w:rFonts w:ascii="Times New Roman" w:hAnsi="Times New Roman" w:cs="Times New Roman"/>
        </w:rPr>
        <w:t xml:space="preserve"> primarily reflects</w:t>
      </w:r>
      <w:r w:rsidRPr="00523556">
        <w:rPr>
          <w:rFonts w:ascii="Times New Roman" w:hAnsi="Times New Roman" w:cs="Times New Roman"/>
        </w:rPr>
        <w:t xml:space="preserve"> </w:t>
      </w:r>
      <w:r w:rsidR="001F48D8" w:rsidRPr="00523556">
        <w:rPr>
          <w:rFonts w:ascii="Times New Roman" w:hAnsi="Times New Roman" w:cs="Times New Roman"/>
        </w:rPr>
        <w:t xml:space="preserve">an increase in </w:t>
      </w:r>
      <w:r w:rsidRPr="00523556">
        <w:rPr>
          <w:rFonts w:ascii="Times New Roman" w:hAnsi="Times New Roman" w:cs="Times New Roman"/>
        </w:rPr>
        <w:t>external debt</w:t>
      </w:r>
      <w:r w:rsidR="007A3E85" w:rsidRPr="00523556">
        <w:rPr>
          <w:rFonts w:ascii="Times New Roman" w:hAnsi="Times New Roman" w:cs="Times New Roman"/>
        </w:rPr>
        <w:t xml:space="preserve"> (almost wholly accounted for by concessional loans)</w:t>
      </w:r>
      <w:r w:rsidRPr="00523556">
        <w:rPr>
          <w:rFonts w:ascii="Times New Roman" w:hAnsi="Times New Roman" w:cs="Times New Roman"/>
        </w:rPr>
        <w:t>, which has increased by 7.1</w:t>
      </w:r>
      <w:r w:rsidR="00887912" w:rsidRPr="00523556">
        <w:rPr>
          <w:rFonts w:ascii="Times New Roman" w:hAnsi="Times New Roman" w:cs="Times New Roman"/>
        </w:rPr>
        <w:t xml:space="preserve"> </w:t>
      </w:r>
      <w:r w:rsidR="004A35F7" w:rsidRPr="00523556">
        <w:rPr>
          <w:rFonts w:ascii="Times New Roman" w:hAnsi="Times New Roman" w:cs="Times New Roman"/>
        </w:rPr>
        <w:t>p</w:t>
      </w:r>
      <w:r w:rsidR="00887912" w:rsidRPr="00523556">
        <w:rPr>
          <w:rFonts w:ascii="Times New Roman" w:hAnsi="Times New Roman" w:cs="Times New Roman"/>
        </w:rPr>
        <w:t>ercentage points</w:t>
      </w:r>
      <w:r w:rsidR="00750802" w:rsidRPr="00523556">
        <w:rPr>
          <w:rFonts w:ascii="Times New Roman" w:hAnsi="Times New Roman" w:cs="Times New Roman"/>
        </w:rPr>
        <w:t xml:space="preserve"> </w:t>
      </w:r>
      <w:r w:rsidRPr="00523556">
        <w:rPr>
          <w:rFonts w:ascii="Times New Roman" w:hAnsi="Times New Roman" w:cs="Times New Roman"/>
        </w:rPr>
        <w:t>over this period to 18.1</w:t>
      </w:r>
      <w:r w:rsidR="00E557B8" w:rsidRPr="00523556">
        <w:rPr>
          <w:rFonts w:ascii="Times New Roman" w:hAnsi="Times New Roman" w:cs="Times New Roman"/>
        </w:rPr>
        <w:t xml:space="preserve"> per cent</w:t>
      </w:r>
      <w:r w:rsidRPr="00523556">
        <w:rPr>
          <w:rFonts w:ascii="Times New Roman" w:hAnsi="Times New Roman" w:cs="Times New Roman"/>
        </w:rPr>
        <w:t xml:space="preserve"> of GDP (Shs.9,919.9bn, or US$3.825bn</w:t>
      </w:r>
      <w:r w:rsidR="007A3E85" w:rsidRPr="00523556">
        <w:rPr>
          <w:rFonts w:ascii="Times New Roman" w:hAnsi="Times New Roman" w:cs="Times New Roman"/>
        </w:rPr>
        <w:t>)</w:t>
      </w:r>
      <w:r w:rsidRPr="00523556">
        <w:rPr>
          <w:rFonts w:ascii="Times New Roman" w:hAnsi="Times New Roman" w:cs="Times New Roman"/>
        </w:rPr>
        <w:t xml:space="preserve">. </w:t>
      </w:r>
      <w:r w:rsidR="00170E23" w:rsidRPr="00523556">
        <w:rPr>
          <w:rFonts w:ascii="Times New Roman" w:hAnsi="Times New Roman" w:cs="Times New Roman"/>
        </w:rPr>
        <w:t>Domestic debt (Treasury Bills and Bonds) as a share of GDP has remained relatively flat over the past decade or so, though has risen 3.7</w:t>
      </w:r>
      <w:r w:rsidR="00E557B8" w:rsidRPr="00523556">
        <w:rPr>
          <w:rFonts w:ascii="Times New Roman" w:hAnsi="Times New Roman" w:cs="Times New Roman"/>
        </w:rPr>
        <w:t xml:space="preserve"> percentage point</w:t>
      </w:r>
      <w:r w:rsidR="004A35F7" w:rsidRPr="00523556">
        <w:rPr>
          <w:rFonts w:ascii="Times New Roman" w:hAnsi="Times New Roman" w:cs="Times New Roman"/>
        </w:rPr>
        <w:t>s</w:t>
      </w:r>
      <w:r w:rsidR="00170E23" w:rsidRPr="00523556">
        <w:rPr>
          <w:rFonts w:ascii="Times New Roman" w:hAnsi="Times New Roman" w:cs="Times New Roman"/>
        </w:rPr>
        <w:t xml:space="preserve"> over the past three years to 11.1</w:t>
      </w:r>
      <w:r w:rsidR="00E557B8" w:rsidRPr="00523556">
        <w:rPr>
          <w:rFonts w:ascii="Times New Roman" w:hAnsi="Times New Roman" w:cs="Times New Roman"/>
        </w:rPr>
        <w:t xml:space="preserve"> per cent</w:t>
      </w:r>
      <w:r w:rsidR="00170E23" w:rsidRPr="00523556">
        <w:rPr>
          <w:rFonts w:ascii="Times New Roman" w:hAnsi="Times New Roman" w:cs="Times New Roman"/>
        </w:rPr>
        <w:t xml:space="preserve"> of GDP (Shs.6,083.1bn).</w:t>
      </w:r>
      <w:r w:rsidR="007A3E85" w:rsidRPr="00523556">
        <w:rPr>
          <w:rStyle w:val="FootnoteReference"/>
          <w:rFonts w:ascii="Times New Roman" w:hAnsi="Times New Roman" w:cs="Times New Roman"/>
        </w:rPr>
        <w:footnoteReference w:id="13"/>
      </w:r>
      <w:r w:rsidR="006E3F5A" w:rsidRPr="00523556">
        <w:rPr>
          <w:rStyle w:val="FootnoteReference"/>
          <w:rFonts w:ascii="Times New Roman" w:hAnsi="Times New Roman" w:cs="Times New Roman"/>
        </w:rPr>
        <w:footnoteReference w:id="14"/>
      </w:r>
      <w:r w:rsidR="00170E23" w:rsidRPr="00523556">
        <w:rPr>
          <w:rFonts w:ascii="Times New Roman" w:hAnsi="Times New Roman" w:cs="Times New Roman"/>
        </w:rPr>
        <w:t xml:space="preserve"> </w:t>
      </w:r>
    </w:p>
    <w:p w:rsidR="00594379" w:rsidRPr="00523556" w:rsidRDefault="007A3E85" w:rsidP="00930A0B">
      <w:pPr>
        <w:spacing w:after="0"/>
        <w:jc w:val="both"/>
        <w:rPr>
          <w:rFonts w:ascii="Times New Roman" w:hAnsi="Times New Roman" w:cs="Times New Roman"/>
        </w:rPr>
      </w:pPr>
      <w:r w:rsidRPr="00523556">
        <w:rPr>
          <w:rFonts w:ascii="Times New Roman" w:hAnsi="Times New Roman" w:cs="Times New Roman"/>
        </w:rPr>
        <w:t xml:space="preserve"> </w:t>
      </w:r>
    </w:p>
    <w:p w:rsidR="006C360E" w:rsidRPr="00523556" w:rsidRDefault="006C360E" w:rsidP="00F57177">
      <w:pPr>
        <w:spacing w:after="0"/>
        <w:jc w:val="both"/>
        <w:rPr>
          <w:rFonts w:ascii="Times New Roman" w:hAnsi="Times New Roman" w:cs="Times New Roman"/>
        </w:rPr>
      </w:pPr>
      <w:r w:rsidRPr="00523556">
        <w:rPr>
          <w:rFonts w:ascii="Times New Roman" w:hAnsi="Times New Roman" w:cs="Times New Roman"/>
        </w:rPr>
        <w:t>Fig</w:t>
      </w:r>
      <w:r w:rsidR="00EB0FA2" w:rsidRPr="00523556">
        <w:rPr>
          <w:rFonts w:ascii="Times New Roman" w:hAnsi="Times New Roman" w:cs="Times New Roman"/>
        </w:rPr>
        <w:t>ure</w:t>
      </w:r>
      <w:r w:rsidRPr="00523556">
        <w:rPr>
          <w:rFonts w:ascii="Times New Roman" w:hAnsi="Times New Roman" w:cs="Times New Roman"/>
        </w:rPr>
        <w:t xml:space="preserve"> </w:t>
      </w:r>
      <w:r w:rsidR="00EB0FA2" w:rsidRPr="00523556">
        <w:rPr>
          <w:rFonts w:ascii="Times New Roman" w:hAnsi="Times New Roman" w:cs="Times New Roman"/>
        </w:rPr>
        <w:t>2.3</w:t>
      </w:r>
      <w:r w:rsidRPr="00523556">
        <w:rPr>
          <w:rFonts w:ascii="Times New Roman" w:hAnsi="Times New Roman" w:cs="Times New Roman"/>
        </w:rPr>
        <w:t xml:space="preserve"> provides some key indicators of the cost and risk characteristics of the gross debt stock as of end-FY12/13. </w:t>
      </w:r>
      <w:r w:rsidR="00667AF7" w:rsidRPr="00523556">
        <w:rPr>
          <w:rFonts w:ascii="Times New Roman" w:hAnsi="Times New Roman" w:cs="Times New Roman"/>
        </w:rPr>
        <w:t>The weighted average interest rate on the external debt stock was significantly lower than on the domestic debt stock (at 0.8</w:t>
      </w:r>
      <w:r w:rsidR="00E557B8" w:rsidRPr="00523556">
        <w:rPr>
          <w:rFonts w:ascii="Times New Roman" w:hAnsi="Times New Roman" w:cs="Times New Roman"/>
        </w:rPr>
        <w:t xml:space="preserve"> per cent</w:t>
      </w:r>
      <w:r w:rsidR="00667AF7" w:rsidRPr="00523556">
        <w:rPr>
          <w:rFonts w:ascii="Times New Roman" w:hAnsi="Times New Roman" w:cs="Times New Roman"/>
        </w:rPr>
        <w:t>, compared to 13.1</w:t>
      </w:r>
      <w:r w:rsidR="00E557B8" w:rsidRPr="00523556">
        <w:rPr>
          <w:rFonts w:ascii="Times New Roman" w:hAnsi="Times New Roman" w:cs="Times New Roman"/>
        </w:rPr>
        <w:t xml:space="preserve"> per cent</w:t>
      </w:r>
      <w:r w:rsidR="00667AF7" w:rsidRPr="00523556">
        <w:rPr>
          <w:rFonts w:ascii="Times New Roman" w:hAnsi="Times New Roman" w:cs="Times New Roman"/>
        </w:rPr>
        <w:t>), and the average time to maturity much higher (at 19.6 years, compared to 1.7 years) – r</w:t>
      </w:r>
      <w:r w:rsidRPr="00523556">
        <w:rPr>
          <w:rFonts w:ascii="Times New Roman" w:hAnsi="Times New Roman" w:cs="Times New Roman"/>
        </w:rPr>
        <w:t>eflecting</w:t>
      </w:r>
      <w:r w:rsidR="00667AF7" w:rsidRPr="00523556">
        <w:rPr>
          <w:rFonts w:ascii="Times New Roman" w:hAnsi="Times New Roman" w:cs="Times New Roman"/>
        </w:rPr>
        <w:t xml:space="preserve"> </w:t>
      </w:r>
      <w:r w:rsidRPr="00523556">
        <w:rPr>
          <w:rFonts w:ascii="Times New Roman" w:hAnsi="Times New Roman" w:cs="Times New Roman"/>
        </w:rPr>
        <w:t xml:space="preserve">the very different nature of concessional external debt </w:t>
      </w:r>
      <w:r w:rsidR="00667AF7" w:rsidRPr="00523556">
        <w:rPr>
          <w:rFonts w:ascii="Times New Roman" w:hAnsi="Times New Roman" w:cs="Times New Roman"/>
        </w:rPr>
        <w:t>(</w:t>
      </w:r>
      <w:r w:rsidR="00867E4F" w:rsidRPr="00523556">
        <w:rPr>
          <w:rFonts w:ascii="Times New Roman" w:hAnsi="Times New Roman" w:cs="Times New Roman"/>
        </w:rPr>
        <w:t>which is contracted at tenors</w:t>
      </w:r>
      <w:r w:rsidR="00667AF7" w:rsidRPr="00523556">
        <w:rPr>
          <w:rFonts w:ascii="Times New Roman" w:hAnsi="Times New Roman" w:cs="Times New Roman"/>
        </w:rPr>
        <w:t xml:space="preserve"> </w:t>
      </w:r>
      <w:r w:rsidR="00867E4F" w:rsidRPr="00523556">
        <w:rPr>
          <w:rFonts w:ascii="Times New Roman" w:hAnsi="Times New Roman" w:cs="Times New Roman"/>
        </w:rPr>
        <w:t>of up to 50 years</w:t>
      </w:r>
      <w:r w:rsidR="00667AF7" w:rsidRPr="00523556">
        <w:rPr>
          <w:rFonts w:ascii="Times New Roman" w:hAnsi="Times New Roman" w:cs="Times New Roman"/>
        </w:rPr>
        <w:t xml:space="preserve">, </w:t>
      </w:r>
      <w:r w:rsidR="00867E4F" w:rsidRPr="00523556">
        <w:rPr>
          <w:rFonts w:ascii="Times New Roman" w:hAnsi="Times New Roman" w:cs="Times New Roman"/>
        </w:rPr>
        <w:t xml:space="preserve">and </w:t>
      </w:r>
      <w:r w:rsidR="00667AF7" w:rsidRPr="00523556">
        <w:rPr>
          <w:rFonts w:ascii="Times New Roman" w:hAnsi="Times New Roman" w:cs="Times New Roman"/>
        </w:rPr>
        <w:t xml:space="preserve">at very </w:t>
      </w:r>
      <w:r w:rsidR="00867E4F" w:rsidRPr="00523556">
        <w:rPr>
          <w:rFonts w:ascii="Times New Roman" w:hAnsi="Times New Roman" w:cs="Times New Roman"/>
        </w:rPr>
        <w:t xml:space="preserve">low </w:t>
      </w:r>
      <w:r w:rsidR="00667AF7" w:rsidRPr="00523556">
        <w:rPr>
          <w:rFonts w:ascii="Times New Roman" w:hAnsi="Times New Roman" w:cs="Times New Roman"/>
        </w:rPr>
        <w:t xml:space="preserve">rates of </w:t>
      </w:r>
      <w:r w:rsidR="00867E4F" w:rsidRPr="00523556">
        <w:rPr>
          <w:rFonts w:ascii="Times New Roman" w:hAnsi="Times New Roman" w:cs="Times New Roman"/>
        </w:rPr>
        <w:t>interest</w:t>
      </w:r>
      <w:r w:rsidR="00667AF7" w:rsidRPr="00523556">
        <w:rPr>
          <w:rFonts w:ascii="Times New Roman" w:hAnsi="Times New Roman" w:cs="Times New Roman"/>
        </w:rPr>
        <w:t>)</w:t>
      </w:r>
      <w:r w:rsidR="00867E4F" w:rsidRPr="00523556">
        <w:rPr>
          <w:rFonts w:ascii="Times New Roman" w:hAnsi="Times New Roman" w:cs="Times New Roman"/>
        </w:rPr>
        <w:t xml:space="preserve"> </w:t>
      </w:r>
      <w:r w:rsidRPr="00523556">
        <w:rPr>
          <w:rFonts w:ascii="Times New Roman" w:hAnsi="Times New Roman" w:cs="Times New Roman"/>
        </w:rPr>
        <w:t>compared</w:t>
      </w:r>
      <w:r w:rsidR="00867E4F" w:rsidRPr="00523556">
        <w:rPr>
          <w:rFonts w:ascii="Times New Roman" w:hAnsi="Times New Roman" w:cs="Times New Roman"/>
        </w:rPr>
        <w:t xml:space="preserve"> </w:t>
      </w:r>
      <w:r w:rsidRPr="00523556">
        <w:rPr>
          <w:rFonts w:ascii="Times New Roman" w:hAnsi="Times New Roman" w:cs="Times New Roman"/>
        </w:rPr>
        <w:t>to domestic debt</w:t>
      </w:r>
      <w:r w:rsidR="00867E4F" w:rsidRPr="00523556">
        <w:rPr>
          <w:rFonts w:ascii="Times New Roman" w:hAnsi="Times New Roman" w:cs="Times New Roman"/>
        </w:rPr>
        <w:t xml:space="preserve"> </w:t>
      </w:r>
      <w:r w:rsidR="00667AF7" w:rsidRPr="00523556">
        <w:rPr>
          <w:rFonts w:ascii="Times New Roman" w:hAnsi="Times New Roman" w:cs="Times New Roman"/>
        </w:rPr>
        <w:t>(</w:t>
      </w:r>
      <w:r w:rsidR="00867E4F" w:rsidRPr="00523556">
        <w:rPr>
          <w:rFonts w:ascii="Times New Roman" w:hAnsi="Times New Roman" w:cs="Times New Roman"/>
        </w:rPr>
        <w:t xml:space="preserve">which </w:t>
      </w:r>
      <w:r w:rsidR="00867E4F" w:rsidRPr="00523556">
        <w:rPr>
          <w:rFonts w:ascii="Times New Roman" w:hAnsi="Times New Roman" w:cs="Times New Roman"/>
        </w:rPr>
        <w:lastRenderedPageBreak/>
        <w:t xml:space="preserve">is issued at market rates of interest, </w:t>
      </w:r>
      <w:r w:rsidR="00667AF7" w:rsidRPr="00523556">
        <w:rPr>
          <w:rFonts w:ascii="Times New Roman" w:hAnsi="Times New Roman" w:cs="Times New Roman"/>
        </w:rPr>
        <w:t xml:space="preserve">and with the longest </w:t>
      </w:r>
      <w:r w:rsidR="00115FFC" w:rsidRPr="00523556">
        <w:rPr>
          <w:rFonts w:ascii="Times New Roman" w:hAnsi="Times New Roman" w:cs="Times New Roman"/>
        </w:rPr>
        <w:t>maturity</w:t>
      </w:r>
      <w:r w:rsidR="00667AF7" w:rsidRPr="00523556">
        <w:rPr>
          <w:rFonts w:ascii="Times New Roman" w:hAnsi="Times New Roman" w:cs="Times New Roman"/>
        </w:rPr>
        <w:t xml:space="preserve"> </w:t>
      </w:r>
      <w:r w:rsidR="00115FFC" w:rsidRPr="00523556">
        <w:rPr>
          <w:rFonts w:ascii="Times New Roman" w:hAnsi="Times New Roman" w:cs="Times New Roman"/>
        </w:rPr>
        <w:t xml:space="preserve">at </w:t>
      </w:r>
      <w:r w:rsidR="00667AF7" w:rsidRPr="00523556">
        <w:rPr>
          <w:rFonts w:ascii="Times New Roman" w:hAnsi="Times New Roman" w:cs="Times New Roman"/>
        </w:rPr>
        <w:t>present being 15-years)</w:t>
      </w:r>
      <w:r w:rsidRPr="00523556">
        <w:rPr>
          <w:rFonts w:ascii="Times New Roman" w:hAnsi="Times New Roman" w:cs="Times New Roman"/>
        </w:rPr>
        <w:t>.</w:t>
      </w:r>
      <w:r w:rsidR="00867E4F" w:rsidRPr="00523556">
        <w:rPr>
          <w:rFonts w:ascii="Times New Roman" w:hAnsi="Times New Roman" w:cs="Times New Roman"/>
        </w:rPr>
        <w:t xml:space="preserve"> </w:t>
      </w:r>
      <w:r w:rsidR="00FA72A6" w:rsidRPr="00523556">
        <w:rPr>
          <w:rFonts w:ascii="Times New Roman" w:hAnsi="Times New Roman" w:cs="Times New Roman"/>
        </w:rPr>
        <w:t>Although the stock of domestic debt is lower than that of external debt, total interest payments on domestic debt are significantly higher – at 10.7</w:t>
      </w:r>
      <w:r w:rsidR="00E557B8" w:rsidRPr="00523556">
        <w:rPr>
          <w:rFonts w:ascii="Times New Roman" w:hAnsi="Times New Roman" w:cs="Times New Roman"/>
        </w:rPr>
        <w:t xml:space="preserve"> per cent</w:t>
      </w:r>
      <w:r w:rsidR="00FA72A6" w:rsidRPr="00523556">
        <w:rPr>
          <w:rFonts w:ascii="Times New Roman" w:hAnsi="Times New Roman" w:cs="Times New Roman"/>
        </w:rPr>
        <w:t xml:space="preserve"> as a share of budget revenues (excluding grants) in FY12/13, compared to only 1.4</w:t>
      </w:r>
      <w:r w:rsidR="00E557B8" w:rsidRPr="00523556">
        <w:rPr>
          <w:rFonts w:ascii="Times New Roman" w:hAnsi="Times New Roman" w:cs="Times New Roman"/>
        </w:rPr>
        <w:t xml:space="preserve"> per cent</w:t>
      </w:r>
      <w:r w:rsidR="00FA72A6" w:rsidRPr="00523556">
        <w:rPr>
          <w:rFonts w:ascii="Times New Roman" w:hAnsi="Times New Roman" w:cs="Times New Roman"/>
        </w:rPr>
        <w:t xml:space="preserve"> for external debt interest payments.</w:t>
      </w:r>
    </w:p>
    <w:p w:rsidR="00667AF7" w:rsidRPr="00523556" w:rsidRDefault="00667AF7" w:rsidP="00F57177">
      <w:pPr>
        <w:spacing w:after="0"/>
        <w:jc w:val="both"/>
        <w:rPr>
          <w:rFonts w:ascii="Times New Roman" w:hAnsi="Times New Roman" w:cs="Times New Roman"/>
          <w:i/>
          <w:u w:val="single"/>
        </w:rPr>
      </w:pPr>
    </w:p>
    <w:p w:rsidR="006E1C5F" w:rsidRPr="00523556" w:rsidRDefault="00EB0FA2" w:rsidP="0008191E">
      <w:pPr>
        <w:pStyle w:val="Figheader"/>
        <w:ind w:left="720" w:firstLine="0"/>
        <w:rPr>
          <w:rFonts w:ascii="Times New Roman" w:hAnsi="Times New Roman" w:cs="Times New Roman"/>
        </w:rPr>
      </w:pPr>
      <w:r w:rsidRPr="00523556">
        <w:rPr>
          <w:rFonts w:ascii="Times New Roman" w:hAnsi="Times New Roman" w:cs="Times New Roman"/>
        </w:rPr>
        <w:t>Figure</w:t>
      </w:r>
      <w:r w:rsidR="00E721E4" w:rsidRPr="00523556">
        <w:rPr>
          <w:rFonts w:ascii="Times New Roman" w:hAnsi="Times New Roman" w:cs="Times New Roman"/>
        </w:rPr>
        <w:t xml:space="preserve"> </w:t>
      </w:r>
      <w:r w:rsidRPr="00523556">
        <w:rPr>
          <w:rFonts w:ascii="Times New Roman" w:hAnsi="Times New Roman" w:cs="Times New Roman"/>
        </w:rPr>
        <w:t>2.2</w:t>
      </w:r>
      <w:r w:rsidR="006E1C5F" w:rsidRPr="00523556">
        <w:rPr>
          <w:rFonts w:ascii="Times New Roman" w:hAnsi="Times New Roman" w:cs="Times New Roman"/>
        </w:rPr>
        <w:t xml:space="preserve">: Uganda’s </w:t>
      </w:r>
      <w:r w:rsidR="00A745EF" w:rsidRPr="00523556">
        <w:rPr>
          <w:rFonts w:ascii="Times New Roman" w:hAnsi="Times New Roman" w:cs="Times New Roman"/>
        </w:rPr>
        <w:t>total, domestic and</w:t>
      </w:r>
      <w:r w:rsidR="006E1C5F" w:rsidRPr="00523556">
        <w:rPr>
          <w:rFonts w:ascii="Times New Roman" w:hAnsi="Times New Roman" w:cs="Times New Roman"/>
        </w:rPr>
        <w:t xml:space="preserve"> external debt stocks as a </w:t>
      </w:r>
      <w:r w:rsidR="00E557B8" w:rsidRPr="00523556">
        <w:rPr>
          <w:rFonts w:ascii="Times New Roman" w:hAnsi="Times New Roman" w:cs="Times New Roman"/>
        </w:rPr>
        <w:t xml:space="preserve"> per cent</w:t>
      </w:r>
      <w:r w:rsidR="006E1C5F" w:rsidRPr="00523556">
        <w:rPr>
          <w:rFonts w:ascii="Times New Roman" w:hAnsi="Times New Roman" w:cs="Times New Roman"/>
        </w:rPr>
        <w:t xml:space="preserve"> of GDP, FY</w:t>
      </w:r>
      <w:r w:rsidR="00AF442C" w:rsidRPr="00523556">
        <w:rPr>
          <w:rFonts w:ascii="Times New Roman" w:hAnsi="Times New Roman" w:cs="Times New Roman"/>
        </w:rPr>
        <w:t>01/02</w:t>
      </w:r>
      <w:r w:rsidR="006E1C5F" w:rsidRPr="00523556">
        <w:rPr>
          <w:rFonts w:ascii="Times New Roman" w:hAnsi="Times New Roman" w:cs="Times New Roman"/>
        </w:rPr>
        <w:t>-FY12/13</w:t>
      </w:r>
    </w:p>
    <w:p w:rsidR="006E1C5F" w:rsidRPr="00523556" w:rsidRDefault="006E1C5F" w:rsidP="00EF023F">
      <w:pPr>
        <w:spacing w:after="0"/>
        <w:jc w:val="center"/>
        <w:rPr>
          <w:rFonts w:ascii="Times New Roman" w:hAnsi="Times New Roman" w:cs="Times New Roman"/>
        </w:rPr>
      </w:pPr>
      <w:r w:rsidRPr="00523556">
        <w:rPr>
          <w:rFonts w:ascii="Times New Roman" w:hAnsi="Times New Roman" w:cs="Times New Roman"/>
        </w:rPr>
        <w:tab/>
      </w:r>
      <w:r w:rsidR="00AF442C" w:rsidRPr="00523556">
        <w:rPr>
          <w:rFonts w:ascii="Times New Roman" w:hAnsi="Times New Roman" w:cs="Times New Roman"/>
          <w:noProof/>
          <w:lang w:eastAsia="en-GB"/>
        </w:rPr>
        <w:drawing>
          <wp:inline distT="0" distB="0" distL="0" distR="0">
            <wp:extent cx="4441190" cy="3051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1190" cy="3051810"/>
                    </a:xfrm>
                    <a:prstGeom prst="rect">
                      <a:avLst/>
                    </a:prstGeom>
                    <a:noFill/>
                    <a:ln>
                      <a:noFill/>
                    </a:ln>
                  </pic:spPr>
                </pic:pic>
              </a:graphicData>
            </a:graphic>
          </wp:inline>
        </w:drawing>
      </w:r>
    </w:p>
    <w:p w:rsidR="00620D7D" w:rsidRPr="00523556" w:rsidRDefault="00620D7D" w:rsidP="00EF023F">
      <w:pPr>
        <w:pStyle w:val="Figfootnote"/>
        <w:rPr>
          <w:rFonts w:ascii="Times New Roman" w:hAnsi="Times New Roman" w:cs="Times New Roman"/>
          <w:sz w:val="24"/>
          <w:szCs w:val="24"/>
        </w:rPr>
      </w:pPr>
      <w:r w:rsidRPr="00523556">
        <w:rPr>
          <w:rFonts w:ascii="Times New Roman" w:hAnsi="Times New Roman" w:cs="Times New Roman"/>
          <w:sz w:val="24"/>
          <w:szCs w:val="24"/>
        </w:rPr>
        <w:t>Notes: The chart shows gross debt</w:t>
      </w:r>
      <w:r w:rsidR="009513B8" w:rsidRPr="00523556">
        <w:rPr>
          <w:rFonts w:ascii="Times New Roman" w:hAnsi="Times New Roman" w:cs="Times New Roman"/>
          <w:sz w:val="24"/>
          <w:szCs w:val="24"/>
        </w:rPr>
        <w:t xml:space="preserve"> stocks</w:t>
      </w:r>
      <w:r w:rsidR="003B2482" w:rsidRPr="00523556">
        <w:rPr>
          <w:rFonts w:ascii="Times New Roman" w:hAnsi="Times New Roman" w:cs="Times New Roman"/>
          <w:sz w:val="24"/>
          <w:szCs w:val="24"/>
        </w:rPr>
        <w:t>. The domestic debt stock is reported at cost value.</w:t>
      </w:r>
    </w:p>
    <w:p w:rsidR="00EF023F" w:rsidRPr="00523556" w:rsidRDefault="00EF023F" w:rsidP="00EF023F">
      <w:pPr>
        <w:pStyle w:val="Figfootnote"/>
        <w:rPr>
          <w:rFonts w:ascii="Times New Roman" w:hAnsi="Times New Roman" w:cs="Times New Roman"/>
          <w:sz w:val="24"/>
          <w:szCs w:val="24"/>
        </w:rPr>
      </w:pPr>
      <w:r w:rsidRPr="00523556">
        <w:rPr>
          <w:rFonts w:ascii="Times New Roman" w:hAnsi="Times New Roman" w:cs="Times New Roman"/>
          <w:sz w:val="24"/>
          <w:szCs w:val="24"/>
        </w:rPr>
        <w:t xml:space="preserve">Source: </w:t>
      </w:r>
      <w:r w:rsidR="002376CC" w:rsidRPr="00523556">
        <w:rPr>
          <w:rFonts w:ascii="Times New Roman" w:hAnsi="Times New Roman" w:cs="Times New Roman"/>
          <w:sz w:val="24"/>
          <w:szCs w:val="24"/>
        </w:rPr>
        <w:t>MoFPED, BoU</w:t>
      </w:r>
      <w:r w:rsidR="00F35A31" w:rsidRPr="00523556">
        <w:rPr>
          <w:rFonts w:ascii="Times New Roman" w:hAnsi="Times New Roman" w:cs="Times New Roman"/>
          <w:sz w:val="24"/>
          <w:szCs w:val="24"/>
        </w:rPr>
        <w:t>.</w:t>
      </w:r>
    </w:p>
    <w:p w:rsidR="00667AF7" w:rsidRPr="00523556" w:rsidRDefault="00667AF7" w:rsidP="00667AF7">
      <w:pPr>
        <w:spacing w:after="0"/>
        <w:jc w:val="both"/>
        <w:rPr>
          <w:rFonts w:ascii="Times New Roman" w:hAnsi="Times New Roman" w:cs="Times New Roman"/>
          <w:i/>
          <w:u w:val="single"/>
        </w:rPr>
      </w:pPr>
    </w:p>
    <w:p w:rsidR="00C04DF3" w:rsidRPr="00523556" w:rsidRDefault="00EB0FA2" w:rsidP="00C04DF3">
      <w:pPr>
        <w:pStyle w:val="Figheader"/>
        <w:ind w:left="720" w:firstLine="0"/>
        <w:rPr>
          <w:rFonts w:ascii="Times New Roman" w:hAnsi="Times New Roman" w:cs="Times New Roman"/>
        </w:rPr>
      </w:pPr>
      <w:r w:rsidRPr="00523556">
        <w:rPr>
          <w:rFonts w:ascii="Times New Roman" w:hAnsi="Times New Roman" w:cs="Times New Roman"/>
        </w:rPr>
        <w:t>Figure</w:t>
      </w:r>
      <w:r w:rsidR="00C04DF3" w:rsidRPr="00523556">
        <w:rPr>
          <w:rFonts w:ascii="Times New Roman" w:hAnsi="Times New Roman" w:cs="Times New Roman"/>
        </w:rPr>
        <w:t xml:space="preserve"> </w:t>
      </w:r>
      <w:r w:rsidRPr="00523556">
        <w:rPr>
          <w:rFonts w:ascii="Times New Roman" w:hAnsi="Times New Roman" w:cs="Times New Roman"/>
        </w:rPr>
        <w:t>2.3</w:t>
      </w:r>
      <w:r w:rsidR="00C04DF3" w:rsidRPr="00523556">
        <w:rPr>
          <w:rFonts w:ascii="Times New Roman" w:hAnsi="Times New Roman" w:cs="Times New Roman"/>
        </w:rPr>
        <w:t>: Selected cost and risk indicators of Uganda’s debt portfolio, end-FY12/13</w:t>
      </w:r>
    </w:p>
    <w:p w:rsidR="00C04DF3" w:rsidRPr="00523556" w:rsidRDefault="009513B8" w:rsidP="006E1C5F">
      <w:pPr>
        <w:spacing w:after="0"/>
        <w:jc w:val="both"/>
        <w:rPr>
          <w:rFonts w:ascii="Times New Roman" w:hAnsi="Times New Roman" w:cs="Times New Roman"/>
        </w:rPr>
      </w:pPr>
      <w:r w:rsidRPr="00523556">
        <w:rPr>
          <w:rFonts w:ascii="Times New Roman" w:hAnsi="Times New Roman" w:cs="Times New Roman"/>
          <w:noProof/>
          <w:lang w:eastAsia="en-GB"/>
        </w:rPr>
        <w:drawing>
          <wp:inline distT="0" distB="0" distL="0" distR="0">
            <wp:extent cx="5731510" cy="170194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701941"/>
                    </a:xfrm>
                    <a:prstGeom prst="rect">
                      <a:avLst/>
                    </a:prstGeom>
                    <a:noFill/>
                    <a:ln>
                      <a:noFill/>
                    </a:ln>
                  </pic:spPr>
                </pic:pic>
              </a:graphicData>
            </a:graphic>
          </wp:inline>
        </w:drawing>
      </w:r>
    </w:p>
    <w:p w:rsidR="00015152" w:rsidRPr="00523556" w:rsidRDefault="00015152" w:rsidP="000F3466">
      <w:pPr>
        <w:pStyle w:val="Figfootnote"/>
        <w:tabs>
          <w:tab w:val="left" w:pos="5205"/>
        </w:tabs>
        <w:rPr>
          <w:rFonts w:ascii="Times New Roman" w:hAnsi="Times New Roman" w:cs="Times New Roman"/>
          <w:i w:val="0"/>
          <w:sz w:val="24"/>
          <w:szCs w:val="24"/>
        </w:rPr>
      </w:pPr>
      <w:r w:rsidRPr="00523556">
        <w:rPr>
          <w:rFonts w:ascii="Times New Roman" w:hAnsi="Times New Roman" w:cs="Times New Roman"/>
          <w:sz w:val="24"/>
          <w:szCs w:val="24"/>
        </w:rPr>
        <w:t xml:space="preserve">* Interest payments as </w:t>
      </w:r>
      <w:r w:rsidR="00E557B8" w:rsidRPr="00523556">
        <w:rPr>
          <w:rFonts w:ascii="Times New Roman" w:hAnsi="Times New Roman" w:cs="Times New Roman"/>
          <w:sz w:val="24"/>
          <w:szCs w:val="24"/>
        </w:rPr>
        <w:t xml:space="preserve"> per cent</w:t>
      </w:r>
      <w:r w:rsidRPr="00523556">
        <w:rPr>
          <w:rFonts w:ascii="Times New Roman" w:hAnsi="Times New Roman" w:cs="Times New Roman"/>
          <w:sz w:val="24"/>
          <w:szCs w:val="24"/>
        </w:rPr>
        <w:t xml:space="preserve"> of budget revenues, </w:t>
      </w:r>
      <w:r w:rsidRPr="00523556">
        <w:rPr>
          <w:rFonts w:ascii="Times New Roman" w:hAnsi="Times New Roman" w:cs="Times New Roman"/>
          <w:i w:val="0"/>
          <w:sz w:val="24"/>
          <w:szCs w:val="24"/>
        </w:rPr>
        <w:t>excluding grants</w:t>
      </w:r>
      <w:r w:rsidRPr="00523556">
        <w:rPr>
          <w:rFonts w:ascii="Times New Roman" w:hAnsi="Times New Roman" w:cs="Times New Roman"/>
          <w:sz w:val="24"/>
          <w:szCs w:val="24"/>
        </w:rPr>
        <w:t>.</w:t>
      </w:r>
      <w:r w:rsidR="00626515" w:rsidRPr="00523556">
        <w:rPr>
          <w:rFonts w:ascii="Times New Roman" w:hAnsi="Times New Roman" w:cs="Times New Roman"/>
          <w:sz w:val="24"/>
          <w:szCs w:val="24"/>
        </w:rPr>
        <w:t xml:space="preserve"> ‘FX’ = ‘foreign currency’.</w:t>
      </w:r>
    </w:p>
    <w:p w:rsidR="006E1C5F" w:rsidRPr="00523556" w:rsidRDefault="0082753E" w:rsidP="000F3466">
      <w:pPr>
        <w:pStyle w:val="Figfootnote"/>
        <w:tabs>
          <w:tab w:val="left" w:pos="5205"/>
        </w:tabs>
        <w:rPr>
          <w:rFonts w:ascii="Times New Roman" w:hAnsi="Times New Roman" w:cs="Times New Roman"/>
          <w:sz w:val="24"/>
          <w:szCs w:val="24"/>
        </w:rPr>
      </w:pPr>
      <w:r w:rsidRPr="00523556">
        <w:rPr>
          <w:rFonts w:ascii="Times New Roman" w:hAnsi="Times New Roman" w:cs="Times New Roman"/>
          <w:sz w:val="24"/>
          <w:szCs w:val="24"/>
        </w:rPr>
        <w:t xml:space="preserve">Source: </w:t>
      </w:r>
      <w:r w:rsidR="000F3466" w:rsidRPr="00523556">
        <w:rPr>
          <w:rFonts w:ascii="Times New Roman" w:hAnsi="Times New Roman" w:cs="Times New Roman"/>
          <w:sz w:val="24"/>
          <w:szCs w:val="24"/>
        </w:rPr>
        <w:t>Estimates as in the d</w:t>
      </w:r>
      <w:r w:rsidRPr="00523556">
        <w:rPr>
          <w:rFonts w:ascii="Times New Roman" w:hAnsi="Times New Roman" w:cs="Times New Roman"/>
          <w:sz w:val="24"/>
          <w:szCs w:val="24"/>
        </w:rPr>
        <w:t xml:space="preserve">raft </w:t>
      </w:r>
      <w:r w:rsidRPr="00523556">
        <w:rPr>
          <w:rFonts w:ascii="Times New Roman" w:hAnsi="Times New Roman" w:cs="Times New Roman"/>
          <w:i w:val="0"/>
          <w:sz w:val="24"/>
          <w:szCs w:val="24"/>
        </w:rPr>
        <w:t xml:space="preserve">Public Debt </w:t>
      </w:r>
      <w:r w:rsidR="001601A9" w:rsidRPr="00523556">
        <w:rPr>
          <w:rFonts w:ascii="Times New Roman" w:hAnsi="Times New Roman" w:cs="Times New Roman"/>
          <w:i w:val="0"/>
          <w:sz w:val="24"/>
          <w:szCs w:val="24"/>
        </w:rPr>
        <w:t>Policy Framework</w:t>
      </w:r>
      <w:r w:rsidRPr="00523556">
        <w:rPr>
          <w:rFonts w:ascii="Times New Roman" w:hAnsi="Times New Roman" w:cs="Times New Roman"/>
          <w:sz w:val="24"/>
          <w:szCs w:val="24"/>
        </w:rPr>
        <w:t>, MoFPED</w:t>
      </w:r>
      <w:r w:rsidR="008A5A8A" w:rsidRPr="00523556">
        <w:rPr>
          <w:rFonts w:ascii="Times New Roman" w:hAnsi="Times New Roman" w:cs="Times New Roman"/>
          <w:sz w:val="24"/>
          <w:szCs w:val="24"/>
        </w:rPr>
        <w:t xml:space="preserve"> (2013)</w:t>
      </w:r>
      <w:r w:rsidRPr="00523556">
        <w:rPr>
          <w:rFonts w:ascii="Times New Roman" w:hAnsi="Times New Roman" w:cs="Times New Roman"/>
          <w:sz w:val="24"/>
          <w:szCs w:val="24"/>
        </w:rPr>
        <w:t>, mimeo</w:t>
      </w:r>
      <w:r w:rsidR="000F3466" w:rsidRPr="00523556">
        <w:rPr>
          <w:rFonts w:ascii="Times New Roman" w:hAnsi="Times New Roman" w:cs="Times New Roman"/>
          <w:sz w:val="24"/>
          <w:szCs w:val="24"/>
        </w:rPr>
        <w:t>.</w:t>
      </w:r>
      <w:r w:rsidR="000F3466" w:rsidRPr="00523556">
        <w:rPr>
          <w:rFonts w:ascii="Times New Roman" w:hAnsi="Times New Roman" w:cs="Times New Roman"/>
          <w:sz w:val="24"/>
          <w:szCs w:val="24"/>
        </w:rPr>
        <w:tab/>
      </w:r>
    </w:p>
    <w:p w:rsidR="00223124" w:rsidRPr="00523556" w:rsidRDefault="00223124" w:rsidP="006E1C5F">
      <w:pPr>
        <w:spacing w:after="0"/>
        <w:jc w:val="both"/>
        <w:rPr>
          <w:rFonts w:ascii="Times New Roman" w:hAnsi="Times New Roman" w:cs="Times New Roman"/>
        </w:rPr>
      </w:pPr>
    </w:p>
    <w:p w:rsidR="00210FD0" w:rsidRPr="00523556" w:rsidRDefault="00210FD0" w:rsidP="006E1C5F">
      <w:pPr>
        <w:spacing w:after="0"/>
        <w:jc w:val="both"/>
        <w:rPr>
          <w:rFonts w:ascii="Times New Roman" w:hAnsi="Times New Roman" w:cs="Times New Roman"/>
        </w:rPr>
      </w:pPr>
    </w:p>
    <w:p w:rsidR="00210FD0" w:rsidRPr="00523556" w:rsidRDefault="00210FD0" w:rsidP="006E1C5F">
      <w:pPr>
        <w:spacing w:after="0"/>
        <w:jc w:val="both"/>
        <w:rPr>
          <w:rFonts w:ascii="Times New Roman" w:hAnsi="Times New Roman" w:cs="Times New Roman"/>
        </w:rPr>
      </w:pPr>
    </w:p>
    <w:p w:rsidR="007241B6" w:rsidRPr="00523556" w:rsidRDefault="00605A71" w:rsidP="001718F4">
      <w:pPr>
        <w:pStyle w:val="Heading3"/>
        <w:rPr>
          <w:rFonts w:ascii="Times New Roman" w:hAnsi="Times New Roman" w:cs="Times New Roman"/>
        </w:rPr>
      </w:pPr>
      <w:r w:rsidRPr="00523556">
        <w:rPr>
          <w:rFonts w:ascii="Times New Roman" w:hAnsi="Times New Roman" w:cs="Times New Roman"/>
        </w:rPr>
        <w:t xml:space="preserve">2.1.3 </w:t>
      </w:r>
      <w:r w:rsidR="001718F4" w:rsidRPr="00523556">
        <w:rPr>
          <w:rFonts w:ascii="Times New Roman" w:hAnsi="Times New Roman" w:cs="Times New Roman"/>
        </w:rPr>
        <w:t>Available f</w:t>
      </w:r>
      <w:r w:rsidR="002C3296" w:rsidRPr="00523556">
        <w:rPr>
          <w:rFonts w:ascii="Times New Roman" w:hAnsi="Times New Roman" w:cs="Times New Roman"/>
        </w:rPr>
        <w:t>inancing options</w:t>
      </w:r>
      <w:r w:rsidR="003D1D6A" w:rsidRPr="00523556">
        <w:rPr>
          <w:rFonts w:ascii="Times New Roman" w:hAnsi="Times New Roman" w:cs="Times New Roman"/>
        </w:rPr>
        <w:t>: summary</w:t>
      </w:r>
    </w:p>
    <w:p w:rsidR="00010ACF" w:rsidRPr="00523556" w:rsidRDefault="00282B22" w:rsidP="005D3772">
      <w:pPr>
        <w:spacing w:after="0"/>
        <w:jc w:val="both"/>
        <w:rPr>
          <w:rFonts w:ascii="Times New Roman" w:hAnsi="Times New Roman" w:cs="Times New Roman"/>
        </w:rPr>
      </w:pPr>
      <w:r w:rsidRPr="00523556">
        <w:rPr>
          <w:rFonts w:ascii="Times New Roman" w:hAnsi="Times New Roman" w:cs="Times New Roman"/>
        </w:rPr>
        <w:lastRenderedPageBreak/>
        <w:t>As noted above,</w:t>
      </w:r>
      <w:r w:rsidR="002B6E99" w:rsidRPr="00523556">
        <w:rPr>
          <w:rFonts w:ascii="Times New Roman" w:hAnsi="Times New Roman" w:cs="Times New Roman"/>
        </w:rPr>
        <w:t xml:space="preserve"> Uganda is in a transitional period in terms of both financing needs and opportunities, and </w:t>
      </w:r>
      <w:r w:rsidRPr="00523556">
        <w:rPr>
          <w:rFonts w:ascii="Times New Roman" w:hAnsi="Times New Roman" w:cs="Times New Roman"/>
        </w:rPr>
        <w:t xml:space="preserve">GoU has already begun to expand the range of options it </w:t>
      </w:r>
      <w:r w:rsidR="002B6E99" w:rsidRPr="00523556">
        <w:rPr>
          <w:rFonts w:ascii="Times New Roman" w:hAnsi="Times New Roman" w:cs="Times New Roman"/>
        </w:rPr>
        <w:t>utilises:</w:t>
      </w:r>
      <w:r w:rsidR="00E54C04" w:rsidRPr="00523556">
        <w:rPr>
          <w:rFonts w:ascii="Times New Roman" w:hAnsi="Times New Roman" w:cs="Times New Roman"/>
        </w:rPr>
        <w:t xml:space="preserve"> some</w:t>
      </w:r>
      <w:r w:rsidR="00E74B41" w:rsidRPr="00523556">
        <w:rPr>
          <w:rFonts w:ascii="Times New Roman" w:hAnsi="Times New Roman" w:cs="Times New Roman"/>
        </w:rPr>
        <w:t xml:space="preserve"> </w:t>
      </w:r>
      <w:r w:rsidR="00987EF8" w:rsidRPr="00523556">
        <w:rPr>
          <w:rFonts w:ascii="Times New Roman" w:hAnsi="Times New Roman" w:cs="Times New Roman"/>
        </w:rPr>
        <w:t>semi</w:t>
      </w:r>
      <w:r w:rsidR="00E74B41" w:rsidRPr="00523556">
        <w:rPr>
          <w:rFonts w:ascii="Times New Roman" w:hAnsi="Times New Roman" w:cs="Times New Roman"/>
        </w:rPr>
        <w:t xml:space="preserve">-concessional external debt </w:t>
      </w:r>
      <w:r w:rsidR="002B6E99" w:rsidRPr="00523556">
        <w:rPr>
          <w:rFonts w:ascii="Times New Roman" w:hAnsi="Times New Roman" w:cs="Times New Roman"/>
        </w:rPr>
        <w:t>has been</w:t>
      </w:r>
      <w:r w:rsidR="00E74B41" w:rsidRPr="00523556">
        <w:rPr>
          <w:rFonts w:ascii="Times New Roman" w:hAnsi="Times New Roman" w:cs="Times New Roman"/>
        </w:rPr>
        <w:t xml:space="preserve"> cont</w:t>
      </w:r>
      <w:r w:rsidR="002B6E99" w:rsidRPr="00523556">
        <w:rPr>
          <w:rFonts w:ascii="Times New Roman" w:hAnsi="Times New Roman" w:cs="Times New Roman"/>
        </w:rPr>
        <w:t>racted</w:t>
      </w:r>
      <w:r w:rsidR="00AD6BCD" w:rsidRPr="00523556">
        <w:rPr>
          <w:rFonts w:ascii="Times New Roman" w:hAnsi="Times New Roman" w:cs="Times New Roman"/>
        </w:rPr>
        <w:t xml:space="preserve"> </w:t>
      </w:r>
      <w:r w:rsidR="00E74B41" w:rsidRPr="00523556">
        <w:rPr>
          <w:rFonts w:ascii="Times New Roman" w:hAnsi="Times New Roman" w:cs="Times New Roman"/>
        </w:rPr>
        <w:t xml:space="preserve">since </w:t>
      </w:r>
      <w:r w:rsidR="00FA12F3" w:rsidRPr="00523556">
        <w:rPr>
          <w:rFonts w:ascii="Times New Roman" w:hAnsi="Times New Roman" w:cs="Times New Roman"/>
        </w:rPr>
        <w:t>FY08/</w:t>
      </w:r>
      <w:r w:rsidR="00E74B41" w:rsidRPr="00523556">
        <w:rPr>
          <w:rFonts w:ascii="Times New Roman" w:hAnsi="Times New Roman" w:cs="Times New Roman"/>
        </w:rPr>
        <w:t xml:space="preserve">09, and </w:t>
      </w:r>
      <w:r w:rsidR="00E54C04" w:rsidRPr="00523556">
        <w:rPr>
          <w:rFonts w:ascii="Times New Roman" w:hAnsi="Times New Roman" w:cs="Times New Roman"/>
        </w:rPr>
        <w:t xml:space="preserve">Treasury Bills and Bonds </w:t>
      </w:r>
      <w:r w:rsidR="002B6E99" w:rsidRPr="00523556">
        <w:rPr>
          <w:rFonts w:ascii="Times New Roman" w:hAnsi="Times New Roman" w:cs="Times New Roman"/>
        </w:rPr>
        <w:t>have been</w:t>
      </w:r>
      <w:r w:rsidR="00E54C04" w:rsidRPr="00523556">
        <w:rPr>
          <w:rFonts w:ascii="Times New Roman" w:hAnsi="Times New Roman" w:cs="Times New Roman"/>
        </w:rPr>
        <w:t xml:space="preserve"> issued explicitly for fiscal policy purposes since FY12/13</w:t>
      </w:r>
      <w:r w:rsidRPr="00523556">
        <w:rPr>
          <w:rFonts w:ascii="Times New Roman" w:hAnsi="Times New Roman" w:cs="Times New Roman"/>
        </w:rPr>
        <w:t xml:space="preserve">. </w:t>
      </w:r>
      <w:r w:rsidR="005D3772" w:rsidRPr="00523556">
        <w:rPr>
          <w:rFonts w:ascii="Times New Roman" w:hAnsi="Times New Roman" w:cs="Times New Roman"/>
        </w:rPr>
        <w:t>In addition to the</w:t>
      </w:r>
      <w:r w:rsidR="00E54C04" w:rsidRPr="00523556">
        <w:rPr>
          <w:rFonts w:ascii="Times New Roman" w:hAnsi="Times New Roman" w:cs="Times New Roman"/>
        </w:rPr>
        <w:t xml:space="preserve">se new modalities, </w:t>
      </w:r>
      <w:r w:rsidR="00AD6BCD" w:rsidRPr="00523556">
        <w:rPr>
          <w:rFonts w:ascii="Times New Roman" w:hAnsi="Times New Roman" w:cs="Times New Roman"/>
        </w:rPr>
        <w:t>opportunities for borrowing extern</w:t>
      </w:r>
      <w:r w:rsidR="00335789" w:rsidRPr="00523556">
        <w:rPr>
          <w:rFonts w:ascii="Times New Roman" w:hAnsi="Times New Roman" w:cs="Times New Roman"/>
        </w:rPr>
        <w:t xml:space="preserve">ally on fully commercial terms – </w:t>
      </w:r>
      <w:r w:rsidR="00AD6BCD" w:rsidRPr="00523556">
        <w:rPr>
          <w:rFonts w:ascii="Times New Roman" w:hAnsi="Times New Roman" w:cs="Times New Roman"/>
        </w:rPr>
        <w:t>such</w:t>
      </w:r>
      <w:r w:rsidR="00335789" w:rsidRPr="00523556">
        <w:rPr>
          <w:rFonts w:ascii="Times New Roman" w:hAnsi="Times New Roman" w:cs="Times New Roman"/>
        </w:rPr>
        <w:t xml:space="preserve"> </w:t>
      </w:r>
      <w:r w:rsidR="00AD6BCD" w:rsidRPr="00523556">
        <w:rPr>
          <w:rFonts w:ascii="Times New Roman" w:hAnsi="Times New Roman" w:cs="Times New Roman"/>
        </w:rPr>
        <w:t>as in the form of</w:t>
      </w:r>
      <w:r w:rsidR="00335789" w:rsidRPr="00523556">
        <w:rPr>
          <w:rFonts w:ascii="Times New Roman" w:hAnsi="Times New Roman" w:cs="Times New Roman"/>
        </w:rPr>
        <w:t xml:space="preserve"> dollar-denominated ‘Eurobonds’</w:t>
      </w:r>
      <w:r w:rsidR="00AD6BCD" w:rsidRPr="00523556">
        <w:rPr>
          <w:rFonts w:ascii="Times New Roman" w:hAnsi="Times New Roman" w:cs="Times New Roman"/>
        </w:rPr>
        <w:t xml:space="preserve"> </w:t>
      </w:r>
      <w:r w:rsidR="00335789" w:rsidRPr="00523556">
        <w:rPr>
          <w:rFonts w:ascii="Times New Roman" w:hAnsi="Times New Roman" w:cs="Times New Roman"/>
        </w:rPr>
        <w:t xml:space="preserve">– </w:t>
      </w:r>
      <w:r w:rsidR="00AD6BCD" w:rsidRPr="00523556">
        <w:rPr>
          <w:rFonts w:ascii="Times New Roman" w:hAnsi="Times New Roman" w:cs="Times New Roman"/>
        </w:rPr>
        <w:t>have</w:t>
      </w:r>
      <w:r w:rsidR="00335789" w:rsidRPr="00523556">
        <w:rPr>
          <w:rFonts w:ascii="Times New Roman" w:hAnsi="Times New Roman" w:cs="Times New Roman"/>
        </w:rPr>
        <w:t xml:space="preserve"> </w:t>
      </w:r>
      <w:r w:rsidR="00AD6BCD" w:rsidRPr="00523556">
        <w:rPr>
          <w:rFonts w:ascii="Times New Roman" w:hAnsi="Times New Roman" w:cs="Times New Roman"/>
        </w:rPr>
        <w:t>also begun to emerge.</w:t>
      </w:r>
      <w:r w:rsidR="00E54C04" w:rsidRPr="00523556">
        <w:rPr>
          <w:rFonts w:ascii="Times New Roman" w:hAnsi="Times New Roman" w:cs="Times New Roman"/>
        </w:rPr>
        <w:t xml:space="preserve"> </w:t>
      </w:r>
      <w:r w:rsidR="00EB0FA2" w:rsidRPr="00523556">
        <w:rPr>
          <w:rFonts w:ascii="Times New Roman" w:hAnsi="Times New Roman" w:cs="Times New Roman"/>
        </w:rPr>
        <w:t>Figure</w:t>
      </w:r>
      <w:r w:rsidR="005D5CF8" w:rsidRPr="00523556">
        <w:rPr>
          <w:rFonts w:ascii="Times New Roman" w:hAnsi="Times New Roman" w:cs="Times New Roman"/>
        </w:rPr>
        <w:t xml:space="preserve"> </w:t>
      </w:r>
      <w:r w:rsidR="00EB0FA2" w:rsidRPr="00523556">
        <w:rPr>
          <w:rFonts w:ascii="Times New Roman" w:hAnsi="Times New Roman" w:cs="Times New Roman"/>
        </w:rPr>
        <w:t>2.4</w:t>
      </w:r>
      <w:r w:rsidR="005D5CF8" w:rsidRPr="00523556">
        <w:rPr>
          <w:rFonts w:ascii="Times New Roman" w:hAnsi="Times New Roman" w:cs="Times New Roman"/>
        </w:rPr>
        <w:t xml:space="preserve"> below gives a simplified overview of t</w:t>
      </w:r>
      <w:r w:rsidR="00E54C04" w:rsidRPr="00523556">
        <w:rPr>
          <w:rFonts w:ascii="Times New Roman" w:hAnsi="Times New Roman" w:cs="Times New Roman"/>
        </w:rPr>
        <w:t xml:space="preserve">he </w:t>
      </w:r>
      <w:r w:rsidR="00DA0D58" w:rsidRPr="00523556">
        <w:rPr>
          <w:rFonts w:ascii="Times New Roman" w:hAnsi="Times New Roman" w:cs="Times New Roman"/>
        </w:rPr>
        <w:t xml:space="preserve">main </w:t>
      </w:r>
      <w:r w:rsidR="00E54C04" w:rsidRPr="00523556">
        <w:rPr>
          <w:rFonts w:ascii="Times New Roman" w:hAnsi="Times New Roman" w:cs="Times New Roman"/>
        </w:rPr>
        <w:t xml:space="preserve">financing options </w:t>
      </w:r>
      <w:r w:rsidR="00DA0D58" w:rsidRPr="00523556">
        <w:rPr>
          <w:rFonts w:ascii="Times New Roman" w:hAnsi="Times New Roman" w:cs="Times New Roman"/>
        </w:rPr>
        <w:t xml:space="preserve">open to Uganda </w:t>
      </w:r>
      <w:r w:rsidR="005D5CF8" w:rsidRPr="00523556">
        <w:rPr>
          <w:rFonts w:ascii="Times New Roman" w:hAnsi="Times New Roman" w:cs="Times New Roman"/>
        </w:rPr>
        <w:t>over the medium term</w:t>
      </w:r>
      <w:r w:rsidR="00682797" w:rsidRPr="00523556">
        <w:rPr>
          <w:rFonts w:ascii="Times New Roman" w:hAnsi="Times New Roman" w:cs="Times New Roman"/>
        </w:rPr>
        <w:t>, by level of concessionality and currency</w:t>
      </w:r>
      <w:r w:rsidR="005D5CF8" w:rsidRPr="00523556">
        <w:rPr>
          <w:rFonts w:ascii="Times New Roman" w:hAnsi="Times New Roman" w:cs="Times New Roman"/>
        </w:rPr>
        <w:t>; these are</w:t>
      </w:r>
      <w:r w:rsidR="00010ACF" w:rsidRPr="00523556">
        <w:rPr>
          <w:rFonts w:ascii="Times New Roman" w:hAnsi="Times New Roman" w:cs="Times New Roman"/>
        </w:rPr>
        <w:t xml:space="preserve"> discussed in turn </w:t>
      </w:r>
      <w:r w:rsidR="00601FC8" w:rsidRPr="00523556">
        <w:rPr>
          <w:rFonts w:ascii="Times New Roman" w:hAnsi="Times New Roman" w:cs="Times New Roman"/>
        </w:rPr>
        <w:t>in</w:t>
      </w:r>
      <w:r w:rsidR="00364AF0" w:rsidRPr="00523556">
        <w:rPr>
          <w:rFonts w:ascii="Times New Roman" w:hAnsi="Times New Roman" w:cs="Times New Roman"/>
        </w:rPr>
        <w:t xml:space="preserve"> the rest of this </w:t>
      </w:r>
      <w:r w:rsidR="00601FC8" w:rsidRPr="00523556">
        <w:rPr>
          <w:rFonts w:ascii="Times New Roman" w:hAnsi="Times New Roman" w:cs="Times New Roman"/>
        </w:rPr>
        <w:t>Section</w:t>
      </w:r>
      <w:r w:rsidR="00010ACF" w:rsidRPr="00523556">
        <w:rPr>
          <w:rFonts w:ascii="Times New Roman" w:hAnsi="Times New Roman" w:cs="Times New Roman"/>
        </w:rPr>
        <w:t>.</w:t>
      </w:r>
      <w:r w:rsidR="00E54C04" w:rsidRPr="00523556">
        <w:rPr>
          <w:rFonts w:ascii="Times New Roman" w:hAnsi="Times New Roman" w:cs="Times New Roman"/>
        </w:rPr>
        <w:t xml:space="preserve"> </w:t>
      </w:r>
    </w:p>
    <w:p w:rsidR="005D3772" w:rsidRPr="00523556" w:rsidRDefault="00E54C04" w:rsidP="005D3772">
      <w:pPr>
        <w:spacing w:after="0"/>
        <w:jc w:val="both"/>
        <w:rPr>
          <w:rFonts w:ascii="Times New Roman" w:hAnsi="Times New Roman" w:cs="Times New Roman"/>
        </w:rPr>
      </w:pPr>
      <w:r w:rsidRPr="00523556">
        <w:rPr>
          <w:rFonts w:ascii="Times New Roman" w:hAnsi="Times New Roman" w:cs="Times New Roman"/>
        </w:rPr>
        <w:t xml:space="preserve"> </w:t>
      </w:r>
    </w:p>
    <w:p w:rsidR="006826B4" w:rsidRPr="00523556" w:rsidRDefault="00EB0FA2" w:rsidP="006826B4">
      <w:pPr>
        <w:pStyle w:val="Figheader"/>
        <w:rPr>
          <w:rFonts w:ascii="Times New Roman" w:hAnsi="Times New Roman" w:cs="Times New Roman"/>
        </w:rPr>
      </w:pPr>
      <w:r w:rsidRPr="00523556">
        <w:rPr>
          <w:rFonts w:ascii="Times New Roman" w:hAnsi="Times New Roman" w:cs="Times New Roman"/>
        </w:rPr>
        <w:t>Figure</w:t>
      </w:r>
      <w:r w:rsidR="006826B4" w:rsidRPr="00523556">
        <w:rPr>
          <w:rFonts w:ascii="Times New Roman" w:hAnsi="Times New Roman" w:cs="Times New Roman"/>
        </w:rPr>
        <w:t xml:space="preserve"> </w:t>
      </w:r>
      <w:r w:rsidRPr="00523556">
        <w:rPr>
          <w:rFonts w:ascii="Times New Roman" w:hAnsi="Times New Roman" w:cs="Times New Roman"/>
        </w:rPr>
        <w:t>2.4</w:t>
      </w:r>
      <w:r w:rsidR="006826B4" w:rsidRPr="00523556">
        <w:rPr>
          <w:rFonts w:ascii="Times New Roman" w:hAnsi="Times New Roman" w:cs="Times New Roman"/>
        </w:rPr>
        <w:t xml:space="preserve">: </w:t>
      </w:r>
      <w:r w:rsidRPr="00523556">
        <w:rPr>
          <w:rFonts w:ascii="Times New Roman" w:hAnsi="Times New Roman" w:cs="Times New Roman"/>
        </w:rPr>
        <w:t>S</w:t>
      </w:r>
      <w:r w:rsidR="00A11200" w:rsidRPr="00523556">
        <w:rPr>
          <w:rFonts w:ascii="Times New Roman" w:hAnsi="Times New Roman" w:cs="Times New Roman"/>
        </w:rPr>
        <w:t xml:space="preserve">implified </w:t>
      </w:r>
      <w:r w:rsidR="00682797" w:rsidRPr="00523556">
        <w:rPr>
          <w:rFonts w:ascii="Times New Roman" w:hAnsi="Times New Roman" w:cs="Times New Roman"/>
        </w:rPr>
        <w:t>overview</w:t>
      </w:r>
      <w:r w:rsidR="00191B52" w:rsidRPr="00523556">
        <w:rPr>
          <w:rFonts w:ascii="Times New Roman" w:hAnsi="Times New Roman" w:cs="Times New Roman"/>
        </w:rPr>
        <w:t xml:space="preserve"> of </w:t>
      </w:r>
      <w:r w:rsidR="005D5CF8" w:rsidRPr="00523556">
        <w:rPr>
          <w:rFonts w:ascii="Times New Roman" w:hAnsi="Times New Roman" w:cs="Times New Roman"/>
        </w:rPr>
        <w:t xml:space="preserve">Uganda’s </w:t>
      </w:r>
      <w:r w:rsidR="00682797" w:rsidRPr="00523556">
        <w:rPr>
          <w:rFonts w:ascii="Times New Roman" w:hAnsi="Times New Roman" w:cs="Times New Roman"/>
        </w:rPr>
        <w:t xml:space="preserve">medium-term </w:t>
      </w:r>
      <w:r w:rsidR="00191B52" w:rsidRPr="00523556">
        <w:rPr>
          <w:rFonts w:ascii="Times New Roman" w:hAnsi="Times New Roman" w:cs="Times New Roman"/>
        </w:rPr>
        <w:t>f</w:t>
      </w:r>
      <w:r w:rsidR="006826B4" w:rsidRPr="00523556">
        <w:rPr>
          <w:rFonts w:ascii="Times New Roman" w:hAnsi="Times New Roman" w:cs="Times New Roman"/>
        </w:rPr>
        <w:t>iscal deficit financing options</w:t>
      </w:r>
    </w:p>
    <w:p w:rsidR="00F8537C" w:rsidRPr="00523556" w:rsidRDefault="00D616F6" w:rsidP="00422A94">
      <w:pPr>
        <w:spacing w:after="0"/>
        <w:rPr>
          <w:rFonts w:ascii="Times New Roman" w:hAnsi="Times New Roman" w:cs="Times New Roman"/>
        </w:rPr>
      </w:pPr>
      <w:r w:rsidRPr="00523556">
        <w:rPr>
          <w:rFonts w:ascii="Times New Roman" w:hAnsi="Times New Roman" w:cs="Times New Roman"/>
          <w:noProof/>
          <w:lang w:eastAsia="en-GB"/>
        </w:rPr>
        <w:drawing>
          <wp:inline distT="0" distB="0" distL="0" distR="0">
            <wp:extent cx="5731510" cy="13683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368344"/>
                    </a:xfrm>
                    <a:prstGeom prst="rect">
                      <a:avLst/>
                    </a:prstGeom>
                    <a:noFill/>
                    <a:ln>
                      <a:noFill/>
                    </a:ln>
                  </pic:spPr>
                </pic:pic>
              </a:graphicData>
            </a:graphic>
          </wp:inline>
        </w:drawing>
      </w:r>
    </w:p>
    <w:p w:rsidR="005D3772" w:rsidRPr="00523556" w:rsidRDefault="005D3772" w:rsidP="00422A94">
      <w:pPr>
        <w:pStyle w:val="Figfootnote"/>
        <w:rPr>
          <w:rFonts w:ascii="Times New Roman" w:hAnsi="Times New Roman" w:cs="Times New Roman"/>
          <w:sz w:val="24"/>
          <w:szCs w:val="24"/>
        </w:rPr>
      </w:pPr>
      <w:r w:rsidRPr="00523556">
        <w:rPr>
          <w:rFonts w:ascii="Times New Roman" w:hAnsi="Times New Roman" w:cs="Times New Roman"/>
          <w:sz w:val="24"/>
          <w:szCs w:val="24"/>
        </w:rPr>
        <w:t>Not</w:t>
      </w:r>
      <w:r w:rsidR="00422A94" w:rsidRPr="00523556">
        <w:rPr>
          <w:rFonts w:ascii="Times New Roman" w:hAnsi="Times New Roman" w:cs="Times New Roman"/>
          <w:sz w:val="24"/>
          <w:szCs w:val="24"/>
        </w:rPr>
        <w:t>e</w:t>
      </w:r>
      <w:r w:rsidR="003F0B19" w:rsidRPr="00523556">
        <w:rPr>
          <w:rFonts w:ascii="Times New Roman" w:hAnsi="Times New Roman" w:cs="Times New Roman"/>
          <w:sz w:val="24"/>
          <w:szCs w:val="24"/>
        </w:rPr>
        <w:t>s</w:t>
      </w:r>
      <w:r w:rsidR="00422A94" w:rsidRPr="00523556">
        <w:rPr>
          <w:rFonts w:ascii="Times New Roman" w:hAnsi="Times New Roman" w:cs="Times New Roman"/>
          <w:sz w:val="24"/>
          <w:szCs w:val="24"/>
        </w:rPr>
        <w:t xml:space="preserve">: </w:t>
      </w:r>
      <w:r w:rsidR="00AD6BCD" w:rsidRPr="00523556">
        <w:rPr>
          <w:rFonts w:ascii="Times New Roman" w:hAnsi="Times New Roman" w:cs="Times New Roman"/>
          <w:sz w:val="24"/>
          <w:szCs w:val="24"/>
        </w:rPr>
        <w:t xml:space="preserve"> The categorisations in terms of currency and level of concessionality are </w:t>
      </w:r>
      <w:r w:rsidR="001A204A" w:rsidRPr="00523556">
        <w:rPr>
          <w:rFonts w:ascii="Times New Roman" w:hAnsi="Times New Roman" w:cs="Times New Roman"/>
          <w:sz w:val="24"/>
          <w:szCs w:val="24"/>
        </w:rPr>
        <w:t xml:space="preserve">only </w:t>
      </w:r>
      <w:r w:rsidR="00AD6BCD" w:rsidRPr="00523556">
        <w:rPr>
          <w:rFonts w:ascii="Times New Roman" w:hAnsi="Times New Roman" w:cs="Times New Roman"/>
          <w:sz w:val="24"/>
          <w:szCs w:val="24"/>
        </w:rPr>
        <w:t>approximate</w:t>
      </w:r>
      <w:r w:rsidR="000C694C" w:rsidRPr="00523556">
        <w:rPr>
          <w:rFonts w:ascii="Times New Roman" w:hAnsi="Times New Roman" w:cs="Times New Roman"/>
          <w:sz w:val="24"/>
          <w:szCs w:val="24"/>
        </w:rPr>
        <w:t>:</w:t>
      </w:r>
      <w:r w:rsidR="00AD6BCD" w:rsidRPr="00523556">
        <w:rPr>
          <w:rFonts w:ascii="Times New Roman" w:hAnsi="Times New Roman" w:cs="Times New Roman"/>
          <w:sz w:val="24"/>
          <w:szCs w:val="24"/>
        </w:rPr>
        <w:t xml:space="preserve"> for example</w:t>
      </w:r>
      <w:r w:rsidR="00270704" w:rsidRPr="00523556">
        <w:rPr>
          <w:rFonts w:ascii="Times New Roman" w:hAnsi="Times New Roman" w:cs="Times New Roman"/>
          <w:sz w:val="24"/>
          <w:szCs w:val="24"/>
        </w:rPr>
        <w:t>,</w:t>
      </w:r>
      <w:r w:rsidR="00AD6BCD" w:rsidRPr="00523556">
        <w:rPr>
          <w:rFonts w:ascii="Times New Roman" w:hAnsi="Times New Roman" w:cs="Times New Roman"/>
          <w:sz w:val="24"/>
          <w:szCs w:val="24"/>
        </w:rPr>
        <w:t xml:space="preserve"> </w:t>
      </w:r>
      <w:r w:rsidR="003F0B19" w:rsidRPr="00523556">
        <w:rPr>
          <w:rFonts w:ascii="Times New Roman" w:hAnsi="Times New Roman" w:cs="Times New Roman"/>
          <w:sz w:val="24"/>
          <w:szCs w:val="24"/>
        </w:rPr>
        <w:t xml:space="preserve">there are a variety of other possible forms of commercial external borrowing; it would be feasible for some Treasury securities to be issued in foreign currency; and </w:t>
      </w:r>
      <w:r w:rsidR="00270704" w:rsidRPr="00523556">
        <w:rPr>
          <w:rFonts w:ascii="Times New Roman" w:hAnsi="Times New Roman" w:cs="Times New Roman"/>
          <w:sz w:val="24"/>
          <w:szCs w:val="24"/>
        </w:rPr>
        <w:t>GoU has both Shilling and US$ deposits with the BoU.</w:t>
      </w:r>
    </w:p>
    <w:p w:rsidR="003F0B19" w:rsidRPr="00523556" w:rsidRDefault="003F0B19" w:rsidP="00422A94">
      <w:pPr>
        <w:pStyle w:val="Figfootnote"/>
        <w:rPr>
          <w:rFonts w:ascii="Times New Roman" w:hAnsi="Times New Roman" w:cs="Times New Roman"/>
          <w:sz w:val="24"/>
          <w:szCs w:val="24"/>
        </w:rPr>
      </w:pPr>
      <w:r w:rsidRPr="00523556">
        <w:rPr>
          <w:rFonts w:ascii="Times New Roman" w:hAnsi="Times New Roman" w:cs="Times New Roman"/>
          <w:sz w:val="24"/>
          <w:szCs w:val="24"/>
        </w:rPr>
        <w:t>Acronyms: IDA – International Development Association; AfDB – African Development Bank; EIB – European Investment Bank</w:t>
      </w:r>
      <w:r w:rsidR="00D13D40" w:rsidRPr="00523556">
        <w:rPr>
          <w:rFonts w:ascii="Times New Roman" w:hAnsi="Times New Roman" w:cs="Times New Roman"/>
          <w:sz w:val="24"/>
          <w:szCs w:val="24"/>
        </w:rPr>
        <w:t>; IBRD – International Bank for Reconstruction and Development</w:t>
      </w:r>
      <w:r w:rsidRPr="00523556">
        <w:rPr>
          <w:rFonts w:ascii="Times New Roman" w:hAnsi="Times New Roman" w:cs="Times New Roman"/>
          <w:sz w:val="24"/>
          <w:szCs w:val="24"/>
        </w:rPr>
        <w:t>.</w:t>
      </w:r>
    </w:p>
    <w:p w:rsidR="005D3772" w:rsidRPr="00523556" w:rsidRDefault="005D3772" w:rsidP="00262BFC">
      <w:pPr>
        <w:spacing w:after="0"/>
        <w:rPr>
          <w:rFonts w:ascii="Times New Roman" w:hAnsi="Times New Roman" w:cs="Times New Roman"/>
          <w:u w:val="single"/>
        </w:rPr>
      </w:pPr>
    </w:p>
    <w:p w:rsidR="00047BE9" w:rsidRPr="00523556" w:rsidRDefault="001718F4" w:rsidP="001718F4">
      <w:pPr>
        <w:pStyle w:val="Heading2"/>
        <w:rPr>
          <w:rFonts w:ascii="Times New Roman" w:hAnsi="Times New Roman" w:cs="Times New Roman"/>
        </w:rPr>
      </w:pPr>
      <w:bookmarkStart w:id="8" w:name="_Toc383757439"/>
      <w:r w:rsidRPr="00523556">
        <w:rPr>
          <w:rFonts w:ascii="Times New Roman" w:hAnsi="Times New Roman" w:cs="Times New Roman"/>
        </w:rPr>
        <w:t>2.2</w:t>
      </w:r>
      <w:r w:rsidR="008672A3" w:rsidRPr="00523556">
        <w:rPr>
          <w:rFonts w:ascii="Times New Roman" w:hAnsi="Times New Roman" w:cs="Times New Roman"/>
        </w:rPr>
        <w:t xml:space="preserve"> Domestic borrowing:</w:t>
      </w:r>
      <w:r w:rsidRPr="00523556">
        <w:rPr>
          <w:rFonts w:ascii="Times New Roman" w:hAnsi="Times New Roman" w:cs="Times New Roman"/>
        </w:rPr>
        <w:t xml:space="preserve"> </w:t>
      </w:r>
      <w:r w:rsidR="00584AE9" w:rsidRPr="00523556">
        <w:rPr>
          <w:rFonts w:ascii="Times New Roman" w:hAnsi="Times New Roman" w:cs="Times New Roman"/>
        </w:rPr>
        <w:t xml:space="preserve">Treasury </w:t>
      </w:r>
      <w:r w:rsidR="006F39F3" w:rsidRPr="00523556">
        <w:rPr>
          <w:rFonts w:ascii="Times New Roman" w:hAnsi="Times New Roman" w:cs="Times New Roman"/>
        </w:rPr>
        <w:t>Bill and Bond</w:t>
      </w:r>
      <w:r w:rsidR="00584AE9" w:rsidRPr="00523556">
        <w:rPr>
          <w:rFonts w:ascii="Times New Roman" w:hAnsi="Times New Roman" w:cs="Times New Roman"/>
        </w:rPr>
        <w:t xml:space="preserve"> issuance</w:t>
      </w:r>
      <w:r w:rsidR="00006704" w:rsidRPr="00523556">
        <w:rPr>
          <w:rStyle w:val="FootnoteReference"/>
          <w:rFonts w:ascii="Times New Roman" w:hAnsi="Times New Roman" w:cs="Times New Roman"/>
        </w:rPr>
        <w:footnoteReference w:id="15"/>
      </w:r>
      <w:bookmarkEnd w:id="8"/>
    </w:p>
    <w:p w:rsidR="00FC1827" w:rsidRPr="00523556" w:rsidRDefault="00605A71" w:rsidP="00FC1827">
      <w:pPr>
        <w:pStyle w:val="Heading3"/>
        <w:rPr>
          <w:rFonts w:ascii="Times New Roman" w:hAnsi="Times New Roman" w:cs="Times New Roman"/>
        </w:rPr>
      </w:pPr>
      <w:r w:rsidRPr="00523556">
        <w:rPr>
          <w:rFonts w:ascii="Times New Roman" w:hAnsi="Times New Roman" w:cs="Times New Roman"/>
        </w:rPr>
        <w:t xml:space="preserve">2.2.1 </w:t>
      </w:r>
      <w:r w:rsidR="00FC1827" w:rsidRPr="00523556">
        <w:rPr>
          <w:rFonts w:ascii="Times New Roman" w:hAnsi="Times New Roman" w:cs="Times New Roman"/>
        </w:rPr>
        <w:t>Background</w:t>
      </w:r>
    </w:p>
    <w:p w:rsidR="00196F1B" w:rsidRPr="00523556" w:rsidRDefault="00DA6082" w:rsidP="0099641A">
      <w:pPr>
        <w:jc w:val="both"/>
        <w:rPr>
          <w:rFonts w:ascii="Times New Roman" w:hAnsi="Times New Roman" w:cs="Times New Roman"/>
        </w:rPr>
      </w:pPr>
      <w:r w:rsidRPr="00523556">
        <w:rPr>
          <w:rFonts w:ascii="Times New Roman" w:hAnsi="Times New Roman" w:cs="Times New Roman"/>
        </w:rPr>
        <w:t>With GoU having begu</w:t>
      </w:r>
      <w:r w:rsidR="009146F7" w:rsidRPr="00523556">
        <w:rPr>
          <w:rFonts w:ascii="Times New Roman" w:hAnsi="Times New Roman" w:cs="Times New Roman"/>
        </w:rPr>
        <w:t xml:space="preserve">n </w:t>
      </w:r>
      <w:r w:rsidRPr="00523556">
        <w:rPr>
          <w:rFonts w:ascii="Times New Roman" w:hAnsi="Times New Roman" w:cs="Times New Roman"/>
        </w:rPr>
        <w:t>to issue</w:t>
      </w:r>
      <w:r w:rsidR="009146F7" w:rsidRPr="00523556">
        <w:rPr>
          <w:rFonts w:ascii="Times New Roman" w:hAnsi="Times New Roman" w:cs="Times New Roman"/>
        </w:rPr>
        <w:t xml:space="preserve"> Treasury securities for fiscal purposes, </w:t>
      </w:r>
      <w:r w:rsidR="00B23658" w:rsidRPr="00523556">
        <w:rPr>
          <w:rFonts w:ascii="Times New Roman" w:hAnsi="Times New Roman" w:cs="Times New Roman"/>
        </w:rPr>
        <w:t>the authorities face</w:t>
      </w:r>
      <w:r w:rsidR="009146F7" w:rsidRPr="00523556">
        <w:rPr>
          <w:rFonts w:ascii="Times New Roman" w:hAnsi="Times New Roman" w:cs="Times New Roman"/>
        </w:rPr>
        <w:t xml:space="preserve"> </w:t>
      </w:r>
      <w:r w:rsidR="00C842D2" w:rsidRPr="00523556">
        <w:rPr>
          <w:rFonts w:ascii="Times New Roman" w:hAnsi="Times New Roman" w:cs="Times New Roman"/>
        </w:rPr>
        <w:t>a challenge</w:t>
      </w:r>
      <w:r w:rsidR="009146F7" w:rsidRPr="00523556">
        <w:rPr>
          <w:rFonts w:ascii="Times New Roman" w:hAnsi="Times New Roman" w:cs="Times New Roman"/>
        </w:rPr>
        <w:t xml:space="preserve"> in determining</w:t>
      </w:r>
      <w:r w:rsidR="00031C86" w:rsidRPr="00523556">
        <w:rPr>
          <w:rFonts w:ascii="Times New Roman" w:hAnsi="Times New Roman" w:cs="Times New Roman"/>
        </w:rPr>
        <w:t>:</w:t>
      </w:r>
      <w:r w:rsidR="009146F7" w:rsidRPr="00523556">
        <w:rPr>
          <w:rFonts w:ascii="Times New Roman" w:hAnsi="Times New Roman" w:cs="Times New Roman"/>
        </w:rPr>
        <w:t xml:space="preserve"> what space </w:t>
      </w:r>
      <w:r w:rsidR="00031C86" w:rsidRPr="00523556">
        <w:rPr>
          <w:rFonts w:ascii="Times New Roman" w:hAnsi="Times New Roman" w:cs="Times New Roman"/>
        </w:rPr>
        <w:t xml:space="preserve">does </w:t>
      </w:r>
      <w:r w:rsidR="009146F7" w:rsidRPr="00523556">
        <w:rPr>
          <w:rFonts w:ascii="Times New Roman" w:hAnsi="Times New Roman" w:cs="Times New Roman"/>
        </w:rPr>
        <w:t xml:space="preserve">this avenue of financing provide, and to what extent </w:t>
      </w:r>
      <w:r w:rsidR="00031C86" w:rsidRPr="00523556">
        <w:rPr>
          <w:rFonts w:ascii="Times New Roman" w:hAnsi="Times New Roman" w:cs="Times New Roman"/>
        </w:rPr>
        <w:t xml:space="preserve">should </w:t>
      </w:r>
      <w:r w:rsidR="009146F7" w:rsidRPr="00523556">
        <w:rPr>
          <w:rFonts w:ascii="Times New Roman" w:hAnsi="Times New Roman" w:cs="Times New Roman"/>
        </w:rPr>
        <w:t>this space be taken up</w:t>
      </w:r>
      <w:r w:rsidR="00031C86" w:rsidRPr="00523556">
        <w:rPr>
          <w:rFonts w:ascii="Times New Roman" w:hAnsi="Times New Roman" w:cs="Times New Roman"/>
        </w:rPr>
        <w:t>?</w:t>
      </w:r>
      <w:r w:rsidR="009146F7" w:rsidRPr="00523556">
        <w:rPr>
          <w:rFonts w:ascii="Times New Roman" w:hAnsi="Times New Roman" w:cs="Times New Roman"/>
        </w:rPr>
        <w:t xml:space="preserve"> </w:t>
      </w:r>
      <w:r w:rsidR="00196F1B" w:rsidRPr="00523556">
        <w:rPr>
          <w:rFonts w:ascii="Times New Roman" w:hAnsi="Times New Roman" w:cs="Times New Roman"/>
        </w:rPr>
        <w:t xml:space="preserve">Uganda is not alone in facing such </w:t>
      </w:r>
      <w:r w:rsidR="00031C86" w:rsidRPr="00523556">
        <w:rPr>
          <w:rFonts w:ascii="Times New Roman" w:hAnsi="Times New Roman" w:cs="Times New Roman"/>
        </w:rPr>
        <w:t>questions</w:t>
      </w:r>
      <w:r w:rsidR="00C112B4" w:rsidRPr="00523556">
        <w:rPr>
          <w:rFonts w:ascii="Times New Roman" w:hAnsi="Times New Roman" w:cs="Times New Roman"/>
        </w:rPr>
        <w:t>.</w:t>
      </w:r>
      <w:r w:rsidR="00196F1B" w:rsidRPr="00523556">
        <w:rPr>
          <w:rFonts w:ascii="Times New Roman" w:hAnsi="Times New Roman" w:cs="Times New Roman"/>
        </w:rPr>
        <w:t xml:space="preserve"> </w:t>
      </w:r>
      <w:r w:rsidR="00C112B4" w:rsidRPr="00523556">
        <w:rPr>
          <w:rFonts w:ascii="Times New Roman" w:hAnsi="Times New Roman" w:cs="Times New Roman"/>
        </w:rPr>
        <w:t>D</w:t>
      </w:r>
      <w:r w:rsidR="00196F1B" w:rsidRPr="00523556">
        <w:rPr>
          <w:rFonts w:ascii="Times New Roman" w:hAnsi="Times New Roman" w:cs="Times New Roman"/>
        </w:rPr>
        <w:t xml:space="preserve">omestic debt </w:t>
      </w:r>
      <w:r w:rsidR="001C36FA" w:rsidRPr="00523556">
        <w:rPr>
          <w:rFonts w:ascii="Times New Roman" w:hAnsi="Times New Roman" w:cs="Times New Roman"/>
        </w:rPr>
        <w:t xml:space="preserve">(DD) </w:t>
      </w:r>
      <w:r w:rsidR="00196F1B" w:rsidRPr="00523556">
        <w:rPr>
          <w:rFonts w:ascii="Times New Roman" w:hAnsi="Times New Roman" w:cs="Times New Roman"/>
        </w:rPr>
        <w:t>has begun to demand increasing attention across low-income countries (LICs) in recent years</w:t>
      </w:r>
      <w:r w:rsidR="00C112B4" w:rsidRPr="00523556">
        <w:rPr>
          <w:rFonts w:ascii="Times New Roman" w:hAnsi="Times New Roman" w:cs="Times New Roman"/>
        </w:rPr>
        <w:t>:</w:t>
      </w:r>
      <w:r w:rsidR="00196F1B" w:rsidRPr="00523556">
        <w:rPr>
          <w:rFonts w:ascii="Times New Roman" w:hAnsi="Times New Roman" w:cs="Times New Roman"/>
        </w:rPr>
        <w:t xml:space="preserve"> as external debt relief has significantly increased the </w:t>
      </w:r>
      <w:r w:rsidR="00C112B4" w:rsidRPr="00523556">
        <w:rPr>
          <w:rFonts w:ascii="Times New Roman" w:hAnsi="Times New Roman" w:cs="Times New Roman"/>
        </w:rPr>
        <w:t>proportion of DD within total LIC</w:t>
      </w:r>
      <w:r w:rsidR="00196F1B" w:rsidRPr="00523556">
        <w:rPr>
          <w:rFonts w:ascii="Times New Roman" w:hAnsi="Times New Roman" w:cs="Times New Roman"/>
        </w:rPr>
        <w:t xml:space="preserve"> </w:t>
      </w:r>
      <w:r w:rsidR="00C112B4" w:rsidRPr="00523556">
        <w:rPr>
          <w:rFonts w:ascii="Times New Roman" w:hAnsi="Times New Roman" w:cs="Times New Roman"/>
        </w:rPr>
        <w:t>debt</w:t>
      </w:r>
      <w:r w:rsidR="00196F1B" w:rsidRPr="00523556">
        <w:rPr>
          <w:rFonts w:ascii="Times New Roman" w:hAnsi="Times New Roman" w:cs="Times New Roman"/>
        </w:rPr>
        <w:t xml:space="preserve">; as the mismatch between infrastructure financing needs and the availability of concessional external loans causes countries to seek additional means of financing; and as improved macroeconomic policy frameworks and greater financial depth makes increasing </w:t>
      </w:r>
      <w:r w:rsidR="001C36FA" w:rsidRPr="00523556">
        <w:rPr>
          <w:rFonts w:ascii="Times New Roman" w:hAnsi="Times New Roman" w:cs="Times New Roman"/>
        </w:rPr>
        <w:t>DD</w:t>
      </w:r>
      <w:r w:rsidR="00196F1B" w:rsidRPr="00523556">
        <w:rPr>
          <w:rFonts w:ascii="Times New Roman" w:hAnsi="Times New Roman" w:cs="Times New Roman"/>
        </w:rPr>
        <w:t xml:space="preserve"> issuance more feasible.</w:t>
      </w:r>
      <w:r w:rsidR="00196F1B" w:rsidRPr="00523556">
        <w:rPr>
          <w:rStyle w:val="FootnoteReference"/>
          <w:rFonts w:ascii="Times New Roman" w:hAnsi="Times New Roman" w:cs="Times New Roman"/>
        </w:rPr>
        <w:footnoteReference w:id="16"/>
      </w:r>
    </w:p>
    <w:p w:rsidR="00B9501D" w:rsidRPr="00523556" w:rsidRDefault="008F0986" w:rsidP="00F32CED">
      <w:pPr>
        <w:jc w:val="both"/>
        <w:rPr>
          <w:rFonts w:ascii="Times New Roman" w:hAnsi="Times New Roman" w:cs="Times New Roman"/>
        </w:rPr>
      </w:pPr>
      <w:r w:rsidRPr="00523556">
        <w:rPr>
          <w:rFonts w:ascii="Times New Roman" w:hAnsi="Times New Roman" w:cs="Times New Roman"/>
        </w:rPr>
        <w:lastRenderedPageBreak/>
        <w:t>Historically</w:t>
      </w:r>
      <w:r w:rsidR="00A40083" w:rsidRPr="00523556">
        <w:rPr>
          <w:rFonts w:ascii="Times New Roman" w:hAnsi="Times New Roman" w:cs="Times New Roman"/>
        </w:rPr>
        <w:t>,</w:t>
      </w:r>
      <w:r w:rsidRPr="00523556">
        <w:rPr>
          <w:rFonts w:ascii="Times New Roman" w:hAnsi="Times New Roman" w:cs="Times New Roman"/>
        </w:rPr>
        <w:t xml:space="preserve"> </w:t>
      </w:r>
      <w:r w:rsidR="0088175E" w:rsidRPr="00523556">
        <w:rPr>
          <w:rFonts w:ascii="Times New Roman" w:hAnsi="Times New Roman" w:cs="Times New Roman"/>
        </w:rPr>
        <w:t xml:space="preserve">research and </w:t>
      </w:r>
      <w:r w:rsidR="009146F7" w:rsidRPr="00523556">
        <w:rPr>
          <w:rFonts w:ascii="Times New Roman" w:hAnsi="Times New Roman" w:cs="Times New Roman"/>
        </w:rPr>
        <w:t xml:space="preserve">policy advice on </w:t>
      </w:r>
      <w:r w:rsidR="001C36FA" w:rsidRPr="00523556">
        <w:rPr>
          <w:rFonts w:ascii="Times New Roman" w:hAnsi="Times New Roman" w:cs="Times New Roman"/>
        </w:rPr>
        <w:t>DD</w:t>
      </w:r>
      <w:r w:rsidR="000471D2" w:rsidRPr="00523556">
        <w:rPr>
          <w:rFonts w:ascii="Times New Roman" w:hAnsi="Times New Roman" w:cs="Times New Roman"/>
        </w:rPr>
        <w:t xml:space="preserve"> in LICs </w:t>
      </w:r>
      <w:r w:rsidR="0099641A" w:rsidRPr="00523556">
        <w:rPr>
          <w:rFonts w:ascii="Times New Roman" w:hAnsi="Times New Roman" w:cs="Times New Roman"/>
        </w:rPr>
        <w:t>ha</w:t>
      </w:r>
      <w:r w:rsidR="0021152A" w:rsidRPr="00523556">
        <w:rPr>
          <w:rFonts w:ascii="Times New Roman" w:hAnsi="Times New Roman" w:cs="Times New Roman"/>
        </w:rPr>
        <w:t xml:space="preserve">s </w:t>
      </w:r>
      <w:r w:rsidR="00A40083" w:rsidRPr="00523556">
        <w:rPr>
          <w:rFonts w:ascii="Times New Roman" w:hAnsi="Times New Roman" w:cs="Times New Roman"/>
        </w:rPr>
        <w:t xml:space="preserve">been </w:t>
      </w:r>
      <w:r w:rsidRPr="00523556">
        <w:rPr>
          <w:rFonts w:ascii="Times New Roman" w:hAnsi="Times New Roman" w:cs="Times New Roman"/>
        </w:rPr>
        <w:t>limited</w:t>
      </w:r>
      <w:r w:rsidR="00C842D2" w:rsidRPr="00523556">
        <w:rPr>
          <w:rFonts w:ascii="Times New Roman" w:hAnsi="Times New Roman" w:cs="Times New Roman"/>
        </w:rPr>
        <w:t>, with attention firmly focused on external debt.</w:t>
      </w:r>
      <w:r w:rsidR="0099641A" w:rsidRPr="00523556">
        <w:rPr>
          <w:rStyle w:val="FootnoteReference"/>
          <w:rFonts w:ascii="Times New Roman" w:hAnsi="Times New Roman" w:cs="Times New Roman"/>
        </w:rPr>
        <w:footnoteReference w:id="17"/>
      </w:r>
      <w:r w:rsidRPr="00523556">
        <w:rPr>
          <w:rFonts w:ascii="Times New Roman" w:hAnsi="Times New Roman" w:cs="Times New Roman"/>
        </w:rPr>
        <w:t xml:space="preserve"> </w:t>
      </w:r>
      <w:r w:rsidR="00C842D2" w:rsidRPr="00523556">
        <w:rPr>
          <w:rFonts w:ascii="Times New Roman" w:hAnsi="Times New Roman" w:cs="Times New Roman"/>
        </w:rPr>
        <w:t>H</w:t>
      </w:r>
      <w:r w:rsidRPr="00523556">
        <w:rPr>
          <w:rFonts w:ascii="Times New Roman" w:hAnsi="Times New Roman" w:cs="Times New Roman"/>
        </w:rPr>
        <w:t xml:space="preserve">owever, in the last few years </w:t>
      </w:r>
      <w:r w:rsidR="004A1B1C" w:rsidRPr="00523556">
        <w:rPr>
          <w:rFonts w:ascii="Times New Roman" w:hAnsi="Times New Roman" w:cs="Times New Roman"/>
        </w:rPr>
        <w:t>this has begun to change</w:t>
      </w:r>
      <w:r w:rsidR="00EF7DB8" w:rsidRPr="00523556">
        <w:rPr>
          <w:rFonts w:ascii="Times New Roman" w:hAnsi="Times New Roman" w:cs="Times New Roman"/>
        </w:rPr>
        <w:t>, and</w:t>
      </w:r>
      <w:r w:rsidR="00B23658" w:rsidRPr="00523556">
        <w:rPr>
          <w:rFonts w:ascii="Times New Roman" w:hAnsi="Times New Roman" w:cs="Times New Roman"/>
        </w:rPr>
        <w:t xml:space="preserve"> </w:t>
      </w:r>
      <w:r w:rsidR="00EF7DB8" w:rsidRPr="00523556">
        <w:rPr>
          <w:rFonts w:ascii="Times New Roman" w:hAnsi="Times New Roman" w:cs="Times New Roman"/>
        </w:rPr>
        <w:t>a</w:t>
      </w:r>
      <w:r w:rsidR="004A1B1C" w:rsidRPr="00523556">
        <w:rPr>
          <w:rFonts w:ascii="Times New Roman" w:hAnsi="Times New Roman" w:cs="Times New Roman"/>
        </w:rPr>
        <w:t xml:space="preserve"> fledgling area of </w:t>
      </w:r>
      <w:r w:rsidR="006D6445" w:rsidRPr="00523556">
        <w:rPr>
          <w:rFonts w:ascii="Times New Roman" w:hAnsi="Times New Roman" w:cs="Times New Roman"/>
        </w:rPr>
        <w:t xml:space="preserve">the </w:t>
      </w:r>
      <w:r w:rsidR="004A1B1C" w:rsidRPr="00523556">
        <w:rPr>
          <w:rFonts w:ascii="Times New Roman" w:hAnsi="Times New Roman" w:cs="Times New Roman"/>
        </w:rPr>
        <w:t xml:space="preserve">academic literature </w:t>
      </w:r>
      <w:r w:rsidR="006D6445" w:rsidRPr="00523556">
        <w:rPr>
          <w:rFonts w:ascii="Times New Roman" w:hAnsi="Times New Roman" w:cs="Times New Roman"/>
        </w:rPr>
        <w:t xml:space="preserve">is </w:t>
      </w:r>
      <w:r w:rsidR="004A1B1C" w:rsidRPr="00523556">
        <w:rPr>
          <w:rFonts w:ascii="Times New Roman" w:hAnsi="Times New Roman" w:cs="Times New Roman"/>
        </w:rPr>
        <w:t>beginning to generate some useful evidence</w:t>
      </w:r>
      <w:r w:rsidR="00EF7DB8" w:rsidRPr="00523556">
        <w:rPr>
          <w:rFonts w:ascii="Times New Roman" w:hAnsi="Times New Roman" w:cs="Times New Roman"/>
        </w:rPr>
        <w:t xml:space="preserve"> to help guide policy decisions</w:t>
      </w:r>
      <w:r w:rsidR="004A1B1C" w:rsidRPr="00523556">
        <w:rPr>
          <w:rFonts w:ascii="Times New Roman" w:hAnsi="Times New Roman" w:cs="Times New Roman"/>
        </w:rPr>
        <w:t xml:space="preserve">. </w:t>
      </w:r>
      <w:r w:rsidRPr="00523556">
        <w:rPr>
          <w:rFonts w:ascii="Times New Roman" w:hAnsi="Times New Roman" w:cs="Times New Roman"/>
        </w:rPr>
        <w:t xml:space="preserve">This section seeks to incorporate </w:t>
      </w:r>
      <w:r w:rsidR="001F0FB8" w:rsidRPr="00523556">
        <w:rPr>
          <w:rFonts w:ascii="Times New Roman" w:hAnsi="Times New Roman" w:cs="Times New Roman"/>
        </w:rPr>
        <w:t xml:space="preserve">this </w:t>
      </w:r>
      <w:r w:rsidR="00445F05" w:rsidRPr="00523556">
        <w:rPr>
          <w:rFonts w:ascii="Times New Roman" w:hAnsi="Times New Roman" w:cs="Times New Roman"/>
        </w:rPr>
        <w:t>recent</w:t>
      </w:r>
      <w:r w:rsidRPr="00523556">
        <w:rPr>
          <w:rFonts w:ascii="Times New Roman" w:hAnsi="Times New Roman" w:cs="Times New Roman"/>
        </w:rPr>
        <w:t xml:space="preserve"> evidence in to a consideration of the speci</w:t>
      </w:r>
      <w:r w:rsidR="001F0FB8" w:rsidRPr="00523556">
        <w:rPr>
          <w:rFonts w:ascii="Times New Roman" w:hAnsi="Times New Roman" w:cs="Times New Roman"/>
        </w:rPr>
        <w:t>fic issues faced by Uganda</w:t>
      </w:r>
      <w:r w:rsidRPr="00523556">
        <w:rPr>
          <w:rFonts w:ascii="Times New Roman" w:hAnsi="Times New Roman" w:cs="Times New Roman"/>
        </w:rPr>
        <w:t>.</w:t>
      </w:r>
      <w:r w:rsidR="005B35D1" w:rsidRPr="00523556">
        <w:rPr>
          <w:rFonts w:ascii="Times New Roman" w:hAnsi="Times New Roman" w:cs="Times New Roman"/>
        </w:rPr>
        <w:t xml:space="preserve"> </w:t>
      </w:r>
      <w:r w:rsidR="00F32CED" w:rsidRPr="00523556">
        <w:rPr>
          <w:rFonts w:ascii="Times New Roman" w:hAnsi="Times New Roman" w:cs="Times New Roman"/>
        </w:rPr>
        <w:t xml:space="preserve">It </w:t>
      </w:r>
      <w:r w:rsidR="003A6E98" w:rsidRPr="00523556">
        <w:rPr>
          <w:rFonts w:ascii="Times New Roman" w:hAnsi="Times New Roman" w:cs="Times New Roman"/>
        </w:rPr>
        <w:t>aims</w:t>
      </w:r>
      <w:r w:rsidR="005B35D1" w:rsidRPr="00523556">
        <w:rPr>
          <w:rFonts w:ascii="Times New Roman" w:hAnsi="Times New Roman" w:cs="Times New Roman"/>
        </w:rPr>
        <w:t xml:space="preserve"> to address</w:t>
      </w:r>
      <w:r w:rsidR="00F32CED" w:rsidRPr="00523556">
        <w:rPr>
          <w:rFonts w:ascii="Times New Roman" w:hAnsi="Times New Roman" w:cs="Times New Roman"/>
        </w:rPr>
        <w:t xml:space="preserve"> the</w:t>
      </w:r>
      <w:r w:rsidR="00871482" w:rsidRPr="00523556">
        <w:rPr>
          <w:rFonts w:ascii="Times New Roman" w:hAnsi="Times New Roman" w:cs="Times New Roman"/>
        </w:rPr>
        <w:t xml:space="preserve"> key costs, risks, and broader macroeconomic </w:t>
      </w:r>
      <w:r w:rsidR="00B15D4A" w:rsidRPr="00523556">
        <w:rPr>
          <w:rFonts w:ascii="Times New Roman" w:hAnsi="Times New Roman" w:cs="Times New Roman"/>
        </w:rPr>
        <w:t>implications</w:t>
      </w:r>
      <w:r w:rsidR="00F32CED" w:rsidRPr="00523556">
        <w:rPr>
          <w:rFonts w:ascii="Times New Roman" w:hAnsi="Times New Roman" w:cs="Times New Roman"/>
        </w:rPr>
        <w:t xml:space="preserve"> – including the potential impact on private investment and overall economic activity –</w:t>
      </w:r>
      <w:r w:rsidR="001F0FB8" w:rsidRPr="00523556">
        <w:rPr>
          <w:rFonts w:ascii="Times New Roman" w:hAnsi="Times New Roman" w:cs="Times New Roman"/>
        </w:rPr>
        <w:t xml:space="preserve"> a</w:t>
      </w:r>
      <w:r w:rsidR="00B9501D" w:rsidRPr="00523556">
        <w:rPr>
          <w:rFonts w:ascii="Times New Roman" w:hAnsi="Times New Roman" w:cs="Times New Roman"/>
        </w:rPr>
        <w:t>nd</w:t>
      </w:r>
      <w:r w:rsidR="00F32CED" w:rsidRPr="00523556">
        <w:rPr>
          <w:rFonts w:ascii="Times New Roman" w:hAnsi="Times New Roman" w:cs="Times New Roman"/>
        </w:rPr>
        <w:t xml:space="preserve"> </w:t>
      </w:r>
      <w:r w:rsidR="00B9501D" w:rsidRPr="00523556">
        <w:rPr>
          <w:rFonts w:ascii="Times New Roman" w:hAnsi="Times New Roman" w:cs="Times New Roman"/>
        </w:rPr>
        <w:t xml:space="preserve">what steps Uganda </w:t>
      </w:r>
      <w:r w:rsidR="003A6E98" w:rsidRPr="00523556">
        <w:rPr>
          <w:rFonts w:ascii="Times New Roman" w:hAnsi="Times New Roman" w:cs="Times New Roman"/>
        </w:rPr>
        <w:t xml:space="preserve">can </w:t>
      </w:r>
      <w:r w:rsidR="00B9501D" w:rsidRPr="00523556">
        <w:rPr>
          <w:rFonts w:ascii="Times New Roman" w:hAnsi="Times New Roman" w:cs="Times New Roman"/>
        </w:rPr>
        <w:t>take to maximise the benefits and minimise costs and risks</w:t>
      </w:r>
      <w:r w:rsidR="003A6E98" w:rsidRPr="00523556">
        <w:rPr>
          <w:rFonts w:ascii="Times New Roman" w:hAnsi="Times New Roman" w:cs="Times New Roman"/>
        </w:rPr>
        <w:t>,</w:t>
      </w:r>
      <w:r w:rsidR="001F0FB8" w:rsidRPr="00523556">
        <w:rPr>
          <w:rFonts w:ascii="Times New Roman" w:hAnsi="Times New Roman" w:cs="Times New Roman"/>
        </w:rPr>
        <w:t xml:space="preserve"> as </w:t>
      </w:r>
      <w:r w:rsidR="003A6E98" w:rsidRPr="00523556">
        <w:rPr>
          <w:rFonts w:ascii="Times New Roman" w:hAnsi="Times New Roman" w:cs="Times New Roman"/>
        </w:rPr>
        <w:t xml:space="preserve">GoU </w:t>
      </w:r>
      <w:r w:rsidR="001F0FB8" w:rsidRPr="00523556">
        <w:rPr>
          <w:rFonts w:ascii="Times New Roman" w:hAnsi="Times New Roman" w:cs="Times New Roman"/>
        </w:rPr>
        <w:t xml:space="preserve">decides how and how much to turn to </w:t>
      </w:r>
      <w:r w:rsidR="001C36FA" w:rsidRPr="00523556">
        <w:rPr>
          <w:rFonts w:ascii="Times New Roman" w:hAnsi="Times New Roman" w:cs="Times New Roman"/>
        </w:rPr>
        <w:t>DD</w:t>
      </w:r>
      <w:r w:rsidR="001F0FB8" w:rsidRPr="00523556">
        <w:rPr>
          <w:rFonts w:ascii="Times New Roman" w:hAnsi="Times New Roman" w:cs="Times New Roman"/>
        </w:rPr>
        <w:t xml:space="preserve"> financing.</w:t>
      </w:r>
    </w:p>
    <w:p w:rsidR="00D91C6C" w:rsidRPr="00523556" w:rsidRDefault="00F429C2" w:rsidP="00246EC4">
      <w:pPr>
        <w:jc w:val="both"/>
        <w:rPr>
          <w:rFonts w:ascii="Times New Roman" w:hAnsi="Times New Roman" w:cs="Times New Roman"/>
        </w:rPr>
      </w:pPr>
      <w:r w:rsidRPr="00523556">
        <w:rPr>
          <w:rFonts w:ascii="Times New Roman" w:hAnsi="Times New Roman" w:cs="Times New Roman"/>
        </w:rPr>
        <w:t>D</w:t>
      </w:r>
      <w:r w:rsidR="00FC1827" w:rsidRPr="00523556">
        <w:rPr>
          <w:rFonts w:ascii="Times New Roman" w:hAnsi="Times New Roman" w:cs="Times New Roman"/>
        </w:rPr>
        <w:t xml:space="preserve">omestic </w:t>
      </w:r>
      <w:r w:rsidR="00246EC4" w:rsidRPr="00523556">
        <w:rPr>
          <w:rFonts w:ascii="Times New Roman" w:hAnsi="Times New Roman" w:cs="Times New Roman"/>
        </w:rPr>
        <w:t>d</w:t>
      </w:r>
      <w:r w:rsidR="00FC1827" w:rsidRPr="00523556">
        <w:rPr>
          <w:rFonts w:ascii="Times New Roman" w:hAnsi="Times New Roman" w:cs="Times New Roman"/>
        </w:rPr>
        <w:t>ebt</w:t>
      </w:r>
      <w:r w:rsidRPr="00523556">
        <w:rPr>
          <w:rFonts w:ascii="Times New Roman" w:hAnsi="Times New Roman" w:cs="Times New Roman"/>
        </w:rPr>
        <w:t xml:space="preserve"> is an area of considerable and ongoing reform in Uganda</w:t>
      </w:r>
      <w:r w:rsidR="00FC1827" w:rsidRPr="00523556">
        <w:rPr>
          <w:rFonts w:ascii="Times New Roman" w:hAnsi="Times New Roman" w:cs="Times New Roman"/>
        </w:rPr>
        <w:t xml:space="preserve"> – as </w:t>
      </w:r>
      <w:r w:rsidRPr="00523556">
        <w:rPr>
          <w:rFonts w:ascii="Times New Roman" w:hAnsi="Times New Roman" w:cs="Times New Roman"/>
        </w:rPr>
        <w:t xml:space="preserve">summarised in Box </w:t>
      </w:r>
      <w:r w:rsidR="00EB0FA2" w:rsidRPr="00523556">
        <w:rPr>
          <w:rFonts w:ascii="Times New Roman" w:hAnsi="Times New Roman" w:cs="Times New Roman"/>
        </w:rPr>
        <w:t>1</w:t>
      </w:r>
      <w:r w:rsidRPr="00523556">
        <w:rPr>
          <w:rFonts w:ascii="Times New Roman" w:hAnsi="Times New Roman" w:cs="Times New Roman"/>
        </w:rPr>
        <w:t xml:space="preserve">. </w:t>
      </w:r>
      <w:r w:rsidR="00737B33" w:rsidRPr="00523556">
        <w:rPr>
          <w:rFonts w:ascii="Times New Roman" w:hAnsi="Times New Roman" w:cs="Times New Roman"/>
        </w:rPr>
        <w:t>Until</w:t>
      </w:r>
      <w:r w:rsidR="00871482" w:rsidRPr="00523556">
        <w:rPr>
          <w:rFonts w:ascii="Times New Roman" w:hAnsi="Times New Roman" w:cs="Times New Roman"/>
        </w:rPr>
        <w:t xml:space="preserve"> FY11/12, </w:t>
      </w:r>
      <w:r w:rsidR="00737B33" w:rsidRPr="00523556">
        <w:rPr>
          <w:rFonts w:ascii="Times New Roman" w:hAnsi="Times New Roman" w:cs="Times New Roman"/>
        </w:rPr>
        <w:t>Treasury Bills and Bonds were</w:t>
      </w:r>
      <w:r w:rsidR="005E2DD9" w:rsidRPr="00523556">
        <w:rPr>
          <w:rFonts w:ascii="Times New Roman" w:hAnsi="Times New Roman" w:cs="Times New Roman"/>
        </w:rPr>
        <w:t xml:space="preserve"> issued </w:t>
      </w:r>
      <w:r w:rsidR="00740323" w:rsidRPr="00523556">
        <w:rPr>
          <w:rFonts w:ascii="Times New Roman" w:hAnsi="Times New Roman" w:cs="Times New Roman"/>
        </w:rPr>
        <w:t>ostensibly</w:t>
      </w:r>
      <w:r w:rsidR="00740323" w:rsidRPr="00523556">
        <w:rPr>
          <w:rStyle w:val="FootnoteReference"/>
          <w:rFonts w:ascii="Times New Roman" w:hAnsi="Times New Roman" w:cs="Times New Roman"/>
        </w:rPr>
        <w:footnoteReference w:id="18"/>
      </w:r>
      <w:r w:rsidR="00740323" w:rsidRPr="00523556">
        <w:rPr>
          <w:rFonts w:ascii="Times New Roman" w:hAnsi="Times New Roman" w:cs="Times New Roman"/>
        </w:rPr>
        <w:t xml:space="preserve"> </w:t>
      </w:r>
      <w:r w:rsidR="00D86B13" w:rsidRPr="00523556">
        <w:rPr>
          <w:rFonts w:ascii="Times New Roman" w:hAnsi="Times New Roman" w:cs="Times New Roman"/>
        </w:rPr>
        <w:t xml:space="preserve">only </w:t>
      </w:r>
      <w:r w:rsidR="00CC58E8" w:rsidRPr="00523556">
        <w:rPr>
          <w:rFonts w:ascii="Times New Roman" w:hAnsi="Times New Roman" w:cs="Times New Roman"/>
        </w:rPr>
        <w:t>for monetary policy purposes;</w:t>
      </w:r>
      <w:r w:rsidR="005E2DD9" w:rsidRPr="00523556">
        <w:rPr>
          <w:rFonts w:ascii="Times New Roman" w:hAnsi="Times New Roman" w:cs="Times New Roman"/>
        </w:rPr>
        <w:t xml:space="preserve"> but as of </w:t>
      </w:r>
      <w:r w:rsidR="00871482" w:rsidRPr="00523556">
        <w:rPr>
          <w:rFonts w:ascii="Times New Roman" w:hAnsi="Times New Roman" w:cs="Times New Roman"/>
        </w:rPr>
        <w:t>FY12/13</w:t>
      </w:r>
      <w:r w:rsidR="00A67B1C" w:rsidRPr="00523556">
        <w:rPr>
          <w:rFonts w:ascii="Times New Roman" w:hAnsi="Times New Roman" w:cs="Times New Roman"/>
        </w:rPr>
        <w:t xml:space="preserve"> </w:t>
      </w:r>
      <w:r w:rsidR="00A8667A" w:rsidRPr="00523556">
        <w:rPr>
          <w:rFonts w:ascii="Times New Roman" w:hAnsi="Times New Roman" w:cs="Times New Roman"/>
        </w:rPr>
        <w:t xml:space="preserve">GoU began to conduct </w:t>
      </w:r>
      <w:r w:rsidR="005E2DD9" w:rsidRPr="00523556">
        <w:rPr>
          <w:rFonts w:ascii="Times New Roman" w:hAnsi="Times New Roman" w:cs="Times New Roman"/>
        </w:rPr>
        <w:t>net securities issuance primarily for fiscal policy purposes</w:t>
      </w:r>
      <w:r w:rsidR="00CC58E8" w:rsidRPr="00523556">
        <w:rPr>
          <w:rFonts w:ascii="Times New Roman" w:hAnsi="Times New Roman" w:cs="Times New Roman"/>
        </w:rPr>
        <w:t xml:space="preserve"> –</w:t>
      </w:r>
      <w:r w:rsidR="00A8667A" w:rsidRPr="00523556">
        <w:rPr>
          <w:rFonts w:ascii="Times New Roman" w:hAnsi="Times New Roman" w:cs="Times New Roman"/>
        </w:rPr>
        <w:t xml:space="preserve"> raising</w:t>
      </w:r>
      <w:r w:rsidR="00CC58E8" w:rsidRPr="00523556">
        <w:rPr>
          <w:rFonts w:ascii="Times New Roman" w:hAnsi="Times New Roman" w:cs="Times New Roman"/>
        </w:rPr>
        <w:t xml:space="preserve"> </w:t>
      </w:r>
      <w:r w:rsidR="00252BBF" w:rsidRPr="00523556">
        <w:rPr>
          <w:rFonts w:ascii="Times New Roman" w:hAnsi="Times New Roman" w:cs="Times New Roman"/>
        </w:rPr>
        <w:t xml:space="preserve">around Shs.650bn </w:t>
      </w:r>
      <w:r w:rsidR="00CC58E8" w:rsidRPr="00523556">
        <w:rPr>
          <w:rFonts w:ascii="Times New Roman" w:hAnsi="Times New Roman" w:cs="Times New Roman"/>
        </w:rPr>
        <w:t>(</w:t>
      </w:r>
      <w:r w:rsidR="00246EC4" w:rsidRPr="00523556">
        <w:rPr>
          <w:rFonts w:ascii="Times New Roman" w:hAnsi="Times New Roman" w:cs="Times New Roman"/>
        </w:rPr>
        <w:t>1.2</w:t>
      </w:r>
      <w:r w:rsidR="00E557B8" w:rsidRPr="00523556">
        <w:rPr>
          <w:rFonts w:ascii="Times New Roman" w:hAnsi="Times New Roman" w:cs="Times New Roman"/>
        </w:rPr>
        <w:t xml:space="preserve"> per cent</w:t>
      </w:r>
      <w:r w:rsidR="00252BBF" w:rsidRPr="00523556">
        <w:rPr>
          <w:rFonts w:ascii="Times New Roman" w:hAnsi="Times New Roman" w:cs="Times New Roman"/>
        </w:rPr>
        <w:t xml:space="preserve"> of GDP</w:t>
      </w:r>
      <w:r w:rsidR="00CC58E8" w:rsidRPr="00523556">
        <w:rPr>
          <w:rFonts w:ascii="Times New Roman" w:hAnsi="Times New Roman" w:cs="Times New Roman"/>
        </w:rPr>
        <w:t>)</w:t>
      </w:r>
      <w:r w:rsidR="00252BBF" w:rsidRPr="00523556">
        <w:rPr>
          <w:rFonts w:ascii="Times New Roman" w:hAnsi="Times New Roman" w:cs="Times New Roman"/>
        </w:rPr>
        <w:t xml:space="preserve"> </w:t>
      </w:r>
      <w:r w:rsidR="00CC58E8" w:rsidRPr="00523556">
        <w:rPr>
          <w:rFonts w:ascii="Times New Roman" w:hAnsi="Times New Roman" w:cs="Times New Roman"/>
        </w:rPr>
        <w:t>towards</w:t>
      </w:r>
      <w:r w:rsidR="00252BBF" w:rsidRPr="00523556">
        <w:rPr>
          <w:rFonts w:ascii="Times New Roman" w:hAnsi="Times New Roman" w:cs="Times New Roman"/>
        </w:rPr>
        <w:t xml:space="preserve"> the </w:t>
      </w:r>
      <w:r w:rsidR="00CC58E8" w:rsidRPr="00523556">
        <w:rPr>
          <w:rFonts w:ascii="Times New Roman" w:hAnsi="Times New Roman" w:cs="Times New Roman"/>
        </w:rPr>
        <w:t xml:space="preserve">financing of the </w:t>
      </w:r>
      <w:r w:rsidR="00252BBF" w:rsidRPr="00523556">
        <w:rPr>
          <w:rFonts w:ascii="Times New Roman" w:hAnsi="Times New Roman" w:cs="Times New Roman"/>
        </w:rPr>
        <w:t>fiscal deficit</w:t>
      </w:r>
      <w:r w:rsidR="00A8667A" w:rsidRPr="00523556">
        <w:rPr>
          <w:rFonts w:ascii="Times New Roman" w:hAnsi="Times New Roman" w:cs="Times New Roman"/>
        </w:rPr>
        <w:t xml:space="preserve"> that year. As reported above, by the end of FY12/13 the total stock of outstanding Treasury securities stood at 11.1</w:t>
      </w:r>
      <w:r w:rsidR="00E557B8" w:rsidRPr="00523556">
        <w:rPr>
          <w:rFonts w:ascii="Times New Roman" w:hAnsi="Times New Roman" w:cs="Times New Roman"/>
        </w:rPr>
        <w:t xml:space="preserve"> per cent</w:t>
      </w:r>
      <w:r w:rsidR="00A8667A" w:rsidRPr="00523556">
        <w:rPr>
          <w:rFonts w:ascii="Times New Roman" w:hAnsi="Times New Roman" w:cs="Times New Roman"/>
        </w:rPr>
        <w:t xml:space="preserve"> of GDP</w:t>
      </w:r>
      <w:r w:rsidR="003A6E98" w:rsidRPr="00523556">
        <w:rPr>
          <w:rFonts w:ascii="Times New Roman" w:hAnsi="Times New Roman" w:cs="Times New Roman"/>
        </w:rPr>
        <w:t xml:space="preserve">; this is </w:t>
      </w:r>
      <w:r w:rsidR="00A8667A" w:rsidRPr="00523556">
        <w:rPr>
          <w:rFonts w:ascii="Times New Roman" w:hAnsi="Times New Roman" w:cs="Times New Roman"/>
        </w:rPr>
        <w:t>below the sub-Saharan Africa (SSA) average of around 15</w:t>
      </w:r>
      <w:r w:rsidR="00E557B8" w:rsidRPr="00523556">
        <w:rPr>
          <w:rFonts w:ascii="Times New Roman" w:hAnsi="Times New Roman" w:cs="Times New Roman"/>
        </w:rPr>
        <w:t xml:space="preserve"> per cent</w:t>
      </w:r>
      <w:r w:rsidR="00A8667A" w:rsidRPr="00523556">
        <w:rPr>
          <w:rFonts w:ascii="Times New Roman" w:hAnsi="Times New Roman" w:cs="Times New Roman"/>
        </w:rPr>
        <w:t xml:space="preserve"> of GDP.</w:t>
      </w:r>
      <w:r w:rsidR="00A8667A" w:rsidRPr="00523556">
        <w:rPr>
          <w:rStyle w:val="FootnoteReference"/>
          <w:rFonts w:ascii="Times New Roman" w:hAnsi="Times New Roman" w:cs="Times New Roman"/>
        </w:rPr>
        <w:footnoteReference w:id="19"/>
      </w:r>
      <w:r w:rsidR="00A8667A" w:rsidRPr="00523556">
        <w:rPr>
          <w:rFonts w:ascii="Times New Roman" w:hAnsi="Times New Roman" w:cs="Times New Roman"/>
        </w:rPr>
        <w:t xml:space="preserve"> I</w:t>
      </w:r>
      <w:r w:rsidR="00CE4485" w:rsidRPr="00523556">
        <w:rPr>
          <w:rFonts w:ascii="Times New Roman" w:hAnsi="Times New Roman" w:cs="Times New Roman"/>
        </w:rPr>
        <w:t>n FY13/14 GoU plans to raise Shs1,040bn, or 1.6</w:t>
      </w:r>
      <w:r w:rsidR="00E557B8" w:rsidRPr="00523556">
        <w:rPr>
          <w:rFonts w:ascii="Times New Roman" w:hAnsi="Times New Roman" w:cs="Times New Roman"/>
        </w:rPr>
        <w:t xml:space="preserve"> per cent</w:t>
      </w:r>
      <w:r w:rsidR="00CE4485" w:rsidRPr="00523556">
        <w:rPr>
          <w:rFonts w:ascii="Times New Roman" w:hAnsi="Times New Roman" w:cs="Times New Roman"/>
        </w:rPr>
        <w:t xml:space="preserve"> of GDP</w:t>
      </w:r>
      <w:r w:rsidR="00B444CC" w:rsidRPr="00523556">
        <w:rPr>
          <w:rFonts w:ascii="Times New Roman" w:hAnsi="Times New Roman" w:cs="Times New Roman"/>
        </w:rPr>
        <w:t>, through net Treasuries issuance</w:t>
      </w:r>
      <w:r w:rsidR="00A8667A" w:rsidRPr="00523556">
        <w:rPr>
          <w:rFonts w:ascii="Times New Roman" w:hAnsi="Times New Roman" w:cs="Times New Roman"/>
        </w:rPr>
        <w:t>;</w:t>
      </w:r>
      <w:r w:rsidR="00222455" w:rsidRPr="00523556">
        <w:rPr>
          <w:rStyle w:val="FootnoteReference"/>
          <w:rFonts w:ascii="Times New Roman" w:hAnsi="Times New Roman" w:cs="Times New Roman"/>
        </w:rPr>
        <w:footnoteReference w:id="20"/>
      </w:r>
      <w:r w:rsidR="00246EC4" w:rsidRPr="00523556">
        <w:rPr>
          <w:rFonts w:ascii="Times New Roman" w:hAnsi="Times New Roman" w:cs="Times New Roman"/>
        </w:rPr>
        <w:t xml:space="preserve"> </w:t>
      </w:r>
      <w:r w:rsidR="00A8667A" w:rsidRPr="00523556">
        <w:rPr>
          <w:rFonts w:ascii="Times New Roman" w:hAnsi="Times New Roman" w:cs="Times New Roman"/>
        </w:rPr>
        <w:t xml:space="preserve">this is in line with </w:t>
      </w:r>
      <w:r w:rsidR="00871482" w:rsidRPr="00523556">
        <w:rPr>
          <w:rFonts w:ascii="Times New Roman" w:hAnsi="Times New Roman" w:cs="Times New Roman"/>
        </w:rPr>
        <w:t xml:space="preserve">net </w:t>
      </w:r>
      <w:r w:rsidR="00246EC4" w:rsidRPr="00523556">
        <w:rPr>
          <w:rFonts w:ascii="Times New Roman" w:hAnsi="Times New Roman" w:cs="Times New Roman"/>
        </w:rPr>
        <w:t xml:space="preserve">Treasury </w:t>
      </w:r>
      <w:r w:rsidR="00871482" w:rsidRPr="00523556">
        <w:rPr>
          <w:rFonts w:ascii="Times New Roman" w:hAnsi="Times New Roman" w:cs="Times New Roman"/>
        </w:rPr>
        <w:t xml:space="preserve">issuance </w:t>
      </w:r>
      <w:r w:rsidR="00A8667A" w:rsidRPr="00523556">
        <w:rPr>
          <w:rFonts w:ascii="Times New Roman" w:hAnsi="Times New Roman" w:cs="Times New Roman"/>
        </w:rPr>
        <w:t>over the past ten years</w:t>
      </w:r>
      <w:r w:rsidR="00AD5E6D" w:rsidRPr="00523556">
        <w:rPr>
          <w:rFonts w:ascii="Times New Roman" w:hAnsi="Times New Roman" w:cs="Times New Roman"/>
        </w:rPr>
        <w:t>,</w:t>
      </w:r>
      <w:r w:rsidR="00A8667A" w:rsidRPr="00523556">
        <w:rPr>
          <w:rFonts w:ascii="Times New Roman" w:hAnsi="Times New Roman" w:cs="Times New Roman"/>
        </w:rPr>
        <w:t xml:space="preserve"> </w:t>
      </w:r>
      <w:r w:rsidR="00AD5E6D" w:rsidRPr="00523556">
        <w:rPr>
          <w:rFonts w:ascii="Times New Roman" w:hAnsi="Times New Roman" w:cs="Times New Roman"/>
        </w:rPr>
        <w:t xml:space="preserve">which has averaged </w:t>
      </w:r>
      <w:r w:rsidR="00871482" w:rsidRPr="00523556">
        <w:rPr>
          <w:rFonts w:ascii="Times New Roman" w:hAnsi="Times New Roman" w:cs="Times New Roman"/>
        </w:rPr>
        <w:t>1.5</w:t>
      </w:r>
      <w:r w:rsidR="00E557B8" w:rsidRPr="00523556">
        <w:rPr>
          <w:rFonts w:ascii="Times New Roman" w:hAnsi="Times New Roman" w:cs="Times New Roman"/>
        </w:rPr>
        <w:t xml:space="preserve"> per cent</w:t>
      </w:r>
      <w:r w:rsidR="00871482" w:rsidRPr="00523556">
        <w:rPr>
          <w:rFonts w:ascii="Times New Roman" w:hAnsi="Times New Roman" w:cs="Times New Roman"/>
        </w:rPr>
        <w:t xml:space="preserve"> of GDP </w:t>
      </w:r>
      <w:r w:rsidR="00D86B13" w:rsidRPr="00523556">
        <w:rPr>
          <w:rFonts w:ascii="Times New Roman" w:hAnsi="Times New Roman" w:cs="Times New Roman"/>
        </w:rPr>
        <w:t>per year</w:t>
      </w:r>
      <w:r w:rsidR="00325726" w:rsidRPr="00523556">
        <w:rPr>
          <w:rFonts w:ascii="Times New Roman" w:hAnsi="Times New Roman" w:cs="Times New Roman"/>
        </w:rPr>
        <w:t>.</w:t>
      </w:r>
      <w:r w:rsidR="00A8667A" w:rsidRPr="00523556">
        <w:rPr>
          <w:rFonts w:ascii="Times New Roman" w:hAnsi="Times New Roman" w:cs="Times New Roman"/>
        </w:rPr>
        <w:t xml:space="preserve"> </w:t>
      </w:r>
    </w:p>
    <w:p w:rsidR="00D861B0" w:rsidRPr="00523556" w:rsidRDefault="00D861B0" w:rsidP="00D861B0">
      <w:pPr>
        <w:pStyle w:val="Heading3"/>
        <w:rPr>
          <w:rFonts w:ascii="Times New Roman" w:hAnsi="Times New Roman" w:cs="Times New Roman"/>
        </w:rPr>
      </w:pPr>
      <w:r w:rsidRPr="00523556">
        <w:rPr>
          <w:rFonts w:ascii="Times New Roman" w:hAnsi="Times New Roman" w:cs="Times New Roman"/>
        </w:rPr>
        <w:t>2.2.2 Costs, risks and broader considerations</w:t>
      </w:r>
    </w:p>
    <w:p w:rsidR="00D861B0" w:rsidRPr="00523556" w:rsidRDefault="00D861B0" w:rsidP="00D861B0">
      <w:pPr>
        <w:pStyle w:val="Heading4"/>
        <w:jc w:val="both"/>
        <w:rPr>
          <w:rFonts w:ascii="Times New Roman" w:hAnsi="Times New Roman" w:cs="Times New Roman"/>
        </w:rPr>
      </w:pPr>
      <w:r w:rsidRPr="00523556">
        <w:rPr>
          <w:rFonts w:ascii="Times New Roman" w:hAnsi="Times New Roman" w:cs="Times New Roman"/>
        </w:rPr>
        <w:t>Interest costs</w:t>
      </w:r>
    </w:p>
    <w:p w:rsidR="00D861B0" w:rsidRPr="00523556" w:rsidRDefault="00D861B0" w:rsidP="00A46052">
      <w:pPr>
        <w:jc w:val="both"/>
        <w:rPr>
          <w:rFonts w:ascii="Times New Roman" w:hAnsi="Times New Roman" w:cs="Times New Roman"/>
        </w:rPr>
      </w:pPr>
      <w:r w:rsidRPr="00523556">
        <w:rPr>
          <w:rFonts w:ascii="Times New Roman" w:hAnsi="Times New Roman" w:cs="Times New Roman"/>
        </w:rPr>
        <w:t>Figure 2.3 above presented data on the direct costs of DD issuance and on the foremost debt management risks for Uganda, as at end-FY12/13. Figure 2.5A shows the full Treasury yield curve</w:t>
      </w:r>
      <w:r w:rsidRPr="00523556">
        <w:rPr>
          <w:rStyle w:val="FootnoteReference"/>
          <w:rFonts w:ascii="Times New Roman" w:hAnsi="Times New Roman" w:cs="Times New Roman"/>
        </w:rPr>
        <w:footnoteReference w:id="21"/>
      </w:r>
      <w:r w:rsidRPr="00523556">
        <w:rPr>
          <w:rFonts w:ascii="Times New Roman" w:hAnsi="Times New Roman" w:cs="Times New Roman"/>
        </w:rPr>
        <w:t xml:space="preserve"> as at end-FY12/13 and as at 5</w:t>
      </w:r>
      <w:r w:rsidRPr="00523556">
        <w:rPr>
          <w:rFonts w:ascii="Times New Roman" w:hAnsi="Times New Roman" w:cs="Times New Roman"/>
          <w:vertAlign w:val="superscript"/>
        </w:rPr>
        <w:t>th</w:t>
      </w:r>
      <w:r w:rsidRPr="00523556">
        <w:rPr>
          <w:rFonts w:ascii="Times New Roman" w:hAnsi="Times New Roman" w:cs="Times New Roman"/>
        </w:rPr>
        <w:t xml:space="preserve"> December 2013 for comparison; the yield curves at both these points in time have a ‘standard’ upward-slope – with yields increasing with maturity, up to a maximum of around 15</w:t>
      </w:r>
      <w:r w:rsidR="00E557B8" w:rsidRPr="00523556">
        <w:rPr>
          <w:rFonts w:ascii="Times New Roman" w:hAnsi="Times New Roman" w:cs="Times New Roman"/>
        </w:rPr>
        <w:t xml:space="preserve"> per cent</w:t>
      </w:r>
      <w:r w:rsidRPr="00523556">
        <w:rPr>
          <w:rFonts w:ascii="Times New Roman" w:hAnsi="Times New Roman" w:cs="Times New Roman"/>
        </w:rPr>
        <w:t xml:space="preserve"> on a 15-year Treasury Bond. Figure 2.5B provides more historical context, illustrating the nominal yield on 364-day Treasury Bills going back around fifteen years; the average yield over the past three months of </w:t>
      </w:r>
      <w:r w:rsidR="00666C67" w:rsidRPr="00523556">
        <w:rPr>
          <w:rFonts w:ascii="Times New Roman" w:hAnsi="Times New Roman" w:cs="Times New Roman"/>
          <w:noProof/>
          <w:lang w:eastAsia="en-GB"/>
        </w:rPr>
        <w:lastRenderedPageBreak/>
        <mc:AlternateContent>
          <mc:Choice Requires="wps">
            <w:drawing>
              <wp:inline distT="0" distB="0" distL="0" distR="0">
                <wp:extent cx="5685790" cy="8676005"/>
                <wp:effectExtent l="9525" t="9525" r="10160" b="10795"/>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8676005"/>
                        </a:xfrm>
                        <a:prstGeom prst="rect">
                          <a:avLst/>
                        </a:prstGeom>
                        <a:solidFill>
                          <a:srgbClr val="FFFFFF"/>
                        </a:solidFill>
                        <a:ln w="9525">
                          <a:solidFill>
                            <a:srgbClr val="000000"/>
                          </a:solidFill>
                          <a:miter lim="800000"/>
                          <a:headEnd/>
                          <a:tailEnd/>
                        </a:ln>
                      </wps:spPr>
                      <wps:txbx>
                        <w:txbxContent>
                          <w:p w:rsidR="001237DB" w:rsidRPr="00D4650B" w:rsidRDefault="001237DB" w:rsidP="00A46052">
                            <w:pPr>
                              <w:spacing w:after="0"/>
                              <w:rPr>
                                <w:b/>
                                <w:u w:val="single"/>
                              </w:rPr>
                            </w:pPr>
                            <w:r w:rsidRPr="00D4650B">
                              <w:rPr>
                                <w:b/>
                                <w:u w:val="single"/>
                              </w:rPr>
                              <w:t>Box 1: Domestic Debt Reform in Uganda</w:t>
                            </w:r>
                          </w:p>
                          <w:p w:rsidR="001237DB" w:rsidRPr="00D4650B" w:rsidRDefault="001237DB" w:rsidP="00A46052">
                            <w:pPr>
                              <w:spacing w:after="120"/>
                              <w:jc w:val="both"/>
                            </w:pPr>
                            <w:r w:rsidRPr="00D4650B">
                              <w:t>Uganda has undertaken considerable reforms in the area of domestic debt (DD) in the recent past, and further reforms are planned. Up to June 2012 Treasury Bills and Bonds were issued only for monetary policy purposes – in particular, to help manage the structural liquidity surplus created by the excess of concessional inflows (grants and loans) over foreign currency government expenditures. The BoU was responsible for both securities issuance operations, and making broader DD management decisions.</w:t>
                            </w:r>
                          </w:p>
                          <w:p w:rsidR="001237DB" w:rsidRPr="00D4650B" w:rsidRDefault="001237DB" w:rsidP="00A46052">
                            <w:pPr>
                              <w:spacing w:after="120"/>
                              <w:jc w:val="both"/>
                            </w:pPr>
                            <w:r w:rsidRPr="00D4650B">
                              <w:t xml:space="preserve">Over time, the gap between concessional inflows and GoU’s foreign currency expenditures has narrowed – reducing the size of the structural liquidity surplus. Furthermore, from July 2011 BoU adopted a new monetary policy framework – inflation targeting ‘lite’ – under which the focus of monetary policy switched away from managing the money supply through Treasury securities issuance, to a focus on </w:t>
                            </w:r>
                            <w:r>
                              <w:t>targeting</w:t>
                            </w:r>
                            <w:r w:rsidRPr="00D4650B">
                              <w:t xml:space="preserve"> short-term (7-day) interbank money market rates through repo operations. As such, the need for </w:t>
                            </w:r>
                            <w:r>
                              <w:t xml:space="preserve">and role of </w:t>
                            </w:r>
                            <w:r w:rsidRPr="00D4650B">
                              <w:t xml:space="preserve">Treasury securities issuance </w:t>
                            </w:r>
                            <w:r>
                              <w:t xml:space="preserve">in </w:t>
                            </w:r>
                            <w:r w:rsidRPr="00D4650B">
                              <w:t xml:space="preserve">monetary policy </w:t>
                            </w:r>
                            <w:r>
                              <w:t>operations has abated –</w:t>
                            </w:r>
                            <w:r w:rsidRPr="00D4650B">
                              <w:t xml:space="preserve"> whilst</w:t>
                            </w:r>
                            <w:r>
                              <w:t xml:space="preserve"> </w:t>
                            </w:r>
                            <w:r w:rsidRPr="00D4650B">
                              <w:t xml:space="preserve">in FY12/13, GoU began issuing </w:t>
                            </w:r>
                            <w:r>
                              <w:t xml:space="preserve">Treasury </w:t>
                            </w:r>
                            <w:r w:rsidRPr="00D4650B">
                              <w:t xml:space="preserve">securities for fiscal policy purposes.  </w:t>
                            </w:r>
                          </w:p>
                          <w:p w:rsidR="001237DB" w:rsidRPr="00D4650B" w:rsidRDefault="001237DB" w:rsidP="00A46052">
                            <w:pPr>
                              <w:spacing w:after="120"/>
                              <w:jc w:val="both"/>
                            </w:pPr>
                            <w:r w:rsidRPr="00D4650B">
                              <w:t>With this background, GoU has adopted a new policy framework for DD, encompassing monetary policy, fiscal policy, cash management and debt management aspects. Net issuance is now conducted prima</w:t>
                            </w:r>
                            <w:r>
                              <w:t>rily for fiscal policy purposes.</w:t>
                            </w:r>
                            <w:r w:rsidRPr="00D4650B">
                              <w:t xml:space="preserve"> GoU is committed to fully-funding its domestic borrowing requirements through such issuance. Monetary policy operations are </w:t>
                            </w:r>
                            <w:r>
                              <w:t xml:space="preserve">now </w:t>
                            </w:r>
                            <w:r w:rsidRPr="00D4650B">
                              <w:t xml:space="preserve">conducted mainly through </w:t>
                            </w:r>
                            <w:r>
                              <w:t>repos and reverse repos, with the interest costs of any such operations met by BoU</w:t>
                            </w:r>
                            <w:r w:rsidRPr="00D4650B">
                              <w:t xml:space="preserve">. GoU is also moving towards conducting cash management </w:t>
                            </w:r>
                            <w:r>
                              <w:t>using the securities markets;</w:t>
                            </w:r>
                            <w:r w:rsidRPr="00D4650B">
                              <w:t xml:space="preserve"> </w:t>
                            </w:r>
                            <w:r>
                              <w:t>t</w:t>
                            </w:r>
                            <w:r w:rsidRPr="006D7908">
                              <w:t>he</w:t>
                            </w:r>
                            <w:r>
                              <w:t>se</w:t>
                            </w:r>
                            <w:r w:rsidRPr="006D7908">
                              <w:t xml:space="preserve"> reforms are aimed at ensuring that GoU always has sufficient cash available to meet its expenditure needs as they arise</w:t>
                            </w:r>
                            <w:r>
                              <w:t xml:space="preserve"> and</w:t>
                            </w:r>
                            <w:r w:rsidRPr="006D7908">
                              <w:t xml:space="preserve"> runs a posit</w:t>
                            </w:r>
                            <w:r>
                              <w:t xml:space="preserve">ive cash balance with the BoU, </w:t>
                            </w:r>
                            <w:r w:rsidRPr="00D4650B">
                              <w:t xml:space="preserve">with </w:t>
                            </w:r>
                            <w:r>
                              <w:t xml:space="preserve">any </w:t>
                            </w:r>
                            <w:r w:rsidRPr="00D4650B">
                              <w:t>temporary recourse to BoU advances being only in exceptional circumstances.</w:t>
                            </w:r>
                            <w:r>
                              <w:t xml:space="preserve"> </w:t>
                            </w:r>
                          </w:p>
                          <w:p w:rsidR="001237DB" w:rsidRDefault="001237DB" w:rsidP="00A46052">
                            <w:pPr>
                              <w:spacing w:after="120"/>
                              <w:jc w:val="both"/>
                            </w:pPr>
                            <w:r w:rsidRPr="00D4650B">
                              <w:t xml:space="preserve">Underpinning these changes in the use of DD, institutional changes are planned in the management of DD – with MoFPED taking on increasing strategic responsibility, and ultimately a Debt Management Office or Unit being set up. GoU has already undertaken and plans a variety of additional reforms to the </w:t>
                            </w:r>
                            <w:r>
                              <w:t xml:space="preserve">issuance and </w:t>
                            </w:r>
                            <w:r w:rsidRPr="00D4650B">
                              <w:t>management of DD. For example: an annual Treasury Bond issuance</w:t>
                            </w:r>
                            <w:r>
                              <w:t xml:space="preserve"> calendar</w:t>
                            </w:r>
                            <w:r w:rsidRPr="00D4650B">
                              <w:t xml:space="preserve"> was published for the first time for FY13/14; the yield curve was extended in December 2013 with the first issuance of a 15-year Bond; coupons rates are now market-determined; </w:t>
                            </w:r>
                            <w:r>
                              <w:t xml:space="preserve">a yield curve is now published daily on the BoU website; </w:t>
                            </w:r>
                            <w:r w:rsidRPr="00D4650B">
                              <w:t xml:space="preserve">and a new electronic Central Securities Depository system has been operationalised. Other reforms are planned, including the annual publication of a medium-term debt strategy and of a debt management report, </w:t>
                            </w:r>
                            <w:r>
                              <w:t>and</w:t>
                            </w:r>
                            <w:r w:rsidRPr="00D4650B">
                              <w:t xml:space="preserve"> other innovations </w:t>
                            </w:r>
                            <w:r>
                              <w:t xml:space="preserve">are </w:t>
                            </w:r>
                            <w:r w:rsidRPr="00D4650B">
                              <w:t>being considered, such as the implementation of a benchmark bond programme.</w:t>
                            </w:r>
                            <w:r>
                              <w:t xml:space="preserve"> </w:t>
                            </w:r>
                          </w:p>
                          <w:p w:rsidR="001237DB" w:rsidRPr="00257EF9" w:rsidRDefault="001237DB" w:rsidP="00A46052">
                            <w:pPr>
                              <w:rPr>
                                <w:i/>
                              </w:rPr>
                            </w:pPr>
                            <w:r w:rsidRPr="009256DF">
                              <w:rPr>
                                <w:i/>
                              </w:rPr>
                              <w:t>Sources: MoFPED, BoU, MoFPED (2013a) pg59.</w:t>
                            </w:r>
                          </w:p>
                          <w:p w:rsidR="001237DB" w:rsidRPr="00F10097" w:rsidRDefault="001237DB" w:rsidP="00A46052">
                            <w:pPr>
                              <w:spacing w:after="0"/>
                              <w:rPr>
                                <w:b/>
                                <w:highlight w:val="cyan"/>
                                <w:u w:val="single"/>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47.7pt;height:6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">
                <v:textbox>
                  <w:txbxContent>
                    <w:p w:rsidR="001237DB" w:rsidRPr="00D4650B" w:rsidRDefault="001237DB" w:rsidP="00A46052">
                      <w:pPr>
                        <w:spacing w:after="0"/>
                        <w:rPr>
                          <w:b/>
                          <w:u w:val="single"/>
                        </w:rPr>
                      </w:pPr>
                      <w:r w:rsidRPr="00D4650B">
                        <w:rPr>
                          <w:b/>
                          <w:u w:val="single"/>
                        </w:rPr>
                        <w:t>Box 1: Domestic Debt Reform in Uganda</w:t>
                      </w:r>
                    </w:p>
                    <w:p w:rsidR="001237DB" w:rsidRPr="00D4650B" w:rsidRDefault="001237DB" w:rsidP="00A46052">
                      <w:pPr>
                        <w:spacing w:after="120"/>
                        <w:jc w:val="both"/>
                      </w:pPr>
                      <w:r w:rsidRPr="00D4650B">
                        <w:t>Uganda has undertaken considerable reforms in the area of domestic debt (DD) in the recent past, and further reforms are planned. Up to June 2012 Treasury Bills and Bonds were issued only for monetary policy purposes – in particular, to help manage the structural liquidity surplus created by the excess of concessional inflows (grants and loans) over foreign currency government expenditures. The BoU was responsible for both securities issuance operations, and making broader DD management decisions.</w:t>
                      </w:r>
                    </w:p>
                    <w:p w:rsidR="001237DB" w:rsidRPr="00D4650B" w:rsidRDefault="001237DB" w:rsidP="00A46052">
                      <w:pPr>
                        <w:spacing w:after="120"/>
                        <w:jc w:val="both"/>
                      </w:pPr>
                      <w:r w:rsidRPr="00D4650B">
                        <w:t xml:space="preserve">Over time, the gap between concessional inflows and GoU’s foreign currency expenditures has narrowed – reducing the size of the structural liquidity surplus. Furthermore, from July 2011 BoU adopted a new monetary policy framework – inflation targeting ‘lite’ – under which the focus of monetary policy switched away from managing the money supply through Treasury securities issuance, to a focus on </w:t>
                      </w:r>
                      <w:r>
                        <w:t>targeting</w:t>
                      </w:r>
                      <w:r w:rsidRPr="00D4650B">
                        <w:t xml:space="preserve"> short-term (7-day) interbank money market rates through repo operations. As such, the need for </w:t>
                      </w:r>
                      <w:r>
                        <w:t xml:space="preserve">and role of </w:t>
                      </w:r>
                      <w:r w:rsidRPr="00D4650B">
                        <w:t xml:space="preserve">Treasury securities issuance </w:t>
                      </w:r>
                      <w:r>
                        <w:t xml:space="preserve">in </w:t>
                      </w:r>
                      <w:r w:rsidRPr="00D4650B">
                        <w:t xml:space="preserve">monetary policy </w:t>
                      </w:r>
                      <w:r>
                        <w:t>operations has abated –</w:t>
                      </w:r>
                      <w:r w:rsidRPr="00D4650B">
                        <w:t xml:space="preserve"> whilst</w:t>
                      </w:r>
                      <w:r>
                        <w:t xml:space="preserve"> </w:t>
                      </w:r>
                      <w:r w:rsidRPr="00D4650B">
                        <w:t xml:space="preserve">in FY12/13, GoU began issuing </w:t>
                      </w:r>
                      <w:r>
                        <w:t xml:space="preserve">Treasury </w:t>
                      </w:r>
                      <w:r w:rsidRPr="00D4650B">
                        <w:t xml:space="preserve">securities for fiscal policy purposes.  </w:t>
                      </w:r>
                    </w:p>
                    <w:p w:rsidR="001237DB" w:rsidRPr="00D4650B" w:rsidRDefault="001237DB" w:rsidP="00A46052">
                      <w:pPr>
                        <w:spacing w:after="120"/>
                        <w:jc w:val="both"/>
                      </w:pPr>
                      <w:r w:rsidRPr="00D4650B">
                        <w:t>With this background, GoU has adopted a new policy framework for DD, encompassing monetary policy, fiscal policy, cash management and debt management aspects. Net issuance is now conducted prima</w:t>
                      </w:r>
                      <w:r>
                        <w:t>rily for fiscal policy purposes.</w:t>
                      </w:r>
                      <w:r w:rsidRPr="00D4650B">
                        <w:t xml:space="preserve"> GoU is committed to fully-funding its domestic borrowing requirements through such issuance. Monetary policy operations are </w:t>
                      </w:r>
                      <w:r>
                        <w:t xml:space="preserve">now </w:t>
                      </w:r>
                      <w:r w:rsidRPr="00D4650B">
                        <w:t xml:space="preserve">conducted mainly through </w:t>
                      </w:r>
                      <w:r>
                        <w:t>repos and reverse repos, with the interest costs of any such operations met by BoU</w:t>
                      </w:r>
                      <w:r w:rsidRPr="00D4650B">
                        <w:t xml:space="preserve">. GoU is also moving towards conducting cash management </w:t>
                      </w:r>
                      <w:r>
                        <w:t>using the securities markets;</w:t>
                      </w:r>
                      <w:r w:rsidRPr="00D4650B">
                        <w:t xml:space="preserve"> </w:t>
                      </w:r>
                      <w:r>
                        <w:t>t</w:t>
                      </w:r>
                      <w:r w:rsidRPr="006D7908">
                        <w:t>he</w:t>
                      </w:r>
                      <w:r>
                        <w:t>se</w:t>
                      </w:r>
                      <w:r w:rsidRPr="006D7908">
                        <w:t xml:space="preserve"> reforms are aimed at ensuring that GoU always has sufficient cash available to meet its expenditure needs as they arise</w:t>
                      </w:r>
                      <w:r>
                        <w:t xml:space="preserve"> and</w:t>
                      </w:r>
                      <w:r w:rsidRPr="006D7908">
                        <w:t xml:space="preserve"> runs a posit</w:t>
                      </w:r>
                      <w:r>
                        <w:t xml:space="preserve">ive cash balance with the BoU, </w:t>
                      </w:r>
                      <w:r w:rsidRPr="00D4650B">
                        <w:t xml:space="preserve">with </w:t>
                      </w:r>
                      <w:r>
                        <w:t xml:space="preserve">any </w:t>
                      </w:r>
                      <w:r w:rsidRPr="00D4650B">
                        <w:t>temporary recourse to BoU advances being only in exceptional circumstances.</w:t>
                      </w:r>
                      <w:r>
                        <w:t xml:space="preserve"> </w:t>
                      </w:r>
                    </w:p>
                    <w:p w:rsidR="001237DB" w:rsidRDefault="001237DB" w:rsidP="00A46052">
                      <w:pPr>
                        <w:spacing w:after="120"/>
                        <w:jc w:val="both"/>
                      </w:pPr>
                      <w:r w:rsidRPr="00D4650B">
                        <w:t xml:space="preserve">Underpinning these changes in the use of DD, institutional changes are planned in the management of DD – with MoFPED taking on increasing strategic responsibility, and ultimately a Debt Management Office or Unit being set up. GoU has already undertaken and plans a variety of additional reforms to the </w:t>
                      </w:r>
                      <w:r>
                        <w:t xml:space="preserve">issuance and </w:t>
                      </w:r>
                      <w:r w:rsidRPr="00D4650B">
                        <w:t>management of DD. For example: an annual Treasury Bond issuance</w:t>
                      </w:r>
                      <w:r>
                        <w:t xml:space="preserve"> calendar</w:t>
                      </w:r>
                      <w:r w:rsidRPr="00D4650B">
                        <w:t xml:space="preserve"> was published for the first time for FY13/14; the yield curve was extended in December 2013 with the first issuance of a 15-year Bond; coupons rates are now market-determined; </w:t>
                      </w:r>
                      <w:r>
                        <w:t xml:space="preserve">a yield curve is now published daily on the BoU website; </w:t>
                      </w:r>
                      <w:r w:rsidRPr="00D4650B">
                        <w:t xml:space="preserve">and a new electronic Central Securities Depository system has been operationalised. Other reforms are planned, including the annual publication of a medium-term debt strategy and of a debt management report, </w:t>
                      </w:r>
                      <w:r>
                        <w:t>and</w:t>
                      </w:r>
                      <w:r w:rsidRPr="00D4650B">
                        <w:t xml:space="preserve"> other innovations </w:t>
                      </w:r>
                      <w:r>
                        <w:t xml:space="preserve">are </w:t>
                      </w:r>
                      <w:r w:rsidRPr="00D4650B">
                        <w:t>being considered, such as the implementation of a benchmark bond programme.</w:t>
                      </w:r>
                      <w:r>
                        <w:t xml:space="preserve"> </w:t>
                      </w:r>
                    </w:p>
                    <w:p w:rsidR="001237DB" w:rsidRPr="00257EF9" w:rsidRDefault="001237DB" w:rsidP="00A46052">
                      <w:pPr>
                        <w:rPr>
                          <w:i/>
                        </w:rPr>
                      </w:pPr>
                      <w:r w:rsidRPr="009256DF">
                        <w:rPr>
                          <w:i/>
                        </w:rPr>
                        <w:t>Sources: MoFPED, BoU, MoFPED (2013a) pg59.</w:t>
                      </w:r>
                    </w:p>
                    <w:p w:rsidR="001237DB" w:rsidRPr="00F10097" w:rsidRDefault="001237DB" w:rsidP="00A46052">
                      <w:pPr>
                        <w:spacing w:after="0"/>
                        <w:rPr>
                          <w:b/>
                          <w:highlight w:val="cyan"/>
                          <w:u w:val="single"/>
                        </w:rPr>
                      </w:pPr>
                    </w:p>
                  </w:txbxContent>
                </v:textbox>
                <w10:anchorlock/>
              </v:shape>
            </w:pict>
          </mc:Fallback>
        </mc:AlternateContent>
      </w:r>
      <w:r w:rsidRPr="00523556">
        <w:rPr>
          <w:rFonts w:ascii="Times New Roman" w:hAnsi="Times New Roman" w:cs="Times New Roman"/>
        </w:rPr>
        <w:lastRenderedPageBreak/>
        <w:t>around 12½</w:t>
      </w:r>
      <w:r w:rsidR="00E557B8" w:rsidRPr="00523556">
        <w:rPr>
          <w:rFonts w:ascii="Times New Roman" w:hAnsi="Times New Roman" w:cs="Times New Roman"/>
        </w:rPr>
        <w:t xml:space="preserve"> per cent</w:t>
      </w:r>
      <w:r w:rsidRPr="00523556">
        <w:rPr>
          <w:rFonts w:ascii="Times New Roman" w:hAnsi="Times New Roman" w:cs="Times New Roman"/>
        </w:rPr>
        <w:t xml:space="preserve"> is a little under the average for the whole 15-year period of around 13¼</w:t>
      </w:r>
      <w:r w:rsidR="00E557B8" w:rsidRPr="00523556">
        <w:rPr>
          <w:rFonts w:ascii="Times New Roman" w:hAnsi="Times New Roman" w:cs="Times New Roman"/>
        </w:rPr>
        <w:t xml:space="preserve"> per cent</w:t>
      </w:r>
      <w:r w:rsidRPr="00523556">
        <w:rPr>
          <w:rFonts w:ascii="Times New Roman" w:hAnsi="Times New Roman" w:cs="Times New Roman"/>
        </w:rPr>
        <w:t>. The extent to which increased reliance on DD issuance may impact on yields is discussed below.</w:t>
      </w:r>
    </w:p>
    <w:p w:rsidR="002C75DB" w:rsidRPr="00523556" w:rsidRDefault="002C75DB" w:rsidP="00677D08">
      <w:pPr>
        <w:pStyle w:val="Figheader"/>
        <w:ind w:left="709" w:firstLine="11"/>
        <w:rPr>
          <w:rFonts w:ascii="Times New Roman" w:hAnsi="Times New Roman" w:cs="Times New Roman"/>
        </w:rPr>
      </w:pPr>
      <w:r w:rsidRPr="00523556">
        <w:rPr>
          <w:rFonts w:ascii="Times New Roman" w:hAnsi="Times New Roman" w:cs="Times New Roman"/>
        </w:rPr>
        <w:t>Fig</w:t>
      </w:r>
      <w:r w:rsidR="00EB0FA2" w:rsidRPr="00523556">
        <w:rPr>
          <w:rFonts w:ascii="Times New Roman" w:hAnsi="Times New Roman" w:cs="Times New Roman"/>
        </w:rPr>
        <w:t>ures</w:t>
      </w:r>
      <w:r w:rsidRPr="00523556">
        <w:rPr>
          <w:rFonts w:ascii="Times New Roman" w:hAnsi="Times New Roman" w:cs="Times New Roman"/>
        </w:rPr>
        <w:t xml:space="preserve"> </w:t>
      </w:r>
      <w:r w:rsidR="00EB0FA2" w:rsidRPr="00523556">
        <w:rPr>
          <w:rFonts w:ascii="Times New Roman" w:hAnsi="Times New Roman" w:cs="Times New Roman"/>
        </w:rPr>
        <w:t>2.5A and B</w:t>
      </w:r>
      <w:r w:rsidRPr="00523556">
        <w:rPr>
          <w:rFonts w:ascii="Times New Roman" w:hAnsi="Times New Roman" w:cs="Times New Roman"/>
        </w:rPr>
        <w:t xml:space="preserve">: </w:t>
      </w:r>
      <w:r w:rsidR="00677D08" w:rsidRPr="00523556">
        <w:rPr>
          <w:rFonts w:ascii="Times New Roman" w:hAnsi="Times New Roman" w:cs="Times New Roman"/>
        </w:rPr>
        <w:t xml:space="preserve">Treasury securities yield curve </w:t>
      </w:r>
      <w:r w:rsidR="00EB0FA2" w:rsidRPr="00523556">
        <w:rPr>
          <w:rFonts w:ascii="Times New Roman" w:hAnsi="Times New Roman" w:cs="Times New Roman"/>
        </w:rPr>
        <w:t>(2.5A)</w:t>
      </w:r>
      <w:r w:rsidR="00677D08" w:rsidRPr="00523556">
        <w:rPr>
          <w:rFonts w:ascii="Times New Roman" w:hAnsi="Times New Roman" w:cs="Times New Roman"/>
        </w:rPr>
        <w:t>, and h</w:t>
      </w:r>
      <w:r w:rsidRPr="00523556">
        <w:rPr>
          <w:rFonts w:ascii="Times New Roman" w:hAnsi="Times New Roman" w:cs="Times New Roman"/>
        </w:rPr>
        <w:t xml:space="preserve">istorical 364-day </w:t>
      </w:r>
      <w:r w:rsidR="00677D08" w:rsidRPr="00523556">
        <w:rPr>
          <w:rFonts w:ascii="Times New Roman" w:hAnsi="Times New Roman" w:cs="Times New Roman"/>
        </w:rPr>
        <w:t xml:space="preserve">Treasury </w:t>
      </w:r>
      <w:r w:rsidRPr="00523556">
        <w:rPr>
          <w:rFonts w:ascii="Times New Roman" w:hAnsi="Times New Roman" w:cs="Times New Roman"/>
        </w:rPr>
        <w:t xml:space="preserve">Bill yield </w:t>
      </w:r>
      <w:r w:rsidR="00EB0FA2" w:rsidRPr="00523556">
        <w:rPr>
          <w:rFonts w:ascii="Times New Roman" w:hAnsi="Times New Roman" w:cs="Times New Roman"/>
        </w:rPr>
        <w:t>(2.5B)</w:t>
      </w:r>
    </w:p>
    <w:p w:rsidR="005C7BA3" w:rsidRPr="00523556" w:rsidRDefault="00E55C59" w:rsidP="005C7BA3">
      <w:pPr>
        <w:rPr>
          <w:rFonts w:ascii="Times New Roman" w:hAnsi="Times New Roman" w:cs="Times New Roman"/>
          <w:highlight w:val="yellow"/>
        </w:rPr>
      </w:pPr>
      <w:r w:rsidRPr="00523556">
        <w:rPr>
          <w:rFonts w:ascii="Times New Roman" w:hAnsi="Times New Roman" w:cs="Times New Roman"/>
          <w:noProof/>
          <w:lang w:eastAsia="en-GB"/>
        </w:rPr>
        <w:drawing>
          <wp:inline distT="0" distB="0" distL="0" distR="0">
            <wp:extent cx="2691522" cy="24384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2695524" cy="2442026"/>
                    </a:xfrm>
                    <a:prstGeom prst="rect">
                      <a:avLst/>
                    </a:prstGeom>
                    <a:noFill/>
                    <a:ln w="9525">
                      <a:noFill/>
                      <a:miter lim="800000"/>
                      <a:headEnd/>
                      <a:tailEnd/>
                    </a:ln>
                  </pic:spPr>
                </pic:pic>
              </a:graphicData>
            </a:graphic>
          </wp:inline>
        </w:drawing>
      </w:r>
      <w:r w:rsidR="005C7BA3" w:rsidRPr="00523556">
        <w:rPr>
          <w:rFonts w:ascii="Times New Roman" w:hAnsi="Times New Roman" w:cs="Times New Roman"/>
          <w:noProof/>
          <w:lang w:eastAsia="en-GB"/>
        </w:rPr>
        <w:drawing>
          <wp:inline distT="0" distB="0" distL="0" distR="0">
            <wp:extent cx="2873006" cy="2435435"/>
            <wp:effectExtent l="19050" t="0" r="354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8885" cy="2440419"/>
                    </a:xfrm>
                    <a:prstGeom prst="rect">
                      <a:avLst/>
                    </a:prstGeom>
                    <a:noFill/>
                    <a:ln>
                      <a:noFill/>
                    </a:ln>
                  </pic:spPr>
                </pic:pic>
              </a:graphicData>
            </a:graphic>
          </wp:inline>
        </w:drawing>
      </w:r>
      <w:r w:rsidR="00677D08" w:rsidRPr="00523556">
        <w:rPr>
          <w:rFonts w:ascii="Times New Roman" w:hAnsi="Times New Roman" w:cs="Times New Roman"/>
          <w:highlight w:val="yellow"/>
        </w:rPr>
        <w:t xml:space="preserve"> </w:t>
      </w:r>
    </w:p>
    <w:p w:rsidR="00354C90" w:rsidRPr="00523556" w:rsidRDefault="00354C90" w:rsidP="00562A63">
      <w:pPr>
        <w:pStyle w:val="Heading4"/>
        <w:jc w:val="both"/>
        <w:rPr>
          <w:rFonts w:ascii="Times New Roman" w:hAnsi="Times New Roman" w:cs="Times New Roman"/>
        </w:rPr>
      </w:pPr>
      <w:r w:rsidRPr="00523556">
        <w:rPr>
          <w:rFonts w:ascii="Times New Roman" w:hAnsi="Times New Roman" w:cs="Times New Roman"/>
        </w:rPr>
        <w:t>Debt management risks</w:t>
      </w:r>
    </w:p>
    <w:p w:rsidR="00FB4D20" w:rsidRPr="00523556" w:rsidRDefault="009A0580" w:rsidP="00562A63">
      <w:pPr>
        <w:jc w:val="both"/>
        <w:rPr>
          <w:rFonts w:ascii="Times New Roman" w:hAnsi="Times New Roman" w:cs="Times New Roman"/>
        </w:rPr>
      </w:pPr>
      <w:r w:rsidRPr="00523556">
        <w:rPr>
          <w:rFonts w:ascii="Times New Roman" w:hAnsi="Times New Roman" w:cs="Times New Roman"/>
        </w:rPr>
        <w:t xml:space="preserve">Uganda has done much </w:t>
      </w:r>
      <w:r w:rsidR="000113DD" w:rsidRPr="00523556">
        <w:rPr>
          <w:rFonts w:ascii="Times New Roman" w:hAnsi="Times New Roman" w:cs="Times New Roman"/>
        </w:rPr>
        <w:t xml:space="preserve">over the past few years </w:t>
      </w:r>
      <w:r w:rsidRPr="00523556">
        <w:rPr>
          <w:rFonts w:ascii="Times New Roman" w:hAnsi="Times New Roman" w:cs="Times New Roman"/>
        </w:rPr>
        <w:t xml:space="preserve">to decrease </w:t>
      </w:r>
      <w:r w:rsidR="000113DD" w:rsidRPr="00523556">
        <w:rPr>
          <w:rFonts w:ascii="Times New Roman" w:hAnsi="Times New Roman" w:cs="Times New Roman"/>
        </w:rPr>
        <w:t xml:space="preserve">the </w:t>
      </w:r>
      <w:r w:rsidRPr="00523556">
        <w:rPr>
          <w:rFonts w:ascii="Times New Roman" w:hAnsi="Times New Roman" w:cs="Times New Roman"/>
        </w:rPr>
        <w:t>refinancing risk</w:t>
      </w:r>
      <w:r w:rsidR="000113DD" w:rsidRPr="00523556">
        <w:rPr>
          <w:rFonts w:ascii="Times New Roman" w:hAnsi="Times New Roman" w:cs="Times New Roman"/>
        </w:rPr>
        <w:t xml:space="preserve"> associated with its </w:t>
      </w:r>
      <w:r w:rsidR="001C36FA" w:rsidRPr="00523556">
        <w:rPr>
          <w:rFonts w:ascii="Times New Roman" w:hAnsi="Times New Roman" w:cs="Times New Roman"/>
        </w:rPr>
        <w:t>DD</w:t>
      </w:r>
      <w:r w:rsidR="000113DD" w:rsidRPr="00523556">
        <w:rPr>
          <w:rFonts w:ascii="Times New Roman" w:hAnsi="Times New Roman" w:cs="Times New Roman"/>
        </w:rPr>
        <w:t xml:space="preserve"> stock</w:t>
      </w:r>
      <w:r w:rsidR="00916D60" w:rsidRPr="00523556">
        <w:rPr>
          <w:rFonts w:ascii="Times New Roman" w:hAnsi="Times New Roman" w:cs="Times New Roman"/>
        </w:rPr>
        <w:t xml:space="preserve"> –</w:t>
      </w:r>
      <w:r w:rsidR="009913D1" w:rsidRPr="00523556">
        <w:rPr>
          <w:rFonts w:ascii="Times New Roman" w:hAnsi="Times New Roman" w:cs="Times New Roman"/>
        </w:rPr>
        <w:t xml:space="preserve"> although</w:t>
      </w:r>
      <w:r w:rsidR="00916D60" w:rsidRPr="00523556">
        <w:rPr>
          <w:rFonts w:ascii="Times New Roman" w:hAnsi="Times New Roman" w:cs="Times New Roman"/>
        </w:rPr>
        <w:t xml:space="preserve"> </w:t>
      </w:r>
      <w:r w:rsidR="009913D1" w:rsidRPr="00523556">
        <w:rPr>
          <w:rFonts w:ascii="Times New Roman" w:hAnsi="Times New Roman" w:cs="Times New Roman"/>
        </w:rPr>
        <w:t>risk indicators signal a continued need for further improvement.</w:t>
      </w:r>
      <w:r w:rsidR="00916D60" w:rsidRPr="00523556">
        <w:rPr>
          <w:rFonts w:ascii="Times New Roman" w:hAnsi="Times New Roman" w:cs="Times New Roman"/>
        </w:rPr>
        <w:t xml:space="preserve"> For example t</w:t>
      </w:r>
      <w:r w:rsidRPr="00523556">
        <w:rPr>
          <w:rFonts w:ascii="Times New Roman" w:hAnsi="Times New Roman" w:cs="Times New Roman"/>
        </w:rPr>
        <w:t xml:space="preserve">he proportion of the </w:t>
      </w:r>
      <w:r w:rsidR="001C36FA" w:rsidRPr="00523556">
        <w:rPr>
          <w:rFonts w:ascii="Times New Roman" w:hAnsi="Times New Roman" w:cs="Times New Roman"/>
        </w:rPr>
        <w:t>DD</w:t>
      </w:r>
      <w:r w:rsidRPr="00523556">
        <w:rPr>
          <w:rFonts w:ascii="Times New Roman" w:hAnsi="Times New Roman" w:cs="Times New Roman"/>
        </w:rPr>
        <w:t xml:space="preserve"> stock due to mature within one year has fallen from 80</w:t>
      </w:r>
      <w:r w:rsidR="00E557B8" w:rsidRPr="00523556">
        <w:rPr>
          <w:rFonts w:ascii="Times New Roman" w:hAnsi="Times New Roman" w:cs="Times New Roman"/>
        </w:rPr>
        <w:t xml:space="preserve"> per cent</w:t>
      </w:r>
      <w:r w:rsidRPr="00523556">
        <w:rPr>
          <w:rFonts w:ascii="Times New Roman" w:hAnsi="Times New Roman" w:cs="Times New Roman"/>
        </w:rPr>
        <w:t xml:space="preserve"> at the end of FY06/07</w:t>
      </w:r>
      <w:r w:rsidRPr="00523556">
        <w:rPr>
          <w:rStyle w:val="FootnoteReference"/>
          <w:rFonts w:ascii="Times New Roman" w:hAnsi="Times New Roman" w:cs="Times New Roman"/>
        </w:rPr>
        <w:footnoteReference w:id="22"/>
      </w:r>
      <w:r w:rsidRPr="00523556">
        <w:rPr>
          <w:rFonts w:ascii="Times New Roman" w:hAnsi="Times New Roman" w:cs="Times New Roman"/>
        </w:rPr>
        <w:t xml:space="preserve"> to 55</w:t>
      </w:r>
      <w:r w:rsidR="00E557B8" w:rsidRPr="00523556">
        <w:rPr>
          <w:rFonts w:ascii="Times New Roman" w:hAnsi="Times New Roman" w:cs="Times New Roman"/>
        </w:rPr>
        <w:t xml:space="preserve"> per cent</w:t>
      </w:r>
      <w:r w:rsidRPr="00523556">
        <w:rPr>
          <w:rFonts w:ascii="Times New Roman" w:hAnsi="Times New Roman" w:cs="Times New Roman"/>
        </w:rPr>
        <w:t xml:space="preserve"> as of end-FY12/13</w:t>
      </w:r>
      <w:r w:rsidR="00916D60" w:rsidRPr="00523556">
        <w:rPr>
          <w:rFonts w:ascii="Times New Roman" w:hAnsi="Times New Roman" w:cs="Times New Roman"/>
        </w:rPr>
        <w:t xml:space="preserve">; this is a substantial reduction, although </w:t>
      </w:r>
      <w:r w:rsidR="0019073E" w:rsidRPr="00523556">
        <w:rPr>
          <w:rFonts w:ascii="Times New Roman" w:hAnsi="Times New Roman" w:cs="Times New Roman"/>
        </w:rPr>
        <w:t xml:space="preserve">the proportion </w:t>
      </w:r>
      <w:r w:rsidR="00916D60" w:rsidRPr="00523556">
        <w:rPr>
          <w:rFonts w:ascii="Times New Roman" w:hAnsi="Times New Roman" w:cs="Times New Roman"/>
        </w:rPr>
        <w:t xml:space="preserve">remains above the average for a sample of twelve LICs set out in IMF and WB (2012) </w:t>
      </w:r>
      <w:r w:rsidR="0019073E" w:rsidRPr="00523556">
        <w:rPr>
          <w:rFonts w:ascii="Times New Roman" w:hAnsi="Times New Roman" w:cs="Times New Roman"/>
        </w:rPr>
        <w:t>of 45</w:t>
      </w:r>
      <w:r w:rsidR="00E557B8" w:rsidRPr="00523556">
        <w:rPr>
          <w:rFonts w:ascii="Times New Roman" w:hAnsi="Times New Roman" w:cs="Times New Roman"/>
        </w:rPr>
        <w:t xml:space="preserve"> per cent</w:t>
      </w:r>
      <w:r w:rsidR="0019073E" w:rsidRPr="00523556">
        <w:rPr>
          <w:rStyle w:val="FootnoteReference"/>
          <w:rFonts w:ascii="Times New Roman" w:hAnsi="Times New Roman" w:cs="Times New Roman"/>
        </w:rPr>
        <w:footnoteReference w:id="23"/>
      </w:r>
      <w:r w:rsidR="0019073E" w:rsidRPr="00523556">
        <w:rPr>
          <w:rFonts w:ascii="Times New Roman" w:hAnsi="Times New Roman" w:cs="Times New Roman"/>
        </w:rPr>
        <w:t xml:space="preserve"> </w:t>
      </w:r>
      <w:r w:rsidR="00916D60" w:rsidRPr="00523556">
        <w:rPr>
          <w:rFonts w:ascii="Times New Roman" w:hAnsi="Times New Roman" w:cs="Times New Roman"/>
        </w:rPr>
        <w:t>(and far above the 1.3</w:t>
      </w:r>
      <w:r w:rsidR="00E557B8" w:rsidRPr="00523556">
        <w:rPr>
          <w:rFonts w:ascii="Times New Roman" w:hAnsi="Times New Roman" w:cs="Times New Roman"/>
        </w:rPr>
        <w:t xml:space="preserve"> per cent</w:t>
      </w:r>
      <w:r w:rsidR="00916D60" w:rsidRPr="00523556">
        <w:rPr>
          <w:rFonts w:ascii="Times New Roman" w:hAnsi="Times New Roman" w:cs="Times New Roman"/>
        </w:rPr>
        <w:t xml:space="preserve"> for Uganda’s external debt stock)</w:t>
      </w:r>
      <w:r w:rsidRPr="00523556">
        <w:rPr>
          <w:rFonts w:ascii="Times New Roman" w:hAnsi="Times New Roman" w:cs="Times New Roman"/>
        </w:rPr>
        <w:t xml:space="preserve">. Under </w:t>
      </w:r>
      <w:r w:rsidR="006A6F8F" w:rsidRPr="00523556">
        <w:rPr>
          <w:rFonts w:ascii="Times New Roman" w:hAnsi="Times New Roman" w:cs="Times New Roman"/>
        </w:rPr>
        <w:t xml:space="preserve">Uganda’s </w:t>
      </w:r>
      <w:r w:rsidR="000113DD" w:rsidRPr="00523556">
        <w:rPr>
          <w:rFonts w:ascii="Times New Roman" w:hAnsi="Times New Roman" w:cs="Times New Roman"/>
        </w:rPr>
        <w:t xml:space="preserve">draft </w:t>
      </w:r>
      <w:r w:rsidR="006A6F8F" w:rsidRPr="00523556">
        <w:rPr>
          <w:rFonts w:ascii="Times New Roman" w:hAnsi="Times New Roman" w:cs="Times New Roman"/>
        </w:rPr>
        <w:t xml:space="preserve">new </w:t>
      </w:r>
      <w:r w:rsidRPr="00523556">
        <w:rPr>
          <w:rFonts w:ascii="Times New Roman" w:hAnsi="Times New Roman" w:cs="Times New Roman"/>
          <w:i/>
        </w:rPr>
        <w:t>P</w:t>
      </w:r>
      <w:r w:rsidR="000113DD" w:rsidRPr="00523556">
        <w:rPr>
          <w:rFonts w:ascii="Times New Roman" w:hAnsi="Times New Roman" w:cs="Times New Roman"/>
          <w:i/>
        </w:rPr>
        <w:t xml:space="preserve">ublic </w:t>
      </w:r>
      <w:r w:rsidRPr="00523556">
        <w:rPr>
          <w:rFonts w:ascii="Times New Roman" w:hAnsi="Times New Roman" w:cs="Times New Roman"/>
          <w:i/>
        </w:rPr>
        <w:t>D</w:t>
      </w:r>
      <w:r w:rsidR="000113DD" w:rsidRPr="00523556">
        <w:rPr>
          <w:rFonts w:ascii="Times New Roman" w:hAnsi="Times New Roman" w:cs="Times New Roman"/>
          <w:i/>
        </w:rPr>
        <w:t xml:space="preserve">ebt </w:t>
      </w:r>
      <w:r w:rsidR="006A6F8F" w:rsidRPr="00523556">
        <w:rPr>
          <w:rFonts w:ascii="Times New Roman" w:hAnsi="Times New Roman" w:cs="Times New Roman"/>
          <w:i/>
        </w:rPr>
        <w:t>Policy Framework</w:t>
      </w:r>
      <w:r w:rsidRPr="00523556">
        <w:rPr>
          <w:rFonts w:ascii="Times New Roman" w:hAnsi="Times New Roman" w:cs="Times New Roman"/>
        </w:rPr>
        <w:t xml:space="preserve"> </w:t>
      </w:r>
      <w:r w:rsidR="000113DD" w:rsidRPr="00523556">
        <w:rPr>
          <w:rFonts w:ascii="Times New Roman" w:hAnsi="Times New Roman" w:cs="Times New Roman"/>
        </w:rPr>
        <w:t>(PD</w:t>
      </w:r>
      <w:r w:rsidR="006A6F8F" w:rsidRPr="00523556">
        <w:rPr>
          <w:rFonts w:ascii="Times New Roman" w:hAnsi="Times New Roman" w:cs="Times New Roman"/>
        </w:rPr>
        <w:t>PF</w:t>
      </w:r>
      <w:r w:rsidR="000113DD" w:rsidRPr="00523556">
        <w:rPr>
          <w:rFonts w:ascii="Times New Roman" w:hAnsi="Times New Roman" w:cs="Times New Roman"/>
        </w:rPr>
        <w:t xml:space="preserve">) </w:t>
      </w:r>
      <w:r w:rsidRPr="00523556">
        <w:rPr>
          <w:rFonts w:ascii="Times New Roman" w:hAnsi="Times New Roman" w:cs="Times New Roman"/>
        </w:rPr>
        <w:t xml:space="preserve">GoU </w:t>
      </w:r>
      <w:r w:rsidR="009B69D9" w:rsidRPr="00523556">
        <w:rPr>
          <w:rFonts w:ascii="Times New Roman" w:hAnsi="Times New Roman" w:cs="Times New Roman"/>
        </w:rPr>
        <w:t xml:space="preserve">plans to </w:t>
      </w:r>
      <w:r w:rsidRPr="00523556">
        <w:rPr>
          <w:rFonts w:ascii="Times New Roman" w:hAnsi="Times New Roman" w:cs="Times New Roman"/>
        </w:rPr>
        <w:t xml:space="preserve">continue </w:t>
      </w:r>
      <w:r w:rsidR="009B69D9" w:rsidRPr="00523556">
        <w:rPr>
          <w:rFonts w:ascii="Times New Roman" w:hAnsi="Times New Roman" w:cs="Times New Roman"/>
        </w:rPr>
        <w:t>this trend</w:t>
      </w:r>
      <w:r w:rsidRPr="00523556">
        <w:rPr>
          <w:rFonts w:ascii="Times New Roman" w:hAnsi="Times New Roman" w:cs="Times New Roman"/>
        </w:rPr>
        <w:t xml:space="preserve">, by structuring securities issuance so as to </w:t>
      </w:r>
      <w:r w:rsidR="009B69D9" w:rsidRPr="00523556">
        <w:rPr>
          <w:rFonts w:ascii="Times New Roman" w:hAnsi="Times New Roman" w:cs="Times New Roman"/>
        </w:rPr>
        <w:t xml:space="preserve">reduce the proportion of the debt stock maturing </w:t>
      </w:r>
      <w:r w:rsidR="000113DD" w:rsidRPr="00523556">
        <w:rPr>
          <w:rFonts w:ascii="Times New Roman" w:hAnsi="Times New Roman" w:cs="Times New Roman"/>
        </w:rPr>
        <w:t xml:space="preserve">within a year </w:t>
      </w:r>
      <w:r w:rsidR="009B69D9" w:rsidRPr="00523556">
        <w:rPr>
          <w:rFonts w:ascii="Times New Roman" w:hAnsi="Times New Roman" w:cs="Times New Roman"/>
        </w:rPr>
        <w:t xml:space="preserve">and to </w:t>
      </w:r>
      <w:r w:rsidRPr="00523556">
        <w:rPr>
          <w:rFonts w:ascii="Times New Roman" w:hAnsi="Times New Roman" w:cs="Times New Roman"/>
        </w:rPr>
        <w:t xml:space="preserve">lengthen the average time to maturity </w:t>
      </w:r>
      <w:r w:rsidR="009B69D9" w:rsidRPr="00523556">
        <w:rPr>
          <w:rFonts w:ascii="Times New Roman" w:hAnsi="Times New Roman" w:cs="Times New Roman"/>
        </w:rPr>
        <w:t>– which will be supported by extend</w:t>
      </w:r>
      <w:r w:rsidR="000113DD" w:rsidRPr="00523556">
        <w:rPr>
          <w:rFonts w:ascii="Times New Roman" w:hAnsi="Times New Roman" w:cs="Times New Roman"/>
        </w:rPr>
        <w:t>ing</w:t>
      </w:r>
      <w:r w:rsidR="009B69D9" w:rsidRPr="00523556">
        <w:rPr>
          <w:rFonts w:ascii="Times New Roman" w:hAnsi="Times New Roman" w:cs="Times New Roman"/>
        </w:rPr>
        <w:t xml:space="preserve"> the yield curve, initially through the </w:t>
      </w:r>
      <w:r w:rsidR="000113DD" w:rsidRPr="00523556">
        <w:rPr>
          <w:rFonts w:ascii="Times New Roman" w:hAnsi="Times New Roman" w:cs="Times New Roman"/>
        </w:rPr>
        <w:t xml:space="preserve">recent </w:t>
      </w:r>
      <w:r w:rsidR="009B69D9" w:rsidRPr="00523556">
        <w:rPr>
          <w:rFonts w:ascii="Times New Roman" w:hAnsi="Times New Roman" w:cs="Times New Roman"/>
        </w:rPr>
        <w:t>introduction of a 15-year Treasury Bond.</w:t>
      </w:r>
      <w:r w:rsidR="00FB4D20" w:rsidRPr="00523556">
        <w:rPr>
          <w:rFonts w:ascii="Times New Roman" w:hAnsi="Times New Roman" w:cs="Times New Roman"/>
        </w:rPr>
        <w:t xml:space="preserve"> </w:t>
      </w:r>
      <w:r w:rsidR="009B69D9" w:rsidRPr="00523556">
        <w:rPr>
          <w:rFonts w:ascii="Times New Roman" w:hAnsi="Times New Roman" w:cs="Times New Roman"/>
        </w:rPr>
        <w:t xml:space="preserve">Interest rate risk has been minimised by issuing only fixed-coupon </w:t>
      </w:r>
      <w:r w:rsidR="00042AA8" w:rsidRPr="00523556">
        <w:rPr>
          <w:rFonts w:ascii="Times New Roman" w:hAnsi="Times New Roman" w:cs="Times New Roman"/>
        </w:rPr>
        <w:t>securities</w:t>
      </w:r>
      <w:r w:rsidR="009B69D9" w:rsidRPr="00523556">
        <w:rPr>
          <w:rFonts w:ascii="Times New Roman" w:hAnsi="Times New Roman" w:cs="Times New Roman"/>
        </w:rPr>
        <w:t>.</w:t>
      </w:r>
      <w:r w:rsidR="009B69D9" w:rsidRPr="00523556">
        <w:rPr>
          <w:rStyle w:val="FootnoteReference"/>
          <w:rFonts w:ascii="Times New Roman" w:hAnsi="Times New Roman" w:cs="Times New Roman"/>
        </w:rPr>
        <w:footnoteReference w:id="24"/>
      </w:r>
    </w:p>
    <w:p w:rsidR="00293777" w:rsidRPr="00523556" w:rsidRDefault="00293777" w:rsidP="00562A63">
      <w:pPr>
        <w:jc w:val="both"/>
        <w:rPr>
          <w:rFonts w:ascii="Times New Roman" w:hAnsi="Times New Roman" w:cs="Times New Roman"/>
        </w:rPr>
      </w:pPr>
    </w:p>
    <w:p w:rsidR="00293777" w:rsidRPr="00523556" w:rsidRDefault="00293777" w:rsidP="00293777">
      <w:pPr>
        <w:rPr>
          <w:rFonts w:ascii="Times New Roman" w:hAnsi="Times New Roman" w:cs="Times New Roman"/>
        </w:rPr>
      </w:pPr>
    </w:p>
    <w:p w:rsidR="00354C90" w:rsidRPr="00523556" w:rsidRDefault="00354C90" w:rsidP="00354C90">
      <w:pPr>
        <w:pStyle w:val="Heading4"/>
        <w:rPr>
          <w:rFonts w:ascii="Times New Roman" w:hAnsi="Times New Roman" w:cs="Times New Roman"/>
        </w:rPr>
      </w:pPr>
      <w:r w:rsidRPr="00523556">
        <w:rPr>
          <w:rFonts w:ascii="Times New Roman" w:hAnsi="Times New Roman" w:cs="Times New Roman"/>
        </w:rPr>
        <w:t>Broader considerations</w:t>
      </w:r>
      <w:r w:rsidR="00477135" w:rsidRPr="00523556">
        <w:rPr>
          <w:rFonts w:ascii="Times New Roman" w:hAnsi="Times New Roman" w:cs="Times New Roman"/>
        </w:rPr>
        <w:t>: crowding out, and economic growth</w:t>
      </w:r>
    </w:p>
    <w:p w:rsidR="00B93582" w:rsidRPr="00523556" w:rsidRDefault="00C44190" w:rsidP="000D4CC3">
      <w:pPr>
        <w:jc w:val="both"/>
        <w:rPr>
          <w:rFonts w:ascii="Times New Roman" w:hAnsi="Times New Roman" w:cs="Times New Roman"/>
        </w:rPr>
      </w:pPr>
      <w:r w:rsidRPr="00523556">
        <w:rPr>
          <w:rFonts w:ascii="Times New Roman" w:hAnsi="Times New Roman" w:cs="Times New Roman"/>
        </w:rPr>
        <w:lastRenderedPageBreak/>
        <w:t xml:space="preserve">These </w:t>
      </w:r>
      <w:r w:rsidR="00F5035C" w:rsidRPr="00523556">
        <w:rPr>
          <w:rFonts w:ascii="Times New Roman" w:hAnsi="Times New Roman" w:cs="Times New Roman"/>
        </w:rPr>
        <w:t xml:space="preserve">cost and risk </w:t>
      </w:r>
      <w:r w:rsidRPr="00523556">
        <w:rPr>
          <w:rFonts w:ascii="Times New Roman" w:hAnsi="Times New Roman" w:cs="Times New Roman"/>
        </w:rPr>
        <w:t>indicators</w:t>
      </w:r>
      <w:r w:rsidR="00F5035C" w:rsidRPr="00523556">
        <w:rPr>
          <w:rFonts w:ascii="Times New Roman" w:hAnsi="Times New Roman" w:cs="Times New Roman"/>
        </w:rPr>
        <w:t xml:space="preserve"> </w:t>
      </w:r>
      <w:r w:rsidR="00840D7C" w:rsidRPr="00523556">
        <w:rPr>
          <w:rFonts w:ascii="Times New Roman" w:hAnsi="Times New Roman" w:cs="Times New Roman"/>
        </w:rPr>
        <w:t xml:space="preserve">just discussed </w:t>
      </w:r>
      <w:r w:rsidR="00F5035C" w:rsidRPr="00523556">
        <w:rPr>
          <w:rFonts w:ascii="Times New Roman" w:hAnsi="Times New Roman" w:cs="Times New Roman"/>
        </w:rPr>
        <w:t xml:space="preserve">are fundamental </w:t>
      </w:r>
      <w:r w:rsidRPr="00523556">
        <w:rPr>
          <w:rFonts w:ascii="Times New Roman" w:hAnsi="Times New Roman" w:cs="Times New Roman"/>
        </w:rPr>
        <w:t xml:space="preserve">to help understand </w:t>
      </w:r>
      <w:r w:rsidR="00F5035C" w:rsidRPr="00523556">
        <w:rPr>
          <w:rFonts w:ascii="Times New Roman" w:hAnsi="Times New Roman" w:cs="Times New Roman"/>
        </w:rPr>
        <w:t xml:space="preserve">and manage </w:t>
      </w:r>
      <w:r w:rsidRPr="00523556">
        <w:rPr>
          <w:rFonts w:ascii="Times New Roman" w:hAnsi="Times New Roman" w:cs="Times New Roman"/>
        </w:rPr>
        <w:t xml:space="preserve">the cost-risk implications of </w:t>
      </w:r>
      <w:r w:rsidR="001C36FA" w:rsidRPr="00523556">
        <w:rPr>
          <w:rFonts w:ascii="Times New Roman" w:hAnsi="Times New Roman" w:cs="Times New Roman"/>
        </w:rPr>
        <w:t>DD</w:t>
      </w:r>
      <w:r w:rsidRPr="00523556">
        <w:rPr>
          <w:rFonts w:ascii="Times New Roman" w:hAnsi="Times New Roman" w:cs="Times New Roman"/>
        </w:rPr>
        <w:t xml:space="preserve"> issuance. </w:t>
      </w:r>
      <w:r w:rsidR="007926C9" w:rsidRPr="00523556">
        <w:rPr>
          <w:rFonts w:ascii="Times New Roman" w:hAnsi="Times New Roman" w:cs="Times New Roman"/>
        </w:rPr>
        <w:t xml:space="preserve">However, the implications of </w:t>
      </w:r>
      <w:r w:rsidR="001C36FA" w:rsidRPr="00523556">
        <w:rPr>
          <w:rFonts w:ascii="Times New Roman" w:hAnsi="Times New Roman" w:cs="Times New Roman"/>
        </w:rPr>
        <w:t>DD</w:t>
      </w:r>
      <w:r w:rsidR="007926C9" w:rsidRPr="00523556">
        <w:rPr>
          <w:rFonts w:ascii="Times New Roman" w:hAnsi="Times New Roman" w:cs="Times New Roman"/>
        </w:rPr>
        <w:t xml:space="preserve"> </w:t>
      </w:r>
      <w:r w:rsidR="00F5035C" w:rsidRPr="00523556">
        <w:rPr>
          <w:rFonts w:ascii="Times New Roman" w:hAnsi="Times New Roman" w:cs="Times New Roman"/>
        </w:rPr>
        <w:t>encompass a much broader set of issues which also need to be taken into consideration</w:t>
      </w:r>
      <w:r w:rsidR="007926C9" w:rsidRPr="00523556">
        <w:rPr>
          <w:rFonts w:ascii="Times New Roman" w:hAnsi="Times New Roman" w:cs="Times New Roman"/>
        </w:rPr>
        <w:t>.</w:t>
      </w:r>
      <w:r w:rsidR="005974FB" w:rsidRPr="00523556">
        <w:rPr>
          <w:rFonts w:ascii="Times New Roman" w:hAnsi="Times New Roman" w:cs="Times New Roman"/>
        </w:rPr>
        <w:t xml:space="preserve"> </w:t>
      </w:r>
      <w:r w:rsidRPr="00523556">
        <w:rPr>
          <w:rFonts w:ascii="Times New Roman" w:hAnsi="Times New Roman" w:cs="Times New Roman"/>
        </w:rPr>
        <w:t xml:space="preserve">Box </w:t>
      </w:r>
      <w:r w:rsidR="00EB0FA2" w:rsidRPr="00523556">
        <w:rPr>
          <w:rFonts w:ascii="Times New Roman" w:hAnsi="Times New Roman" w:cs="Times New Roman"/>
        </w:rPr>
        <w:t>2</w:t>
      </w:r>
      <w:r w:rsidRPr="00523556">
        <w:rPr>
          <w:rFonts w:ascii="Times New Roman" w:hAnsi="Times New Roman" w:cs="Times New Roman"/>
        </w:rPr>
        <w:t xml:space="preserve"> provides a brief o</w:t>
      </w:r>
      <w:r w:rsidR="00F5035C" w:rsidRPr="00523556">
        <w:rPr>
          <w:rFonts w:ascii="Times New Roman" w:hAnsi="Times New Roman" w:cs="Times New Roman"/>
        </w:rPr>
        <w:t>verview of this</w:t>
      </w:r>
      <w:r w:rsidRPr="00523556">
        <w:rPr>
          <w:rFonts w:ascii="Times New Roman" w:hAnsi="Times New Roman" w:cs="Times New Roman"/>
        </w:rPr>
        <w:t xml:space="preserve"> </w:t>
      </w:r>
      <w:r w:rsidR="00F5035C" w:rsidRPr="00523556">
        <w:rPr>
          <w:rFonts w:ascii="Times New Roman" w:hAnsi="Times New Roman" w:cs="Times New Roman"/>
        </w:rPr>
        <w:t>broad</w:t>
      </w:r>
      <w:r w:rsidRPr="00523556">
        <w:rPr>
          <w:rFonts w:ascii="Times New Roman" w:hAnsi="Times New Roman" w:cs="Times New Roman"/>
        </w:rPr>
        <w:t xml:space="preserve"> set of pros and cons of </w:t>
      </w:r>
      <w:r w:rsidR="001C36FA" w:rsidRPr="00523556">
        <w:rPr>
          <w:rFonts w:ascii="Times New Roman" w:hAnsi="Times New Roman" w:cs="Times New Roman"/>
        </w:rPr>
        <w:t>DD</w:t>
      </w:r>
      <w:r w:rsidR="000D4CC3" w:rsidRPr="00523556">
        <w:rPr>
          <w:rFonts w:ascii="Times New Roman" w:hAnsi="Times New Roman" w:cs="Times New Roman"/>
        </w:rPr>
        <w:t>.</w:t>
      </w:r>
      <w:r w:rsidR="00571F71" w:rsidRPr="00523556">
        <w:rPr>
          <w:rStyle w:val="FootnoteReference"/>
          <w:rFonts w:ascii="Times New Roman" w:hAnsi="Times New Roman" w:cs="Times New Roman"/>
        </w:rPr>
        <w:footnoteReference w:id="25"/>
      </w:r>
      <w:r w:rsidR="000D4CC3" w:rsidRPr="00523556">
        <w:rPr>
          <w:rFonts w:ascii="Times New Roman" w:hAnsi="Times New Roman" w:cs="Times New Roman"/>
        </w:rPr>
        <w:t xml:space="preserve"> </w:t>
      </w:r>
    </w:p>
    <w:p w:rsidR="00B93582" w:rsidRPr="00523556" w:rsidRDefault="000D4CC3" w:rsidP="00B93582">
      <w:pPr>
        <w:jc w:val="both"/>
        <w:rPr>
          <w:rFonts w:ascii="Times New Roman" w:hAnsi="Times New Roman" w:cs="Times New Roman"/>
        </w:rPr>
      </w:pPr>
      <w:r w:rsidRPr="00523556">
        <w:rPr>
          <w:rFonts w:ascii="Times New Roman" w:hAnsi="Times New Roman" w:cs="Times New Roman"/>
        </w:rPr>
        <w:t>Of these</w:t>
      </w:r>
      <w:r w:rsidR="00B93582" w:rsidRPr="00523556">
        <w:rPr>
          <w:rFonts w:ascii="Times New Roman" w:hAnsi="Times New Roman" w:cs="Times New Roman"/>
        </w:rPr>
        <w:t xml:space="preserve"> pros and cons</w:t>
      </w:r>
      <w:r w:rsidRPr="00523556">
        <w:rPr>
          <w:rFonts w:ascii="Times New Roman" w:hAnsi="Times New Roman" w:cs="Times New Roman"/>
        </w:rPr>
        <w:t xml:space="preserve">, </w:t>
      </w:r>
      <w:r w:rsidR="00F5035C" w:rsidRPr="00523556">
        <w:rPr>
          <w:rFonts w:ascii="Times New Roman" w:hAnsi="Times New Roman" w:cs="Times New Roman"/>
        </w:rPr>
        <w:t>the risk</w:t>
      </w:r>
      <w:r w:rsidRPr="00523556">
        <w:rPr>
          <w:rFonts w:ascii="Times New Roman" w:hAnsi="Times New Roman" w:cs="Times New Roman"/>
        </w:rPr>
        <w:t xml:space="preserve"> of </w:t>
      </w:r>
      <w:r w:rsidR="00F5035C" w:rsidRPr="00523556">
        <w:rPr>
          <w:rFonts w:ascii="Times New Roman" w:hAnsi="Times New Roman" w:cs="Times New Roman"/>
        </w:rPr>
        <w:t>crowding out private investment</w:t>
      </w:r>
      <w:r w:rsidRPr="00523556">
        <w:rPr>
          <w:rFonts w:ascii="Times New Roman" w:hAnsi="Times New Roman" w:cs="Times New Roman"/>
        </w:rPr>
        <w:t xml:space="preserve"> and </w:t>
      </w:r>
      <w:r w:rsidR="00F5035C" w:rsidRPr="00523556">
        <w:rPr>
          <w:rFonts w:ascii="Times New Roman" w:hAnsi="Times New Roman" w:cs="Times New Roman"/>
        </w:rPr>
        <w:t xml:space="preserve">the </w:t>
      </w:r>
      <w:r w:rsidRPr="00523556">
        <w:rPr>
          <w:rFonts w:ascii="Times New Roman" w:hAnsi="Times New Roman" w:cs="Times New Roman"/>
        </w:rPr>
        <w:t>potential impact on debt sustainability have in the past attracted the most attention</w:t>
      </w:r>
      <w:r w:rsidR="00F5035C" w:rsidRPr="00523556">
        <w:rPr>
          <w:rFonts w:ascii="Times New Roman" w:hAnsi="Times New Roman" w:cs="Times New Roman"/>
        </w:rPr>
        <w:t xml:space="preserve"> of researchers and</w:t>
      </w:r>
      <w:r w:rsidR="00B93582" w:rsidRPr="00523556">
        <w:rPr>
          <w:rFonts w:ascii="Times New Roman" w:hAnsi="Times New Roman" w:cs="Times New Roman"/>
        </w:rPr>
        <w:t xml:space="preserve"> policymakers. </w:t>
      </w:r>
      <w:r w:rsidR="00840D7C" w:rsidRPr="00523556">
        <w:rPr>
          <w:rFonts w:ascii="Times New Roman" w:hAnsi="Times New Roman" w:cs="Times New Roman"/>
        </w:rPr>
        <w:t>D</w:t>
      </w:r>
      <w:r w:rsidR="00B93582" w:rsidRPr="00523556">
        <w:rPr>
          <w:rFonts w:ascii="Times New Roman" w:hAnsi="Times New Roman" w:cs="Times New Roman"/>
        </w:rPr>
        <w:t xml:space="preserve">omestic borrowing </w:t>
      </w:r>
      <w:r w:rsidR="00840D7C" w:rsidRPr="00523556">
        <w:rPr>
          <w:rFonts w:ascii="Times New Roman" w:hAnsi="Times New Roman" w:cs="Times New Roman"/>
        </w:rPr>
        <w:t xml:space="preserve">by government </w:t>
      </w:r>
      <w:r w:rsidR="00B93582" w:rsidRPr="00523556">
        <w:rPr>
          <w:rFonts w:ascii="Times New Roman" w:hAnsi="Times New Roman" w:cs="Times New Roman"/>
        </w:rPr>
        <w:t>has the potential to crowd out private investment, by using a portion of domestic savings that would otherwise be available for private borrowers and driving up the cost of capital;</w:t>
      </w:r>
      <w:r w:rsidR="00682DFC" w:rsidRPr="00523556">
        <w:rPr>
          <w:rStyle w:val="FootnoteReference"/>
          <w:rFonts w:ascii="Times New Roman" w:hAnsi="Times New Roman" w:cs="Times New Roman"/>
        </w:rPr>
        <w:footnoteReference w:id="26"/>
      </w:r>
      <w:r w:rsidR="00B93582" w:rsidRPr="00523556">
        <w:rPr>
          <w:rFonts w:ascii="Times New Roman" w:hAnsi="Times New Roman" w:cs="Times New Roman"/>
        </w:rPr>
        <w:t xml:space="preserve"> however, these forces can be mitigated – and potentially even offset – by factors such as the reaction of domestic private saving, and the openness of the economy, meaning that the extent of crowding out is an empirical question.</w:t>
      </w:r>
      <w:r w:rsidR="00B93582" w:rsidRPr="00523556">
        <w:rPr>
          <w:rStyle w:val="FootnoteReference"/>
          <w:rFonts w:ascii="Times New Roman" w:hAnsi="Times New Roman" w:cs="Times New Roman"/>
        </w:rPr>
        <w:footnoteReference w:id="27"/>
      </w:r>
      <w:r w:rsidR="00B93582" w:rsidRPr="00523556">
        <w:rPr>
          <w:rFonts w:ascii="Times New Roman" w:hAnsi="Times New Roman" w:cs="Times New Roman"/>
        </w:rPr>
        <w:t xml:space="preserve"> </w:t>
      </w:r>
    </w:p>
    <w:p w:rsidR="00B93582" w:rsidRPr="00523556" w:rsidRDefault="00B93582" w:rsidP="00B93582">
      <w:pPr>
        <w:jc w:val="both"/>
        <w:rPr>
          <w:rFonts w:ascii="Times New Roman" w:hAnsi="Times New Roman" w:cs="Times New Roman"/>
        </w:rPr>
      </w:pPr>
      <w:r w:rsidRPr="00523556">
        <w:rPr>
          <w:rFonts w:ascii="Times New Roman" w:hAnsi="Times New Roman" w:cs="Times New Roman"/>
        </w:rPr>
        <w:t xml:space="preserve">This issue has been the subject of a substantial empirical literature – though it has almost wholly been focused on advanced economies, and </w:t>
      </w:r>
      <w:r w:rsidR="005F5F9B" w:rsidRPr="00523556">
        <w:rPr>
          <w:rFonts w:ascii="Times New Roman" w:hAnsi="Times New Roman" w:cs="Times New Roman"/>
        </w:rPr>
        <w:t xml:space="preserve">has </w:t>
      </w:r>
      <w:r w:rsidRPr="00523556">
        <w:rPr>
          <w:rFonts w:ascii="Times New Roman" w:hAnsi="Times New Roman" w:cs="Times New Roman"/>
        </w:rPr>
        <w:t xml:space="preserve">generated mixed results. In a </w:t>
      </w:r>
      <w:r w:rsidR="007C6AE4" w:rsidRPr="00523556">
        <w:rPr>
          <w:rFonts w:ascii="Times New Roman" w:hAnsi="Times New Roman" w:cs="Times New Roman"/>
        </w:rPr>
        <w:t xml:space="preserve">recent </w:t>
      </w:r>
      <w:r w:rsidRPr="00523556">
        <w:rPr>
          <w:rFonts w:ascii="Times New Roman" w:hAnsi="Times New Roman" w:cs="Times New Roman"/>
        </w:rPr>
        <w:t>summary of the literature on advanced economies, Jaramillo and Weber (2012) conclude that “a majority of papers [find] that a higher fiscal deficit and public debt raise interest rates”, and that the estimated impact on interest rates of a change of 1</w:t>
      </w:r>
      <w:r w:rsidR="00E557B8" w:rsidRPr="00523556">
        <w:rPr>
          <w:rFonts w:ascii="Times New Roman" w:hAnsi="Times New Roman" w:cs="Times New Roman"/>
        </w:rPr>
        <w:t xml:space="preserve"> per cent</w:t>
      </w:r>
      <w:r w:rsidRPr="00523556">
        <w:rPr>
          <w:rFonts w:ascii="Times New Roman" w:hAnsi="Times New Roman" w:cs="Times New Roman"/>
        </w:rPr>
        <w:t xml:space="preserve"> of GDP in the fiscal deficit ranges from 10</w:t>
      </w:r>
      <w:r w:rsidR="00750802" w:rsidRPr="00523556">
        <w:rPr>
          <w:rFonts w:ascii="Times New Roman" w:hAnsi="Times New Roman" w:cs="Times New Roman"/>
        </w:rPr>
        <w:t xml:space="preserve"> basis points </w:t>
      </w:r>
      <w:r w:rsidRPr="00523556">
        <w:rPr>
          <w:rFonts w:ascii="Times New Roman" w:hAnsi="Times New Roman" w:cs="Times New Roman"/>
        </w:rPr>
        <w:t>to 60</w:t>
      </w:r>
      <w:r w:rsidR="00750802" w:rsidRPr="00523556">
        <w:rPr>
          <w:rFonts w:ascii="Times New Roman" w:hAnsi="Times New Roman" w:cs="Times New Roman"/>
        </w:rPr>
        <w:t xml:space="preserve"> </w:t>
      </w:r>
      <w:r w:rsidRPr="00523556">
        <w:rPr>
          <w:rFonts w:ascii="Times New Roman" w:hAnsi="Times New Roman" w:cs="Times New Roman"/>
        </w:rPr>
        <w:t>b</w:t>
      </w:r>
      <w:r w:rsidR="00750802" w:rsidRPr="00523556">
        <w:rPr>
          <w:rFonts w:ascii="Times New Roman" w:hAnsi="Times New Roman" w:cs="Times New Roman"/>
        </w:rPr>
        <w:t xml:space="preserve">asis </w:t>
      </w:r>
      <w:r w:rsidRPr="00523556">
        <w:rPr>
          <w:rFonts w:ascii="Times New Roman" w:hAnsi="Times New Roman" w:cs="Times New Roman"/>
        </w:rPr>
        <w:t>p</w:t>
      </w:r>
      <w:r w:rsidR="00750802" w:rsidRPr="00523556">
        <w:rPr>
          <w:rFonts w:ascii="Times New Roman" w:hAnsi="Times New Roman" w:cs="Times New Roman"/>
        </w:rPr>
        <w:t>oint</w:t>
      </w:r>
      <w:r w:rsidRPr="00523556">
        <w:rPr>
          <w:rFonts w:ascii="Times New Roman" w:hAnsi="Times New Roman" w:cs="Times New Roman"/>
        </w:rPr>
        <w:t>s. Shining some light in to this wide range of headline findings, recent research has begun to reveal the importance of non-linear effects, and suggests that the existence and size of crowding out can depend on a variety of factors – including initial deficit and debt levels, the size of the change in the fiscal deficit, financial openness and depth, and the strength of institutions.</w:t>
      </w:r>
      <w:r w:rsidRPr="00523556">
        <w:rPr>
          <w:rStyle w:val="FootnoteReference"/>
          <w:rFonts w:ascii="Times New Roman" w:hAnsi="Times New Roman" w:cs="Times New Roman"/>
        </w:rPr>
        <w:footnoteReference w:id="28"/>
      </w:r>
    </w:p>
    <w:p w:rsidR="00B93582" w:rsidRPr="00523556" w:rsidRDefault="00B93582" w:rsidP="00B93582">
      <w:pPr>
        <w:jc w:val="both"/>
        <w:rPr>
          <w:rFonts w:ascii="Times New Roman" w:hAnsi="Times New Roman" w:cs="Times New Roman"/>
        </w:rPr>
      </w:pPr>
      <w:r w:rsidRPr="00523556">
        <w:rPr>
          <w:rFonts w:ascii="Times New Roman" w:hAnsi="Times New Roman" w:cs="Times New Roman"/>
        </w:rPr>
        <w:t>Investigation in to crowding out in developing countries has been far more limited. In a pioneering study, Christensen (2005) found significant support for crowding out in a sample of 27 SSA countries over the period 1980-2000, with an increase of 1</w:t>
      </w:r>
      <w:r w:rsidR="00E557B8" w:rsidRPr="00523556">
        <w:rPr>
          <w:rFonts w:ascii="Times New Roman" w:hAnsi="Times New Roman" w:cs="Times New Roman"/>
        </w:rPr>
        <w:t xml:space="preserve"> percentage point</w:t>
      </w:r>
      <w:r w:rsidRPr="00523556">
        <w:rPr>
          <w:rFonts w:ascii="Times New Roman" w:hAnsi="Times New Roman" w:cs="Times New Roman"/>
        </w:rPr>
        <w:t xml:space="preserve"> in the ratio of </w:t>
      </w:r>
      <w:r w:rsidR="001C36FA" w:rsidRPr="00523556">
        <w:rPr>
          <w:rFonts w:ascii="Times New Roman" w:hAnsi="Times New Roman" w:cs="Times New Roman"/>
        </w:rPr>
        <w:t>DD</w:t>
      </w:r>
      <w:r w:rsidRPr="00523556">
        <w:rPr>
          <w:rFonts w:ascii="Times New Roman" w:hAnsi="Times New Roman" w:cs="Times New Roman"/>
        </w:rPr>
        <w:t xml:space="preserve"> to broad money causing the ratio of private lending to broad money to decline by 0.15</w:t>
      </w:r>
      <w:r w:rsidR="00E557B8" w:rsidRPr="00523556">
        <w:rPr>
          <w:rFonts w:ascii="Times New Roman" w:hAnsi="Times New Roman" w:cs="Times New Roman"/>
        </w:rPr>
        <w:t xml:space="preserve"> percentage point</w:t>
      </w:r>
      <w:r w:rsidRPr="00523556">
        <w:rPr>
          <w:rFonts w:ascii="Times New Roman" w:hAnsi="Times New Roman" w:cs="Times New Roman"/>
        </w:rPr>
        <w:t>. Emran and Farazi (2009) also find strong evidence of crowding out when developing country governments borrow from the banking sector. Adelegan and Radzewicz-Bak (2009), using a sample of 45 SSA countries over the period 1990-2008</w:t>
      </w:r>
      <w:r w:rsidR="00222218" w:rsidRPr="00523556">
        <w:rPr>
          <w:rFonts w:ascii="Times New Roman" w:hAnsi="Times New Roman" w:cs="Times New Roman"/>
        </w:rPr>
        <w:t>,</w:t>
      </w:r>
      <w:r w:rsidRPr="00523556">
        <w:rPr>
          <w:rFonts w:ascii="Times New Roman" w:hAnsi="Times New Roman" w:cs="Times New Roman"/>
        </w:rPr>
        <w:t xml:space="preserve"> find that a 1</w:t>
      </w:r>
      <w:r w:rsidR="00E557B8" w:rsidRPr="00523556">
        <w:rPr>
          <w:rFonts w:ascii="Times New Roman" w:hAnsi="Times New Roman" w:cs="Times New Roman"/>
        </w:rPr>
        <w:t xml:space="preserve"> percentage point</w:t>
      </w:r>
      <w:r w:rsidRPr="00523556">
        <w:rPr>
          <w:rFonts w:ascii="Times New Roman" w:hAnsi="Times New Roman" w:cs="Times New Roman"/>
        </w:rPr>
        <w:t xml:space="preserve"> expansion in </w:t>
      </w:r>
      <w:r w:rsidR="001C36FA" w:rsidRPr="00523556">
        <w:rPr>
          <w:rFonts w:ascii="Times New Roman" w:hAnsi="Times New Roman" w:cs="Times New Roman"/>
        </w:rPr>
        <w:t>DD</w:t>
      </w:r>
      <w:r w:rsidRPr="00523556">
        <w:rPr>
          <w:rFonts w:ascii="Times New Roman" w:hAnsi="Times New Roman" w:cs="Times New Roman"/>
        </w:rPr>
        <w:t xml:space="preserve"> as a share of broad money caused private sector lending as a share of broad money to decrease by around 0.1</w:t>
      </w:r>
      <w:r w:rsidR="00E557B8" w:rsidRPr="00523556">
        <w:rPr>
          <w:rFonts w:ascii="Times New Roman" w:hAnsi="Times New Roman" w:cs="Times New Roman"/>
        </w:rPr>
        <w:t xml:space="preserve"> percentage point</w:t>
      </w:r>
      <w:r w:rsidR="00222218" w:rsidRPr="00523556">
        <w:rPr>
          <w:rFonts w:ascii="Times New Roman" w:hAnsi="Times New Roman" w:cs="Times New Roman"/>
        </w:rPr>
        <w:t xml:space="preserve"> over the time period as a whole</w:t>
      </w:r>
      <w:r w:rsidRPr="00523556">
        <w:rPr>
          <w:rFonts w:ascii="Times New Roman" w:hAnsi="Times New Roman" w:cs="Times New Roman"/>
        </w:rPr>
        <w:t xml:space="preserve">, although finds evidence for </w:t>
      </w:r>
      <w:r w:rsidR="00222218" w:rsidRPr="00523556">
        <w:rPr>
          <w:rFonts w:ascii="Times New Roman" w:hAnsi="Times New Roman" w:cs="Times New Roman"/>
        </w:rPr>
        <w:t xml:space="preserve">the impact </w:t>
      </w:r>
      <w:r w:rsidRPr="00523556">
        <w:rPr>
          <w:rFonts w:ascii="Times New Roman" w:hAnsi="Times New Roman" w:cs="Times New Roman"/>
        </w:rPr>
        <w:t xml:space="preserve">decreasing over </w:t>
      </w:r>
      <w:r w:rsidR="00222218" w:rsidRPr="00523556">
        <w:rPr>
          <w:rFonts w:ascii="Times New Roman" w:hAnsi="Times New Roman" w:cs="Times New Roman"/>
        </w:rPr>
        <w:t xml:space="preserve">the </w:t>
      </w:r>
      <w:r w:rsidRPr="00523556">
        <w:rPr>
          <w:rFonts w:ascii="Times New Roman" w:hAnsi="Times New Roman" w:cs="Times New Roman"/>
        </w:rPr>
        <w:t>time</w:t>
      </w:r>
      <w:r w:rsidR="00222218" w:rsidRPr="00523556">
        <w:rPr>
          <w:rFonts w:ascii="Times New Roman" w:hAnsi="Times New Roman" w:cs="Times New Roman"/>
        </w:rPr>
        <w:t xml:space="preserve"> period</w:t>
      </w:r>
      <w:r w:rsidRPr="00523556">
        <w:rPr>
          <w:rFonts w:ascii="Times New Roman" w:hAnsi="Times New Roman" w:cs="Times New Roman"/>
        </w:rPr>
        <w:t>. The focus of these three papers o</w:t>
      </w:r>
      <w:r w:rsidR="00222218" w:rsidRPr="00523556">
        <w:rPr>
          <w:rFonts w:ascii="Times New Roman" w:hAnsi="Times New Roman" w:cs="Times New Roman"/>
        </w:rPr>
        <w:t>n</w:t>
      </w:r>
      <w:r w:rsidRPr="00523556">
        <w:rPr>
          <w:rFonts w:ascii="Times New Roman" w:hAnsi="Times New Roman" w:cs="Times New Roman"/>
        </w:rPr>
        <w:t xml:space="preserve"> </w:t>
      </w:r>
      <w:r w:rsidR="001C36FA" w:rsidRPr="00523556">
        <w:rPr>
          <w:rFonts w:ascii="Times New Roman" w:hAnsi="Times New Roman" w:cs="Times New Roman"/>
        </w:rPr>
        <w:t>DD</w:t>
      </w:r>
      <w:r w:rsidRPr="00523556">
        <w:rPr>
          <w:rFonts w:ascii="Times New Roman" w:hAnsi="Times New Roman" w:cs="Times New Roman"/>
        </w:rPr>
        <w:t xml:space="preserve"> relative to broad money reflects the particular importance that financial sector depth is likely to play in the context of government </w:t>
      </w:r>
      <w:r w:rsidR="001C36FA" w:rsidRPr="00523556">
        <w:rPr>
          <w:rFonts w:ascii="Times New Roman" w:hAnsi="Times New Roman" w:cs="Times New Roman"/>
        </w:rPr>
        <w:t>DD</w:t>
      </w:r>
      <w:r w:rsidRPr="00523556">
        <w:rPr>
          <w:rFonts w:ascii="Times New Roman" w:hAnsi="Times New Roman" w:cs="Times New Roman"/>
        </w:rPr>
        <w:t xml:space="preserve"> </w:t>
      </w:r>
      <w:r w:rsidRPr="00523556">
        <w:rPr>
          <w:rFonts w:ascii="Times New Roman" w:hAnsi="Times New Roman" w:cs="Times New Roman"/>
        </w:rPr>
        <w:lastRenderedPageBreak/>
        <w:t>issuance in developing countries</w:t>
      </w:r>
      <w:r w:rsidR="005542FC" w:rsidRPr="00523556">
        <w:rPr>
          <w:rFonts w:ascii="Times New Roman" w:hAnsi="Times New Roman" w:cs="Times New Roman"/>
        </w:rPr>
        <w:t xml:space="preserve"> – with deeper financial systems providing greater scope for government securities issuance</w:t>
      </w:r>
      <w:r w:rsidRPr="00523556">
        <w:rPr>
          <w:rFonts w:ascii="Times New Roman" w:hAnsi="Times New Roman" w:cs="Times New Roman"/>
        </w:rPr>
        <w:t>.</w:t>
      </w:r>
      <w:r w:rsidR="005542FC" w:rsidRPr="00523556">
        <w:rPr>
          <w:rStyle w:val="FootnoteReference"/>
          <w:rFonts w:ascii="Times New Roman" w:hAnsi="Times New Roman" w:cs="Times New Roman"/>
        </w:rPr>
        <w:footnoteReference w:id="29"/>
      </w:r>
    </w:p>
    <w:p w:rsidR="00B93582" w:rsidRPr="00523556" w:rsidRDefault="00B93582" w:rsidP="00B93582">
      <w:pPr>
        <w:jc w:val="both"/>
        <w:rPr>
          <w:rFonts w:ascii="Times New Roman" w:hAnsi="Times New Roman" w:cs="Times New Roman"/>
        </w:rPr>
      </w:pPr>
      <w:r w:rsidRPr="00523556">
        <w:rPr>
          <w:rFonts w:ascii="Times New Roman" w:hAnsi="Times New Roman" w:cs="Times New Roman"/>
        </w:rPr>
        <w:t>So overall the crowding</w:t>
      </w:r>
      <w:r w:rsidR="00746C52" w:rsidRPr="00523556">
        <w:rPr>
          <w:rFonts w:ascii="Times New Roman" w:hAnsi="Times New Roman" w:cs="Times New Roman"/>
        </w:rPr>
        <w:t xml:space="preserve"> out</w:t>
      </w:r>
      <w:r w:rsidRPr="00523556">
        <w:rPr>
          <w:rFonts w:ascii="Times New Roman" w:hAnsi="Times New Roman" w:cs="Times New Roman"/>
        </w:rPr>
        <w:t xml:space="preserve"> literature provides some mixed conclusions, and there are very few results from developing-country specific studies. However, </w:t>
      </w:r>
      <w:r w:rsidR="00B60CD3" w:rsidRPr="00523556">
        <w:rPr>
          <w:rFonts w:ascii="Times New Roman" w:hAnsi="Times New Roman" w:cs="Times New Roman"/>
        </w:rPr>
        <w:t xml:space="preserve">based on these few studies and the wider literature, </w:t>
      </w:r>
      <w:r w:rsidRPr="00523556">
        <w:rPr>
          <w:rFonts w:ascii="Times New Roman" w:hAnsi="Times New Roman" w:cs="Times New Roman"/>
        </w:rPr>
        <w:t>a reasonable initial view may be that</w:t>
      </w:r>
      <w:r w:rsidR="00B60CD3" w:rsidRPr="00523556">
        <w:rPr>
          <w:rFonts w:ascii="Times New Roman" w:hAnsi="Times New Roman" w:cs="Times New Roman"/>
        </w:rPr>
        <w:t>:</w:t>
      </w:r>
      <w:r w:rsidRPr="00523556">
        <w:rPr>
          <w:rFonts w:ascii="Times New Roman" w:hAnsi="Times New Roman" w:cs="Times New Roman"/>
        </w:rPr>
        <w:t xml:space="preserve"> developing countries should expect </w:t>
      </w:r>
      <w:r w:rsidR="00B60CD3" w:rsidRPr="00523556">
        <w:rPr>
          <w:rFonts w:ascii="Times New Roman" w:hAnsi="Times New Roman" w:cs="Times New Roman"/>
        </w:rPr>
        <w:t>public</w:t>
      </w:r>
      <w:r w:rsidRPr="00523556">
        <w:rPr>
          <w:rFonts w:ascii="Times New Roman" w:hAnsi="Times New Roman" w:cs="Times New Roman"/>
        </w:rPr>
        <w:t xml:space="preserve"> domestic borrowing to crowd out private inves</w:t>
      </w:r>
      <w:r w:rsidR="00B60CD3" w:rsidRPr="00523556">
        <w:rPr>
          <w:rFonts w:ascii="Times New Roman" w:hAnsi="Times New Roman" w:cs="Times New Roman"/>
        </w:rPr>
        <w:t xml:space="preserve">tment to some extent; the </w:t>
      </w:r>
      <w:r w:rsidRPr="00523556">
        <w:rPr>
          <w:rFonts w:ascii="Times New Roman" w:hAnsi="Times New Roman" w:cs="Times New Roman"/>
        </w:rPr>
        <w:t xml:space="preserve">impact </w:t>
      </w:r>
      <w:r w:rsidR="00746C52" w:rsidRPr="00523556">
        <w:rPr>
          <w:rFonts w:ascii="Times New Roman" w:hAnsi="Times New Roman" w:cs="Times New Roman"/>
        </w:rPr>
        <w:t>is likely to</w:t>
      </w:r>
      <w:r w:rsidRPr="00523556">
        <w:rPr>
          <w:rFonts w:ascii="Times New Roman" w:hAnsi="Times New Roman" w:cs="Times New Roman"/>
        </w:rPr>
        <w:t xml:space="preserve"> be non-linear</w:t>
      </w:r>
      <w:r w:rsidR="00B60CD3" w:rsidRPr="00523556">
        <w:rPr>
          <w:rFonts w:ascii="Times New Roman" w:hAnsi="Times New Roman" w:cs="Times New Roman"/>
        </w:rPr>
        <w:t>;</w:t>
      </w:r>
      <w:r w:rsidRPr="00523556">
        <w:rPr>
          <w:rFonts w:ascii="Times New Roman" w:hAnsi="Times New Roman" w:cs="Times New Roman"/>
        </w:rPr>
        <w:t xml:space="preserve"> and </w:t>
      </w:r>
      <w:r w:rsidR="00B60CD3" w:rsidRPr="00523556">
        <w:rPr>
          <w:rFonts w:ascii="Times New Roman" w:hAnsi="Times New Roman" w:cs="Times New Roman"/>
        </w:rPr>
        <w:t xml:space="preserve">the impact might be </w:t>
      </w:r>
      <w:r w:rsidRPr="00523556">
        <w:rPr>
          <w:rFonts w:ascii="Times New Roman" w:hAnsi="Times New Roman" w:cs="Times New Roman"/>
        </w:rPr>
        <w:t xml:space="preserve">mitigated by a variety of factors. The policy implications of </w:t>
      </w:r>
      <w:r w:rsidR="00B60CD3" w:rsidRPr="00523556">
        <w:rPr>
          <w:rFonts w:ascii="Times New Roman" w:hAnsi="Times New Roman" w:cs="Times New Roman"/>
        </w:rPr>
        <w:t>the potentially-</w:t>
      </w:r>
      <w:r w:rsidRPr="00523556">
        <w:rPr>
          <w:rFonts w:ascii="Times New Roman" w:hAnsi="Times New Roman" w:cs="Times New Roman"/>
        </w:rPr>
        <w:t>mitigating factors are discussed in Section 2.2.4.</w:t>
      </w:r>
    </w:p>
    <w:p w:rsidR="00746C52" w:rsidRPr="00523556" w:rsidRDefault="00746C52" w:rsidP="00746C52">
      <w:pPr>
        <w:jc w:val="both"/>
        <w:rPr>
          <w:rFonts w:ascii="Times New Roman" w:hAnsi="Times New Roman" w:cs="Times New Roman"/>
        </w:rPr>
      </w:pPr>
      <w:r w:rsidRPr="00523556">
        <w:rPr>
          <w:rFonts w:ascii="Times New Roman" w:hAnsi="Times New Roman" w:cs="Times New Roman"/>
        </w:rPr>
        <w:t xml:space="preserve">However, as set out in Box </w:t>
      </w:r>
      <w:r w:rsidR="00EB0FA2" w:rsidRPr="00523556">
        <w:rPr>
          <w:rFonts w:ascii="Times New Roman" w:hAnsi="Times New Roman" w:cs="Times New Roman"/>
        </w:rPr>
        <w:t>2</w:t>
      </w:r>
      <w:r w:rsidRPr="00523556">
        <w:rPr>
          <w:rFonts w:ascii="Times New Roman" w:hAnsi="Times New Roman" w:cs="Times New Roman"/>
        </w:rPr>
        <w:t xml:space="preserve">, in trying to determine an appropriate level of </w:t>
      </w:r>
      <w:r w:rsidR="001C36FA" w:rsidRPr="00523556">
        <w:rPr>
          <w:rFonts w:ascii="Times New Roman" w:hAnsi="Times New Roman" w:cs="Times New Roman"/>
        </w:rPr>
        <w:t>DD</w:t>
      </w:r>
      <w:r w:rsidRPr="00523556">
        <w:rPr>
          <w:rFonts w:ascii="Times New Roman" w:hAnsi="Times New Roman" w:cs="Times New Roman"/>
        </w:rPr>
        <w:t xml:space="preserve"> issuance there are a much broader set of costs and benefits to take in to account; even if there is some crowding out, this could be offset by other benefits. In a thus-far unique attempt to take such breadth into account, Abbas and Christensen (2010) aim to identify the impact of </w:t>
      </w:r>
      <w:r w:rsidR="001C36FA" w:rsidRPr="00523556">
        <w:rPr>
          <w:rFonts w:ascii="Times New Roman" w:hAnsi="Times New Roman" w:cs="Times New Roman"/>
        </w:rPr>
        <w:t>DD</w:t>
      </w:r>
      <w:r w:rsidRPr="00523556">
        <w:rPr>
          <w:rFonts w:ascii="Times New Roman" w:hAnsi="Times New Roman" w:cs="Times New Roman"/>
        </w:rPr>
        <w:t xml:space="preserve"> on </w:t>
      </w:r>
      <w:r w:rsidRPr="00523556">
        <w:rPr>
          <w:rFonts w:ascii="Times New Roman" w:hAnsi="Times New Roman" w:cs="Times New Roman"/>
          <w:i/>
        </w:rPr>
        <w:t>economic growth</w:t>
      </w:r>
      <w:r w:rsidR="00253B4F" w:rsidRPr="00523556">
        <w:rPr>
          <w:rFonts w:ascii="Times New Roman" w:hAnsi="Times New Roman" w:cs="Times New Roman"/>
        </w:rPr>
        <w:t xml:space="preserve"> in developing countries –</w:t>
      </w:r>
      <w:r w:rsidRPr="00523556">
        <w:rPr>
          <w:rFonts w:ascii="Times New Roman" w:hAnsi="Times New Roman" w:cs="Times New Roman"/>
        </w:rPr>
        <w:t xml:space="preserve"> and</w:t>
      </w:r>
      <w:r w:rsidR="00253B4F" w:rsidRPr="00523556">
        <w:rPr>
          <w:rFonts w:ascii="Times New Roman" w:hAnsi="Times New Roman" w:cs="Times New Roman"/>
        </w:rPr>
        <w:t xml:space="preserve"> </w:t>
      </w:r>
      <w:r w:rsidRPr="00523556">
        <w:rPr>
          <w:rFonts w:ascii="Times New Roman" w:hAnsi="Times New Roman" w:cs="Times New Roman"/>
        </w:rPr>
        <w:t>the channels through which this impact is transmitted</w:t>
      </w:r>
      <w:r w:rsidR="00253B4F" w:rsidRPr="00523556">
        <w:rPr>
          <w:rFonts w:ascii="Times New Roman" w:hAnsi="Times New Roman" w:cs="Times New Roman"/>
        </w:rPr>
        <w:t xml:space="preserve"> –</w:t>
      </w:r>
      <w:r w:rsidRPr="00523556">
        <w:rPr>
          <w:rFonts w:ascii="Times New Roman" w:hAnsi="Times New Roman" w:cs="Times New Roman"/>
        </w:rPr>
        <w:t xml:space="preserve"> using</w:t>
      </w:r>
      <w:r w:rsidR="00253B4F" w:rsidRPr="00523556">
        <w:rPr>
          <w:rFonts w:ascii="Times New Roman" w:hAnsi="Times New Roman" w:cs="Times New Roman"/>
        </w:rPr>
        <w:t xml:space="preserve"> </w:t>
      </w:r>
      <w:r w:rsidRPr="00523556">
        <w:rPr>
          <w:rFonts w:ascii="Times New Roman" w:hAnsi="Times New Roman" w:cs="Times New Roman"/>
        </w:rPr>
        <w:t>commercial bank holdings of government debt in a comprehensive sample of 93 LICs</w:t>
      </w:r>
      <w:r w:rsidR="00DB73C9" w:rsidRPr="00523556">
        <w:rPr>
          <w:rFonts w:ascii="Times New Roman" w:hAnsi="Times New Roman" w:cs="Times New Roman"/>
        </w:rPr>
        <w:t>, and a comprehensive set of estimation techniques and robustness tests</w:t>
      </w:r>
      <w:r w:rsidRPr="00523556">
        <w:rPr>
          <w:rFonts w:ascii="Times New Roman" w:hAnsi="Times New Roman" w:cs="Times New Roman"/>
        </w:rPr>
        <w:t xml:space="preserve">. Their key finding is that moderate levels of </w:t>
      </w:r>
      <w:r w:rsidR="001C36FA" w:rsidRPr="00523556">
        <w:rPr>
          <w:rFonts w:ascii="Times New Roman" w:hAnsi="Times New Roman" w:cs="Times New Roman"/>
        </w:rPr>
        <w:t>DD</w:t>
      </w:r>
      <w:r w:rsidRPr="00523556">
        <w:rPr>
          <w:rFonts w:ascii="Times New Roman" w:hAnsi="Times New Roman" w:cs="Times New Roman"/>
        </w:rPr>
        <w:t xml:space="preserve"> (as a share of GDP and of bank deposits) have a substantive positive impact on economic growth. They find a positive linear relationship between commercial bank holdings of </w:t>
      </w:r>
      <w:r w:rsidR="001C36FA" w:rsidRPr="00523556">
        <w:rPr>
          <w:rFonts w:ascii="Times New Roman" w:hAnsi="Times New Roman" w:cs="Times New Roman"/>
        </w:rPr>
        <w:t>DD</w:t>
      </w:r>
      <w:r w:rsidRPr="00523556">
        <w:rPr>
          <w:rFonts w:ascii="Times New Roman" w:hAnsi="Times New Roman" w:cs="Times New Roman"/>
        </w:rPr>
        <w:t xml:space="preserve"> as a proportion of GDP and GDP growth, with approximately a 10</w:t>
      </w:r>
      <w:r w:rsidR="00E557B8" w:rsidRPr="00523556">
        <w:rPr>
          <w:rFonts w:ascii="Times New Roman" w:hAnsi="Times New Roman" w:cs="Times New Roman"/>
        </w:rPr>
        <w:t xml:space="preserve"> percentage point</w:t>
      </w:r>
      <w:r w:rsidRPr="00523556">
        <w:rPr>
          <w:rFonts w:ascii="Times New Roman" w:hAnsi="Times New Roman" w:cs="Times New Roman"/>
        </w:rPr>
        <w:t xml:space="preserve"> rise in the DD-to-GDP ratio leading to a 0.6</w:t>
      </w:r>
      <w:r w:rsidR="00E557B8" w:rsidRPr="00523556">
        <w:rPr>
          <w:rFonts w:ascii="Times New Roman" w:hAnsi="Times New Roman" w:cs="Times New Roman"/>
        </w:rPr>
        <w:t xml:space="preserve"> percentage point</w:t>
      </w:r>
      <w:r w:rsidRPr="00523556">
        <w:rPr>
          <w:rFonts w:ascii="Times New Roman" w:hAnsi="Times New Roman" w:cs="Times New Roman"/>
        </w:rPr>
        <w:t xml:space="preserve"> rise in annual GDP growth.</w:t>
      </w:r>
      <w:r w:rsidRPr="00523556">
        <w:rPr>
          <w:rStyle w:val="FootnoteReference"/>
          <w:rFonts w:ascii="Times New Roman" w:hAnsi="Times New Roman" w:cs="Times New Roman"/>
        </w:rPr>
        <w:footnoteReference w:id="30"/>
      </w:r>
      <w:r w:rsidRPr="00523556">
        <w:rPr>
          <w:rFonts w:ascii="Times New Roman" w:hAnsi="Times New Roman" w:cs="Times New Roman"/>
        </w:rPr>
        <w:t xml:space="preserve"> Reflecting the importance of financial depth, however, they find </w:t>
      </w:r>
      <w:r w:rsidR="001B61B9" w:rsidRPr="00523556">
        <w:rPr>
          <w:rFonts w:ascii="Times New Roman" w:hAnsi="Times New Roman" w:cs="Times New Roman"/>
        </w:rPr>
        <w:t xml:space="preserve">some evidence for </w:t>
      </w:r>
      <w:r w:rsidRPr="00523556">
        <w:rPr>
          <w:rFonts w:ascii="Times New Roman" w:hAnsi="Times New Roman" w:cs="Times New Roman"/>
        </w:rPr>
        <w:t>a non-linear relationship when DD is measured as a proportion of bank deposits – and specifically, that the net benefit begins to reverse when commercial bank holdings of domestic debt rise above 35</w:t>
      </w:r>
      <w:r w:rsidR="00E557B8" w:rsidRPr="00523556">
        <w:rPr>
          <w:rFonts w:ascii="Times New Roman" w:hAnsi="Times New Roman" w:cs="Times New Roman"/>
        </w:rPr>
        <w:t xml:space="preserve"> per cent</w:t>
      </w:r>
      <w:r w:rsidRPr="00523556">
        <w:rPr>
          <w:rFonts w:ascii="Times New Roman" w:hAnsi="Times New Roman" w:cs="Times New Roman"/>
        </w:rPr>
        <w:t xml:space="preserve"> of bank deposits (with traditional crowding out concerns seeming to dominate beyond this point); this compares to the ratio in Uganda at end-FY12/13 of 33.0</w:t>
      </w:r>
      <w:r w:rsidR="00E557B8" w:rsidRPr="00523556">
        <w:rPr>
          <w:rFonts w:ascii="Times New Roman" w:hAnsi="Times New Roman" w:cs="Times New Roman"/>
        </w:rPr>
        <w:t xml:space="preserve"> per cent</w:t>
      </w:r>
      <w:r w:rsidRPr="00523556">
        <w:rPr>
          <w:rFonts w:ascii="Times New Roman" w:hAnsi="Times New Roman" w:cs="Times New Roman"/>
        </w:rPr>
        <w:t>. The authors find evidence to suggest that the impact works through a number of channels, including: improved monetary policy</w:t>
      </w:r>
      <w:r w:rsidR="00ED7383" w:rsidRPr="00523556">
        <w:rPr>
          <w:rFonts w:ascii="Times New Roman" w:hAnsi="Times New Roman" w:cs="Times New Roman"/>
        </w:rPr>
        <w:t>;</w:t>
      </w:r>
      <w:r w:rsidRPr="00523556">
        <w:rPr>
          <w:rFonts w:ascii="Times New Roman" w:hAnsi="Times New Roman" w:cs="Times New Roman"/>
        </w:rPr>
        <w:t xml:space="preserve"> broader financial market development</w:t>
      </w:r>
      <w:r w:rsidR="00ED7383" w:rsidRPr="00523556">
        <w:rPr>
          <w:rFonts w:ascii="Times New Roman" w:hAnsi="Times New Roman" w:cs="Times New Roman"/>
        </w:rPr>
        <w:t>;</w:t>
      </w:r>
      <w:r w:rsidRPr="00523556">
        <w:rPr>
          <w:rFonts w:ascii="Times New Roman" w:hAnsi="Times New Roman" w:cs="Times New Roman"/>
        </w:rPr>
        <w:t xml:space="preserve"> strengthened domestic institutions</w:t>
      </w:r>
      <w:r w:rsidR="00ED7383" w:rsidRPr="00523556">
        <w:rPr>
          <w:rFonts w:ascii="Times New Roman" w:hAnsi="Times New Roman" w:cs="Times New Roman"/>
        </w:rPr>
        <w:t>;</w:t>
      </w:r>
      <w:r w:rsidRPr="00523556">
        <w:rPr>
          <w:rFonts w:ascii="Times New Roman" w:hAnsi="Times New Roman" w:cs="Times New Roman"/>
        </w:rPr>
        <w:t xml:space="preserve"> and enhanced private savings and financial intermediation. In a secondary set of regressions using a sample with broader measurement of </w:t>
      </w:r>
      <w:r w:rsidR="00ED7383" w:rsidRPr="00523556">
        <w:rPr>
          <w:rFonts w:ascii="Times New Roman" w:hAnsi="Times New Roman" w:cs="Times New Roman"/>
        </w:rPr>
        <w:t>DD</w:t>
      </w:r>
      <w:r w:rsidRPr="00523556">
        <w:rPr>
          <w:rFonts w:ascii="Times New Roman" w:hAnsi="Times New Roman" w:cs="Times New Roman"/>
        </w:rPr>
        <w:t xml:space="preserve">, they also find that the growth-enhancing impact of DD is larger when a higher share of </w:t>
      </w:r>
      <w:r w:rsidR="00ED7383" w:rsidRPr="00523556">
        <w:rPr>
          <w:rFonts w:ascii="Times New Roman" w:hAnsi="Times New Roman" w:cs="Times New Roman"/>
        </w:rPr>
        <w:t>DD</w:t>
      </w:r>
      <w:r w:rsidRPr="00523556">
        <w:rPr>
          <w:rFonts w:ascii="Times New Roman" w:hAnsi="Times New Roman" w:cs="Times New Roman"/>
        </w:rPr>
        <w:t xml:space="preserve"> is held outside the banking system.</w:t>
      </w:r>
    </w:p>
    <w:p w:rsidR="00E70602" w:rsidRPr="00523556" w:rsidRDefault="00666C67" w:rsidP="00E70602">
      <w:pPr>
        <w:jc w:val="center"/>
        <w:rPr>
          <w:rFonts w:ascii="Times New Roman" w:hAnsi="Times New Roman" w:cs="Times New Roman"/>
        </w:rPr>
      </w:pPr>
      <w:r w:rsidRPr="00523556">
        <w:rPr>
          <w:rFonts w:ascii="Times New Roman" w:hAnsi="Times New Roman" w:cs="Times New Roman"/>
          <w:noProof/>
          <w:lang w:eastAsia="en-GB"/>
        </w:rPr>
        <w:lastRenderedPageBreak/>
        <mc:AlternateContent>
          <mc:Choice Requires="wps">
            <w:drawing>
              <wp:inline distT="0" distB="0" distL="0" distR="0">
                <wp:extent cx="5685790" cy="6408420"/>
                <wp:effectExtent l="9525" t="9525" r="10160" b="1143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6408420"/>
                        </a:xfrm>
                        <a:prstGeom prst="rect">
                          <a:avLst/>
                        </a:prstGeom>
                        <a:solidFill>
                          <a:srgbClr val="FFFFFF"/>
                        </a:solidFill>
                        <a:ln w="9525">
                          <a:solidFill>
                            <a:srgbClr val="000000"/>
                          </a:solidFill>
                          <a:miter lim="800000"/>
                          <a:headEnd/>
                          <a:tailEnd/>
                        </a:ln>
                      </wps:spPr>
                      <wps:txbx>
                        <w:txbxContent>
                          <w:p w:rsidR="001237DB" w:rsidRPr="00BF5122" w:rsidRDefault="001237DB" w:rsidP="001B5A76">
                            <w:pPr>
                              <w:rPr>
                                <w:b/>
                                <w:u w:val="single"/>
                              </w:rPr>
                            </w:pPr>
                            <w:r w:rsidRPr="00BF5122">
                              <w:rPr>
                                <w:b/>
                                <w:u w:val="single"/>
                              </w:rPr>
                              <w:t>Box 2: Pros and Cons of Domestic Debt Issuance</w:t>
                            </w:r>
                          </w:p>
                          <w:p w:rsidR="001237DB" w:rsidRPr="00F72922" w:rsidRDefault="001237DB" w:rsidP="001B5A76">
                            <w:pPr>
                              <w:jc w:val="both"/>
                            </w:pPr>
                            <w:r w:rsidRPr="00F72922">
                              <w:t xml:space="preserve">Issuing domestic debt (DD) involves a broad range of potential costs and benefits. This box provides </w:t>
                            </w:r>
                            <w:r>
                              <w:t xml:space="preserve">just </w:t>
                            </w:r>
                            <w:r w:rsidRPr="00F72922">
                              <w:t xml:space="preserve">a brief overview; Abbas and Christensen (2010) </w:t>
                            </w:r>
                            <w:r>
                              <w:t xml:space="preserve">and Bua et al (2013) </w:t>
                            </w:r>
                            <w:r w:rsidRPr="00F72922">
                              <w:t>provide full</w:t>
                            </w:r>
                            <w:r>
                              <w:t>er</w:t>
                            </w:r>
                            <w:r w:rsidRPr="00F72922">
                              <w:t xml:space="preserve"> discussion</w:t>
                            </w:r>
                            <w:r>
                              <w:t>s</w:t>
                            </w:r>
                            <w:r w:rsidRPr="00F72922">
                              <w:t xml:space="preserve">. </w:t>
                            </w:r>
                          </w:p>
                          <w:p w:rsidR="001237DB" w:rsidRDefault="001237DB" w:rsidP="001B5A76">
                            <w:pPr>
                              <w:jc w:val="both"/>
                            </w:pPr>
                            <w:r>
                              <w:t xml:space="preserve">The cons of issuance have arguably attracted most policy and academic attention to date – particularly traditional crowding out concerns, and direct debt management cost and risk factors, as discussed in Section 2.2.2. DD issuance can also raise a range of fiscal concerns – including the possibility that the availability of domestic financing will delay tax mobilisation efforts, and the potential for DD interest costs to impinge on pro-poor and growth-enhancing spending and raise debt sustainability concerns. High DD stocks can also raise inflation expectations, if monetary policy credibility is low, by raising the perceived risk of government seeking to reduce the real debt burden through higher inflation. </w:t>
                            </w:r>
                          </w:p>
                          <w:p w:rsidR="001237DB" w:rsidRPr="00F72922" w:rsidRDefault="001237DB" w:rsidP="001B5A76">
                            <w:pPr>
                              <w:jc w:val="both"/>
                            </w:pPr>
                            <w:r w:rsidRPr="00C65C5F">
                              <w:t xml:space="preserve">However, there are also a range of potential benefits to DD issuance. For example, yields on government securities </w:t>
                            </w:r>
                            <w:r>
                              <w:t>provide</w:t>
                            </w:r>
                            <w:r w:rsidRPr="00C65C5F">
                              <w:t xml:space="preserve"> pricing benchmark</w:t>
                            </w:r>
                            <w:r>
                              <w:t>s</w:t>
                            </w:r>
                            <w:r w:rsidRPr="00C65C5F">
                              <w:t xml:space="preserve"> </w:t>
                            </w:r>
                            <w:r>
                              <w:t>that underpin</w:t>
                            </w:r>
                            <w:r w:rsidRPr="00C65C5F">
                              <w:t xml:space="preserve"> the development of private bond markets and other long-term lending.</w:t>
                            </w:r>
                            <w:r>
                              <w:t xml:space="preserve"> Treasury securities act as collateral for inter-bank lending – enabling commercial banks to better-manage their liquidity needs and thus the efficiency with which they can transform deposits in to credit, and giving central banks more scope to use market-based monetary policy tools. As a high-quality savings instrument, government securities can provide an attractive alternative to capital flight; and by increasing government’s reliability on its citizenry, it is argued that DD issuance can promote political accountability and thus pressure to improve policy and institutions. DD issuance will also help deepen and diversify governments’ financing sources – expanding potential resources available for infrastructure and other expenditure, and providing a means to manage shocks to other financing sources – as well as building a track record that can help to access international capital markets.</w:t>
                            </w:r>
                          </w:p>
                          <w:p w:rsidR="001237DB" w:rsidRPr="00E70602" w:rsidRDefault="001237DB" w:rsidP="001B5A76">
                            <w:r w:rsidRPr="00A72F9B">
                              <w:rPr>
                                <w:i/>
                              </w:rPr>
                              <w:t>Sources: Abbas and Christen</w:t>
                            </w:r>
                            <w:r>
                              <w:rPr>
                                <w:i/>
                              </w:rPr>
                              <w:t>sen</w:t>
                            </w:r>
                            <w:r w:rsidRPr="00A72F9B">
                              <w:rPr>
                                <w:i/>
                              </w:rPr>
                              <w:t xml:space="preserve"> (2010), Presbitero (2010), Bua et al (2013).</w:t>
                            </w:r>
                          </w:p>
                          <w:p w:rsidR="001237DB" w:rsidRPr="001B5A76" w:rsidRDefault="001237DB" w:rsidP="001B5A76"/>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47.7pt;height:50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">
                <v:textbox>
                  <w:txbxContent>
                    <w:p w:rsidR="001237DB" w:rsidRPr="00BF5122" w:rsidRDefault="001237DB" w:rsidP="001B5A76">
                      <w:pPr>
                        <w:rPr>
                          <w:b/>
                          <w:u w:val="single"/>
                        </w:rPr>
                      </w:pPr>
                      <w:r w:rsidRPr="00BF5122">
                        <w:rPr>
                          <w:b/>
                          <w:u w:val="single"/>
                        </w:rPr>
                        <w:t>Box 2: Pros and Cons of Domestic Debt Issuance</w:t>
                      </w:r>
                    </w:p>
                    <w:p w:rsidR="001237DB" w:rsidRPr="00F72922" w:rsidRDefault="001237DB" w:rsidP="001B5A76">
                      <w:pPr>
                        <w:jc w:val="both"/>
                      </w:pPr>
                      <w:r w:rsidRPr="00F72922">
                        <w:t xml:space="preserve">Issuing domestic debt (DD) involves a broad range of potential costs and benefits. This box provides </w:t>
                      </w:r>
                      <w:r>
                        <w:t xml:space="preserve">just </w:t>
                      </w:r>
                      <w:r w:rsidRPr="00F72922">
                        <w:t xml:space="preserve">a brief overview; Abbas and Christensen (2010) </w:t>
                      </w:r>
                      <w:r>
                        <w:t xml:space="preserve">and Bua et al (2013) </w:t>
                      </w:r>
                      <w:r w:rsidRPr="00F72922">
                        <w:t>provide full</w:t>
                      </w:r>
                      <w:r>
                        <w:t>er</w:t>
                      </w:r>
                      <w:r w:rsidRPr="00F72922">
                        <w:t xml:space="preserve"> discussion</w:t>
                      </w:r>
                      <w:r>
                        <w:t>s</w:t>
                      </w:r>
                      <w:r w:rsidRPr="00F72922">
                        <w:t xml:space="preserve">. </w:t>
                      </w:r>
                    </w:p>
                    <w:p w:rsidR="001237DB" w:rsidRDefault="001237DB" w:rsidP="001B5A76">
                      <w:pPr>
                        <w:jc w:val="both"/>
                      </w:pPr>
                      <w:r>
                        <w:t xml:space="preserve">The cons of issuance have arguably attracted most policy and academic attention to date – particularly traditional crowding out concerns, and direct debt management cost and risk factors, as discussed in Section 2.2.2. DD issuance can also raise a range of fiscal concerns – including the possibility that the availability of domestic financing will delay tax mobilisation efforts, and the potential for DD interest costs to impinge on pro-poor and growth-enhancing spending and raise debt sustainability concerns. High DD stocks can also raise inflation expectations, if monetary policy credibility is low, by raising the perceived risk of government seeking to reduce the real debt burden through higher inflation. </w:t>
                      </w:r>
                    </w:p>
                    <w:p w:rsidR="001237DB" w:rsidRPr="00F72922" w:rsidRDefault="001237DB" w:rsidP="001B5A76">
                      <w:pPr>
                        <w:jc w:val="both"/>
                      </w:pPr>
                      <w:r w:rsidRPr="00C65C5F">
                        <w:t xml:space="preserve">However, there are also a range of potential benefits to DD issuance. For example, yields on government securities </w:t>
                      </w:r>
                      <w:r>
                        <w:t>provide</w:t>
                      </w:r>
                      <w:r w:rsidRPr="00C65C5F">
                        <w:t xml:space="preserve"> pricing benchmark</w:t>
                      </w:r>
                      <w:r>
                        <w:t>s</w:t>
                      </w:r>
                      <w:r w:rsidRPr="00C65C5F">
                        <w:t xml:space="preserve"> </w:t>
                      </w:r>
                      <w:r>
                        <w:t>that underpin</w:t>
                      </w:r>
                      <w:r w:rsidRPr="00C65C5F">
                        <w:t xml:space="preserve"> the development of private bond markets and other long-term lending.</w:t>
                      </w:r>
                      <w:r>
                        <w:t xml:space="preserve"> Treasury securities act as collateral for inter-bank lending – enabling commercial banks to better-manage their liquidity needs and thus the efficiency with which they can transform deposits in to credit, and giving central banks more scope to use market-based monetary policy tools. As a high-quality savings instrument, government securities can provide an attractive alternative to capital flight; and by increasing government’s reliability on its citizenry, it is argued that DD issuance can promote political accountability and thus pressure to improve policy and institutions. DD issuance will also help deepen and diversify governments’ financing sources – expanding potential resources available for infrastructure and other expenditure, and providing a means to manage shocks to other financing sources – as well as building a track record that can help to access international capital markets.</w:t>
                      </w:r>
                    </w:p>
                    <w:p w:rsidR="001237DB" w:rsidRPr="00E70602" w:rsidRDefault="001237DB" w:rsidP="001B5A76">
                      <w:r w:rsidRPr="00A72F9B">
                        <w:rPr>
                          <w:i/>
                        </w:rPr>
                        <w:t>Sources: Abbas and Christen</w:t>
                      </w:r>
                      <w:r>
                        <w:rPr>
                          <w:i/>
                        </w:rPr>
                        <w:t>sen</w:t>
                      </w:r>
                      <w:r w:rsidRPr="00A72F9B">
                        <w:rPr>
                          <w:i/>
                        </w:rPr>
                        <w:t xml:space="preserve"> (2010), Presbitero (2010), Bua et al (2013).</w:t>
                      </w:r>
                    </w:p>
                    <w:p w:rsidR="001237DB" w:rsidRPr="001B5A76" w:rsidRDefault="001237DB" w:rsidP="001B5A76"/>
                  </w:txbxContent>
                </v:textbox>
                <w10:anchorlock/>
              </v:shape>
            </w:pict>
          </mc:Fallback>
        </mc:AlternateContent>
      </w:r>
    </w:p>
    <w:p w:rsidR="00BF5122" w:rsidRPr="00523556" w:rsidRDefault="00BF5122" w:rsidP="00BF5122">
      <w:pPr>
        <w:jc w:val="both"/>
        <w:rPr>
          <w:rFonts w:ascii="Times New Roman" w:hAnsi="Times New Roman" w:cs="Times New Roman"/>
        </w:rPr>
      </w:pPr>
      <w:r w:rsidRPr="00523556">
        <w:rPr>
          <w:rFonts w:ascii="Times New Roman" w:hAnsi="Times New Roman" w:cs="Times New Roman"/>
        </w:rPr>
        <w:t>Overall, whilst there has been a substantial literature on crowding out of private investment, and indeed on the overall growth impact of total levels of debt,</w:t>
      </w:r>
      <w:r w:rsidRPr="00523556">
        <w:rPr>
          <w:rStyle w:val="FootnoteReference"/>
          <w:rFonts w:ascii="Times New Roman" w:hAnsi="Times New Roman" w:cs="Times New Roman"/>
        </w:rPr>
        <w:footnoteReference w:id="31"/>
      </w:r>
      <w:r w:rsidRPr="00523556">
        <w:rPr>
          <w:rFonts w:ascii="Times New Roman" w:hAnsi="Times New Roman" w:cs="Times New Roman"/>
        </w:rPr>
        <w:t xml:space="preserve"> there has as yet been very little attention on crowding out and the broader growth impact of DD issuance in LICs – although this is beginning to be addressed. Whilst it is important not to give too much weight to a small number of initial studies – and much more research work needs to be done – they can at least be used, combined with the broader literature, to help inform policy decisions in an area previously severely lacking in any quantitative guidance for decision-makers; this is considered further in the following section. </w:t>
      </w:r>
    </w:p>
    <w:p w:rsidR="007360AF" w:rsidRPr="00523556" w:rsidRDefault="00151FED" w:rsidP="007360AF">
      <w:pPr>
        <w:pStyle w:val="Heading3"/>
        <w:rPr>
          <w:rFonts w:ascii="Times New Roman" w:hAnsi="Times New Roman" w:cs="Times New Roman"/>
        </w:rPr>
      </w:pPr>
      <w:r w:rsidRPr="00523556">
        <w:rPr>
          <w:rFonts w:ascii="Times New Roman" w:hAnsi="Times New Roman" w:cs="Times New Roman"/>
        </w:rPr>
        <w:lastRenderedPageBreak/>
        <w:t xml:space="preserve">2.2.3 </w:t>
      </w:r>
      <w:r w:rsidR="006077C5" w:rsidRPr="00523556">
        <w:rPr>
          <w:rFonts w:ascii="Times New Roman" w:hAnsi="Times New Roman" w:cs="Times New Roman"/>
        </w:rPr>
        <w:t>Determining the v</w:t>
      </w:r>
      <w:r w:rsidR="007360AF" w:rsidRPr="00523556">
        <w:rPr>
          <w:rFonts w:ascii="Times New Roman" w:hAnsi="Times New Roman" w:cs="Times New Roman"/>
        </w:rPr>
        <w:t xml:space="preserve">olume </w:t>
      </w:r>
      <w:r w:rsidR="00553810" w:rsidRPr="00523556">
        <w:rPr>
          <w:rFonts w:ascii="Times New Roman" w:hAnsi="Times New Roman" w:cs="Times New Roman"/>
        </w:rPr>
        <w:t xml:space="preserve">and composition </w:t>
      </w:r>
      <w:r w:rsidR="007360AF" w:rsidRPr="00523556">
        <w:rPr>
          <w:rFonts w:ascii="Times New Roman" w:hAnsi="Times New Roman" w:cs="Times New Roman"/>
        </w:rPr>
        <w:t xml:space="preserve">of </w:t>
      </w:r>
      <w:r w:rsidR="006077C5" w:rsidRPr="00523556">
        <w:rPr>
          <w:rFonts w:ascii="Times New Roman" w:hAnsi="Times New Roman" w:cs="Times New Roman"/>
        </w:rPr>
        <w:t xml:space="preserve">domestic debt </w:t>
      </w:r>
      <w:r w:rsidR="007360AF" w:rsidRPr="00523556">
        <w:rPr>
          <w:rFonts w:ascii="Times New Roman" w:hAnsi="Times New Roman" w:cs="Times New Roman"/>
        </w:rPr>
        <w:t>issuance</w:t>
      </w:r>
      <w:r w:rsidR="005F7ADD" w:rsidRPr="00523556">
        <w:rPr>
          <w:rStyle w:val="FootnoteReference"/>
          <w:rFonts w:ascii="Times New Roman" w:hAnsi="Times New Roman" w:cs="Times New Roman"/>
        </w:rPr>
        <w:footnoteReference w:id="32"/>
      </w:r>
    </w:p>
    <w:p w:rsidR="001B6052" w:rsidRPr="00523556" w:rsidRDefault="00B61247" w:rsidP="001B6052">
      <w:pPr>
        <w:pStyle w:val="Heading4"/>
        <w:rPr>
          <w:rFonts w:ascii="Times New Roman" w:hAnsi="Times New Roman" w:cs="Times New Roman"/>
        </w:rPr>
      </w:pPr>
      <w:r w:rsidRPr="00523556">
        <w:rPr>
          <w:rFonts w:ascii="Times New Roman" w:hAnsi="Times New Roman" w:cs="Times New Roman"/>
        </w:rPr>
        <w:t>V</w:t>
      </w:r>
      <w:r w:rsidR="001B6052" w:rsidRPr="00523556">
        <w:rPr>
          <w:rFonts w:ascii="Times New Roman" w:hAnsi="Times New Roman" w:cs="Times New Roman"/>
        </w:rPr>
        <w:t>olume of domestic debt issuance</w:t>
      </w:r>
    </w:p>
    <w:p w:rsidR="00A378F9" w:rsidRPr="00523556" w:rsidRDefault="00A019B9" w:rsidP="009251DD">
      <w:pPr>
        <w:jc w:val="both"/>
        <w:rPr>
          <w:rFonts w:ascii="Times New Roman" w:hAnsi="Times New Roman" w:cs="Times New Roman"/>
        </w:rPr>
      </w:pPr>
      <w:r w:rsidRPr="00523556">
        <w:rPr>
          <w:rFonts w:ascii="Times New Roman" w:hAnsi="Times New Roman" w:cs="Times New Roman"/>
        </w:rPr>
        <w:t>So</w:t>
      </w:r>
      <w:r w:rsidR="009251DD" w:rsidRPr="00523556">
        <w:rPr>
          <w:rFonts w:ascii="Times New Roman" w:hAnsi="Times New Roman" w:cs="Times New Roman"/>
        </w:rPr>
        <w:t xml:space="preserve"> </w:t>
      </w:r>
      <w:r w:rsidRPr="00523556">
        <w:rPr>
          <w:rFonts w:ascii="Times New Roman" w:hAnsi="Times New Roman" w:cs="Times New Roman"/>
        </w:rPr>
        <w:t xml:space="preserve">to what extent </w:t>
      </w:r>
      <w:r w:rsidR="00B0590A" w:rsidRPr="00523556">
        <w:rPr>
          <w:rFonts w:ascii="Times New Roman" w:hAnsi="Times New Roman" w:cs="Times New Roman"/>
        </w:rPr>
        <w:t xml:space="preserve">can or </w:t>
      </w:r>
      <w:r w:rsidR="00431E2C" w:rsidRPr="00523556">
        <w:rPr>
          <w:rFonts w:ascii="Times New Roman" w:hAnsi="Times New Roman" w:cs="Times New Roman"/>
        </w:rPr>
        <w:t xml:space="preserve">should Uganda </w:t>
      </w:r>
      <w:r w:rsidR="00B66BB5" w:rsidRPr="00523556">
        <w:rPr>
          <w:rFonts w:ascii="Times New Roman" w:hAnsi="Times New Roman" w:cs="Times New Roman"/>
        </w:rPr>
        <w:t>issue domestic debt</w:t>
      </w:r>
      <w:r w:rsidR="00B0590A" w:rsidRPr="00523556">
        <w:rPr>
          <w:rFonts w:ascii="Times New Roman" w:hAnsi="Times New Roman" w:cs="Times New Roman"/>
        </w:rPr>
        <w:t xml:space="preserve"> to help finance the budget</w:t>
      </w:r>
      <w:r w:rsidR="00431E2C" w:rsidRPr="00523556">
        <w:rPr>
          <w:rFonts w:ascii="Times New Roman" w:hAnsi="Times New Roman" w:cs="Times New Roman"/>
        </w:rPr>
        <w:t xml:space="preserve">? </w:t>
      </w:r>
      <w:r w:rsidRPr="00523556">
        <w:rPr>
          <w:rFonts w:ascii="Times New Roman" w:hAnsi="Times New Roman" w:cs="Times New Roman"/>
        </w:rPr>
        <w:t xml:space="preserve">This remains a </w:t>
      </w:r>
      <w:r w:rsidR="00201A30" w:rsidRPr="00523556">
        <w:rPr>
          <w:rFonts w:ascii="Times New Roman" w:hAnsi="Times New Roman" w:cs="Times New Roman"/>
        </w:rPr>
        <w:t>d</w:t>
      </w:r>
      <w:r w:rsidR="00431E2C" w:rsidRPr="00523556">
        <w:rPr>
          <w:rFonts w:ascii="Times New Roman" w:hAnsi="Times New Roman" w:cs="Times New Roman"/>
        </w:rPr>
        <w:t xml:space="preserve">ifficult </w:t>
      </w:r>
      <w:r w:rsidRPr="00523556">
        <w:rPr>
          <w:rFonts w:ascii="Times New Roman" w:hAnsi="Times New Roman" w:cs="Times New Roman"/>
        </w:rPr>
        <w:t>question to answer</w:t>
      </w:r>
      <w:r w:rsidR="002244AC" w:rsidRPr="00523556">
        <w:rPr>
          <w:rFonts w:ascii="Times New Roman" w:hAnsi="Times New Roman" w:cs="Times New Roman"/>
        </w:rPr>
        <w:t xml:space="preserve"> with precision</w:t>
      </w:r>
      <w:r w:rsidR="00EA0C6B" w:rsidRPr="00523556">
        <w:rPr>
          <w:rFonts w:ascii="Times New Roman" w:hAnsi="Times New Roman" w:cs="Times New Roman"/>
        </w:rPr>
        <w:t xml:space="preserve">, and will depend on the </w:t>
      </w:r>
      <w:r w:rsidR="001166E8" w:rsidRPr="00523556">
        <w:rPr>
          <w:rFonts w:ascii="Times New Roman" w:hAnsi="Times New Roman" w:cs="Times New Roman"/>
        </w:rPr>
        <w:t xml:space="preserve">impact of and balance between the various potential pros and cons of issuance </w:t>
      </w:r>
      <w:r w:rsidR="00EA0C6B" w:rsidRPr="00523556">
        <w:rPr>
          <w:rFonts w:ascii="Times New Roman" w:hAnsi="Times New Roman" w:cs="Times New Roman"/>
        </w:rPr>
        <w:t xml:space="preserve">(which </w:t>
      </w:r>
      <w:r w:rsidR="001166E8" w:rsidRPr="00523556">
        <w:rPr>
          <w:rFonts w:ascii="Times New Roman" w:hAnsi="Times New Roman" w:cs="Times New Roman"/>
        </w:rPr>
        <w:t xml:space="preserve">can be very </w:t>
      </w:r>
      <w:r w:rsidR="00EA0C6B" w:rsidRPr="00523556">
        <w:rPr>
          <w:rFonts w:ascii="Times New Roman" w:hAnsi="Times New Roman" w:cs="Times New Roman"/>
        </w:rPr>
        <w:t xml:space="preserve">difficult to </w:t>
      </w:r>
      <w:r w:rsidR="007176F0" w:rsidRPr="00523556">
        <w:rPr>
          <w:rFonts w:ascii="Times New Roman" w:hAnsi="Times New Roman" w:cs="Times New Roman"/>
        </w:rPr>
        <w:t>determine</w:t>
      </w:r>
      <w:r w:rsidR="00EA0C6B" w:rsidRPr="00523556">
        <w:rPr>
          <w:rFonts w:ascii="Times New Roman" w:hAnsi="Times New Roman" w:cs="Times New Roman"/>
        </w:rPr>
        <w:t>)</w:t>
      </w:r>
      <w:r w:rsidR="007176F0" w:rsidRPr="00523556">
        <w:rPr>
          <w:rFonts w:ascii="Times New Roman" w:hAnsi="Times New Roman" w:cs="Times New Roman"/>
        </w:rPr>
        <w:t>,</w:t>
      </w:r>
      <w:r w:rsidR="00213C79" w:rsidRPr="00523556">
        <w:rPr>
          <w:rFonts w:ascii="Times New Roman" w:hAnsi="Times New Roman" w:cs="Times New Roman"/>
        </w:rPr>
        <w:t xml:space="preserve"> </w:t>
      </w:r>
      <w:r w:rsidR="00CD30B5" w:rsidRPr="00523556">
        <w:rPr>
          <w:rFonts w:ascii="Times New Roman" w:hAnsi="Times New Roman" w:cs="Times New Roman"/>
        </w:rPr>
        <w:t>as well as</w:t>
      </w:r>
      <w:r w:rsidR="00213C79" w:rsidRPr="00523556">
        <w:rPr>
          <w:rFonts w:ascii="Times New Roman" w:hAnsi="Times New Roman" w:cs="Times New Roman"/>
        </w:rPr>
        <w:t xml:space="preserve"> </w:t>
      </w:r>
      <w:r w:rsidR="001166E8" w:rsidRPr="00523556">
        <w:rPr>
          <w:rFonts w:ascii="Times New Roman" w:hAnsi="Times New Roman" w:cs="Times New Roman"/>
        </w:rPr>
        <w:t>GoU’s own preferences and alternative potential financing strategies</w:t>
      </w:r>
      <w:r w:rsidR="00AF364C" w:rsidRPr="00523556">
        <w:rPr>
          <w:rFonts w:ascii="Times New Roman" w:hAnsi="Times New Roman" w:cs="Times New Roman"/>
        </w:rPr>
        <w:t>.</w:t>
      </w:r>
      <w:r w:rsidRPr="00523556">
        <w:rPr>
          <w:rFonts w:ascii="Times New Roman" w:hAnsi="Times New Roman" w:cs="Times New Roman"/>
        </w:rPr>
        <w:t xml:space="preserve"> </w:t>
      </w:r>
      <w:r w:rsidR="00AF364C" w:rsidRPr="00523556">
        <w:rPr>
          <w:rFonts w:ascii="Times New Roman" w:hAnsi="Times New Roman" w:cs="Times New Roman"/>
        </w:rPr>
        <w:t>H</w:t>
      </w:r>
      <w:r w:rsidR="00A378F9" w:rsidRPr="00523556">
        <w:rPr>
          <w:rFonts w:ascii="Times New Roman" w:hAnsi="Times New Roman" w:cs="Times New Roman"/>
        </w:rPr>
        <w:t>owever, the research just discussed</w:t>
      </w:r>
      <w:r w:rsidR="00213C79" w:rsidRPr="00523556">
        <w:rPr>
          <w:rFonts w:ascii="Times New Roman" w:hAnsi="Times New Roman" w:cs="Times New Roman"/>
        </w:rPr>
        <w:t>,</w:t>
      </w:r>
      <w:r w:rsidR="00A378F9" w:rsidRPr="00523556">
        <w:rPr>
          <w:rFonts w:ascii="Times New Roman" w:hAnsi="Times New Roman" w:cs="Times New Roman"/>
        </w:rPr>
        <w:t xml:space="preserve"> combined with further policy and practical considerations</w:t>
      </w:r>
      <w:r w:rsidR="00213C79" w:rsidRPr="00523556">
        <w:rPr>
          <w:rFonts w:ascii="Times New Roman" w:hAnsi="Times New Roman" w:cs="Times New Roman"/>
        </w:rPr>
        <w:t>,</w:t>
      </w:r>
      <w:r w:rsidR="00A378F9" w:rsidRPr="00523556">
        <w:rPr>
          <w:rFonts w:ascii="Times New Roman" w:hAnsi="Times New Roman" w:cs="Times New Roman"/>
        </w:rPr>
        <w:t xml:space="preserve"> can </w:t>
      </w:r>
      <w:r w:rsidR="00213C79" w:rsidRPr="00523556">
        <w:rPr>
          <w:rFonts w:ascii="Times New Roman" w:hAnsi="Times New Roman" w:cs="Times New Roman"/>
        </w:rPr>
        <w:t xml:space="preserve">be used to </w:t>
      </w:r>
      <w:r w:rsidR="00A378F9" w:rsidRPr="00523556">
        <w:rPr>
          <w:rFonts w:ascii="Times New Roman" w:hAnsi="Times New Roman" w:cs="Times New Roman"/>
        </w:rPr>
        <w:t xml:space="preserve">provide </w:t>
      </w:r>
      <w:r w:rsidR="00213C79" w:rsidRPr="00523556">
        <w:rPr>
          <w:rFonts w:ascii="Times New Roman" w:hAnsi="Times New Roman" w:cs="Times New Roman"/>
        </w:rPr>
        <w:t>at least a sense of the magnitudes of issuance GoU might want to consider.</w:t>
      </w:r>
      <w:r w:rsidR="00A378F9" w:rsidRPr="00523556">
        <w:rPr>
          <w:rFonts w:ascii="Times New Roman" w:hAnsi="Times New Roman" w:cs="Times New Roman"/>
        </w:rPr>
        <w:t xml:space="preserve"> </w:t>
      </w:r>
    </w:p>
    <w:p w:rsidR="00A94424" w:rsidRPr="00523556" w:rsidRDefault="00A94424" w:rsidP="0026234C">
      <w:pPr>
        <w:jc w:val="both"/>
        <w:rPr>
          <w:rFonts w:ascii="Times New Roman" w:hAnsi="Times New Roman" w:cs="Times New Roman"/>
        </w:rPr>
      </w:pPr>
      <w:r w:rsidRPr="00523556">
        <w:rPr>
          <w:rFonts w:ascii="Times New Roman" w:hAnsi="Times New Roman" w:cs="Times New Roman"/>
        </w:rPr>
        <w:t xml:space="preserve">It is first worth noting that </w:t>
      </w:r>
      <w:r w:rsidR="0026234C" w:rsidRPr="00523556">
        <w:rPr>
          <w:rFonts w:ascii="Times New Roman" w:hAnsi="Times New Roman" w:cs="Times New Roman"/>
        </w:rPr>
        <w:t xml:space="preserve">the current level of Uganda’s </w:t>
      </w:r>
      <w:r w:rsidR="00AD2295" w:rsidRPr="00523556">
        <w:rPr>
          <w:rFonts w:ascii="Times New Roman" w:hAnsi="Times New Roman" w:cs="Times New Roman"/>
        </w:rPr>
        <w:t xml:space="preserve">DD </w:t>
      </w:r>
      <w:r w:rsidR="0026234C" w:rsidRPr="00523556">
        <w:rPr>
          <w:rFonts w:ascii="Times New Roman" w:hAnsi="Times New Roman" w:cs="Times New Roman"/>
        </w:rPr>
        <w:t xml:space="preserve">is reassuring compared to some existing key </w:t>
      </w:r>
      <w:r w:rsidR="003D032D" w:rsidRPr="00523556">
        <w:rPr>
          <w:rFonts w:ascii="Times New Roman" w:hAnsi="Times New Roman" w:cs="Times New Roman"/>
        </w:rPr>
        <w:t xml:space="preserve">research </w:t>
      </w:r>
      <w:r w:rsidR="0026234C" w:rsidRPr="00523556">
        <w:rPr>
          <w:rFonts w:ascii="Times New Roman" w:hAnsi="Times New Roman" w:cs="Times New Roman"/>
        </w:rPr>
        <w:t>results</w:t>
      </w:r>
      <w:r w:rsidR="00DF3218" w:rsidRPr="00523556">
        <w:rPr>
          <w:rFonts w:ascii="Times New Roman" w:hAnsi="Times New Roman" w:cs="Times New Roman"/>
        </w:rPr>
        <w:t>, benchmarks</w:t>
      </w:r>
      <w:r w:rsidR="0026234C" w:rsidRPr="00523556">
        <w:rPr>
          <w:rFonts w:ascii="Times New Roman" w:hAnsi="Times New Roman" w:cs="Times New Roman"/>
        </w:rPr>
        <w:t xml:space="preserve"> and policy guidance. At 11.1</w:t>
      </w:r>
      <w:r w:rsidR="00E557B8" w:rsidRPr="00523556">
        <w:rPr>
          <w:rFonts w:ascii="Times New Roman" w:hAnsi="Times New Roman" w:cs="Times New Roman"/>
        </w:rPr>
        <w:t xml:space="preserve"> per cent</w:t>
      </w:r>
      <w:r w:rsidR="0026234C" w:rsidRPr="00523556">
        <w:rPr>
          <w:rFonts w:ascii="Times New Roman" w:hAnsi="Times New Roman" w:cs="Times New Roman"/>
        </w:rPr>
        <w:t xml:space="preserve"> of GDP at end-FY12/13, it is below the </w:t>
      </w:r>
      <w:r w:rsidR="00DF3218" w:rsidRPr="00523556">
        <w:rPr>
          <w:rFonts w:ascii="Times New Roman" w:hAnsi="Times New Roman" w:cs="Times New Roman"/>
        </w:rPr>
        <w:t xml:space="preserve">SSA average of around </w:t>
      </w:r>
      <w:r w:rsidR="00D67BA9" w:rsidRPr="00523556">
        <w:rPr>
          <w:rFonts w:ascii="Times New Roman" w:hAnsi="Times New Roman" w:cs="Times New Roman"/>
        </w:rPr>
        <w:t>15</w:t>
      </w:r>
      <w:r w:rsidR="00E557B8" w:rsidRPr="00523556">
        <w:rPr>
          <w:rFonts w:ascii="Times New Roman" w:hAnsi="Times New Roman" w:cs="Times New Roman"/>
        </w:rPr>
        <w:t xml:space="preserve"> per cent</w:t>
      </w:r>
      <w:r w:rsidR="00D67BA9" w:rsidRPr="00523556">
        <w:rPr>
          <w:rFonts w:ascii="Times New Roman" w:hAnsi="Times New Roman" w:cs="Times New Roman"/>
        </w:rPr>
        <w:t xml:space="preserve"> of GDP</w:t>
      </w:r>
      <w:r w:rsidR="00DF3218" w:rsidRPr="00523556">
        <w:rPr>
          <w:rFonts w:ascii="Times New Roman" w:hAnsi="Times New Roman" w:cs="Times New Roman"/>
        </w:rPr>
        <w:t xml:space="preserve">, </w:t>
      </w:r>
      <w:r w:rsidR="00D67BA9" w:rsidRPr="00523556">
        <w:rPr>
          <w:rFonts w:ascii="Times New Roman" w:hAnsi="Times New Roman" w:cs="Times New Roman"/>
        </w:rPr>
        <w:t xml:space="preserve">below the </w:t>
      </w:r>
      <w:r w:rsidR="0026234C" w:rsidRPr="00523556">
        <w:rPr>
          <w:rFonts w:ascii="Times New Roman" w:hAnsi="Times New Roman" w:cs="Times New Roman"/>
        </w:rPr>
        <w:t>15-20</w:t>
      </w:r>
      <w:r w:rsidR="00E557B8" w:rsidRPr="00523556">
        <w:rPr>
          <w:rFonts w:ascii="Times New Roman" w:hAnsi="Times New Roman" w:cs="Times New Roman"/>
        </w:rPr>
        <w:t xml:space="preserve"> per cent</w:t>
      </w:r>
      <w:r w:rsidR="0026234C" w:rsidRPr="00523556">
        <w:rPr>
          <w:rFonts w:ascii="Times New Roman" w:hAnsi="Times New Roman" w:cs="Times New Roman"/>
        </w:rPr>
        <w:t xml:space="preserve"> </w:t>
      </w:r>
      <w:r w:rsidR="00D67BA9" w:rsidRPr="00523556">
        <w:rPr>
          <w:rFonts w:ascii="Times New Roman" w:hAnsi="Times New Roman" w:cs="Times New Roman"/>
        </w:rPr>
        <w:t xml:space="preserve">of GDP </w:t>
      </w:r>
      <w:r w:rsidR="00817F18" w:rsidRPr="00523556">
        <w:rPr>
          <w:rFonts w:ascii="Times New Roman" w:hAnsi="Times New Roman" w:cs="Times New Roman"/>
        </w:rPr>
        <w:t xml:space="preserve">beyond which </w:t>
      </w:r>
      <w:r w:rsidR="0026234C" w:rsidRPr="00523556">
        <w:rPr>
          <w:rFonts w:ascii="Times New Roman" w:hAnsi="Times New Roman" w:cs="Times New Roman"/>
        </w:rPr>
        <w:t xml:space="preserve">guidance in IMF </w:t>
      </w:r>
      <w:r w:rsidR="00817F18" w:rsidRPr="00523556">
        <w:rPr>
          <w:rFonts w:ascii="Times New Roman" w:hAnsi="Times New Roman" w:cs="Times New Roman"/>
        </w:rPr>
        <w:t xml:space="preserve">and World Bank </w:t>
      </w:r>
      <w:r w:rsidR="0026234C" w:rsidRPr="00523556">
        <w:rPr>
          <w:rFonts w:ascii="Times New Roman" w:hAnsi="Times New Roman" w:cs="Times New Roman"/>
        </w:rPr>
        <w:t xml:space="preserve">(2008) </w:t>
      </w:r>
      <w:r w:rsidR="00817F18" w:rsidRPr="00523556">
        <w:rPr>
          <w:rFonts w:ascii="Times New Roman" w:hAnsi="Times New Roman" w:cs="Times New Roman"/>
        </w:rPr>
        <w:t>deemed as “significant” enough to warrant a closer review of risks</w:t>
      </w:r>
      <w:r w:rsidR="0007776E" w:rsidRPr="00523556">
        <w:rPr>
          <w:rFonts w:ascii="Times New Roman" w:hAnsi="Times New Roman" w:cs="Times New Roman"/>
        </w:rPr>
        <w:t>,</w:t>
      </w:r>
      <w:r w:rsidR="00817F18" w:rsidRPr="00523556">
        <w:rPr>
          <w:rStyle w:val="FootnoteReference"/>
          <w:rFonts w:ascii="Times New Roman" w:hAnsi="Times New Roman" w:cs="Times New Roman"/>
        </w:rPr>
        <w:footnoteReference w:id="33"/>
      </w:r>
      <w:r w:rsidR="0007776E" w:rsidRPr="00523556">
        <w:rPr>
          <w:rFonts w:ascii="Times New Roman" w:hAnsi="Times New Roman" w:cs="Times New Roman"/>
        </w:rPr>
        <w:t xml:space="preserve"> and comfortably below the level of 25</w:t>
      </w:r>
      <w:r w:rsidR="00E557B8" w:rsidRPr="00523556">
        <w:rPr>
          <w:rFonts w:ascii="Times New Roman" w:hAnsi="Times New Roman" w:cs="Times New Roman"/>
        </w:rPr>
        <w:t xml:space="preserve"> per cent</w:t>
      </w:r>
      <w:r w:rsidR="0007776E" w:rsidRPr="00523556">
        <w:rPr>
          <w:rFonts w:ascii="Times New Roman" w:hAnsi="Times New Roman" w:cs="Times New Roman"/>
        </w:rPr>
        <w:t xml:space="preserve"> of GDP that the recent revision to the IMF and World Bank debt sustainability framework </w:t>
      </w:r>
      <w:r w:rsidR="00F971A0" w:rsidRPr="00523556">
        <w:rPr>
          <w:rFonts w:ascii="Times New Roman" w:hAnsi="Times New Roman" w:cs="Times New Roman"/>
        </w:rPr>
        <w:t>could</w:t>
      </w:r>
      <w:r w:rsidR="0007776E" w:rsidRPr="00523556">
        <w:rPr>
          <w:rFonts w:ascii="Times New Roman" w:hAnsi="Times New Roman" w:cs="Times New Roman"/>
        </w:rPr>
        <w:t xml:space="preserve"> be </w:t>
      </w:r>
      <w:r w:rsidR="00F971A0" w:rsidRPr="00523556">
        <w:rPr>
          <w:rFonts w:ascii="Times New Roman" w:hAnsi="Times New Roman" w:cs="Times New Roman"/>
        </w:rPr>
        <w:t>taken (</w:t>
      </w:r>
      <w:r w:rsidR="0007776E" w:rsidRPr="00523556">
        <w:rPr>
          <w:rFonts w:ascii="Times New Roman" w:hAnsi="Times New Roman" w:cs="Times New Roman"/>
        </w:rPr>
        <w:t>very</w:t>
      </w:r>
      <w:r w:rsidR="00F971A0" w:rsidRPr="00523556">
        <w:rPr>
          <w:rFonts w:ascii="Times New Roman" w:hAnsi="Times New Roman" w:cs="Times New Roman"/>
        </w:rPr>
        <w:t xml:space="preserve"> </w:t>
      </w:r>
      <w:r w:rsidR="0007776E" w:rsidRPr="00523556">
        <w:rPr>
          <w:rFonts w:ascii="Times New Roman" w:hAnsi="Times New Roman" w:cs="Times New Roman"/>
        </w:rPr>
        <w:t>approximately</w:t>
      </w:r>
      <w:r w:rsidR="00F971A0" w:rsidRPr="00523556">
        <w:rPr>
          <w:rFonts w:ascii="Times New Roman" w:hAnsi="Times New Roman" w:cs="Times New Roman"/>
        </w:rPr>
        <w:t xml:space="preserve">) </w:t>
      </w:r>
      <w:r w:rsidR="0007776E" w:rsidRPr="00523556">
        <w:rPr>
          <w:rFonts w:ascii="Times New Roman" w:hAnsi="Times New Roman" w:cs="Times New Roman"/>
        </w:rPr>
        <w:t>to</w:t>
      </w:r>
      <w:r w:rsidR="00F971A0" w:rsidRPr="00523556">
        <w:rPr>
          <w:rFonts w:ascii="Times New Roman" w:hAnsi="Times New Roman" w:cs="Times New Roman"/>
        </w:rPr>
        <w:t xml:space="preserve"> </w:t>
      </w:r>
      <w:r w:rsidR="0007776E" w:rsidRPr="00523556">
        <w:rPr>
          <w:rFonts w:ascii="Times New Roman" w:hAnsi="Times New Roman" w:cs="Times New Roman"/>
        </w:rPr>
        <w:t>imply as a ‘sustainability’ benchmark for domestic debt.</w:t>
      </w:r>
      <w:r w:rsidR="006B2FD1" w:rsidRPr="00523556">
        <w:rPr>
          <w:rStyle w:val="FootnoteReference"/>
          <w:rFonts w:ascii="Times New Roman" w:hAnsi="Times New Roman" w:cs="Times New Roman"/>
        </w:rPr>
        <w:footnoteReference w:id="34"/>
      </w:r>
      <w:r w:rsidR="0007776E" w:rsidRPr="00523556">
        <w:rPr>
          <w:rFonts w:ascii="Times New Roman" w:hAnsi="Times New Roman" w:cs="Times New Roman"/>
        </w:rPr>
        <w:t xml:space="preserve"> </w:t>
      </w:r>
      <w:r w:rsidR="00683777" w:rsidRPr="00523556">
        <w:rPr>
          <w:rFonts w:ascii="Times New Roman" w:hAnsi="Times New Roman" w:cs="Times New Roman"/>
        </w:rPr>
        <w:t>Furthermore, government domestic debt held by commercial banks as a ratio to total deposits – at 33.0</w:t>
      </w:r>
      <w:r w:rsidR="00E557B8" w:rsidRPr="00523556">
        <w:rPr>
          <w:rFonts w:ascii="Times New Roman" w:hAnsi="Times New Roman" w:cs="Times New Roman"/>
        </w:rPr>
        <w:t xml:space="preserve"> per cent</w:t>
      </w:r>
      <w:r w:rsidR="00683777" w:rsidRPr="00523556">
        <w:rPr>
          <w:rFonts w:ascii="Times New Roman" w:hAnsi="Times New Roman" w:cs="Times New Roman"/>
        </w:rPr>
        <w:t xml:space="preserve"> at end-FY12/13 – is just below the 35</w:t>
      </w:r>
      <w:r w:rsidR="00E557B8" w:rsidRPr="00523556">
        <w:rPr>
          <w:rFonts w:ascii="Times New Roman" w:hAnsi="Times New Roman" w:cs="Times New Roman"/>
        </w:rPr>
        <w:t xml:space="preserve"> per cent</w:t>
      </w:r>
      <w:r w:rsidR="00683777" w:rsidRPr="00523556">
        <w:rPr>
          <w:rFonts w:ascii="Times New Roman" w:hAnsi="Times New Roman" w:cs="Times New Roman"/>
        </w:rPr>
        <w:t xml:space="preserve"> level that Abbas and Christensen (2010) suggest may maximise the net benefits of domestic debt issuance for economic growth. </w:t>
      </w:r>
    </w:p>
    <w:p w:rsidR="00683777" w:rsidRPr="00523556" w:rsidRDefault="004337FE" w:rsidP="0026234C">
      <w:pPr>
        <w:jc w:val="both"/>
        <w:rPr>
          <w:rFonts w:ascii="Times New Roman" w:hAnsi="Times New Roman" w:cs="Times New Roman"/>
        </w:rPr>
      </w:pPr>
      <w:r w:rsidRPr="00523556">
        <w:rPr>
          <w:rFonts w:ascii="Times New Roman" w:hAnsi="Times New Roman" w:cs="Times New Roman"/>
        </w:rPr>
        <w:t>In this context, s</w:t>
      </w:r>
      <w:r w:rsidR="00683777" w:rsidRPr="00523556">
        <w:rPr>
          <w:rFonts w:ascii="Times New Roman" w:hAnsi="Times New Roman" w:cs="Times New Roman"/>
        </w:rPr>
        <w:t xml:space="preserve">ome simple calculations can be used to inform what levels of net Treasury securities issuance may be </w:t>
      </w:r>
      <w:r w:rsidRPr="00523556">
        <w:rPr>
          <w:rFonts w:ascii="Times New Roman" w:hAnsi="Times New Roman" w:cs="Times New Roman"/>
        </w:rPr>
        <w:t xml:space="preserve">appropriate for Uganda </w:t>
      </w:r>
      <w:r w:rsidR="00683777" w:rsidRPr="00523556">
        <w:rPr>
          <w:rFonts w:ascii="Times New Roman" w:hAnsi="Times New Roman" w:cs="Times New Roman"/>
        </w:rPr>
        <w:t>over the medium term.</w:t>
      </w:r>
      <w:r w:rsidR="00614976" w:rsidRPr="00523556">
        <w:rPr>
          <w:rFonts w:ascii="Times New Roman" w:hAnsi="Times New Roman" w:cs="Times New Roman"/>
        </w:rPr>
        <w:t xml:space="preserve"> Firstly, </w:t>
      </w:r>
      <w:r w:rsidR="00402032" w:rsidRPr="00523556">
        <w:rPr>
          <w:rFonts w:ascii="Times New Roman" w:hAnsi="Times New Roman" w:cs="Times New Roman"/>
        </w:rPr>
        <w:t xml:space="preserve">even </w:t>
      </w:r>
      <w:r w:rsidR="00614976" w:rsidRPr="00523556">
        <w:rPr>
          <w:rFonts w:ascii="Times New Roman" w:hAnsi="Times New Roman" w:cs="Times New Roman"/>
        </w:rPr>
        <w:t xml:space="preserve">simply maintaining the DD-to-GDP ratio at its end-FY12/13 </w:t>
      </w:r>
      <w:r w:rsidRPr="00523556">
        <w:rPr>
          <w:rFonts w:ascii="Times New Roman" w:hAnsi="Times New Roman" w:cs="Times New Roman"/>
        </w:rPr>
        <w:t xml:space="preserve">level of </w:t>
      </w:r>
      <w:r w:rsidR="00614976" w:rsidRPr="00523556">
        <w:rPr>
          <w:rFonts w:ascii="Times New Roman" w:hAnsi="Times New Roman" w:cs="Times New Roman"/>
        </w:rPr>
        <w:t>11.1</w:t>
      </w:r>
      <w:r w:rsidR="00E557B8" w:rsidRPr="00523556">
        <w:rPr>
          <w:rFonts w:ascii="Times New Roman" w:hAnsi="Times New Roman" w:cs="Times New Roman"/>
        </w:rPr>
        <w:t xml:space="preserve"> per cent</w:t>
      </w:r>
      <w:r w:rsidR="00614976" w:rsidRPr="00523556">
        <w:rPr>
          <w:rFonts w:ascii="Times New Roman" w:hAnsi="Times New Roman" w:cs="Times New Roman"/>
        </w:rPr>
        <w:t xml:space="preserve"> </w:t>
      </w:r>
      <w:r w:rsidR="00402032" w:rsidRPr="00523556">
        <w:rPr>
          <w:rFonts w:ascii="Times New Roman" w:hAnsi="Times New Roman" w:cs="Times New Roman"/>
        </w:rPr>
        <w:t>would still be consistent with raising a substantive degree of financing through net securities issuance: i</w:t>
      </w:r>
      <w:r w:rsidR="00614976" w:rsidRPr="00523556">
        <w:rPr>
          <w:rFonts w:ascii="Times New Roman" w:hAnsi="Times New Roman" w:cs="Times New Roman"/>
        </w:rPr>
        <w:t>f nominal GDP is assumed to grow at 12</w:t>
      </w:r>
      <w:r w:rsidR="00E557B8" w:rsidRPr="00523556">
        <w:rPr>
          <w:rFonts w:ascii="Times New Roman" w:hAnsi="Times New Roman" w:cs="Times New Roman"/>
        </w:rPr>
        <w:t xml:space="preserve"> per cent</w:t>
      </w:r>
      <w:r w:rsidR="00614976" w:rsidRPr="00523556">
        <w:rPr>
          <w:rFonts w:ascii="Times New Roman" w:hAnsi="Times New Roman" w:cs="Times New Roman"/>
        </w:rPr>
        <w:t xml:space="preserve"> (reflecting annual real GDP growth of 7</w:t>
      </w:r>
      <w:r w:rsidR="00E557B8" w:rsidRPr="00523556">
        <w:rPr>
          <w:rFonts w:ascii="Times New Roman" w:hAnsi="Times New Roman" w:cs="Times New Roman"/>
        </w:rPr>
        <w:t xml:space="preserve"> per cent</w:t>
      </w:r>
      <w:r w:rsidR="00FF20B5" w:rsidRPr="00523556">
        <w:rPr>
          <w:rFonts w:ascii="Times New Roman" w:hAnsi="Times New Roman" w:cs="Times New Roman"/>
        </w:rPr>
        <w:t>, around the medium-term trend,</w:t>
      </w:r>
      <w:r w:rsidR="00614976" w:rsidRPr="00523556">
        <w:rPr>
          <w:rFonts w:ascii="Times New Roman" w:hAnsi="Times New Roman" w:cs="Times New Roman"/>
        </w:rPr>
        <w:t xml:space="preserve"> and inflation of around 5</w:t>
      </w:r>
      <w:r w:rsidR="00E557B8" w:rsidRPr="00523556">
        <w:rPr>
          <w:rFonts w:ascii="Times New Roman" w:hAnsi="Times New Roman" w:cs="Times New Roman"/>
        </w:rPr>
        <w:t xml:space="preserve"> per cent</w:t>
      </w:r>
      <w:r w:rsidR="00FF20B5" w:rsidRPr="00523556">
        <w:rPr>
          <w:rFonts w:ascii="Times New Roman" w:hAnsi="Times New Roman" w:cs="Times New Roman"/>
        </w:rPr>
        <w:t>, in line with</w:t>
      </w:r>
      <w:r w:rsidR="007E0F11" w:rsidRPr="00523556">
        <w:rPr>
          <w:rFonts w:ascii="Times New Roman" w:hAnsi="Times New Roman" w:cs="Times New Roman"/>
        </w:rPr>
        <w:t xml:space="preserve"> the</w:t>
      </w:r>
      <w:r w:rsidR="00FF20B5" w:rsidRPr="00523556">
        <w:rPr>
          <w:rFonts w:ascii="Times New Roman" w:hAnsi="Times New Roman" w:cs="Times New Roman"/>
        </w:rPr>
        <w:t xml:space="preserve"> BoU’s inflation target</w:t>
      </w:r>
      <w:r w:rsidR="00614976" w:rsidRPr="00523556">
        <w:rPr>
          <w:rFonts w:ascii="Times New Roman" w:hAnsi="Times New Roman" w:cs="Times New Roman"/>
        </w:rPr>
        <w:t xml:space="preserve">), </w:t>
      </w:r>
      <w:r w:rsidR="00440A3E" w:rsidRPr="00523556">
        <w:rPr>
          <w:rFonts w:ascii="Times New Roman" w:hAnsi="Times New Roman" w:cs="Times New Roman"/>
        </w:rPr>
        <w:t>the</w:t>
      </w:r>
      <w:r w:rsidR="00402032" w:rsidRPr="00523556">
        <w:rPr>
          <w:rFonts w:ascii="Times New Roman" w:hAnsi="Times New Roman" w:cs="Times New Roman"/>
        </w:rPr>
        <w:t>n an equivalent growth in the nominal stock of DD (to keep the DD-to-GDP ratio the same) would imply net issuance of around 1.2</w:t>
      </w:r>
      <w:r w:rsidR="00E557B8" w:rsidRPr="00523556">
        <w:rPr>
          <w:rFonts w:ascii="Times New Roman" w:hAnsi="Times New Roman" w:cs="Times New Roman"/>
        </w:rPr>
        <w:t xml:space="preserve"> per cent</w:t>
      </w:r>
      <w:r w:rsidR="00402032" w:rsidRPr="00523556">
        <w:rPr>
          <w:rFonts w:ascii="Times New Roman" w:hAnsi="Times New Roman" w:cs="Times New Roman"/>
        </w:rPr>
        <w:t xml:space="preserve"> of GDP </w:t>
      </w:r>
      <w:r w:rsidR="006A3C67" w:rsidRPr="00523556">
        <w:rPr>
          <w:rFonts w:ascii="Times New Roman" w:hAnsi="Times New Roman" w:cs="Times New Roman"/>
        </w:rPr>
        <w:t xml:space="preserve">each year </w:t>
      </w:r>
      <w:r w:rsidR="00402032" w:rsidRPr="00523556">
        <w:rPr>
          <w:rFonts w:ascii="Times New Roman" w:hAnsi="Times New Roman" w:cs="Times New Roman"/>
        </w:rPr>
        <w:t>(or Shs.730bn in FY13/14 terms).</w:t>
      </w:r>
      <w:r w:rsidR="007E0F11" w:rsidRPr="00523556">
        <w:rPr>
          <w:rStyle w:val="FootnoteReference"/>
          <w:rFonts w:ascii="Times New Roman" w:hAnsi="Times New Roman" w:cs="Times New Roman"/>
        </w:rPr>
        <w:footnoteReference w:id="35"/>
      </w:r>
    </w:p>
    <w:p w:rsidR="000F5CBA" w:rsidRPr="00523556" w:rsidRDefault="000F5CBA" w:rsidP="000F5CBA">
      <w:pPr>
        <w:jc w:val="both"/>
        <w:rPr>
          <w:rFonts w:ascii="Times New Roman" w:hAnsi="Times New Roman" w:cs="Times New Roman"/>
        </w:rPr>
      </w:pPr>
      <w:r w:rsidRPr="00523556">
        <w:rPr>
          <w:rFonts w:ascii="Times New Roman" w:hAnsi="Times New Roman" w:cs="Times New Roman"/>
        </w:rPr>
        <w:lastRenderedPageBreak/>
        <w:t>Next, reflecting concerns about the potential for increased DD issuance to exacerbate crowding out, it is instructive to consider the level of net issuance that would be consistent with maintaining the ratio of commercial bank holdings of DD to deposits at around its current level of 33</w:t>
      </w:r>
      <w:r w:rsidR="00E557B8" w:rsidRPr="00523556">
        <w:rPr>
          <w:rFonts w:ascii="Times New Roman" w:hAnsi="Times New Roman" w:cs="Times New Roman"/>
        </w:rPr>
        <w:t xml:space="preserve"> per cent</w:t>
      </w:r>
      <w:r w:rsidRPr="00523556">
        <w:rPr>
          <w:rFonts w:ascii="Times New Roman" w:hAnsi="Times New Roman" w:cs="Times New Roman"/>
        </w:rPr>
        <w:t>. If it is assumed that commercial bank deposits grow at around 15</w:t>
      </w:r>
      <w:r w:rsidR="00E557B8" w:rsidRPr="00523556">
        <w:rPr>
          <w:rFonts w:ascii="Times New Roman" w:hAnsi="Times New Roman" w:cs="Times New Roman"/>
        </w:rPr>
        <w:t xml:space="preserve"> per cent</w:t>
      </w:r>
      <w:r w:rsidRPr="00523556">
        <w:rPr>
          <w:rFonts w:ascii="Times New Roman" w:hAnsi="Times New Roman" w:cs="Times New Roman"/>
        </w:rPr>
        <w:t xml:space="preserve"> per year,</w:t>
      </w:r>
      <w:r w:rsidRPr="00523556">
        <w:rPr>
          <w:rStyle w:val="FootnoteReference"/>
          <w:rFonts w:ascii="Times New Roman" w:hAnsi="Times New Roman" w:cs="Times New Roman"/>
        </w:rPr>
        <w:footnoteReference w:id="36"/>
      </w:r>
      <w:r w:rsidRPr="00523556">
        <w:rPr>
          <w:rFonts w:ascii="Times New Roman" w:hAnsi="Times New Roman" w:cs="Times New Roman"/>
        </w:rPr>
        <w:t xml:space="preserve"> and that there is no change in banks’ share of total Treasury securities holdings, then a simple simulation shows this would imply net securities issuance averaging 1.6</w:t>
      </w:r>
      <w:r w:rsidR="00E557B8" w:rsidRPr="00523556">
        <w:rPr>
          <w:rFonts w:ascii="Times New Roman" w:hAnsi="Times New Roman" w:cs="Times New Roman"/>
        </w:rPr>
        <w:t xml:space="preserve"> per cent</w:t>
      </w:r>
      <w:r w:rsidRPr="00523556">
        <w:rPr>
          <w:rFonts w:ascii="Times New Roman" w:hAnsi="Times New Roman" w:cs="Times New Roman"/>
        </w:rPr>
        <w:t xml:space="preserve"> a year (or around Shs.1,000bn in FY13/14 terms) out to FY19/20 (and DD-to-GDP rising to 13.4</w:t>
      </w:r>
      <w:r w:rsidR="00E557B8" w:rsidRPr="00523556">
        <w:rPr>
          <w:rFonts w:ascii="Times New Roman" w:hAnsi="Times New Roman" w:cs="Times New Roman"/>
        </w:rPr>
        <w:t xml:space="preserve"> per cent</w:t>
      </w:r>
      <w:r w:rsidRPr="00523556">
        <w:rPr>
          <w:rFonts w:ascii="Times New Roman" w:hAnsi="Times New Roman" w:cs="Times New Roman"/>
        </w:rPr>
        <w:t>). There are two key points of note here. Firstly is that this is in line with GoU’s planned net issuance as set out in the Budget for FY13/14 – of 1.6</w:t>
      </w:r>
      <w:r w:rsidR="00E557B8" w:rsidRPr="00523556">
        <w:rPr>
          <w:rFonts w:ascii="Times New Roman" w:hAnsi="Times New Roman" w:cs="Times New Roman"/>
        </w:rPr>
        <w:t xml:space="preserve"> per cent</w:t>
      </w:r>
      <w:r w:rsidRPr="00523556">
        <w:rPr>
          <w:rFonts w:ascii="Times New Roman" w:hAnsi="Times New Roman" w:cs="Times New Roman"/>
        </w:rPr>
        <w:t xml:space="preserve"> of GDP, or just over Shs.1 trillion. Secondly, if GoU were successful in broadening the investor base (such that commercial banks accounted for a decreasing share of holdings), or in helping to deepen the financial sector (such that bank deposits grow at a faster rate), then maintaining the current DD-to-deposits ratio would be consistent with a higher level of net DD issuance accordingly. </w:t>
      </w:r>
    </w:p>
    <w:p w:rsidR="00974690" w:rsidRPr="00523556" w:rsidRDefault="000F5CBA" w:rsidP="0026234C">
      <w:pPr>
        <w:jc w:val="both"/>
        <w:rPr>
          <w:rFonts w:ascii="Times New Roman" w:hAnsi="Times New Roman" w:cs="Times New Roman"/>
        </w:rPr>
      </w:pPr>
      <w:r w:rsidRPr="00523556">
        <w:rPr>
          <w:rFonts w:ascii="Times New Roman" w:hAnsi="Times New Roman" w:cs="Times New Roman"/>
        </w:rPr>
        <w:t xml:space="preserve">Finally, it is worth considering the implications of the upper limit on the DD-to-GDP ratio </w:t>
      </w:r>
      <w:r w:rsidR="00CC6DCE" w:rsidRPr="00523556">
        <w:rPr>
          <w:rFonts w:ascii="Times New Roman" w:hAnsi="Times New Roman" w:cs="Times New Roman"/>
        </w:rPr>
        <w:t>of 15</w:t>
      </w:r>
      <w:r w:rsidR="00E557B8" w:rsidRPr="00523556">
        <w:rPr>
          <w:rFonts w:ascii="Times New Roman" w:hAnsi="Times New Roman" w:cs="Times New Roman"/>
        </w:rPr>
        <w:t xml:space="preserve"> per cent</w:t>
      </w:r>
      <w:r w:rsidR="00CC6DCE" w:rsidRPr="00523556">
        <w:rPr>
          <w:rFonts w:ascii="Times New Roman" w:hAnsi="Times New Roman" w:cs="Times New Roman"/>
        </w:rPr>
        <w:t xml:space="preserve"> </w:t>
      </w:r>
      <w:r w:rsidRPr="00523556">
        <w:rPr>
          <w:rFonts w:ascii="Times New Roman" w:hAnsi="Times New Roman" w:cs="Times New Roman"/>
        </w:rPr>
        <w:t>that GoU has proposed in the draft PDPF. A simple simulation shows that, assuming constant nominal GDP growth of 12</w:t>
      </w:r>
      <w:r w:rsidR="00E557B8" w:rsidRPr="00523556">
        <w:rPr>
          <w:rFonts w:ascii="Times New Roman" w:hAnsi="Times New Roman" w:cs="Times New Roman"/>
        </w:rPr>
        <w:t xml:space="preserve"> per cent</w:t>
      </w:r>
      <w:r w:rsidRPr="00523556">
        <w:rPr>
          <w:rFonts w:ascii="Times New Roman" w:hAnsi="Times New Roman" w:cs="Times New Roman"/>
        </w:rPr>
        <w:t xml:space="preserve"> each year, raising the DD-to-GDP ratio from its current level to 15</w:t>
      </w:r>
      <w:r w:rsidR="00E557B8" w:rsidRPr="00523556">
        <w:rPr>
          <w:rFonts w:ascii="Times New Roman" w:hAnsi="Times New Roman" w:cs="Times New Roman"/>
        </w:rPr>
        <w:t xml:space="preserve"> per cent</w:t>
      </w:r>
      <w:r w:rsidRPr="00523556">
        <w:rPr>
          <w:rFonts w:ascii="Times New Roman" w:hAnsi="Times New Roman" w:cs="Times New Roman"/>
        </w:rPr>
        <w:t xml:space="preserve"> by the end of the next NDP in FY19/20 would be consistent with average annual net Treasury securities issuance of around 2.0</w:t>
      </w:r>
      <w:r w:rsidR="00E557B8" w:rsidRPr="00523556">
        <w:rPr>
          <w:rFonts w:ascii="Times New Roman" w:hAnsi="Times New Roman" w:cs="Times New Roman"/>
        </w:rPr>
        <w:t xml:space="preserve"> per cent</w:t>
      </w:r>
      <w:r w:rsidRPr="00523556">
        <w:rPr>
          <w:rFonts w:ascii="Times New Roman" w:hAnsi="Times New Roman" w:cs="Times New Roman"/>
        </w:rPr>
        <w:t xml:space="preserve"> of GDP each year over this period (equivalent to just under Shs1,200bn in FY13/14 terms).</w:t>
      </w:r>
      <w:r w:rsidR="00614976" w:rsidRPr="00523556">
        <w:rPr>
          <w:rFonts w:ascii="Times New Roman" w:hAnsi="Times New Roman" w:cs="Times New Roman"/>
        </w:rPr>
        <w:t xml:space="preserve"> </w:t>
      </w:r>
      <w:r w:rsidR="00B40AFA" w:rsidRPr="00523556">
        <w:rPr>
          <w:rFonts w:ascii="Times New Roman" w:hAnsi="Times New Roman" w:cs="Times New Roman"/>
        </w:rPr>
        <w:t>A</w:t>
      </w:r>
      <w:r w:rsidR="00614976" w:rsidRPr="00523556">
        <w:rPr>
          <w:rFonts w:ascii="Times New Roman" w:hAnsi="Times New Roman" w:cs="Times New Roman"/>
        </w:rPr>
        <w:t xml:space="preserve"> limit on the DD-to-GDP ratio of 15</w:t>
      </w:r>
      <w:r w:rsidR="00E557B8" w:rsidRPr="00523556">
        <w:rPr>
          <w:rFonts w:ascii="Times New Roman" w:hAnsi="Times New Roman" w:cs="Times New Roman"/>
        </w:rPr>
        <w:t xml:space="preserve"> per cent</w:t>
      </w:r>
      <w:r w:rsidR="00614976" w:rsidRPr="00523556">
        <w:rPr>
          <w:rFonts w:ascii="Times New Roman" w:hAnsi="Times New Roman" w:cs="Times New Roman"/>
        </w:rPr>
        <w:t xml:space="preserve"> </w:t>
      </w:r>
      <w:r w:rsidR="00B40AFA" w:rsidRPr="00523556">
        <w:rPr>
          <w:rFonts w:ascii="Times New Roman" w:hAnsi="Times New Roman" w:cs="Times New Roman"/>
        </w:rPr>
        <w:t xml:space="preserve">certainly </w:t>
      </w:r>
      <w:r w:rsidR="00CC6DCE" w:rsidRPr="00523556">
        <w:rPr>
          <w:rFonts w:ascii="Times New Roman" w:hAnsi="Times New Roman" w:cs="Times New Roman"/>
        </w:rPr>
        <w:t xml:space="preserve">seems </w:t>
      </w:r>
      <w:r w:rsidR="00614976" w:rsidRPr="00523556">
        <w:rPr>
          <w:rFonts w:ascii="Times New Roman" w:hAnsi="Times New Roman" w:cs="Times New Roman"/>
        </w:rPr>
        <w:t>reasonable</w:t>
      </w:r>
      <w:r w:rsidR="00B40AFA" w:rsidRPr="00523556">
        <w:rPr>
          <w:rFonts w:ascii="Times New Roman" w:hAnsi="Times New Roman" w:cs="Times New Roman"/>
        </w:rPr>
        <w:t xml:space="preserve"> in the context of the SSA average and WB-IMF advice</w:t>
      </w:r>
      <w:r w:rsidR="008F4626" w:rsidRPr="00523556">
        <w:rPr>
          <w:rFonts w:ascii="Times New Roman" w:hAnsi="Times New Roman" w:cs="Times New Roman"/>
        </w:rPr>
        <w:t>.</w:t>
      </w:r>
      <w:r w:rsidR="00CC6DCE" w:rsidRPr="00523556">
        <w:rPr>
          <w:rFonts w:ascii="Times New Roman" w:hAnsi="Times New Roman" w:cs="Times New Roman"/>
        </w:rPr>
        <w:t xml:space="preserve"> </w:t>
      </w:r>
      <w:r w:rsidR="008F4626" w:rsidRPr="00523556">
        <w:rPr>
          <w:rFonts w:ascii="Times New Roman" w:hAnsi="Times New Roman" w:cs="Times New Roman"/>
        </w:rPr>
        <w:t>H</w:t>
      </w:r>
      <w:r w:rsidR="00CC6DCE" w:rsidRPr="00523556">
        <w:rPr>
          <w:rFonts w:ascii="Times New Roman" w:hAnsi="Times New Roman" w:cs="Times New Roman"/>
        </w:rPr>
        <w:t xml:space="preserve">owever, </w:t>
      </w:r>
      <w:r w:rsidR="008F4626" w:rsidRPr="00523556">
        <w:rPr>
          <w:rFonts w:ascii="Times New Roman" w:hAnsi="Times New Roman" w:cs="Times New Roman"/>
        </w:rPr>
        <w:t xml:space="preserve">broader considerations suggest </w:t>
      </w:r>
      <w:r w:rsidR="00CC6DCE" w:rsidRPr="00523556">
        <w:rPr>
          <w:rFonts w:ascii="Times New Roman" w:hAnsi="Times New Roman" w:cs="Times New Roman"/>
        </w:rPr>
        <w:t>that an</w:t>
      </w:r>
      <w:r w:rsidR="008F4626" w:rsidRPr="00523556">
        <w:rPr>
          <w:rFonts w:ascii="Times New Roman" w:hAnsi="Times New Roman" w:cs="Times New Roman"/>
        </w:rPr>
        <w:t>y</w:t>
      </w:r>
      <w:r w:rsidR="00CC6DCE" w:rsidRPr="00523556">
        <w:rPr>
          <w:rFonts w:ascii="Times New Roman" w:hAnsi="Times New Roman" w:cs="Times New Roman"/>
        </w:rPr>
        <w:t xml:space="preserve"> increase in DD </w:t>
      </w:r>
      <w:r w:rsidR="008F4626" w:rsidRPr="00523556">
        <w:rPr>
          <w:rFonts w:ascii="Times New Roman" w:hAnsi="Times New Roman" w:cs="Times New Roman"/>
        </w:rPr>
        <w:t xml:space="preserve">to this extent should be accompanied with a particularly-vigorous pursuit of reforms that would help minimise costs and maximise benefits associated with DD issuance </w:t>
      </w:r>
      <w:r w:rsidR="00DE5ED2" w:rsidRPr="00523556">
        <w:rPr>
          <w:rFonts w:ascii="Times New Roman" w:hAnsi="Times New Roman" w:cs="Times New Roman"/>
        </w:rPr>
        <w:t xml:space="preserve">– </w:t>
      </w:r>
      <w:r w:rsidR="000F2D71" w:rsidRPr="00523556">
        <w:rPr>
          <w:rFonts w:ascii="Times New Roman" w:hAnsi="Times New Roman" w:cs="Times New Roman"/>
        </w:rPr>
        <w:t xml:space="preserve">including </w:t>
      </w:r>
      <w:r w:rsidR="009354DD" w:rsidRPr="00523556">
        <w:rPr>
          <w:rFonts w:ascii="Times New Roman" w:hAnsi="Times New Roman" w:cs="Times New Roman"/>
        </w:rPr>
        <w:t>reforms</w:t>
      </w:r>
      <w:r w:rsidR="000F2D71" w:rsidRPr="00523556">
        <w:rPr>
          <w:rFonts w:ascii="Times New Roman" w:hAnsi="Times New Roman" w:cs="Times New Roman"/>
        </w:rPr>
        <w:t xml:space="preserve"> that </w:t>
      </w:r>
      <w:r w:rsidR="009354DD" w:rsidRPr="00523556">
        <w:rPr>
          <w:rFonts w:ascii="Times New Roman" w:hAnsi="Times New Roman" w:cs="Times New Roman"/>
        </w:rPr>
        <w:t xml:space="preserve">would </w:t>
      </w:r>
      <w:r w:rsidR="000F2D71" w:rsidRPr="00523556">
        <w:rPr>
          <w:rFonts w:ascii="Times New Roman" w:hAnsi="Times New Roman" w:cs="Times New Roman"/>
        </w:rPr>
        <w:t xml:space="preserve">support financial </w:t>
      </w:r>
      <w:r w:rsidR="00DD1AB9" w:rsidRPr="00523556">
        <w:rPr>
          <w:rFonts w:ascii="Times New Roman" w:hAnsi="Times New Roman" w:cs="Times New Roman"/>
        </w:rPr>
        <w:t xml:space="preserve">sector deepening </w:t>
      </w:r>
      <w:r w:rsidR="009354DD" w:rsidRPr="00523556">
        <w:rPr>
          <w:rFonts w:ascii="Times New Roman" w:hAnsi="Times New Roman" w:cs="Times New Roman"/>
        </w:rPr>
        <w:t xml:space="preserve">and </w:t>
      </w:r>
      <w:r w:rsidR="00DD1AB9" w:rsidRPr="00523556">
        <w:rPr>
          <w:rFonts w:ascii="Times New Roman" w:hAnsi="Times New Roman" w:cs="Times New Roman"/>
        </w:rPr>
        <w:t xml:space="preserve">help </w:t>
      </w:r>
      <w:r w:rsidR="00CF3021" w:rsidRPr="00523556">
        <w:rPr>
          <w:rFonts w:ascii="Times New Roman" w:hAnsi="Times New Roman" w:cs="Times New Roman"/>
        </w:rPr>
        <w:t xml:space="preserve">to </w:t>
      </w:r>
      <w:r w:rsidR="009354DD" w:rsidRPr="00523556">
        <w:rPr>
          <w:rFonts w:ascii="Times New Roman" w:hAnsi="Times New Roman" w:cs="Times New Roman"/>
        </w:rPr>
        <w:t>broaden the investor base in Treasury securities further beyond commercial banks</w:t>
      </w:r>
      <w:r w:rsidR="000F2D71" w:rsidRPr="00523556">
        <w:rPr>
          <w:rFonts w:ascii="Times New Roman" w:hAnsi="Times New Roman" w:cs="Times New Roman"/>
        </w:rPr>
        <w:t xml:space="preserve">, and thus mitigate the extent to which DD issuance </w:t>
      </w:r>
      <w:r w:rsidR="00CD30B5" w:rsidRPr="00523556">
        <w:rPr>
          <w:rFonts w:ascii="Times New Roman" w:hAnsi="Times New Roman" w:cs="Times New Roman"/>
        </w:rPr>
        <w:t xml:space="preserve">can </w:t>
      </w:r>
      <w:r w:rsidR="000F2D71" w:rsidRPr="00523556">
        <w:rPr>
          <w:rFonts w:ascii="Times New Roman" w:hAnsi="Times New Roman" w:cs="Times New Roman"/>
        </w:rPr>
        <w:t>crowd out private borrowing</w:t>
      </w:r>
      <w:r w:rsidR="009354DD" w:rsidRPr="00523556">
        <w:rPr>
          <w:rFonts w:ascii="Times New Roman" w:hAnsi="Times New Roman" w:cs="Times New Roman"/>
        </w:rPr>
        <w:t>; such reforms are</w:t>
      </w:r>
      <w:r w:rsidR="000F2D71" w:rsidRPr="00523556">
        <w:rPr>
          <w:rFonts w:ascii="Times New Roman" w:hAnsi="Times New Roman" w:cs="Times New Roman"/>
        </w:rPr>
        <w:t xml:space="preserve"> </w:t>
      </w:r>
      <w:r w:rsidR="00DE5ED2" w:rsidRPr="00523556">
        <w:rPr>
          <w:rFonts w:ascii="Times New Roman" w:hAnsi="Times New Roman" w:cs="Times New Roman"/>
        </w:rPr>
        <w:t>discussed in Section 2.2.4 below</w:t>
      </w:r>
      <w:r w:rsidR="000F2D71" w:rsidRPr="00523556">
        <w:rPr>
          <w:rFonts w:ascii="Times New Roman" w:hAnsi="Times New Roman" w:cs="Times New Roman"/>
        </w:rPr>
        <w:t>.</w:t>
      </w:r>
    </w:p>
    <w:p w:rsidR="00D72124" w:rsidRPr="00523556" w:rsidRDefault="000E20F5" w:rsidP="00D32ABB">
      <w:pPr>
        <w:jc w:val="both"/>
        <w:rPr>
          <w:rFonts w:ascii="Times New Roman" w:hAnsi="Times New Roman" w:cs="Times New Roman"/>
        </w:rPr>
      </w:pPr>
      <w:r w:rsidRPr="00523556">
        <w:rPr>
          <w:rFonts w:ascii="Times New Roman" w:hAnsi="Times New Roman" w:cs="Times New Roman"/>
        </w:rPr>
        <w:t xml:space="preserve">These three scenarios imply </w:t>
      </w:r>
      <w:r w:rsidR="00C06864" w:rsidRPr="00523556">
        <w:rPr>
          <w:rFonts w:ascii="Times New Roman" w:hAnsi="Times New Roman" w:cs="Times New Roman"/>
        </w:rPr>
        <w:t xml:space="preserve">a range of </w:t>
      </w:r>
      <w:r w:rsidRPr="00523556">
        <w:rPr>
          <w:rFonts w:ascii="Times New Roman" w:hAnsi="Times New Roman" w:cs="Times New Roman"/>
        </w:rPr>
        <w:t>net Treasury securities issuance from 1.2</w:t>
      </w:r>
      <w:r w:rsidR="00E557B8" w:rsidRPr="00523556">
        <w:rPr>
          <w:rFonts w:ascii="Times New Roman" w:hAnsi="Times New Roman" w:cs="Times New Roman"/>
        </w:rPr>
        <w:t xml:space="preserve"> per cent</w:t>
      </w:r>
      <w:r w:rsidRPr="00523556">
        <w:rPr>
          <w:rFonts w:ascii="Times New Roman" w:hAnsi="Times New Roman" w:cs="Times New Roman"/>
        </w:rPr>
        <w:t xml:space="preserve"> of GDP to 2.0</w:t>
      </w:r>
      <w:r w:rsidR="00E557B8" w:rsidRPr="00523556">
        <w:rPr>
          <w:rFonts w:ascii="Times New Roman" w:hAnsi="Times New Roman" w:cs="Times New Roman"/>
        </w:rPr>
        <w:t xml:space="preserve"> per cent</w:t>
      </w:r>
      <w:r w:rsidRPr="00523556">
        <w:rPr>
          <w:rFonts w:ascii="Times New Roman" w:hAnsi="Times New Roman" w:cs="Times New Roman"/>
        </w:rPr>
        <w:t xml:space="preserve"> of GDP each year. </w:t>
      </w:r>
      <w:r w:rsidR="00D32ABB" w:rsidRPr="00523556">
        <w:rPr>
          <w:rFonts w:ascii="Times New Roman" w:hAnsi="Times New Roman" w:cs="Times New Roman"/>
        </w:rPr>
        <w:t xml:space="preserve">Recent experience suggests </w:t>
      </w:r>
      <w:r w:rsidR="00C06864" w:rsidRPr="00523556">
        <w:rPr>
          <w:rFonts w:ascii="Times New Roman" w:hAnsi="Times New Roman" w:cs="Times New Roman"/>
        </w:rPr>
        <w:t xml:space="preserve">it would be feasible to raise </w:t>
      </w:r>
      <w:r w:rsidR="0026606C" w:rsidRPr="00523556">
        <w:rPr>
          <w:rFonts w:ascii="Times New Roman" w:hAnsi="Times New Roman" w:cs="Times New Roman"/>
        </w:rPr>
        <w:t xml:space="preserve">any level </w:t>
      </w:r>
      <w:r w:rsidR="00C06864" w:rsidRPr="00523556">
        <w:rPr>
          <w:rFonts w:ascii="Times New Roman" w:hAnsi="Times New Roman" w:cs="Times New Roman"/>
        </w:rPr>
        <w:t xml:space="preserve">of financing </w:t>
      </w:r>
      <w:r w:rsidR="0026606C" w:rsidRPr="00523556">
        <w:rPr>
          <w:rFonts w:ascii="Times New Roman" w:hAnsi="Times New Roman" w:cs="Times New Roman"/>
        </w:rPr>
        <w:t xml:space="preserve">within </w:t>
      </w:r>
      <w:r w:rsidR="00D32ABB" w:rsidRPr="00523556">
        <w:rPr>
          <w:rFonts w:ascii="Times New Roman" w:hAnsi="Times New Roman" w:cs="Times New Roman"/>
        </w:rPr>
        <w:t xml:space="preserve">this range without significant difficulty; </w:t>
      </w:r>
      <w:r w:rsidRPr="00523556">
        <w:rPr>
          <w:rFonts w:ascii="Times New Roman" w:hAnsi="Times New Roman" w:cs="Times New Roman"/>
        </w:rPr>
        <w:t xml:space="preserve">average net issuance over the past ten years </w:t>
      </w:r>
      <w:r w:rsidR="00D32ABB" w:rsidRPr="00523556">
        <w:rPr>
          <w:rFonts w:ascii="Times New Roman" w:hAnsi="Times New Roman" w:cs="Times New Roman"/>
        </w:rPr>
        <w:t xml:space="preserve">has been </w:t>
      </w:r>
      <w:r w:rsidRPr="00523556">
        <w:rPr>
          <w:rFonts w:ascii="Times New Roman" w:hAnsi="Times New Roman" w:cs="Times New Roman"/>
        </w:rPr>
        <w:t>1.5</w:t>
      </w:r>
      <w:r w:rsidR="00E557B8" w:rsidRPr="00523556">
        <w:rPr>
          <w:rFonts w:ascii="Times New Roman" w:hAnsi="Times New Roman" w:cs="Times New Roman"/>
        </w:rPr>
        <w:t xml:space="preserve"> per cent</w:t>
      </w:r>
      <w:r w:rsidR="00D32ABB" w:rsidRPr="00523556">
        <w:rPr>
          <w:rFonts w:ascii="Times New Roman" w:hAnsi="Times New Roman" w:cs="Times New Roman"/>
        </w:rPr>
        <w:t xml:space="preserve"> of GDP</w:t>
      </w:r>
      <w:r w:rsidR="00CD775F" w:rsidRPr="00523556">
        <w:rPr>
          <w:rFonts w:ascii="Times New Roman" w:hAnsi="Times New Roman" w:cs="Times New Roman"/>
        </w:rPr>
        <w:t xml:space="preserve"> – in the middle of this range – and </w:t>
      </w:r>
      <w:r w:rsidR="00D32ABB" w:rsidRPr="00523556">
        <w:rPr>
          <w:rFonts w:ascii="Times New Roman" w:hAnsi="Times New Roman" w:cs="Times New Roman"/>
        </w:rPr>
        <w:t>in four years of the last ten net issuance has been equal to or higher than 2.0</w:t>
      </w:r>
      <w:r w:rsidR="00E557B8" w:rsidRPr="00523556">
        <w:rPr>
          <w:rFonts w:ascii="Times New Roman" w:hAnsi="Times New Roman" w:cs="Times New Roman"/>
        </w:rPr>
        <w:t xml:space="preserve"> per cent</w:t>
      </w:r>
      <w:r w:rsidR="00D32ABB" w:rsidRPr="00523556">
        <w:rPr>
          <w:rFonts w:ascii="Times New Roman" w:hAnsi="Times New Roman" w:cs="Times New Roman"/>
        </w:rPr>
        <w:t xml:space="preserve"> of GDP.</w:t>
      </w:r>
      <w:r w:rsidR="00CB1E12" w:rsidRPr="00523556">
        <w:rPr>
          <w:rStyle w:val="FootnoteReference"/>
          <w:rFonts w:ascii="Times New Roman" w:hAnsi="Times New Roman" w:cs="Times New Roman"/>
        </w:rPr>
        <w:footnoteReference w:id="37"/>
      </w:r>
      <w:r w:rsidR="00C27915" w:rsidRPr="00523556">
        <w:rPr>
          <w:rFonts w:ascii="Times New Roman" w:hAnsi="Times New Roman" w:cs="Times New Roman"/>
        </w:rPr>
        <w:t xml:space="preserve"> </w:t>
      </w:r>
    </w:p>
    <w:p w:rsidR="00B56BF8" w:rsidRPr="00523556" w:rsidRDefault="005B39D8" w:rsidP="00D32ABB">
      <w:pPr>
        <w:jc w:val="both"/>
        <w:rPr>
          <w:rFonts w:ascii="Times New Roman" w:hAnsi="Times New Roman" w:cs="Times New Roman"/>
        </w:rPr>
      </w:pPr>
      <w:r w:rsidRPr="00523556">
        <w:rPr>
          <w:rFonts w:ascii="Times New Roman" w:hAnsi="Times New Roman" w:cs="Times New Roman"/>
        </w:rPr>
        <w:lastRenderedPageBreak/>
        <w:t>Overall, i</w:t>
      </w:r>
      <w:r w:rsidR="00CD30B5" w:rsidRPr="00523556">
        <w:rPr>
          <w:rFonts w:ascii="Times New Roman" w:hAnsi="Times New Roman" w:cs="Times New Roman"/>
        </w:rPr>
        <w:t>t is not possible to provide a robust</w:t>
      </w:r>
      <w:r w:rsidR="0089466E" w:rsidRPr="00523556">
        <w:rPr>
          <w:rFonts w:ascii="Times New Roman" w:hAnsi="Times New Roman" w:cs="Times New Roman"/>
        </w:rPr>
        <w:t xml:space="preserve"> precise </w:t>
      </w:r>
      <w:r w:rsidR="00CD30B5" w:rsidRPr="00523556">
        <w:rPr>
          <w:rFonts w:ascii="Times New Roman" w:hAnsi="Times New Roman" w:cs="Times New Roman"/>
        </w:rPr>
        <w:t>prescri</w:t>
      </w:r>
      <w:r w:rsidR="0089466E" w:rsidRPr="00523556">
        <w:rPr>
          <w:rFonts w:ascii="Times New Roman" w:hAnsi="Times New Roman" w:cs="Times New Roman"/>
        </w:rPr>
        <w:t xml:space="preserve">ption for the level of net issuance that GoU ‘should’ issue, particularly given the limited range of research findings and policy guidance that is available to date. However, </w:t>
      </w:r>
      <w:r w:rsidR="0027522A" w:rsidRPr="00523556">
        <w:rPr>
          <w:rFonts w:ascii="Times New Roman" w:hAnsi="Times New Roman" w:cs="Times New Roman"/>
        </w:rPr>
        <w:t xml:space="preserve">what evidence is available suggests: that a range for net </w:t>
      </w:r>
      <w:r w:rsidR="00D72124" w:rsidRPr="00523556">
        <w:rPr>
          <w:rFonts w:ascii="Times New Roman" w:hAnsi="Times New Roman" w:cs="Times New Roman"/>
        </w:rPr>
        <w:t xml:space="preserve">annual DD </w:t>
      </w:r>
      <w:r w:rsidR="0027522A" w:rsidRPr="00523556">
        <w:rPr>
          <w:rFonts w:ascii="Times New Roman" w:hAnsi="Times New Roman" w:cs="Times New Roman"/>
        </w:rPr>
        <w:t>issuance of 1.2</w:t>
      </w:r>
      <w:r w:rsidR="00E557B8" w:rsidRPr="00523556">
        <w:rPr>
          <w:rFonts w:ascii="Times New Roman" w:hAnsi="Times New Roman" w:cs="Times New Roman"/>
        </w:rPr>
        <w:t xml:space="preserve"> to </w:t>
      </w:r>
      <w:r w:rsidR="0027522A" w:rsidRPr="00523556">
        <w:rPr>
          <w:rFonts w:ascii="Times New Roman" w:hAnsi="Times New Roman" w:cs="Times New Roman"/>
        </w:rPr>
        <w:t>2.0</w:t>
      </w:r>
      <w:r w:rsidR="00E557B8" w:rsidRPr="00523556">
        <w:rPr>
          <w:rFonts w:ascii="Times New Roman" w:hAnsi="Times New Roman" w:cs="Times New Roman"/>
        </w:rPr>
        <w:t xml:space="preserve"> per cent</w:t>
      </w:r>
      <w:r w:rsidR="0027522A" w:rsidRPr="00523556">
        <w:rPr>
          <w:rFonts w:ascii="Times New Roman" w:hAnsi="Times New Roman" w:cs="Times New Roman"/>
        </w:rPr>
        <w:t xml:space="preserve"> of GDP </w:t>
      </w:r>
      <w:r w:rsidRPr="00523556">
        <w:rPr>
          <w:rFonts w:ascii="Times New Roman" w:hAnsi="Times New Roman" w:cs="Times New Roman"/>
        </w:rPr>
        <w:t>provides a useful guide for what levels might be considered</w:t>
      </w:r>
      <w:r w:rsidR="0027522A" w:rsidRPr="00523556">
        <w:rPr>
          <w:rFonts w:ascii="Times New Roman" w:hAnsi="Times New Roman" w:cs="Times New Roman"/>
        </w:rPr>
        <w:t>; that the 1.6</w:t>
      </w:r>
      <w:r w:rsidR="00E557B8" w:rsidRPr="00523556">
        <w:rPr>
          <w:rFonts w:ascii="Times New Roman" w:hAnsi="Times New Roman" w:cs="Times New Roman"/>
        </w:rPr>
        <w:t xml:space="preserve"> per cent</w:t>
      </w:r>
      <w:r w:rsidR="0027522A" w:rsidRPr="00523556">
        <w:rPr>
          <w:rFonts w:ascii="Times New Roman" w:hAnsi="Times New Roman" w:cs="Times New Roman"/>
        </w:rPr>
        <w:t xml:space="preserve"> of GDP net issuance planned in the Budget for FY13/14 looks very reasonable</w:t>
      </w:r>
      <w:r w:rsidR="00D72124" w:rsidRPr="00523556">
        <w:rPr>
          <w:rFonts w:ascii="Times New Roman" w:hAnsi="Times New Roman" w:cs="Times New Roman"/>
        </w:rPr>
        <w:t xml:space="preserve"> for this year</w:t>
      </w:r>
      <w:r w:rsidR="0027522A" w:rsidRPr="00523556">
        <w:rPr>
          <w:rFonts w:ascii="Times New Roman" w:hAnsi="Times New Roman" w:cs="Times New Roman"/>
        </w:rPr>
        <w:t xml:space="preserve">; and that higher levels of net issuance </w:t>
      </w:r>
      <w:r w:rsidR="00D72124" w:rsidRPr="00523556">
        <w:rPr>
          <w:rFonts w:ascii="Times New Roman" w:hAnsi="Times New Roman" w:cs="Times New Roman"/>
        </w:rPr>
        <w:t>could</w:t>
      </w:r>
      <w:r w:rsidR="0027522A" w:rsidRPr="00523556">
        <w:rPr>
          <w:rFonts w:ascii="Times New Roman" w:hAnsi="Times New Roman" w:cs="Times New Roman"/>
        </w:rPr>
        <w:t xml:space="preserve"> be </w:t>
      </w:r>
      <w:r w:rsidR="00D72124" w:rsidRPr="00523556">
        <w:rPr>
          <w:rFonts w:ascii="Times New Roman" w:hAnsi="Times New Roman" w:cs="Times New Roman"/>
        </w:rPr>
        <w:t>warranted over the medium term (up to a maximum of around 2.0</w:t>
      </w:r>
      <w:r w:rsidR="00E557B8" w:rsidRPr="00523556">
        <w:rPr>
          <w:rFonts w:ascii="Times New Roman" w:hAnsi="Times New Roman" w:cs="Times New Roman"/>
        </w:rPr>
        <w:t xml:space="preserve"> per cent</w:t>
      </w:r>
      <w:r w:rsidR="00D72124" w:rsidRPr="00523556">
        <w:rPr>
          <w:rFonts w:ascii="Times New Roman" w:hAnsi="Times New Roman" w:cs="Times New Roman"/>
        </w:rPr>
        <w:t xml:space="preserve"> of GDP per year, consistent with the level of DD rising to 15</w:t>
      </w:r>
      <w:r w:rsidR="00E557B8" w:rsidRPr="00523556">
        <w:rPr>
          <w:rFonts w:ascii="Times New Roman" w:hAnsi="Times New Roman" w:cs="Times New Roman"/>
        </w:rPr>
        <w:t xml:space="preserve"> per cent</w:t>
      </w:r>
      <w:r w:rsidR="00D72124" w:rsidRPr="00523556">
        <w:rPr>
          <w:rFonts w:ascii="Times New Roman" w:hAnsi="Times New Roman" w:cs="Times New Roman"/>
        </w:rPr>
        <w:t xml:space="preserve"> as a ratio to GDP) </w:t>
      </w:r>
      <w:r w:rsidR="0027522A" w:rsidRPr="00523556">
        <w:rPr>
          <w:rFonts w:ascii="Times New Roman" w:hAnsi="Times New Roman" w:cs="Times New Roman"/>
        </w:rPr>
        <w:t>– but that the higher the level of net issuance</w:t>
      </w:r>
      <w:r w:rsidR="00D72124" w:rsidRPr="00523556">
        <w:rPr>
          <w:rFonts w:ascii="Times New Roman" w:hAnsi="Times New Roman" w:cs="Times New Roman"/>
        </w:rPr>
        <w:t xml:space="preserve"> undertaken</w:t>
      </w:r>
      <w:r w:rsidR="0027522A" w:rsidRPr="00523556">
        <w:rPr>
          <w:rFonts w:ascii="Times New Roman" w:hAnsi="Times New Roman" w:cs="Times New Roman"/>
        </w:rPr>
        <w:t>, the more pressing it will be to deliver reforms that</w:t>
      </w:r>
      <w:r w:rsidRPr="00523556">
        <w:rPr>
          <w:rFonts w:ascii="Times New Roman" w:hAnsi="Times New Roman" w:cs="Times New Roman"/>
        </w:rPr>
        <w:t xml:space="preserve"> increase financial depth</w:t>
      </w:r>
      <w:r w:rsidR="0027522A" w:rsidRPr="00523556">
        <w:rPr>
          <w:rFonts w:ascii="Times New Roman" w:hAnsi="Times New Roman" w:cs="Times New Roman"/>
        </w:rPr>
        <w:t>, broaden the Treasury securities investor base, and that</w:t>
      </w:r>
      <w:r w:rsidR="00CF3021" w:rsidRPr="00523556">
        <w:rPr>
          <w:rFonts w:ascii="Times New Roman" w:hAnsi="Times New Roman" w:cs="Times New Roman"/>
        </w:rPr>
        <w:t xml:space="preserve"> </w:t>
      </w:r>
      <w:r w:rsidR="0027522A" w:rsidRPr="00523556">
        <w:rPr>
          <w:rFonts w:ascii="Times New Roman" w:hAnsi="Times New Roman" w:cs="Times New Roman"/>
        </w:rPr>
        <w:t xml:space="preserve">overall help to </w:t>
      </w:r>
      <w:r w:rsidR="00CF3021" w:rsidRPr="00523556">
        <w:rPr>
          <w:rFonts w:ascii="Times New Roman" w:hAnsi="Times New Roman" w:cs="Times New Roman"/>
        </w:rPr>
        <w:t xml:space="preserve">minimise </w:t>
      </w:r>
      <w:r w:rsidR="0027522A" w:rsidRPr="00523556">
        <w:rPr>
          <w:rFonts w:ascii="Times New Roman" w:hAnsi="Times New Roman" w:cs="Times New Roman"/>
        </w:rPr>
        <w:t xml:space="preserve">the </w:t>
      </w:r>
      <w:r w:rsidR="00CF3021" w:rsidRPr="00523556">
        <w:rPr>
          <w:rFonts w:ascii="Times New Roman" w:hAnsi="Times New Roman" w:cs="Times New Roman"/>
        </w:rPr>
        <w:t xml:space="preserve">costs and maximise </w:t>
      </w:r>
      <w:r w:rsidR="0027522A" w:rsidRPr="00523556">
        <w:rPr>
          <w:rFonts w:ascii="Times New Roman" w:hAnsi="Times New Roman" w:cs="Times New Roman"/>
        </w:rPr>
        <w:t xml:space="preserve">the </w:t>
      </w:r>
      <w:r w:rsidR="00CF3021" w:rsidRPr="00523556">
        <w:rPr>
          <w:rFonts w:ascii="Times New Roman" w:hAnsi="Times New Roman" w:cs="Times New Roman"/>
        </w:rPr>
        <w:t>benefits of issuance.</w:t>
      </w:r>
    </w:p>
    <w:p w:rsidR="001B6052" w:rsidRPr="00523556" w:rsidRDefault="001B6052" w:rsidP="001B6052">
      <w:pPr>
        <w:pStyle w:val="Heading4"/>
        <w:rPr>
          <w:rFonts w:ascii="Times New Roman" w:hAnsi="Times New Roman" w:cs="Times New Roman"/>
        </w:rPr>
      </w:pPr>
      <w:r w:rsidRPr="00523556">
        <w:rPr>
          <w:rFonts w:ascii="Times New Roman" w:hAnsi="Times New Roman" w:cs="Times New Roman"/>
        </w:rPr>
        <w:t>Composition of domestic debt issuance</w:t>
      </w:r>
    </w:p>
    <w:p w:rsidR="004B5828" w:rsidRPr="00523556" w:rsidRDefault="00BA6C5F" w:rsidP="00BA6C5F">
      <w:pPr>
        <w:jc w:val="both"/>
        <w:rPr>
          <w:rFonts w:ascii="Times New Roman" w:hAnsi="Times New Roman" w:cs="Times New Roman"/>
        </w:rPr>
      </w:pPr>
      <w:r w:rsidRPr="00523556">
        <w:rPr>
          <w:rFonts w:ascii="Times New Roman" w:hAnsi="Times New Roman" w:cs="Times New Roman"/>
        </w:rPr>
        <w:t>In addition to the size of domestic debt issuance, it is necessary to determine the composition of this issuance between securities of different maturities. This inherently involves a trade-off between cost and risk; issuing longer-dated securities reduces refinancing risks</w:t>
      </w:r>
      <w:r w:rsidR="00EB431D" w:rsidRPr="00523556">
        <w:rPr>
          <w:rStyle w:val="FootnoteReference"/>
          <w:rFonts w:ascii="Times New Roman" w:hAnsi="Times New Roman" w:cs="Times New Roman"/>
        </w:rPr>
        <w:footnoteReference w:id="38"/>
      </w:r>
      <w:r w:rsidRPr="00523556">
        <w:rPr>
          <w:rFonts w:ascii="Times New Roman" w:hAnsi="Times New Roman" w:cs="Times New Roman"/>
        </w:rPr>
        <w:t xml:space="preserve"> for the government, but generally necessitates paying investors a higher yield (this is reflected in the upward-slope of the yield curve, as illustrated in Fig </w:t>
      </w:r>
      <w:r w:rsidR="00EB0FA2" w:rsidRPr="00523556">
        <w:rPr>
          <w:rFonts w:ascii="Times New Roman" w:hAnsi="Times New Roman" w:cs="Times New Roman"/>
        </w:rPr>
        <w:t>2.5B</w:t>
      </w:r>
      <w:r w:rsidR="00737A1C" w:rsidRPr="00523556">
        <w:rPr>
          <w:rFonts w:ascii="Times New Roman" w:hAnsi="Times New Roman" w:cs="Times New Roman"/>
        </w:rPr>
        <w:t>).</w:t>
      </w:r>
      <w:r w:rsidR="00F075FF" w:rsidRPr="00523556">
        <w:rPr>
          <w:rFonts w:ascii="Times New Roman" w:hAnsi="Times New Roman" w:cs="Times New Roman"/>
          <w:highlight w:val="yellow"/>
        </w:rPr>
        <w:t xml:space="preserve"> </w:t>
      </w:r>
    </w:p>
    <w:p w:rsidR="00D861B0" w:rsidRPr="00523556" w:rsidRDefault="004B5828" w:rsidP="00BA6C5F">
      <w:pPr>
        <w:jc w:val="both"/>
        <w:rPr>
          <w:rFonts w:ascii="Times New Roman" w:hAnsi="Times New Roman" w:cs="Times New Roman"/>
        </w:rPr>
      </w:pPr>
      <w:r w:rsidRPr="00523556">
        <w:rPr>
          <w:rFonts w:ascii="Times New Roman" w:hAnsi="Times New Roman" w:cs="Times New Roman"/>
        </w:rPr>
        <w:t>Measures of refinancing risk can vary substantially across countries,</w:t>
      </w:r>
      <w:r w:rsidRPr="00523556">
        <w:rPr>
          <w:rStyle w:val="FootnoteReference"/>
          <w:rFonts w:ascii="Times New Roman" w:hAnsi="Times New Roman" w:cs="Times New Roman"/>
        </w:rPr>
        <w:footnoteReference w:id="39"/>
      </w:r>
      <w:r w:rsidRPr="00523556">
        <w:rPr>
          <w:rFonts w:ascii="Times New Roman" w:hAnsi="Times New Roman" w:cs="Times New Roman"/>
        </w:rPr>
        <w:t xml:space="preserve"> reflecting both differing market conditions and government preferences for risk</w:t>
      </w:r>
      <w:r w:rsidR="0026606C" w:rsidRPr="00523556">
        <w:rPr>
          <w:rFonts w:ascii="Times New Roman" w:hAnsi="Times New Roman" w:cs="Times New Roman"/>
        </w:rPr>
        <w:t xml:space="preserve">, and there </w:t>
      </w:r>
      <w:r w:rsidR="00BA6C5F" w:rsidRPr="00523556">
        <w:rPr>
          <w:rFonts w:ascii="Times New Roman" w:hAnsi="Times New Roman" w:cs="Times New Roman"/>
        </w:rPr>
        <w:t xml:space="preserve">are no firm </w:t>
      </w:r>
      <w:r w:rsidR="000C3E91" w:rsidRPr="00523556">
        <w:rPr>
          <w:rFonts w:ascii="Times New Roman" w:hAnsi="Times New Roman" w:cs="Times New Roman"/>
        </w:rPr>
        <w:t xml:space="preserve">prescriptive </w:t>
      </w:r>
      <w:r w:rsidR="00CD775F" w:rsidRPr="00523556">
        <w:rPr>
          <w:rFonts w:ascii="Times New Roman" w:hAnsi="Times New Roman" w:cs="Times New Roman"/>
        </w:rPr>
        <w:t>benchmarks</w:t>
      </w:r>
      <w:r w:rsidR="000C3E91" w:rsidRPr="00523556">
        <w:rPr>
          <w:rFonts w:ascii="Times New Roman" w:hAnsi="Times New Roman" w:cs="Times New Roman"/>
        </w:rPr>
        <w:t xml:space="preserve"> to use as a guide</w:t>
      </w:r>
      <w:r w:rsidR="0026606C" w:rsidRPr="00523556">
        <w:rPr>
          <w:rFonts w:ascii="Times New Roman" w:hAnsi="Times New Roman" w:cs="Times New Roman"/>
        </w:rPr>
        <w:t xml:space="preserve">. However, it is instructive to note that </w:t>
      </w:r>
      <w:r w:rsidR="00ED2095" w:rsidRPr="00523556">
        <w:rPr>
          <w:rFonts w:ascii="Times New Roman" w:hAnsi="Times New Roman" w:cs="Times New Roman"/>
        </w:rPr>
        <w:t>compared to averages for 12 LICs analysed in IMF and World Bank (2012),</w:t>
      </w:r>
      <w:r w:rsidR="00ED2095" w:rsidRPr="00523556">
        <w:rPr>
          <w:rStyle w:val="FootnoteReference"/>
          <w:rFonts w:ascii="Times New Roman" w:hAnsi="Times New Roman" w:cs="Times New Roman"/>
        </w:rPr>
        <w:footnoteReference w:id="40"/>
      </w:r>
      <w:r w:rsidR="00ED2095" w:rsidRPr="00523556">
        <w:rPr>
          <w:rFonts w:ascii="Times New Roman" w:hAnsi="Times New Roman" w:cs="Times New Roman"/>
        </w:rPr>
        <w:t xml:space="preserve"> </w:t>
      </w:r>
      <w:r w:rsidR="00CD775F" w:rsidRPr="00523556">
        <w:rPr>
          <w:rFonts w:ascii="Times New Roman" w:hAnsi="Times New Roman" w:cs="Times New Roman"/>
        </w:rPr>
        <w:t xml:space="preserve">the refinancing risk on Uganda’s domestic debt is </w:t>
      </w:r>
      <w:r w:rsidR="000C3E91" w:rsidRPr="00523556">
        <w:rPr>
          <w:rFonts w:ascii="Times New Roman" w:hAnsi="Times New Roman" w:cs="Times New Roman"/>
        </w:rPr>
        <w:t>greater than average</w:t>
      </w:r>
      <w:r w:rsidR="00ED2095" w:rsidRPr="00523556">
        <w:rPr>
          <w:rFonts w:ascii="Times New Roman" w:hAnsi="Times New Roman" w:cs="Times New Roman"/>
        </w:rPr>
        <w:t>: the average time to maturity (ATM) on Uganda’s domestic debt is 0.8 years less</w:t>
      </w:r>
      <w:r w:rsidR="000C3E91" w:rsidRPr="00523556">
        <w:rPr>
          <w:rFonts w:ascii="Times New Roman" w:hAnsi="Times New Roman" w:cs="Times New Roman"/>
        </w:rPr>
        <w:t xml:space="preserve"> than the LIC average</w:t>
      </w:r>
      <w:r w:rsidR="00ED2095" w:rsidRPr="00523556">
        <w:rPr>
          <w:rFonts w:ascii="Times New Roman" w:hAnsi="Times New Roman" w:cs="Times New Roman"/>
        </w:rPr>
        <w:t xml:space="preserve"> (1.7 years compared to 2.5 years), and the proportion of debt maturing within one year is around 10</w:t>
      </w:r>
      <w:r w:rsidR="00E557B8" w:rsidRPr="00523556">
        <w:rPr>
          <w:rFonts w:ascii="Times New Roman" w:hAnsi="Times New Roman" w:cs="Times New Roman"/>
        </w:rPr>
        <w:t xml:space="preserve"> percentage point</w:t>
      </w:r>
      <w:r w:rsidR="004A35F7" w:rsidRPr="00523556">
        <w:rPr>
          <w:rFonts w:ascii="Times New Roman" w:hAnsi="Times New Roman" w:cs="Times New Roman"/>
        </w:rPr>
        <w:t>s</w:t>
      </w:r>
      <w:r w:rsidR="00ED2095" w:rsidRPr="00523556">
        <w:rPr>
          <w:rFonts w:ascii="Times New Roman" w:hAnsi="Times New Roman" w:cs="Times New Roman"/>
        </w:rPr>
        <w:t xml:space="preserve"> higher (at 55.0</w:t>
      </w:r>
      <w:r w:rsidR="00E557B8" w:rsidRPr="00523556">
        <w:rPr>
          <w:rFonts w:ascii="Times New Roman" w:hAnsi="Times New Roman" w:cs="Times New Roman"/>
        </w:rPr>
        <w:t xml:space="preserve"> per cent</w:t>
      </w:r>
      <w:r w:rsidR="00CD775F" w:rsidRPr="00523556">
        <w:rPr>
          <w:rFonts w:ascii="Times New Roman" w:hAnsi="Times New Roman" w:cs="Times New Roman"/>
        </w:rPr>
        <w:t xml:space="preserve"> </w:t>
      </w:r>
      <w:r w:rsidR="00ED2095" w:rsidRPr="00523556">
        <w:rPr>
          <w:rFonts w:ascii="Times New Roman" w:hAnsi="Times New Roman" w:cs="Times New Roman"/>
        </w:rPr>
        <w:t>compare</w:t>
      </w:r>
      <w:r w:rsidR="00EB431D" w:rsidRPr="00523556">
        <w:rPr>
          <w:rFonts w:ascii="Times New Roman" w:hAnsi="Times New Roman" w:cs="Times New Roman"/>
        </w:rPr>
        <w:t>d</w:t>
      </w:r>
      <w:r w:rsidR="00ED2095" w:rsidRPr="00523556">
        <w:rPr>
          <w:rFonts w:ascii="Times New Roman" w:hAnsi="Times New Roman" w:cs="Times New Roman"/>
        </w:rPr>
        <w:t xml:space="preserve"> to 45.1</w:t>
      </w:r>
      <w:r w:rsidR="00E557B8" w:rsidRPr="00523556">
        <w:rPr>
          <w:rFonts w:ascii="Times New Roman" w:hAnsi="Times New Roman" w:cs="Times New Roman"/>
        </w:rPr>
        <w:t xml:space="preserve"> per cent</w:t>
      </w:r>
      <w:r w:rsidR="00ED2095" w:rsidRPr="00523556">
        <w:rPr>
          <w:rFonts w:ascii="Times New Roman" w:hAnsi="Times New Roman" w:cs="Times New Roman"/>
        </w:rPr>
        <w:t xml:space="preserve">). </w:t>
      </w:r>
      <w:r w:rsidR="00F075FF" w:rsidRPr="00523556">
        <w:rPr>
          <w:rFonts w:ascii="Times New Roman" w:hAnsi="Times New Roman" w:cs="Times New Roman"/>
        </w:rPr>
        <w:t>On the basis of this comparison, the gradual lengthening of the ATM envisioned in Uganda’s draft</w:t>
      </w:r>
      <w:r w:rsidR="00246897" w:rsidRPr="00523556">
        <w:rPr>
          <w:rFonts w:ascii="Times New Roman" w:hAnsi="Times New Roman" w:cs="Times New Roman"/>
        </w:rPr>
        <w:t xml:space="preserve"> PDPF</w:t>
      </w:r>
      <w:r w:rsidR="00F075FF" w:rsidRPr="00523556">
        <w:rPr>
          <w:rFonts w:ascii="Times New Roman" w:hAnsi="Times New Roman" w:cs="Times New Roman"/>
        </w:rPr>
        <w:t xml:space="preserve"> to greater than 3 years, and reduction in the proportion of debt maturing within one year to below 40</w:t>
      </w:r>
      <w:r w:rsidR="00E557B8" w:rsidRPr="00523556">
        <w:rPr>
          <w:rFonts w:ascii="Times New Roman" w:hAnsi="Times New Roman" w:cs="Times New Roman"/>
        </w:rPr>
        <w:t xml:space="preserve"> per cent</w:t>
      </w:r>
      <w:r w:rsidR="00F075FF" w:rsidRPr="00523556">
        <w:rPr>
          <w:rFonts w:ascii="Times New Roman" w:hAnsi="Times New Roman" w:cs="Times New Roman"/>
        </w:rPr>
        <w:t>, seem</w:t>
      </w:r>
      <w:r w:rsidR="000C3E91" w:rsidRPr="00523556">
        <w:rPr>
          <w:rFonts w:ascii="Times New Roman" w:hAnsi="Times New Roman" w:cs="Times New Roman"/>
        </w:rPr>
        <w:t xml:space="preserve"> both</w:t>
      </w:r>
      <w:r w:rsidR="00F075FF" w:rsidRPr="00523556">
        <w:rPr>
          <w:rFonts w:ascii="Times New Roman" w:hAnsi="Times New Roman" w:cs="Times New Roman"/>
        </w:rPr>
        <w:t xml:space="preserve"> sensible and (on the basis of other LICs’ achievements) feasible. </w:t>
      </w:r>
    </w:p>
    <w:p w:rsidR="007360AF" w:rsidRPr="00523556" w:rsidRDefault="00B076B8" w:rsidP="0062597B">
      <w:pPr>
        <w:pStyle w:val="Heading3"/>
        <w:numPr>
          <w:ilvl w:val="2"/>
          <w:numId w:val="8"/>
        </w:numPr>
        <w:rPr>
          <w:rFonts w:ascii="Times New Roman" w:hAnsi="Times New Roman" w:cs="Times New Roman"/>
        </w:rPr>
      </w:pPr>
      <w:r w:rsidRPr="00523556">
        <w:rPr>
          <w:rFonts w:ascii="Times New Roman" w:hAnsi="Times New Roman" w:cs="Times New Roman"/>
        </w:rPr>
        <w:t xml:space="preserve">Additional </w:t>
      </w:r>
      <w:r w:rsidR="00B15D4A" w:rsidRPr="00523556">
        <w:rPr>
          <w:rFonts w:ascii="Times New Roman" w:hAnsi="Times New Roman" w:cs="Times New Roman"/>
        </w:rPr>
        <w:t>considerations</w:t>
      </w:r>
      <w:r w:rsidR="00D62612" w:rsidRPr="00523556">
        <w:rPr>
          <w:rFonts w:ascii="Times New Roman" w:hAnsi="Times New Roman" w:cs="Times New Roman"/>
        </w:rPr>
        <w:t xml:space="preserve">: </w:t>
      </w:r>
      <w:r w:rsidR="00582762" w:rsidRPr="00523556">
        <w:rPr>
          <w:rFonts w:ascii="Times New Roman" w:hAnsi="Times New Roman" w:cs="Times New Roman"/>
        </w:rPr>
        <w:t xml:space="preserve">actions to </w:t>
      </w:r>
      <w:r w:rsidR="00593967" w:rsidRPr="00523556">
        <w:rPr>
          <w:rFonts w:ascii="Times New Roman" w:hAnsi="Times New Roman" w:cs="Times New Roman"/>
        </w:rPr>
        <w:t>reduce</w:t>
      </w:r>
      <w:r w:rsidR="008048E3" w:rsidRPr="00523556">
        <w:rPr>
          <w:rFonts w:ascii="Times New Roman" w:hAnsi="Times New Roman" w:cs="Times New Roman"/>
        </w:rPr>
        <w:t xml:space="preserve"> </w:t>
      </w:r>
      <w:r w:rsidR="00D62612" w:rsidRPr="00523556">
        <w:rPr>
          <w:rFonts w:ascii="Times New Roman" w:hAnsi="Times New Roman" w:cs="Times New Roman"/>
        </w:rPr>
        <w:t xml:space="preserve">costs </w:t>
      </w:r>
      <w:r w:rsidR="00582762" w:rsidRPr="00523556">
        <w:rPr>
          <w:rFonts w:ascii="Times New Roman" w:hAnsi="Times New Roman" w:cs="Times New Roman"/>
        </w:rPr>
        <w:t xml:space="preserve">and </w:t>
      </w:r>
      <w:r w:rsidR="00593967" w:rsidRPr="00523556">
        <w:rPr>
          <w:rFonts w:ascii="Times New Roman" w:hAnsi="Times New Roman" w:cs="Times New Roman"/>
        </w:rPr>
        <w:t>enhance</w:t>
      </w:r>
      <w:r w:rsidR="00582762" w:rsidRPr="00523556">
        <w:rPr>
          <w:rFonts w:ascii="Times New Roman" w:hAnsi="Times New Roman" w:cs="Times New Roman"/>
        </w:rPr>
        <w:t xml:space="preserve"> benefits</w:t>
      </w:r>
    </w:p>
    <w:p w:rsidR="00B05D00" w:rsidRPr="00523556" w:rsidRDefault="00CD570C" w:rsidP="008048E3">
      <w:pPr>
        <w:jc w:val="both"/>
        <w:rPr>
          <w:rFonts w:ascii="Times New Roman" w:hAnsi="Times New Roman" w:cs="Times New Roman"/>
        </w:rPr>
      </w:pPr>
      <w:r w:rsidRPr="00523556">
        <w:rPr>
          <w:rFonts w:ascii="Times New Roman" w:hAnsi="Times New Roman" w:cs="Times New Roman"/>
        </w:rPr>
        <w:t>Whatever the precise level and composition of Uganda’s DD issuance, t</w:t>
      </w:r>
      <w:r w:rsidR="00BB626B" w:rsidRPr="00523556">
        <w:rPr>
          <w:rFonts w:ascii="Times New Roman" w:hAnsi="Times New Roman" w:cs="Times New Roman"/>
        </w:rPr>
        <w:t>heory and empirical evidence highlight a range of policy actions that GoU can implement to help minimise the costs and maximise the benefits.</w:t>
      </w:r>
      <w:r w:rsidR="008048E3" w:rsidRPr="00523556">
        <w:rPr>
          <w:rFonts w:ascii="Times New Roman" w:hAnsi="Times New Roman" w:cs="Times New Roman"/>
        </w:rPr>
        <w:t xml:space="preserve"> </w:t>
      </w:r>
    </w:p>
    <w:p w:rsidR="00A91CEA" w:rsidRPr="00523556" w:rsidRDefault="00EC4092" w:rsidP="00EC4092">
      <w:pPr>
        <w:jc w:val="both"/>
        <w:rPr>
          <w:rFonts w:ascii="Times New Roman" w:hAnsi="Times New Roman" w:cs="Times New Roman"/>
        </w:rPr>
      </w:pPr>
      <w:r w:rsidRPr="00523556">
        <w:rPr>
          <w:rFonts w:ascii="Times New Roman" w:hAnsi="Times New Roman" w:cs="Times New Roman"/>
        </w:rPr>
        <w:t xml:space="preserve">A fundamental factor </w:t>
      </w:r>
      <w:r w:rsidR="00600B19" w:rsidRPr="00523556">
        <w:rPr>
          <w:rFonts w:ascii="Times New Roman" w:hAnsi="Times New Roman" w:cs="Times New Roman"/>
        </w:rPr>
        <w:t xml:space="preserve">dictating </w:t>
      </w:r>
      <w:r w:rsidRPr="00523556">
        <w:rPr>
          <w:rFonts w:ascii="Times New Roman" w:hAnsi="Times New Roman" w:cs="Times New Roman"/>
        </w:rPr>
        <w:t xml:space="preserve">the net benefit of issuance will be how the issuance proceeds are used. </w:t>
      </w:r>
      <w:r w:rsidR="001D6301" w:rsidRPr="00523556">
        <w:rPr>
          <w:rFonts w:ascii="Times New Roman" w:hAnsi="Times New Roman" w:cs="Times New Roman"/>
        </w:rPr>
        <w:t xml:space="preserve">The </w:t>
      </w:r>
      <w:r w:rsidR="001C5A92" w:rsidRPr="00523556">
        <w:rPr>
          <w:rFonts w:ascii="Times New Roman" w:hAnsi="Times New Roman" w:cs="Times New Roman"/>
        </w:rPr>
        <w:t xml:space="preserve">key </w:t>
      </w:r>
      <w:r w:rsidR="006B7A2C" w:rsidRPr="00523556">
        <w:rPr>
          <w:rFonts w:ascii="Times New Roman" w:hAnsi="Times New Roman" w:cs="Times New Roman"/>
        </w:rPr>
        <w:t>underlying</w:t>
      </w:r>
      <w:r w:rsidR="001D6301" w:rsidRPr="00523556">
        <w:rPr>
          <w:rFonts w:ascii="Times New Roman" w:hAnsi="Times New Roman" w:cs="Times New Roman"/>
        </w:rPr>
        <w:t xml:space="preserve"> </w:t>
      </w:r>
      <w:r w:rsidR="001C5A92" w:rsidRPr="00523556">
        <w:rPr>
          <w:rFonts w:ascii="Times New Roman" w:hAnsi="Times New Roman" w:cs="Times New Roman"/>
        </w:rPr>
        <w:t xml:space="preserve">principle </w:t>
      </w:r>
      <w:r w:rsidR="001D6301" w:rsidRPr="00523556">
        <w:rPr>
          <w:rFonts w:ascii="Times New Roman" w:hAnsi="Times New Roman" w:cs="Times New Roman"/>
        </w:rPr>
        <w:t xml:space="preserve">here </w:t>
      </w:r>
      <w:r w:rsidR="001C5A92" w:rsidRPr="00523556">
        <w:rPr>
          <w:rFonts w:ascii="Times New Roman" w:hAnsi="Times New Roman" w:cs="Times New Roman"/>
        </w:rPr>
        <w:t xml:space="preserve">is that domestic borrowing should only be used to </w:t>
      </w:r>
      <w:r w:rsidR="001C5A92" w:rsidRPr="00523556">
        <w:rPr>
          <w:rFonts w:ascii="Times New Roman" w:hAnsi="Times New Roman" w:cs="Times New Roman"/>
        </w:rPr>
        <w:lastRenderedPageBreak/>
        <w:t>finance ‘productive’ public expenditure</w:t>
      </w:r>
      <w:r w:rsidR="005977F7" w:rsidRPr="00523556">
        <w:rPr>
          <w:rFonts w:ascii="Times New Roman" w:hAnsi="Times New Roman" w:cs="Times New Roman"/>
        </w:rPr>
        <w:t>.</w:t>
      </w:r>
      <w:r w:rsidR="001D6301" w:rsidRPr="00523556">
        <w:rPr>
          <w:rFonts w:ascii="Times New Roman" w:hAnsi="Times New Roman" w:cs="Times New Roman"/>
        </w:rPr>
        <w:t xml:space="preserve"> </w:t>
      </w:r>
      <w:r w:rsidR="005977F7" w:rsidRPr="00523556">
        <w:rPr>
          <w:rFonts w:ascii="Times New Roman" w:hAnsi="Times New Roman" w:cs="Times New Roman"/>
        </w:rPr>
        <w:t>A</w:t>
      </w:r>
      <w:r w:rsidR="001C5A92" w:rsidRPr="00523556">
        <w:rPr>
          <w:rFonts w:ascii="Times New Roman" w:hAnsi="Times New Roman" w:cs="Times New Roman"/>
        </w:rPr>
        <w:t xml:space="preserve">t the </w:t>
      </w:r>
      <w:r w:rsidR="005977F7" w:rsidRPr="00523556">
        <w:rPr>
          <w:rFonts w:ascii="Times New Roman" w:hAnsi="Times New Roman" w:cs="Times New Roman"/>
        </w:rPr>
        <w:t xml:space="preserve">very </w:t>
      </w:r>
      <w:r w:rsidR="001C5A92" w:rsidRPr="00523556">
        <w:rPr>
          <w:rFonts w:ascii="Times New Roman" w:hAnsi="Times New Roman" w:cs="Times New Roman"/>
        </w:rPr>
        <w:t xml:space="preserve">least, </w:t>
      </w:r>
      <w:r w:rsidR="005977F7" w:rsidRPr="00523556">
        <w:rPr>
          <w:rFonts w:ascii="Times New Roman" w:hAnsi="Times New Roman" w:cs="Times New Roman"/>
        </w:rPr>
        <w:t xml:space="preserve">‘productive’ here should </w:t>
      </w:r>
      <w:r w:rsidR="001C5A92" w:rsidRPr="00523556">
        <w:rPr>
          <w:rFonts w:ascii="Times New Roman" w:hAnsi="Times New Roman" w:cs="Times New Roman"/>
        </w:rPr>
        <w:t xml:space="preserve">be </w:t>
      </w:r>
      <w:r w:rsidR="005977F7" w:rsidRPr="00523556">
        <w:rPr>
          <w:rFonts w:ascii="Times New Roman" w:hAnsi="Times New Roman" w:cs="Times New Roman"/>
        </w:rPr>
        <w:t xml:space="preserve">interpreted </w:t>
      </w:r>
      <w:r w:rsidR="001C5A92" w:rsidRPr="00523556">
        <w:rPr>
          <w:rFonts w:ascii="Times New Roman" w:hAnsi="Times New Roman" w:cs="Times New Roman"/>
        </w:rPr>
        <w:t>to mean expenditure which has a social return greater than the cost of borrowing</w:t>
      </w:r>
      <w:r w:rsidR="005977F7" w:rsidRPr="00523556">
        <w:rPr>
          <w:rFonts w:ascii="Times New Roman" w:hAnsi="Times New Roman" w:cs="Times New Roman"/>
        </w:rPr>
        <w:t xml:space="preserve"> –</w:t>
      </w:r>
      <w:r w:rsidR="001D6301" w:rsidRPr="00523556">
        <w:rPr>
          <w:rFonts w:ascii="Times New Roman" w:hAnsi="Times New Roman" w:cs="Times New Roman"/>
        </w:rPr>
        <w:t xml:space="preserve"> although</w:t>
      </w:r>
      <w:r w:rsidR="005977F7" w:rsidRPr="00523556">
        <w:rPr>
          <w:rFonts w:ascii="Times New Roman" w:hAnsi="Times New Roman" w:cs="Times New Roman"/>
        </w:rPr>
        <w:t xml:space="preserve"> </w:t>
      </w:r>
      <w:r w:rsidR="001D6301" w:rsidRPr="00523556">
        <w:rPr>
          <w:rFonts w:ascii="Times New Roman" w:hAnsi="Times New Roman" w:cs="Times New Roman"/>
        </w:rPr>
        <w:t>stricter definitions could be adopted</w:t>
      </w:r>
      <w:r w:rsidR="006B7A2C" w:rsidRPr="00523556">
        <w:rPr>
          <w:rFonts w:ascii="Times New Roman" w:hAnsi="Times New Roman" w:cs="Times New Roman"/>
        </w:rPr>
        <w:t xml:space="preserve"> (for example, </w:t>
      </w:r>
      <w:r w:rsidR="005977F7" w:rsidRPr="00523556">
        <w:rPr>
          <w:rFonts w:ascii="Times New Roman" w:hAnsi="Times New Roman" w:cs="Times New Roman"/>
        </w:rPr>
        <w:t>a definition that mandates</w:t>
      </w:r>
      <w:r w:rsidR="006B7A2C" w:rsidRPr="00523556">
        <w:rPr>
          <w:rFonts w:ascii="Times New Roman" w:hAnsi="Times New Roman" w:cs="Times New Roman"/>
        </w:rPr>
        <w:t xml:space="preserve"> </w:t>
      </w:r>
      <w:r w:rsidR="005977F7" w:rsidRPr="00523556">
        <w:rPr>
          <w:rFonts w:ascii="Times New Roman" w:hAnsi="Times New Roman" w:cs="Times New Roman"/>
        </w:rPr>
        <w:t xml:space="preserve">that the expenditure generates </w:t>
      </w:r>
      <w:r w:rsidR="006B7A2C" w:rsidRPr="00523556">
        <w:rPr>
          <w:rFonts w:ascii="Times New Roman" w:hAnsi="Times New Roman" w:cs="Times New Roman"/>
        </w:rPr>
        <w:t xml:space="preserve">a </w:t>
      </w:r>
      <w:r w:rsidR="005977F7" w:rsidRPr="00523556">
        <w:rPr>
          <w:rFonts w:ascii="Times New Roman" w:hAnsi="Times New Roman" w:cs="Times New Roman"/>
        </w:rPr>
        <w:t xml:space="preserve">minimum </w:t>
      </w:r>
      <w:r w:rsidR="006B7A2C" w:rsidRPr="00523556">
        <w:rPr>
          <w:rFonts w:ascii="Times New Roman" w:hAnsi="Times New Roman" w:cs="Times New Roman"/>
        </w:rPr>
        <w:t>fiscal return for government)</w:t>
      </w:r>
      <w:r w:rsidR="001C5A92" w:rsidRPr="00523556">
        <w:rPr>
          <w:rFonts w:ascii="Times New Roman" w:hAnsi="Times New Roman" w:cs="Times New Roman"/>
        </w:rPr>
        <w:t>.</w:t>
      </w:r>
      <w:r w:rsidR="006B7A2C" w:rsidRPr="00523556">
        <w:rPr>
          <w:rStyle w:val="FootnoteReference"/>
          <w:rFonts w:ascii="Times New Roman" w:hAnsi="Times New Roman" w:cs="Times New Roman"/>
        </w:rPr>
        <w:footnoteReference w:id="41"/>
      </w:r>
      <w:r w:rsidR="001C5A92" w:rsidRPr="00523556">
        <w:rPr>
          <w:rFonts w:ascii="Times New Roman" w:hAnsi="Times New Roman" w:cs="Times New Roman"/>
        </w:rPr>
        <w:t xml:space="preserve"> In reality, the fungibility of government resources can make it difficult to assess precisely how net </w:t>
      </w:r>
      <w:r w:rsidR="001D6301" w:rsidRPr="00523556">
        <w:rPr>
          <w:rFonts w:ascii="Times New Roman" w:hAnsi="Times New Roman" w:cs="Times New Roman"/>
        </w:rPr>
        <w:t xml:space="preserve">DD </w:t>
      </w:r>
      <w:r w:rsidR="001C5A92" w:rsidRPr="00523556">
        <w:rPr>
          <w:rFonts w:ascii="Times New Roman" w:hAnsi="Times New Roman" w:cs="Times New Roman"/>
        </w:rPr>
        <w:t xml:space="preserve">issuance proceeds are </w:t>
      </w:r>
      <w:r w:rsidR="00453E0F" w:rsidRPr="00523556">
        <w:rPr>
          <w:rFonts w:ascii="Times New Roman" w:hAnsi="Times New Roman" w:cs="Times New Roman"/>
        </w:rPr>
        <w:t>spent</w:t>
      </w:r>
      <w:r w:rsidR="001C5A92" w:rsidRPr="00523556">
        <w:rPr>
          <w:rFonts w:ascii="Times New Roman" w:hAnsi="Times New Roman" w:cs="Times New Roman"/>
        </w:rPr>
        <w:t>, although some rules of thumb can be useful</w:t>
      </w:r>
      <w:r w:rsidR="006B7A2C" w:rsidRPr="00523556">
        <w:rPr>
          <w:rFonts w:ascii="Times New Roman" w:hAnsi="Times New Roman" w:cs="Times New Roman"/>
        </w:rPr>
        <w:t>.</w:t>
      </w:r>
      <w:r w:rsidR="001C5A92" w:rsidRPr="00523556">
        <w:rPr>
          <w:rFonts w:ascii="Times New Roman" w:hAnsi="Times New Roman" w:cs="Times New Roman"/>
        </w:rPr>
        <w:t xml:space="preserve"> </w:t>
      </w:r>
      <w:r w:rsidR="006B7A2C" w:rsidRPr="00523556">
        <w:rPr>
          <w:rFonts w:ascii="Times New Roman" w:hAnsi="Times New Roman" w:cs="Times New Roman"/>
        </w:rPr>
        <w:t>F</w:t>
      </w:r>
      <w:r w:rsidR="001C5A92" w:rsidRPr="00523556">
        <w:rPr>
          <w:rFonts w:ascii="Times New Roman" w:hAnsi="Times New Roman" w:cs="Times New Roman"/>
        </w:rPr>
        <w:t xml:space="preserve">or example, it </w:t>
      </w:r>
      <w:r w:rsidR="006B7A2C" w:rsidRPr="00523556">
        <w:rPr>
          <w:rFonts w:ascii="Times New Roman" w:hAnsi="Times New Roman" w:cs="Times New Roman"/>
        </w:rPr>
        <w:t>could</w:t>
      </w:r>
      <w:r w:rsidR="001C5A92" w:rsidRPr="00523556">
        <w:rPr>
          <w:rFonts w:ascii="Times New Roman" w:hAnsi="Times New Roman" w:cs="Times New Roman"/>
        </w:rPr>
        <w:t xml:space="preserve"> be ensured that the increase in net DD issuance from one year to the next </w:t>
      </w:r>
      <w:r w:rsidR="001D6301" w:rsidRPr="00523556">
        <w:rPr>
          <w:rFonts w:ascii="Times New Roman" w:hAnsi="Times New Roman" w:cs="Times New Roman"/>
        </w:rPr>
        <w:t xml:space="preserve">does not exceed </w:t>
      </w:r>
      <w:r w:rsidR="001C5A92" w:rsidRPr="00523556">
        <w:rPr>
          <w:rFonts w:ascii="Times New Roman" w:hAnsi="Times New Roman" w:cs="Times New Roman"/>
        </w:rPr>
        <w:t xml:space="preserve">the </w:t>
      </w:r>
      <w:r w:rsidR="001D6301" w:rsidRPr="00523556">
        <w:rPr>
          <w:rFonts w:ascii="Times New Roman" w:hAnsi="Times New Roman" w:cs="Times New Roman"/>
        </w:rPr>
        <w:t xml:space="preserve">planned </w:t>
      </w:r>
      <w:r w:rsidR="001C5A92" w:rsidRPr="00523556">
        <w:rPr>
          <w:rFonts w:ascii="Times New Roman" w:hAnsi="Times New Roman" w:cs="Times New Roman"/>
        </w:rPr>
        <w:t xml:space="preserve">increase in </w:t>
      </w:r>
      <w:r w:rsidR="001D6301" w:rsidRPr="00523556">
        <w:rPr>
          <w:rFonts w:ascii="Times New Roman" w:hAnsi="Times New Roman" w:cs="Times New Roman"/>
        </w:rPr>
        <w:t xml:space="preserve">government-financed </w:t>
      </w:r>
      <w:r w:rsidR="005453B2" w:rsidRPr="00523556">
        <w:rPr>
          <w:rFonts w:ascii="Times New Roman" w:hAnsi="Times New Roman" w:cs="Times New Roman"/>
        </w:rPr>
        <w:t xml:space="preserve">net </w:t>
      </w:r>
      <w:r w:rsidR="001D6301" w:rsidRPr="00523556">
        <w:rPr>
          <w:rFonts w:ascii="Times New Roman" w:hAnsi="Times New Roman" w:cs="Times New Roman"/>
        </w:rPr>
        <w:t>public investment,</w:t>
      </w:r>
      <w:r w:rsidR="001D6301" w:rsidRPr="00523556">
        <w:rPr>
          <w:rStyle w:val="FootnoteReference"/>
          <w:rFonts w:ascii="Times New Roman" w:hAnsi="Times New Roman" w:cs="Times New Roman"/>
        </w:rPr>
        <w:footnoteReference w:id="42"/>
      </w:r>
      <w:r w:rsidR="001D6301" w:rsidRPr="00523556">
        <w:rPr>
          <w:rFonts w:ascii="Times New Roman" w:hAnsi="Times New Roman" w:cs="Times New Roman"/>
        </w:rPr>
        <w:t xml:space="preserve"> or in aggregate</w:t>
      </w:r>
      <w:r w:rsidR="00A91CEA" w:rsidRPr="00523556">
        <w:rPr>
          <w:rFonts w:ascii="Times New Roman" w:hAnsi="Times New Roman" w:cs="Times New Roman"/>
        </w:rPr>
        <w:t>, that</w:t>
      </w:r>
      <w:r w:rsidR="001D6301" w:rsidRPr="00523556">
        <w:rPr>
          <w:rFonts w:ascii="Times New Roman" w:hAnsi="Times New Roman" w:cs="Times New Roman"/>
        </w:rPr>
        <w:t xml:space="preserve"> total net DD issuance each year </w:t>
      </w:r>
      <w:r w:rsidR="00A91CEA" w:rsidRPr="00523556">
        <w:rPr>
          <w:rFonts w:ascii="Times New Roman" w:hAnsi="Times New Roman" w:cs="Times New Roman"/>
        </w:rPr>
        <w:t>does not</w:t>
      </w:r>
      <w:r w:rsidR="001D6301" w:rsidRPr="00523556">
        <w:rPr>
          <w:rFonts w:ascii="Times New Roman" w:hAnsi="Times New Roman" w:cs="Times New Roman"/>
        </w:rPr>
        <w:t xml:space="preserve"> </w:t>
      </w:r>
      <w:r w:rsidR="00A91CEA" w:rsidRPr="00523556">
        <w:rPr>
          <w:rFonts w:ascii="Times New Roman" w:hAnsi="Times New Roman" w:cs="Times New Roman"/>
        </w:rPr>
        <w:t>exceed the value of government</w:t>
      </w:r>
      <w:r w:rsidR="001D6301" w:rsidRPr="00523556">
        <w:rPr>
          <w:rFonts w:ascii="Times New Roman" w:hAnsi="Times New Roman" w:cs="Times New Roman"/>
        </w:rPr>
        <w:t xml:space="preserve">-financed </w:t>
      </w:r>
      <w:r w:rsidR="005453B2" w:rsidRPr="00523556">
        <w:rPr>
          <w:rFonts w:ascii="Times New Roman" w:hAnsi="Times New Roman" w:cs="Times New Roman"/>
        </w:rPr>
        <w:t xml:space="preserve">net </w:t>
      </w:r>
      <w:r w:rsidR="001D6301" w:rsidRPr="00523556">
        <w:rPr>
          <w:rFonts w:ascii="Times New Roman" w:hAnsi="Times New Roman" w:cs="Times New Roman"/>
        </w:rPr>
        <w:t>public investment</w:t>
      </w:r>
      <w:r w:rsidR="005453B2" w:rsidRPr="00523556">
        <w:rPr>
          <w:rFonts w:ascii="Times New Roman" w:hAnsi="Times New Roman" w:cs="Times New Roman"/>
        </w:rPr>
        <w:t>.</w:t>
      </w:r>
      <w:r w:rsidR="006B7A2C" w:rsidRPr="00523556">
        <w:rPr>
          <w:rFonts w:ascii="Times New Roman" w:hAnsi="Times New Roman" w:cs="Times New Roman"/>
        </w:rPr>
        <w:t xml:space="preserve"> </w:t>
      </w:r>
      <w:r w:rsidR="005453B2" w:rsidRPr="00523556">
        <w:rPr>
          <w:rFonts w:ascii="Times New Roman" w:hAnsi="Times New Roman" w:cs="Times New Roman"/>
        </w:rPr>
        <w:t>I</w:t>
      </w:r>
      <w:r w:rsidR="006B7A2C" w:rsidRPr="00523556">
        <w:rPr>
          <w:rFonts w:ascii="Times New Roman" w:hAnsi="Times New Roman" w:cs="Times New Roman"/>
        </w:rPr>
        <w:t xml:space="preserve">n turn, </w:t>
      </w:r>
      <w:r w:rsidR="00453E0F" w:rsidRPr="00523556">
        <w:rPr>
          <w:rFonts w:ascii="Times New Roman" w:hAnsi="Times New Roman" w:cs="Times New Roman"/>
        </w:rPr>
        <w:t xml:space="preserve">GoU should </w:t>
      </w:r>
      <w:r w:rsidR="006B7A2C" w:rsidRPr="00523556">
        <w:rPr>
          <w:rFonts w:ascii="Times New Roman" w:hAnsi="Times New Roman" w:cs="Times New Roman"/>
        </w:rPr>
        <w:t xml:space="preserve">ensure that the return (however defined) on the </w:t>
      </w:r>
      <w:r w:rsidR="0031434B" w:rsidRPr="00523556">
        <w:rPr>
          <w:rFonts w:ascii="Times New Roman" w:hAnsi="Times New Roman" w:cs="Times New Roman"/>
        </w:rPr>
        <w:t xml:space="preserve">publicly-financed </w:t>
      </w:r>
      <w:r w:rsidR="006B7A2C" w:rsidRPr="00523556">
        <w:rPr>
          <w:rFonts w:ascii="Times New Roman" w:hAnsi="Times New Roman" w:cs="Times New Roman"/>
        </w:rPr>
        <w:t xml:space="preserve">investment project with the lowest return exceeds the cost of </w:t>
      </w:r>
      <w:r w:rsidR="0031434B" w:rsidRPr="00523556">
        <w:rPr>
          <w:rFonts w:ascii="Times New Roman" w:hAnsi="Times New Roman" w:cs="Times New Roman"/>
        </w:rPr>
        <w:t xml:space="preserve">domestic </w:t>
      </w:r>
      <w:r w:rsidR="006B7A2C" w:rsidRPr="00523556">
        <w:rPr>
          <w:rFonts w:ascii="Times New Roman" w:hAnsi="Times New Roman" w:cs="Times New Roman"/>
        </w:rPr>
        <w:t>borrowing</w:t>
      </w:r>
      <w:r w:rsidR="00A91CEA" w:rsidRPr="00523556">
        <w:rPr>
          <w:rFonts w:ascii="Times New Roman" w:hAnsi="Times New Roman" w:cs="Times New Roman"/>
        </w:rPr>
        <w:t xml:space="preserve">. </w:t>
      </w:r>
    </w:p>
    <w:p w:rsidR="00EC4092" w:rsidRPr="00523556" w:rsidRDefault="00EC4092" w:rsidP="008048E3">
      <w:pPr>
        <w:jc w:val="both"/>
        <w:rPr>
          <w:rFonts w:ascii="Times New Roman" w:hAnsi="Times New Roman" w:cs="Times New Roman"/>
        </w:rPr>
      </w:pPr>
      <w:r w:rsidRPr="00523556">
        <w:rPr>
          <w:rFonts w:ascii="Times New Roman" w:hAnsi="Times New Roman" w:cs="Times New Roman"/>
        </w:rPr>
        <w:t>Actions to broaden the investor base can have a variety of benefits</w:t>
      </w:r>
      <w:r w:rsidR="00611CFD" w:rsidRPr="00523556">
        <w:rPr>
          <w:rFonts w:ascii="Times New Roman" w:hAnsi="Times New Roman" w:cs="Times New Roman"/>
        </w:rPr>
        <w:t>, including bringing downward pressure on interest rates</w:t>
      </w:r>
      <w:r w:rsidR="00070B5A" w:rsidRPr="00523556">
        <w:rPr>
          <w:rFonts w:ascii="Times New Roman" w:hAnsi="Times New Roman" w:cs="Times New Roman"/>
        </w:rPr>
        <w:t xml:space="preserve"> (by expanding demand, making </w:t>
      </w:r>
      <w:r w:rsidR="00D84F93" w:rsidRPr="00523556">
        <w:rPr>
          <w:rFonts w:ascii="Times New Roman" w:hAnsi="Times New Roman" w:cs="Times New Roman"/>
        </w:rPr>
        <w:t xml:space="preserve">primary </w:t>
      </w:r>
      <w:r w:rsidR="00070B5A" w:rsidRPr="00523556">
        <w:rPr>
          <w:rFonts w:ascii="Times New Roman" w:hAnsi="Times New Roman" w:cs="Times New Roman"/>
        </w:rPr>
        <w:t>auctions more competitive</w:t>
      </w:r>
      <w:r w:rsidR="00D84F93" w:rsidRPr="00523556">
        <w:rPr>
          <w:rFonts w:ascii="Times New Roman" w:hAnsi="Times New Roman" w:cs="Times New Roman"/>
        </w:rPr>
        <w:t xml:space="preserve">, and </w:t>
      </w:r>
      <w:r w:rsidR="00640872" w:rsidRPr="00523556">
        <w:rPr>
          <w:rFonts w:ascii="Times New Roman" w:hAnsi="Times New Roman" w:cs="Times New Roman"/>
        </w:rPr>
        <w:t xml:space="preserve">stimulating greater </w:t>
      </w:r>
      <w:r w:rsidR="00D84F93" w:rsidRPr="00523556">
        <w:rPr>
          <w:rFonts w:ascii="Times New Roman" w:hAnsi="Times New Roman" w:cs="Times New Roman"/>
        </w:rPr>
        <w:t>secondary market activ</w:t>
      </w:r>
      <w:r w:rsidR="00640872" w:rsidRPr="00523556">
        <w:rPr>
          <w:rFonts w:ascii="Times New Roman" w:hAnsi="Times New Roman" w:cs="Times New Roman"/>
        </w:rPr>
        <w:t>ity</w:t>
      </w:r>
      <w:r w:rsidR="00D84F93" w:rsidRPr="00523556">
        <w:rPr>
          <w:rFonts w:ascii="Times New Roman" w:hAnsi="Times New Roman" w:cs="Times New Roman"/>
        </w:rPr>
        <w:t xml:space="preserve"> and hence </w:t>
      </w:r>
      <w:r w:rsidR="00640872" w:rsidRPr="00523556">
        <w:rPr>
          <w:rFonts w:ascii="Times New Roman" w:hAnsi="Times New Roman" w:cs="Times New Roman"/>
        </w:rPr>
        <w:t xml:space="preserve">a </w:t>
      </w:r>
      <w:r w:rsidR="00D84F93" w:rsidRPr="00523556">
        <w:rPr>
          <w:rFonts w:ascii="Times New Roman" w:hAnsi="Times New Roman" w:cs="Times New Roman"/>
        </w:rPr>
        <w:t>reduc</w:t>
      </w:r>
      <w:r w:rsidR="00640872" w:rsidRPr="00523556">
        <w:rPr>
          <w:rFonts w:ascii="Times New Roman" w:hAnsi="Times New Roman" w:cs="Times New Roman"/>
        </w:rPr>
        <w:t>tion in</w:t>
      </w:r>
      <w:r w:rsidR="00D84F93" w:rsidRPr="00523556">
        <w:rPr>
          <w:rFonts w:ascii="Times New Roman" w:hAnsi="Times New Roman" w:cs="Times New Roman"/>
        </w:rPr>
        <w:t xml:space="preserve"> liquidity premiums</w:t>
      </w:r>
      <w:r w:rsidR="00070B5A" w:rsidRPr="00523556">
        <w:rPr>
          <w:rFonts w:ascii="Times New Roman" w:hAnsi="Times New Roman" w:cs="Times New Roman"/>
        </w:rPr>
        <w:t>)</w:t>
      </w:r>
      <w:r w:rsidR="00611CFD" w:rsidRPr="00523556">
        <w:rPr>
          <w:rFonts w:ascii="Times New Roman" w:hAnsi="Times New Roman" w:cs="Times New Roman"/>
        </w:rPr>
        <w:t>,</w:t>
      </w:r>
      <w:r w:rsidR="0094040D" w:rsidRPr="00523556">
        <w:rPr>
          <w:rStyle w:val="FootnoteReference"/>
          <w:rFonts w:ascii="Times New Roman" w:hAnsi="Times New Roman" w:cs="Times New Roman"/>
        </w:rPr>
        <w:footnoteReference w:id="43"/>
      </w:r>
      <w:r w:rsidR="00611CFD" w:rsidRPr="00523556">
        <w:rPr>
          <w:rFonts w:ascii="Times New Roman" w:hAnsi="Times New Roman" w:cs="Times New Roman"/>
        </w:rPr>
        <w:t xml:space="preserve"> </w:t>
      </w:r>
      <w:r w:rsidR="00070B5A" w:rsidRPr="00523556">
        <w:rPr>
          <w:rFonts w:ascii="Times New Roman" w:hAnsi="Times New Roman" w:cs="Times New Roman"/>
        </w:rPr>
        <w:t>reducing volatility in yields (by increasing the diversity of market participants),</w:t>
      </w:r>
      <w:r w:rsidR="00340F54" w:rsidRPr="00523556">
        <w:rPr>
          <w:rStyle w:val="FootnoteReference"/>
          <w:rFonts w:ascii="Times New Roman" w:hAnsi="Times New Roman" w:cs="Times New Roman"/>
        </w:rPr>
        <w:footnoteReference w:id="44"/>
      </w:r>
      <w:r w:rsidR="00070B5A" w:rsidRPr="00523556">
        <w:rPr>
          <w:rFonts w:ascii="Times New Roman" w:hAnsi="Times New Roman" w:cs="Times New Roman"/>
        </w:rPr>
        <w:t xml:space="preserve"> facilitating a reduction in refinancing risk (by introducing investors with longer time horizons)</w:t>
      </w:r>
      <w:r w:rsidR="00611CFD" w:rsidRPr="00523556">
        <w:rPr>
          <w:rFonts w:ascii="Times New Roman" w:hAnsi="Times New Roman" w:cs="Times New Roman"/>
        </w:rPr>
        <w:t>,</w:t>
      </w:r>
      <w:r w:rsidR="00F02D1C" w:rsidRPr="00523556">
        <w:rPr>
          <w:rStyle w:val="FootnoteReference"/>
          <w:rFonts w:ascii="Times New Roman" w:hAnsi="Times New Roman" w:cs="Times New Roman"/>
        </w:rPr>
        <w:footnoteReference w:id="45"/>
      </w:r>
      <w:r w:rsidR="00611CFD" w:rsidRPr="00523556">
        <w:rPr>
          <w:rFonts w:ascii="Times New Roman" w:hAnsi="Times New Roman" w:cs="Times New Roman"/>
        </w:rPr>
        <w:t xml:space="preserve"> and acting </w:t>
      </w:r>
      <w:r w:rsidRPr="00523556">
        <w:rPr>
          <w:rFonts w:ascii="Times New Roman" w:hAnsi="Times New Roman" w:cs="Times New Roman"/>
        </w:rPr>
        <w:t>to limit crowding out</w:t>
      </w:r>
      <w:r w:rsidR="00070B5A" w:rsidRPr="00523556">
        <w:rPr>
          <w:rFonts w:ascii="Times New Roman" w:hAnsi="Times New Roman" w:cs="Times New Roman"/>
        </w:rPr>
        <w:t xml:space="preserve"> (by expanding the proportion of non-bank investors)</w:t>
      </w:r>
      <w:r w:rsidR="00BD711B" w:rsidRPr="00523556">
        <w:rPr>
          <w:rStyle w:val="FootnoteReference"/>
          <w:rFonts w:ascii="Times New Roman" w:hAnsi="Times New Roman" w:cs="Times New Roman"/>
        </w:rPr>
        <w:footnoteReference w:id="46"/>
      </w:r>
      <w:r w:rsidRPr="00523556">
        <w:rPr>
          <w:rFonts w:ascii="Times New Roman" w:hAnsi="Times New Roman" w:cs="Times New Roman"/>
        </w:rPr>
        <w:t>.</w:t>
      </w:r>
      <w:r w:rsidR="00F23ED9" w:rsidRPr="00523556">
        <w:rPr>
          <w:rStyle w:val="FootnoteReference"/>
          <w:rFonts w:ascii="Times New Roman" w:hAnsi="Times New Roman" w:cs="Times New Roman"/>
        </w:rPr>
        <w:footnoteReference w:id="47"/>
      </w:r>
      <w:r w:rsidRPr="00523556">
        <w:rPr>
          <w:rFonts w:ascii="Times New Roman" w:hAnsi="Times New Roman" w:cs="Times New Roman"/>
        </w:rPr>
        <w:t xml:space="preserve"> </w:t>
      </w:r>
      <w:r w:rsidR="00BB0C50" w:rsidRPr="00523556">
        <w:rPr>
          <w:rFonts w:ascii="Times New Roman" w:hAnsi="Times New Roman" w:cs="Times New Roman"/>
        </w:rPr>
        <w:t>I</w:t>
      </w:r>
      <w:r w:rsidR="008F160D" w:rsidRPr="00523556">
        <w:rPr>
          <w:rFonts w:ascii="Times New Roman" w:hAnsi="Times New Roman" w:cs="Times New Roman"/>
        </w:rPr>
        <w:t>mportant area</w:t>
      </w:r>
      <w:r w:rsidR="00BB0C50" w:rsidRPr="00523556">
        <w:rPr>
          <w:rFonts w:ascii="Times New Roman" w:hAnsi="Times New Roman" w:cs="Times New Roman"/>
        </w:rPr>
        <w:t>s</w:t>
      </w:r>
      <w:r w:rsidR="008F160D" w:rsidRPr="00523556">
        <w:rPr>
          <w:rFonts w:ascii="Times New Roman" w:hAnsi="Times New Roman" w:cs="Times New Roman"/>
        </w:rPr>
        <w:t xml:space="preserve"> in this regard will </w:t>
      </w:r>
      <w:r w:rsidR="00BB0C50" w:rsidRPr="00523556">
        <w:rPr>
          <w:rFonts w:ascii="Times New Roman" w:hAnsi="Times New Roman" w:cs="Times New Roman"/>
        </w:rPr>
        <w:t xml:space="preserve">include </w:t>
      </w:r>
      <w:r w:rsidR="008F160D" w:rsidRPr="00523556">
        <w:rPr>
          <w:rFonts w:ascii="Times New Roman" w:hAnsi="Times New Roman" w:cs="Times New Roman"/>
        </w:rPr>
        <w:t>accelerating reform of the pension sector</w:t>
      </w:r>
      <w:r w:rsidR="004B3366" w:rsidRPr="00523556">
        <w:rPr>
          <w:rStyle w:val="FootnoteReference"/>
          <w:rFonts w:ascii="Times New Roman" w:hAnsi="Times New Roman" w:cs="Times New Roman"/>
        </w:rPr>
        <w:footnoteReference w:id="48"/>
      </w:r>
      <w:r w:rsidR="008F160D" w:rsidRPr="00523556">
        <w:rPr>
          <w:rFonts w:ascii="Times New Roman" w:hAnsi="Times New Roman" w:cs="Times New Roman"/>
        </w:rPr>
        <w:t xml:space="preserve"> – </w:t>
      </w:r>
      <w:r w:rsidR="00F23ED9" w:rsidRPr="00523556">
        <w:rPr>
          <w:rFonts w:ascii="Times New Roman" w:hAnsi="Times New Roman" w:cs="Times New Roman"/>
        </w:rPr>
        <w:t xml:space="preserve">particularly the transformation of the Public Sector Pension Scheme into a funded scheme, as well as </w:t>
      </w:r>
      <w:r w:rsidR="008F160D" w:rsidRPr="00523556">
        <w:rPr>
          <w:rFonts w:ascii="Times New Roman" w:hAnsi="Times New Roman" w:cs="Times New Roman"/>
        </w:rPr>
        <w:t>liberalisation</w:t>
      </w:r>
      <w:r w:rsidR="00F23ED9" w:rsidRPr="00523556">
        <w:rPr>
          <w:rFonts w:ascii="Times New Roman" w:hAnsi="Times New Roman" w:cs="Times New Roman"/>
        </w:rPr>
        <w:t xml:space="preserve"> of the private pensions sector</w:t>
      </w:r>
      <w:r w:rsidR="00BB0C50" w:rsidRPr="00523556">
        <w:rPr>
          <w:rFonts w:ascii="Times New Roman" w:hAnsi="Times New Roman" w:cs="Times New Roman"/>
        </w:rPr>
        <w:t xml:space="preserve"> – and </w:t>
      </w:r>
      <w:r w:rsidR="00F23ED9" w:rsidRPr="00523556">
        <w:rPr>
          <w:rFonts w:ascii="Times New Roman" w:hAnsi="Times New Roman" w:cs="Times New Roman"/>
        </w:rPr>
        <w:t>m</w:t>
      </w:r>
      <w:r w:rsidR="008F160D" w:rsidRPr="00523556">
        <w:rPr>
          <w:rFonts w:ascii="Times New Roman" w:hAnsi="Times New Roman" w:cs="Times New Roman"/>
        </w:rPr>
        <w:t>aking access to the market easier for retail investors</w:t>
      </w:r>
      <w:r w:rsidR="00BA069F" w:rsidRPr="00523556">
        <w:rPr>
          <w:rFonts w:ascii="Times New Roman" w:hAnsi="Times New Roman" w:cs="Times New Roman"/>
        </w:rPr>
        <w:t>,</w:t>
      </w:r>
      <w:r w:rsidR="003B6F9D" w:rsidRPr="00523556">
        <w:rPr>
          <w:rStyle w:val="FootnoteReference"/>
          <w:rFonts w:ascii="Times New Roman" w:hAnsi="Times New Roman" w:cs="Times New Roman"/>
        </w:rPr>
        <w:footnoteReference w:id="49"/>
      </w:r>
      <w:r w:rsidR="00BA069F" w:rsidRPr="00523556">
        <w:rPr>
          <w:rFonts w:ascii="Times New Roman" w:hAnsi="Times New Roman" w:cs="Times New Roman"/>
        </w:rPr>
        <w:t xml:space="preserve"> and more attractive to foreign investors</w:t>
      </w:r>
      <w:r w:rsidR="00F02D1C" w:rsidRPr="00523556">
        <w:rPr>
          <w:rStyle w:val="FootnoteReference"/>
          <w:rFonts w:ascii="Times New Roman" w:hAnsi="Times New Roman" w:cs="Times New Roman"/>
        </w:rPr>
        <w:footnoteReference w:id="50"/>
      </w:r>
      <w:r w:rsidR="00F02D1C" w:rsidRPr="00523556">
        <w:rPr>
          <w:rFonts w:ascii="Times New Roman" w:hAnsi="Times New Roman" w:cs="Times New Roman"/>
        </w:rPr>
        <w:t xml:space="preserve"> </w:t>
      </w:r>
      <w:r w:rsidR="00BA069F" w:rsidRPr="00523556">
        <w:rPr>
          <w:rFonts w:ascii="Times New Roman" w:hAnsi="Times New Roman" w:cs="Times New Roman"/>
        </w:rPr>
        <w:t>(such as by reforming the withholding tax system)</w:t>
      </w:r>
      <w:r w:rsidR="00C15F20" w:rsidRPr="00523556">
        <w:rPr>
          <w:rStyle w:val="FootnoteReference"/>
          <w:rFonts w:ascii="Times New Roman" w:hAnsi="Times New Roman" w:cs="Times New Roman"/>
        </w:rPr>
        <w:footnoteReference w:id="51"/>
      </w:r>
      <w:r w:rsidR="00F23ED9" w:rsidRPr="00523556">
        <w:rPr>
          <w:rFonts w:ascii="Times New Roman" w:hAnsi="Times New Roman" w:cs="Times New Roman"/>
        </w:rPr>
        <w:t>.</w:t>
      </w:r>
      <w:r w:rsidR="00431F8B" w:rsidRPr="00523556">
        <w:rPr>
          <w:rStyle w:val="FootnoteReference"/>
          <w:rFonts w:ascii="Times New Roman" w:hAnsi="Times New Roman" w:cs="Times New Roman"/>
        </w:rPr>
        <w:footnoteReference w:id="52"/>
      </w:r>
      <w:r w:rsidR="008F160D" w:rsidRPr="00523556">
        <w:rPr>
          <w:rFonts w:ascii="Times New Roman" w:hAnsi="Times New Roman" w:cs="Times New Roman"/>
        </w:rPr>
        <w:t xml:space="preserve"> </w:t>
      </w:r>
    </w:p>
    <w:p w:rsidR="009B5F44" w:rsidRPr="00523556" w:rsidRDefault="00FF56EF" w:rsidP="004069FD">
      <w:pPr>
        <w:jc w:val="both"/>
        <w:rPr>
          <w:rFonts w:ascii="Times New Roman" w:hAnsi="Times New Roman" w:cs="Times New Roman"/>
        </w:rPr>
      </w:pPr>
      <w:r w:rsidRPr="00523556">
        <w:rPr>
          <w:rFonts w:ascii="Times New Roman" w:hAnsi="Times New Roman" w:cs="Times New Roman"/>
        </w:rPr>
        <w:lastRenderedPageBreak/>
        <w:t xml:space="preserve">Continued </w:t>
      </w:r>
      <w:r w:rsidR="00705E47" w:rsidRPr="00523556">
        <w:rPr>
          <w:rFonts w:ascii="Times New Roman" w:hAnsi="Times New Roman" w:cs="Times New Roman"/>
        </w:rPr>
        <w:t>strength</w:t>
      </w:r>
      <w:r w:rsidRPr="00523556">
        <w:rPr>
          <w:rFonts w:ascii="Times New Roman" w:hAnsi="Times New Roman" w:cs="Times New Roman"/>
        </w:rPr>
        <w:t xml:space="preserve">ening </w:t>
      </w:r>
      <w:r w:rsidR="00705E47" w:rsidRPr="00523556">
        <w:rPr>
          <w:rFonts w:ascii="Times New Roman" w:hAnsi="Times New Roman" w:cs="Times New Roman"/>
        </w:rPr>
        <w:t xml:space="preserve">of </w:t>
      </w:r>
      <w:r w:rsidRPr="00523556">
        <w:rPr>
          <w:rFonts w:ascii="Times New Roman" w:hAnsi="Times New Roman" w:cs="Times New Roman"/>
        </w:rPr>
        <w:t xml:space="preserve">the operation and credibility of </w:t>
      </w:r>
      <w:r w:rsidR="000D58CE" w:rsidRPr="00523556">
        <w:rPr>
          <w:rFonts w:ascii="Times New Roman" w:hAnsi="Times New Roman" w:cs="Times New Roman"/>
        </w:rPr>
        <w:t>Uganda’s inflation targeting framework</w:t>
      </w:r>
      <w:r w:rsidRPr="00523556">
        <w:rPr>
          <w:rFonts w:ascii="Times New Roman" w:hAnsi="Times New Roman" w:cs="Times New Roman"/>
        </w:rPr>
        <w:t xml:space="preserve"> </w:t>
      </w:r>
      <w:r w:rsidR="000D58CE" w:rsidRPr="00523556">
        <w:rPr>
          <w:rFonts w:ascii="Times New Roman" w:hAnsi="Times New Roman" w:cs="Times New Roman"/>
        </w:rPr>
        <w:t>will also have important benefits</w:t>
      </w:r>
      <w:r w:rsidRPr="00523556">
        <w:rPr>
          <w:rFonts w:ascii="Times New Roman" w:hAnsi="Times New Roman" w:cs="Times New Roman"/>
        </w:rPr>
        <w:t xml:space="preserve"> in the context of domestic debt issuance</w:t>
      </w:r>
      <w:r w:rsidR="00705E47" w:rsidRPr="00523556">
        <w:rPr>
          <w:rFonts w:ascii="Times New Roman" w:hAnsi="Times New Roman" w:cs="Times New Roman"/>
        </w:rPr>
        <w:t xml:space="preserve">. </w:t>
      </w:r>
      <w:r w:rsidR="000D58CE" w:rsidRPr="00523556">
        <w:rPr>
          <w:rFonts w:ascii="Times New Roman" w:hAnsi="Times New Roman" w:cs="Times New Roman"/>
        </w:rPr>
        <w:t xml:space="preserve">By reducing inflation expectations, </w:t>
      </w:r>
      <w:r w:rsidR="004069FD" w:rsidRPr="00523556">
        <w:rPr>
          <w:rFonts w:ascii="Times New Roman" w:hAnsi="Times New Roman" w:cs="Times New Roman"/>
        </w:rPr>
        <w:t xml:space="preserve">improved perceptions </w:t>
      </w:r>
      <w:r w:rsidR="000D58CE" w:rsidRPr="00523556">
        <w:rPr>
          <w:rFonts w:ascii="Times New Roman" w:hAnsi="Times New Roman" w:cs="Times New Roman"/>
        </w:rPr>
        <w:t>of the inflation targeting framework should act to bring down yields, and particularly at the longer end of the yield curve (thus facilitating greater longer-term issuance and a reduction in refinancing risk, as well as debt interest costs overall).</w:t>
      </w:r>
      <w:r w:rsidR="000D58CE" w:rsidRPr="00523556">
        <w:rPr>
          <w:rStyle w:val="FootnoteReference"/>
          <w:rFonts w:ascii="Times New Roman" w:hAnsi="Times New Roman" w:cs="Times New Roman"/>
        </w:rPr>
        <w:footnoteReference w:id="53"/>
      </w:r>
      <w:r w:rsidR="00705E47" w:rsidRPr="00523556">
        <w:rPr>
          <w:rFonts w:ascii="Times New Roman" w:hAnsi="Times New Roman" w:cs="Times New Roman"/>
        </w:rPr>
        <w:t xml:space="preserve"> </w:t>
      </w:r>
      <w:r w:rsidR="009B5F44" w:rsidRPr="00523556">
        <w:rPr>
          <w:rFonts w:ascii="Times New Roman" w:hAnsi="Times New Roman" w:cs="Times New Roman"/>
        </w:rPr>
        <w:t xml:space="preserve">Extending </w:t>
      </w:r>
      <w:r w:rsidR="004069FD" w:rsidRPr="00523556">
        <w:rPr>
          <w:rFonts w:ascii="Times New Roman" w:hAnsi="Times New Roman" w:cs="Times New Roman"/>
        </w:rPr>
        <w:t xml:space="preserve">the </w:t>
      </w:r>
      <w:r w:rsidR="009B5F44" w:rsidRPr="00523556">
        <w:rPr>
          <w:rFonts w:ascii="Times New Roman" w:hAnsi="Times New Roman" w:cs="Times New Roman"/>
        </w:rPr>
        <w:t>yield curve</w:t>
      </w:r>
      <w:r w:rsidR="00EF7FE1" w:rsidRPr="00523556">
        <w:rPr>
          <w:rFonts w:ascii="Times New Roman" w:hAnsi="Times New Roman" w:cs="Times New Roman"/>
        </w:rPr>
        <w:t xml:space="preserve"> </w:t>
      </w:r>
      <w:r w:rsidR="007D488D" w:rsidRPr="00523556">
        <w:rPr>
          <w:rFonts w:ascii="Times New Roman" w:hAnsi="Times New Roman" w:cs="Times New Roman"/>
        </w:rPr>
        <w:t xml:space="preserve">– building on the recent introduction of a </w:t>
      </w:r>
      <w:r w:rsidR="004069FD" w:rsidRPr="00523556">
        <w:rPr>
          <w:rFonts w:ascii="Times New Roman" w:hAnsi="Times New Roman" w:cs="Times New Roman"/>
        </w:rPr>
        <w:t>1</w:t>
      </w:r>
      <w:r w:rsidR="007D488D" w:rsidRPr="00523556">
        <w:rPr>
          <w:rFonts w:ascii="Times New Roman" w:hAnsi="Times New Roman" w:cs="Times New Roman"/>
        </w:rPr>
        <w:t>5</w:t>
      </w:r>
      <w:r w:rsidR="004069FD" w:rsidRPr="00523556">
        <w:rPr>
          <w:rFonts w:ascii="Times New Roman" w:hAnsi="Times New Roman" w:cs="Times New Roman"/>
        </w:rPr>
        <w:t>-year Treasury Bond</w:t>
      </w:r>
      <w:r w:rsidR="007D488D" w:rsidRPr="00523556">
        <w:rPr>
          <w:rFonts w:ascii="Times New Roman" w:hAnsi="Times New Roman" w:cs="Times New Roman"/>
        </w:rPr>
        <w:t xml:space="preserve"> </w:t>
      </w:r>
      <w:r w:rsidR="00737AE8" w:rsidRPr="00523556">
        <w:rPr>
          <w:rFonts w:ascii="Times New Roman" w:hAnsi="Times New Roman" w:cs="Times New Roman"/>
        </w:rPr>
        <w:t>–</w:t>
      </w:r>
      <w:r w:rsidR="007D488D" w:rsidRPr="00523556">
        <w:rPr>
          <w:rStyle w:val="FootnoteReference"/>
          <w:rFonts w:ascii="Times New Roman" w:hAnsi="Times New Roman" w:cs="Times New Roman"/>
        </w:rPr>
        <w:footnoteReference w:id="54"/>
      </w:r>
      <w:r w:rsidR="004069FD" w:rsidRPr="00523556">
        <w:rPr>
          <w:rFonts w:ascii="Times New Roman" w:hAnsi="Times New Roman" w:cs="Times New Roman"/>
        </w:rPr>
        <w:t xml:space="preserve"> </w:t>
      </w:r>
      <w:r w:rsidR="007D488D" w:rsidRPr="00523556">
        <w:rPr>
          <w:rFonts w:ascii="Times New Roman" w:hAnsi="Times New Roman" w:cs="Times New Roman"/>
        </w:rPr>
        <w:t>will support financial sector development by providing benchmarks for the pricing of longer-term private sector financial instruments, and help</w:t>
      </w:r>
      <w:r w:rsidR="004069FD" w:rsidRPr="00523556">
        <w:rPr>
          <w:rFonts w:ascii="Times New Roman" w:hAnsi="Times New Roman" w:cs="Times New Roman"/>
        </w:rPr>
        <w:t xml:space="preserve"> reduce refinancing risk</w:t>
      </w:r>
      <w:r w:rsidR="00EF7FE1" w:rsidRPr="00523556">
        <w:rPr>
          <w:rFonts w:ascii="Times New Roman" w:hAnsi="Times New Roman" w:cs="Times New Roman"/>
        </w:rPr>
        <w:t>.</w:t>
      </w:r>
      <w:r w:rsidR="004069FD" w:rsidRPr="00523556">
        <w:rPr>
          <w:rFonts w:ascii="Times New Roman" w:hAnsi="Times New Roman" w:cs="Times New Roman"/>
        </w:rPr>
        <w:t xml:space="preserve"> </w:t>
      </w:r>
      <w:r w:rsidR="00C537C2" w:rsidRPr="00523556">
        <w:rPr>
          <w:rFonts w:ascii="Times New Roman" w:hAnsi="Times New Roman" w:cs="Times New Roman"/>
        </w:rPr>
        <w:t xml:space="preserve">This could </w:t>
      </w:r>
      <w:r w:rsidR="006C4D09" w:rsidRPr="00523556">
        <w:rPr>
          <w:rFonts w:ascii="Times New Roman" w:hAnsi="Times New Roman" w:cs="Times New Roman"/>
        </w:rPr>
        <w:t>include</w:t>
      </w:r>
      <w:r w:rsidR="00B224F8" w:rsidRPr="00523556">
        <w:rPr>
          <w:rFonts w:ascii="Times New Roman" w:hAnsi="Times New Roman" w:cs="Times New Roman"/>
        </w:rPr>
        <w:t xml:space="preserve"> </w:t>
      </w:r>
      <w:r w:rsidR="00E3257A" w:rsidRPr="00523556">
        <w:rPr>
          <w:rFonts w:ascii="Times New Roman" w:hAnsi="Times New Roman" w:cs="Times New Roman"/>
        </w:rPr>
        <w:t>the introduction of</w:t>
      </w:r>
      <w:r w:rsidR="00C537C2" w:rsidRPr="00523556">
        <w:rPr>
          <w:rFonts w:ascii="Times New Roman" w:hAnsi="Times New Roman" w:cs="Times New Roman"/>
        </w:rPr>
        <w:t xml:space="preserve"> long-term infrastructure bonds</w:t>
      </w:r>
      <w:r w:rsidR="00E3257A" w:rsidRPr="00523556">
        <w:rPr>
          <w:rFonts w:ascii="Times New Roman" w:hAnsi="Times New Roman" w:cs="Times New Roman"/>
        </w:rPr>
        <w:t xml:space="preserve">; </w:t>
      </w:r>
      <w:r w:rsidR="00C002A0" w:rsidRPr="00523556">
        <w:rPr>
          <w:rFonts w:ascii="Times New Roman" w:hAnsi="Times New Roman" w:cs="Times New Roman"/>
        </w:rPr>
        <w:t>infrastructure bond</w:t>
      </w:r>
      <w:r w:rsidR="00E3257A" w:rsidRPr="00523556">
        <w:rPr>
          <w:rFonts w:ascii="Times New Roman" w:hAnsi="Times New Roman" w:cs="Times New Roman"/>
        </w:rPr>
        <w:t xml:space="preserve"> issuance by </w:t>
      </w:r>
      <w:r w:rsidR="00C002A0" w:rsidRPr="00523556">
        <w:rPr>
          <w:rFonts w:ascii="Times New Roman" w:hAnsi="Times New Roman" w:cs="Times New Roman"/>
        </w:rPr>
        <w:t xml:space="preserve">the Government of </w:t>
      </w:r>
      <w:r w:rsidR="00E3257A" w:rsidRPr="00523556">
        <w:rPr>
          <w:rFonts w:ascii="Times New Roman" w:hAnsi="Times New Roman" w:cs="Times New Roman"/>
        </w:rPr>
        <w:t xml:space="preserve">Kenya provides an interesting </w:t>
      </w:r>
      <w:r w:rsidR="00C002A0" w:rsidRPr="00523556">
        <w:rPr>
          <w:rFonts w:ascii="Times New Roman" w:hAnsi="Times New Roman" w:cs="Times New Roman"/>
        </w:rPr>
        <w:t xml:space="preserve">regional </w:t>
      </w:r>
      <w:r w:rsidR="00E3257A" w:rsidRPr="00523556">
        <w:rPr>
          <w:rFonts w:ascii="Times New Roman" w:hAnsi="Times New Roman" w:cs="Times New Roman"/>
        </w:rPr>
        <w:t xml:space="preserve">example of what </w:t>
      </w:r>
      <w:r w:rsidR="00B224F8" w:rsidRPr="00523556">
        <w:rPr>
          <w:rFonts w:ascii="Times New Roman" w:hAnsi="Times New Roman" w:cs="Times New Roman"/>
        </w:rPr>
        <w:t xml:space="preserve">precise features </w:t>
      </w:r>
      <w:r w:rsidR="00E3257A" w:rsidRPr="00523556">
        <w:rPr>
          <w:rFonts w:ascii="Times New Roman" w:hAnsi="Times New Roman" w:cs="Times New Roman"/>
        </w:rPr>
        <w:t xml:space="preserve">such </w:t>
      </w:r>
      <w:r w:rsidR="00570794" w:rsidRPr="00523556">
        <w:rPr>
          <w:rFonts w:ascii="Times New Roman" w:hAnsi="Times New Roman" w:cs="Times New Roman"/>
        </w:rPr>
        <w:t xml:space="preserve">securities </w:t>
      </w:r>
      <w:r w:rsidR="00E3257A" w:rsidRPr="00523556">
        <w:rPr>
          <w:rFonts w:ascii="Times New Roman" w:hAnsi="Times New Roman" w:cs="Times New Roman"/>
        </w:rPr>
        <w:t xml:space="preserve">could </w:t>
      </w:r>
      <w:r w:rsidR="00B224F8" w:rsidRPr="00523556">
        <w:rPr>
          <w:rFonts w:ascii="Times New Roman" w:hAnsi="Times New Roman" w:cs="Times New Roman"/>
        </w:rPr>
        <w:t>incorporate</w:t>
      </w:r>
      <w:r w:rsidR="00E3257A" w:rsidRPr="00523556">
        <w:rPr>
          <w:rFonts w:ascii="Times New Roman" w:hAnsi="Times New Roman" w:cs="Times New Roman"/>
        </w:rPr>
        <w:t>.</w:t>
      </w:r>
      <w:r w:rsidR="00C002A0" w:rsidRPr="00523556">
        <w:rPr>
          <w:rStyle w:val="FootnoteReference"/>
          <w:rFonts w:ascii="Times New Roman" w:hAnsi="Times New Roman" w:cs="Times New Roman"/>
        </w:rPr>
        <w:footnoteReference w:id="55"/>
      </w:r>
      <w:r w:rsidR="00E3257A" w:rsidRPr="00523556">
        <w:rPr>
          <w:rFonts w:ascii="Times New Roman" w:hAnsi="Times New Roman" w:cs="Times New Roman"/>
        </w:rPr>
        <w:t xml:space="preserve"> </w:t>
      </w:r>
    </w:p>
    <w:p w:rsidR="00A21DBB" w:rsidRPr="00523556" w:rsidRDefault="00A21DBB" w:rsidP="00A21DBB">
      <w:pPr>
        <w:jc w:val="both"/>
        <w:rPr>
          <w:rFonts w:ascii="Times New Roman" w:hAnsi="Times New Roman" w:cs="Times New Roman"/>
        </w:rPr>
      </w:pPr>
      <w:r w:rsidRPr="00523556">
        <w:rPr>
          <w:rFonts w:ascii="Times New Roman" w:hAnsi="Times New Roman" w:cs="Times New Roman"/>
        </w:rPr>
        <w:t>Further measures GoU can pursue that should help reduce issuance costs include building on recent improvements in the predictability and transparency</w:t>
      </w:r>
      <w:r w:rsidRPr="00523556">
        <w:rPr>
          <w:rStyle w:val="FootnoteReference"/>
          <w:rFonts w:ascii="Times New Roman" w:hAnsi="Times New Roman" w:cs="Times New Roman"/>
        </w:rPr>
        <w:footnoteReference w:id="56"/>
      </w:r>
      <w:r w:rsidRPr="00523556">
        <w:rPr>
          <w:rStyle w:val="FootnoteReference"/>
          <w:rFonts w:ascii="Times New Roman" w:hAnsi="Times New Roman" w:cs="Times New Roman"/>
        </w:rPr>
        <w:footnoteReference w:id="57"/>
      </w:r>
      <w:r w:rsidRPr="00523556">
        <w:rPr>
          <w:rFonts w:ascii="Times New Roman" w:hAnsi="Times New Roman" w:cs="Times New Roman"/>
        </w:rPr>
        <w:t xml:space="preserve"> of GoU’s domestic debt operations</w:t>
      </w:r>
      <w:r w:rsidR="004660A9" w:rsidRPr="00523556">
        <w:rPr>
          <w:rFonts w:ascii="Times New Roman" w:hAnsi="Times New Roman" w:cs="Times New Roman"/>
        </w:rPr>
        <w:t xml:space="preserve"> </w:t>
      </w:r>
      <w:r w:rsidRPr="00523556">
        <w:rPr>
          <w:rFonts w:ascii="Times New Roman" w:hAnsi="Times New Roman" w:cs="Times New Roman"/>
        </w:rPr>
        <w:t xml:space="preserve">– such as by providing more </w:t>
      </w:r>
      <w:r w:rsidR="006B22E6" w:rsidRPr="00523556">
        <w:rPr>
          <w:rFonts w:ascii="Times New Roman" w:hAnsi="Times New Roman" w:cs="Times New Roman"/>
        </w:rPr>
        <w:t>information</w:t>
      </w:r>
      <w:r w:rsidRPr="00523556">
        <w:rPr>
          <w:rFonts w:ascii="Times New Roman" w:hAnsi="Times New Roman" w:cs="Times New Roman"/>
        </w:rPr>
        <w:t xml:space="preserve"> o</w:t>
      </w:r>
      <w:r w:rsidR="006B22E6" w:rsidRPr="00523556">
        <w:rPr>
          <w:rFonts w:ascii="Times New Roman" w:hAnsi="Times New Roman" w:cs="Times New Roman"/>
        </w:rPr>
        <w:t>n</w:t>
      </w:r>
      <w:r w:rsidRPr="00523556">
        <w:rPr>
          <w:rFonts w:ascii="Times New Roman" w:hAnsi="Times New Roman" w:cs="Times New Roman"/>
        </w:rPr>
        <w:t xml:space="preserve"> issuance plans as part of an annual published medium-term debt management strategy (MTDS) document, and improving the extent and regularity of data publication</w:t>
      </w:r>
      <w:r w:rsidR="004660A9" w:rsidRPr="00523556">
        <w:rPr>
          <w:rFonts w:ascii="Times New Roman" w:hAnsi="Times New Roman" w:cs="Times New Roman"/>
        </w:rPr>
        <w:t xml:space="preserve"> – which by reducing uncertainty should bolster demand).</w:t>
      </w:r>
      <w:r w:rsidR="004660A9" w:rsidRPr="00523556">
        <w:rPr>
          <w:rStyle w:val="FootnoteReference"/>
          <w:rFonts w:ascii="Times New Roman" w:hAnsi="Times New Roman" w:cs="Times New Roman"/>
        </w:rPr>
        <w:footnoteReference w:id="58"/>
      </w:r>
      <w:r w:rsidRPr="00523556">
        <w:rPr>
          <w:rFonts w:ascii="Times New Roman" w:hAnsi="Times New Roman" w:cs="Times New Roman"/>
        </w:rPr>
        <w:t xml:space="preserve"> </w:t>
      </w:r>
      <w:r w:rsidR="0094040D" w:rsidRPr="00523556">
        <w:rPr>
          <w:rFonts w:ascii="Times New Roman" w:hAnsi="Times New Roman" w:cs="Times New Roman"/>
        </w:rPr>
        <w:t>Developing</w:t>
      </w:r>
      <w:r w:rsidRPr="00523556">
        <w:rPr>
          <w:rFonts w:ascii="Times New Roman" w:hAnsi="Times New Roman" w:cs="Times New Roman"/>
        </w:rPr>
        <w:t xml:space="preserve"> the secondary market </w:t>
      </w:r>
      <w:r w:rsidR="0094040D" w:rsidRPr="00523556">
        <w:rPr>
          <w:rFonts w:ascii="Times New Roman" w:hAnsi="Times New Roman" w:cs="Times New Roman"/>
        </w:rPr>
        <w:t xml:space="preserve">for Treasury securities </w:t>
      </w:r>
      <w:r w:rsidR="004660A9" w:rsidRPr="00523556">
        <w:rPr>
          <w:rFonts w:ascii="Times New Roman" w:hAnsi="Times New Roman" w:cs="Times New Roman"/>
        </w:rPr>
        <w:t xml:space="preserve">should also help reduce yields, by reducing </w:t>
      </w:r>
      <w:r w:rsidRPr="00523556">
        <w:rPr>
          <w:rFonts w:ascii="Times New Roman" w:hAnsi="Times New Roman" w:cs="Times New Roman"/>
        </w:rPr>
        <w:t xml:space="preserve">liquidity premiums </w:t>
      </w:r>
      <w:r w:rsidR="004660A9" w:rsidRPr="00523556">
        <w:rPr>
          <w:rFonts w:ascii="Times New Roman" w:hAnsi="Times New Roman" w:cs="Times New Roman"/>
        </w:rPr>
        <w:t>demanded by investors</w:t>
      </w:r>
      <w:r w:rsidR="00F248FE" w:rsidRPr="00523556">
        <w:rPr>
          <w:rFonts w:ascii="Times New Roman" w:hAnsi="Times New Roman" w:cs="Times New Roman"/>
        </w:rPr>
        <w:t>.</w:t>
      </w:r>
      <w:r w:rsidR="00A75C14" w:rsidRPr="00523556">
        <w:rPr>
          <w:rStyle w:val="FootnoteReference"/>
          <w:rFonts w:ascii="Times New Roman" w:hAnsi="Times New Roman" w:cs="Times New Roman"/>
        </w:rPr>
        <w:footnoteReference w:id="59"/>
      </w:r>
      <w:r w:rsidR="0094040D" w:rsidRPr="00523556">
        <w:rPr>
          <w:rFonts w:ascii="Times New Roman" w:hAnsi="Times New Roman" w:cs="Times New Roman"/>
        </w:rPr>
        <w:t xml:space="preserve"> </w:t>
      </w:r>
      <w:r w:rsidR="00F248FE" w:rsidRPr="00523556">
        <w:rPr>
          <w:rFonts w:ascii="Times New Roman" w:hAnsi="Times New Roman" w:cs="Times New Roman"/>
        </w:rPr>
        <w:t>T</w:t>
      </w:r>
      <w:r w:rsidR="0094040D" w:rsidRPr="00523556">
        <w:rPr>
          <w:rFonts w:ascii="Times New Roman" w:hAnsi="Times New Roman" w:cs="Times New Roman"/>
        </w:rPr>
        <w:t>his can be supported</w:t>
      </w:r>
      <w:r w:rsidRPr="00523556">
        <w:rPr>
          <w:rFonts w:ascii="Times New Roman" w:hAnsi="Times New Roman" w:cs="Times New Roman"/>
        </w:rPr>
        <w:t xml:space="preserve"> by </w:t>
      </w:r>
      <w:r w:rsidR="0094040D" w:rsidRPr="00523556">
        <w:rPr>
          <w:rFonts w:ascii="Times New Roman" w:hAnsi="Times New Roman" w:cs="Times New Roman"/>
        </w:rPr>
        <w:t>working to consolidate the current fractious nature of the DD portfolio (such as through initiating debt swap and buy-back programmes), as part of a programme to establish liquid benchmark issues</w:t>
      </w:r>
      <w:r w:rsidR="00F248FE" w:rsidRPr="00523556">
        <w:rPr>
          <w:rFonts w:ascii="Times New Roman" w:hAnsi="Times New Roman" w:cs="Times New Roman"/>
        </w:rPr>
        <w:t xml:space="preserve">, and by reforming </w:t>
      </w:r>
      <w:r w:rsidR="000F69D1" w:rsidRPr="00523556">
        <w:rPr>
          <w:rFonts w:ascii="Times New Roman" w:hAnsi="Times New Roman" w:cs="Times New Roman"/>
        </w:rPr>
        <w:t>Uganda’s</w:t>
      </w:r>
      <w:r w:rsidR="00F248FE" w:rsidRPr="00523556">
        <w:rPr>
          <w:rFonts w:ascii="Times New Roman" w:hAnsi="Times New Roman" w:cs="Times New Roman"/>
        </w:rPr>
        <w:t xml:space="preserve"> primary dealership system</w:t>
      </w:r>
      <w:r w:rsidRPr="00523556">
        <w:rPr>
          <w:rFonts w:ascii="Times New Roman" w:hAnsi="Times New Roman" w:cs="Times New Roman"/>
        </w:rPr>
        <w:t>.</w:t>
      </w:r>
      <w:r w:rsidR="00F248FE" w:rsidRPr="00523556">
        <w:rPr>
          <w:rStyle w:val="FootnoteReference"/>
          <w:rFonts w:ascii="Times New Roman" w:hAnsi="Times New Roman" w:cs="Times New Roman"/>
        </w:rPr>
        <w:footnoteReference w:id="60"/>
      </w:r>
    </w:p>
    <w:p w:rsidR="004427E0" w:rsidRPr="00523556" w:rsidRDefault="004427E0" w:rsidP="004427E0">
      <w:pPr>
        <w:pStyle w:val="Heading2"/>
        <w:rPr>
          <w:rFonts w:ascii="Times New Roman" w:hAnsi="Times New Roman" w:cs="Times New Roman"/>
        </w:rPr>
      </w:pPr>
      <w:bookmarkStart w:id="9" w:name="_Toc383757440"/>
      <w:r w:rsidRPr="00523556">
        <w:rPr>
          <w:rFonts w:ascii="Times New Roman" w:hAnsi="Times New Roman" w:cs="Times New Roman"/>
        </w:rPr>
        <w:lastRenderedPageBreak/>
        <w:t>2.3 Commercial external borrowing</w:t>
      </w:r>
      <w:r w:rsidR="00417715" w:rsidRPr="00523556">
        <w:rPr>
          <w:rFonts w:ascii="Times New Roman" w:hAnsi="Times New Roman" w:cs="Times New Roman"/>
        </w:rPr>
        <w:t>: Eurobond issuance</w:t>
      </w:r>
      <w:r w:rsidR="00A21DBB" w:rsidRPr="00523556">
        <w:rPr>
          <w:rStyle w:val="FootnoteReference"/>
          <w:rFonts w:ascii="Times New Roman" w:hAnsi="Times New Roman" w:cs="Times New Roman"/>
        </w:rPr>
        <w:footnoteReference w:id="61"/>
      </w:r>
      <w:bookmarkEnd w:id="9"/>
    </w:p>
    <w:p w:rsidR="0094459F" w:rsidRPr="00523556" w:rsidRDefault="00221F66" w:rsidP="0094459F">
      <w:pPr>
        <w:pStyle w:val="Heading3"/>
        <w:rPr>
          <w:rFonts w:ascii="Times New Roman" w:hAnsi="Times New Roman" w:cs="Times New Roman"/>
        </w:rPr>
      </w:pPr>
      <w:r w:rsidRPr="00523556">
        <w:rPr>
          <w:rFonts w:ascii="Times New Roman" w:hAnsi="Times New Roman" w:cs="Times New Roman"/>
        </w:rPr>
        <w:t xml:space="preserve">2.3.1 </w:t>
      </w:r>
      <w:r w:rsidR="0094459F" w:rsidRPr="00523556">
        <w:rPr>
          <w:rFonts w:ascii="Times New Roman" w:hAnsi="Times New Roman" w:cs="Times New Roman"/>
        </w:rPr>
        <w:t>Background</w:t>
      </w:r>
    </w:p>
    <w:p w:rsidR="005351ED" w:rsidRPr="00523556" w:rsidRDefault="005351ED" w:rsidP="005351ED">
      <w:pPr>
        <w:jc w:val="both"/>
        <w:rPr>
          <w:rFonts w:ascii="Times New Roman" w:hAnsi="Times New Roman" w:cs="Times New Roman"/>
        </w:rPr>
      </w:pPr>
      <w:r w:rsidRPr="00523556">
        <w:rPr>
          <w:rFonts w:ascii="Times New Roman" w:hAnsi="Times New Roman" w:cs="Times New Roman"/>
        </w:rPr>
        <w:t xml:space="preserve">A Eurobond is taken here to be a government bond, issued on the international markets, in a currency other than that of the issuer. The precise structure can vary, but most SSA Eurobonds issued to date have been of 5-year or 10-year maturity, pay fixed </w:t>
      </w:r>
      <w:r w:rsidR="00733FC9" w:rsidRPr="00523556">
        <w:rPr>
          <w:rFonts w:ascii="Times New Roman" w:hAnsi="Times New Roman" w:cs="Times New Roman"/>
        </w:rPr>
        <w:t xml:space="preserve">interest </w:t>
      </w:r>
      <w:r w:rsidRPr="00523556">
        <w:rPr>
          <w:rFonts w:ascii="Times New Roman" w:hAnsi="Times New Roman" w:cs="Times New Roman"/>
        </w:rPr>
        <w:t>coupon</w:t>
      </w:r>
      <w:r w:rsidR="00733FC9" w:rsidRPr="00523556">
        <w:rPr>
          <w:rFonts w:ascii="Times New Roman" w:hAnsi="Times New Roman" w:cs="Times New Roman"/>
        </w:rPr>
        <w:t>s</w:t>
      </w:r>
      <w:r w:rsidRPr="00523556">
        <w:rPr>
          <w:rFonts w:ascii="Times New Roman" w:hAnsi="Times New Roman" w:cs="Times New Roman"/>
        </w:rPr>
        <w:t>, and provide a ‘bullet’ repayment of the principle (i.e. there is no amortisation, with the principle repayment simply being made in a single sum on the maturity date).  Eurobonds can vary in size; the size of SSA Eurobonds issued to date has ranged from $200m to $1bn (see Fig</w:t>
      </w:r>
      <w:r w:rsidR="00EB0FA2" w:rsidRPr="00523556">
        <w:rPr>
          <w:rFonts w:ascii="Times New Roman" w:hAnsi="Times New Roman" w:cs="Times New Roman"/>
        </w:rPr>
        <w:t>ure 2.6</w:t>
      </w:r>
      <w:r w:rsidRPr="00523556">
        <w:rPr>
          <w:rFonts w:ascii="Times New Roman" w:hAnsi="Times New Roman" w:cs="Times New Roman"/>
        </w:rPr>
        <w:t xml:space="preserve"> below). </w:t>
      </w:r>
    </w:p>
    <w:p w:rsidR="0098347E" w:rsidRPr="00523556" w:rsidRDefault="0098347E" w:rsidP="00027497">
      <w:pPr>
        <w:jc w:val="both"/>
        <w:rPr>
          <w:rFonts w:ascii="Times New Roman" w:hAnsi="Times New Roman" w:cs="Times New Roman"/>
        </w:rPr>
      </w:pPr>
      <w:r w:rsidRPr="00523556">
        <w:rPr>
          <w:rFonts w:ascii="Times New Roman" w:hAnsi="Times New Roman" w:cs="Times New Roman"/>
        </w:rPr>
        <w:t>Sy (2013) notes that more than a fifth of SSA countries have now issued Eurobonds</w:t>
      </w:r>
      <w:r w:rsidR="00946134" w:rsidRPr="00523556">
        <w:rPr>
          <w:rFonts w:ascii="Times New Roman" w:hAnsi="Times New Roman" w:cs="Times New Roman"/>
        </w:rPr>
        <w:t>. This has been</w:t>
      </w:r>
      <w:r w:rsidRPr="00523556">
        <w:rPr>
          <w:rFonts w:ascii="Times New Roman" w:hAnsi="Times New Roman" w:cs="Times New Roman"/>
        </w:rPr>
        <w:t xml:space="preserve"> driven</w:t>
      </w:r>
      <w:r w:rsidR="00946134" w:rsidRPr="00523556">
        <w:rPr>
          <w:rFonts w:ascii="Times New Roman" w:hAnsi="Times New Roman" w:cs="Times New Roman"/>
        </w:rPr>
        <w:t>,</w:t>
      </w:r>
      <w:r w:rsidRPr="00523556">
        <w:rPr>
          <w:rFonts w:ascii="Times New Roman" w:hAnsi="Times New Roman" w:cs="Times New Roman"/>
        </w:rPr>
        <w:t xml:space="preserve"> on the supply side</w:t>
      </w:r>
      <w:r w:rsidR="00946134" w:rsidRPr="00523556">
        <w:rPr>
          <w:rFonts w:ascii="Times New Roman" w:hAnsi="Times New Roman" w:cs="Times New Roman"/>
        </w:rPr>
        <w:t>,</w:t>
      </w:r>
      <w:r w:rsidRPr="00523556">
        <w:rPr>
          <w:rFonts w:ascii="Times New Roman" w:hAnsi="Times New Roman" w:cs="Times New Roman"/>
        </w:rPr>
        <w:t xml:space="preserve"> by factors including borrowing space created by debt relief, large borrowing needs (particularly for infrastructure </w:t>
      </w:r>
      <w:r w:rsidR="005351ED" w:rsidRPr="00523556">
        <w:rPr>
          <w:rFonts w:ascii="Times New Roman" w:hAnsi="Times New Roman" w:cs="Times New Roman"/>
        </w:rPr>
        <w:t>investment</w:t>
      </w:r>
      <w:r w:rsidRPr="00523556">
        <w:rPr>
          <w:rFonts w:ascii="Times New Roman" w:hAnsi="Times New Roman" w:cs="Times New Roman"/>
        </w:rPr>
        <w:t>), historically low borrowing costs, and the broader institutional and policy environment (including, for example, increased flexibility for non-concessional external borrowing under IMF programmes).</w:t>
      </w:r>
      <w:r w:rsidR="00946134" w:rsidRPr="00523556">
        <w:rPr>
          <w:rFonts w:ascii="Times New Roman" w:hAnsi="Times New Roman" w:cs="Times New Roman"/>
        </w:rPr>
        <w:t xml:space="preserve"> On the demand side, i</w:t>
      </w:r>
      <w:r w:rsidRPr="00523556">
        <w:rPr>
          <w:rFonts w:ascii="Times New Roman" w:hAnsi="Times New Roman" w:cs="Times New Roman"/>
        </w:rPr>
        <w:t>nternational investors have been attracted to SSA issues by improved debt sustainability</w:t>
      </w:r>
      <w:r w:rsidR="00946134" w:rsidRPr="00523556">
        <w:rPr>
          <w:rFonts w:ascii="Times New Roman" w:hAnsi="Times New Roman" w:cs="Times New Roman"/>
        </w:rPr>
        <w:t xml:space="preserve"> prospects</w:t>
      </w:r>
      <w:r w:rsidRPr="00523556">
        <w:rPr>
          <w:rFonts w:ascii="Times New Roman" w:hAnsi="Times New Roman" w:cs="Times New Roman"/>
        </w:rPr>
        <w:t xml:space="preserve">, </w:t>
      </w:r>
      <w:r w:rsidR="00946134" w:rsidRPr="00523556">
        <w:rPr>
          <w:rFonts w:ascii="Times New Roman" w:hAnsi="Times New Roman" w:cs="Times New Roman"/>
        </w:rPr>
        <w:t xml:space="preserve">attractive </w:t>
      </w:r>
      <w:r w:rsidRPr="00523556">
        <w:rPr>
          <w:rFonts w:ascii="Times New Roman" w:hAnsi="Times New Roman" w:cs="Times New Roman"/>
        </w:rPr>
        <w:t>yield</w:t>
      </w:r>
      <w:r w:rsidR="00946134" w:rsidRPr="00523556">
        <w:rPr>
          <w:rFonts w:ascii="Times New Roman" w:hAnsi="Times New Roman" w:cs="Times New Roman"/>
        </w:rPr>
        <w:t>s</w:t>
      </w:r>
      <w:r w:rsidRPr="00523556">
        <w:rPr>
          <w:rFonts w:ascii="Times New Roman" w:hAnsi="Times New Roman" w:cs="Times New Roman"/>
        </w:rPr>
        <w:t xml:space="preserve"> and </w:t>
      </w:r>
      <w:r w:rsidR="00946134" w:rsidRPr="00523556">
        <w:rPr>
          <w:rFonts w:ascii="Times New Roman" w:hAnsi="Times New Roman" w:cs="Times New Roman"/>
        </w:rPr>
        <w:t>the opportunity</w:t>
      </w:r>
      <w:r w:rsidR="005351ED" w:rsidRPr="00523556">
        <w:rPr>
          <w:rFonts w:ascii="Times New Roman" w:hAnsi="Times New Roman" w:cs="Times New Roman"/>
        </w:rPr>
        <w:t xml:space="preserve"> </w:t>
      </w:r>
      <w:r w:rsidR="00946134" w:rsidRPr="00523556">
        <w:rPr>
          <w:rFonts w:ascii="Times New Roman" w:hAnsi="Times New Roman" w:cs="Times New Roman"/>
        </w:rPr>
        <w:t xml:space="preserve">for </w:t>
      </w:r>
      <w:r w:rsidR="00BD6C33" w:rsidRPr="00523556">
        <w:rPr>
          <w:rFonts w:ascii="Times New Roman" w:hAnsi="Times New Roman" w:cs="Times New Roman"/>
        </w:rPr>
        <w:t xml:space="preserve">portfolio </w:t>
      </w:r>
      <w:r w:rsidRPr="00523556">
        <w:rPr>
          <w:rFonts w:ascii="Times New Roman" w:hAnsi="Times New Roman" w:cs="Times New Roman"/>
        </w:rPr>
        <w:t>diversification.</w:t>
      </w:r>
    </w:p>
    <w:p w:rsidR="00E22349" w:rsidRPr="00523556" w:rsidRDefault="00E22349" w:rsidP="00E22349">
      <w:pPr>
        <w:jc w:val="both"/>
        <w:rPr>
          <w:rFonts w:ascii="Times New Roman" w:hAnsi="Times New Roman" w:cs="Times New Roman"/>
        </w:rPr>
      </w:pPr>
      <w:r w:rsidRPr="00523556">
        <w:rPr>
          <w:rFonts w:ascii="Times New Roman" w:hAnsi="Times New Roman" w:cs="Times New Roman"/>
        </w:rPr>
        <w:t>Figure</w:t>
      </w:r>
      <w:r w:rsidR="00EB0FA2" w:rsidRPr="00523556">
        <w:rPr>
          <w:rFonts w:ascii="Times New Roman" w:hAnsi="Times New Roman" w:cs="Times New Roman"/>
        </w:rPr>
        <w:t xml:space="preserve"> 2.6</w:t>
      </w:r>
      <w:r w:rsidRPr="00523556">
        <w:rPr>
          <w:rFonts w:ascii="Times New Roman" w:hAnsi="Times New Roman" w:cs="Times New Roman"/>
        </w:rPr>
        <w:t xml:space="preserve"> provides details on eleven selected Eurobonds that have been issued by seven SSA countries since 2007 to date – including the amount issued, yield at issue, credit rating, advertised purpose of issuance, and current secondary-market yield. In total these issues have raised over US$6½</w:t>
      </w:r>
      <w:r w:rsidR="0048320A" w:rsidRPr="00523556">
        <w:rPr>
          <w:rFonts w:ascii="Times New Roman" w:hAnsi="Times New Roman" w:cs="Times New Roman"/>
        </w:rPr>
        <w:t>bn</w:t>
      </w:r>
      <w:r w:rsidRPr="00523556">
        <w:rPr>
          <w:rFonts w:ascii="Times New Roman" w:hAnsi="Times New Roman" w:cs="Times New Roman"/>
        </w:rPr>
        <w:t xml:space="preserve">. Figure </w:t>
      </w:r>
      <w:r w:rsidR="00EB0FA2" w:rsidRPr="00523556">
        <w:rPr>
          <w:rFonts w:ascii="Times New Roman" w:hAnsi="Times New Roman" w:cs="Times New Roman"/>
        </w:rPr>
        <w:t>2.6</w:t>
      </w:r>
      <w:r w:rsidRPr="00523556">
        <w:rPr>
          <w:rFonts w:ascii="Times New Roman" w:hAnsi="Times New Roman" w:cs="Times New Roman"/>
        </w:rPr>
        <w:t xml:space="preserve"> highlights the variation in amounts raised (from $200m to $1bn), and reasons for issuance (from specific infrastructure projects, to debt refinancing, unspecified infrastructure projects, and general budgetary purposes). The total volume of bids comfortably exceeded desired issuance for every issue. However, as would be expected, yields at auction varied substantially (from 5.375</w:t>
      </w:r>
      <w:r w:rsidR="00E557B8" w:rsidRPr="00523556">
        <w:rPr>
          <w:rFonts w:ascii="Times New Roman" w:hAnsi="Times New Roman" w:cs="Times New Roman"/>
        </w:rPr>
        <w:t xml:space="preserve"> per cent</w:t>
      </w:r>
      <w:r w:rsidRPr="00523556">
        <w:rPr>
          <w:rFonts w:ascii="Times New Roman" w:hAnsi="Times New Roman" w:cs="Times New Roman"/>
        </w:rPr>
        <w:t xml:space="preserve"> to 9.250</w:t>
      </w:r>
      <w:r w:rsidR="00E557B8" w:rsidRPr="00523556">
        <w:rPr>
          <w:rFonts w:ascii="Times New Roman" w:hAnsi="Times New Roman" w:cs="Times New Roman"/>
        </w:rPr>
        <w:t xml:space="preserve"> per cent</w:t>
      </w:r>
      <w:r w:rsidRPr="00523556">
        <w:rPr>
          <w:rFonts w:ascii="Times New Roman" w:hAnsi="Times New Roman" w:cs="Times New Roman"/>
        </w:rPr>
        <w:t>) with global market conditions at the time, and with the credit rating and other characteristics of the specific issues and issuers. Similarly, current secondary market yields vary substantially, based on time remaining to maturity and country-specific factors.</w:t>
      </w:r>
    </w:p>
    <w:p w:rsidR="00353135" w:rsidRPr="00523556" w:rsidRDefault="009C0845" w:rsidP="00C01928">
      <w:pPr>
        <w:jc w:val="both"/>
        <w:rPr>
          <w:rFonts w:ascii="Times New Roman" w:hAnsi="Times New Roman" w:cs="Times New Roman"/>
        </w:rPr>
      </w:pPr>
      <w:r w:rsidRPr="00523556">
        <w:rPr>
          <w:rFonts w:ascii="Times New Roman" w:hAnsi="Times New Roman" w:cs="Times New Roman"/>
        </w:rPr>
        <w:t>A</w:t>
      </w:r>
      <w:r w:rsidR="00C01928" w:rsidRPr="00523556">
        <w:rPr>
          <w:rFonts w:ascii="Times New Roman" w:hAnsi="Times New Roman" w:cs="Times New Roman"/>
        </w:rPr>
        <w:t>ll evidence suggests that demand amongst international investors would be sufficient to make issuing a Eurobond a feasible option for Uganda</w:t>
      </w:r>
      <w:r w:rsidR="0046609D" w:rsidRPr="00523556">
        <w:rPr>
          <w:rFonts w:ascii="Times New Roman" w:hAnsi="Times New Roman" w:cs="Times New Roman"/>
        </w:rPr>
        <w:t>, and that sufficient investor interest will remain even as global interest rates begin to normalise</w:t>
      </w:r>
      <w:r w:rsidR="00C01928" w:rsidRPr="00523556">
        <w:rPr>
          <w:rFonts w:ascii="Times New Roman" w:hAnsi="Times New Roman" w:cs="Times New Roman"/>
        </w:rPr>
        <w:t>. Independent credit assessments mean Uganda is adequately rated, at B by both Standard &amp; Poor’s and Fitch – which compared to recent issuers (at the time of issuance) is similar to Rwanda (also rated B by both agencies), and just below that of Ghana (B / B+) and Zambia (B+ / B+)</w:t>
      </w:r>
      <w:r w:rsidR="004B012E" w:rsidRPr="00523556">
        <w:rPr>
          <w:rFonts w:ascii="Times New Roman" w:hAnsi="Times New Roman" w:cs="Times New Roman"/>
        </w:rPr>
        <w:t>.</w:t>
      </w:r>
      <w:r w:rsidR="0070367A" w:rsidRPr="00523556">
        <w:rPr>
          <w:rStyle w:val="FootnoteReference"/>
          <w:rFonts w:ascii="Times New Roman" w:hAnsi="Times New Roman" w:cs="Times New Roman"/>
        </w:rPr>
        <w:footnoteReference w:id="62"/>
      </w:r>
      <w:r w:rsidR="004B012E" w:rsidRPr="00523556">
        <w:rPr>
          <w:rFonts w:ascii="Times New Roman" w:hAnsi="Times New Roman" w:cs="Times New Roman"/>
        </w:rPr>
        <w:t xml:space="preserve"> </w:t>
      </w:r>
      <w:r w:rsidR="00B3568D" w:rsidRPr="00523556">
        <w:rPr>
          <w:rFonts w:ascii="Times New Roman" w:hAnsi="Times New Roman" w:cs="Times New Roman"/>
        </w:rPr>
        <w:t>T</w:t>
      </w:r>
      <w:r w:rsidR="00353135" w:rsidRPr="00523556">
        <w:rPr>
          <w:rFonts w:ascii="Times New Roman" w:hAnsi="Times New Roman" w:cs="Times New Roman"/>
        </w:rPr>
        <w:t xml:space="preserve">he extent of over-subscription experienced in some recent SSA Eurobond issues (e.g. Zambia’s </w:t>
      </w:r>
      <w:r w:rsidR="00353135" w:rsidRPr="00523556">
        <w:rPr>
          <w:rFonts w:ascii="Times New Roman" w:hAnsi="Times New Roman" w:cs="Times New Roman"/>
        </w:rPr>
        <w:lastRenderedPageBreak/>
        <w:t xml:space="preserve">September 2012 </w:t>
      </w:r>
      <w:r w:rsidR="00B3568D" w:rsidRPr="00523556">
        <w:rPr>
          <w:rFonts w:ascii="Times New Roman" w:hAnsi="Times New Roman" w:cs="Times New Roman"/>
        </w:rPr>
        <w:t xml:space="preserve">issue </w:t>
      </w:r>
      <w:r w:rsidR="00353135" w:rsidRPr="00523556">
        <w:rPr>
          <w:rFonts w:ascii="Times New Roman" w:hAnsi="Times New Roman" w:cs="Times New Roman"/>
        </w:rPr>
        <w:t>was 15 times over-subscribed, and Rwanda’s May 2013 issue was 8 times over-subscribed) is unlikely to be fully sustained as interest rates on developed market sovereign debt begin to rise</w:t>
      </w:r>
      <w:r w:rsidR="00181911" w:rsidRPr="00523556">
        <w:rPr>
          <w:rFonts w:ascii="Times New Roman" w:hAnsi="Times New Roman" w:cs="Times New Roman"/>
        </w:rPr>
        <w:t xml:space="preserve"> –</w:t>
      </w:r>
      <w:r w:rsidR="00353135" w:rsidRPr="00523556">
        <w:rPr>
          <w:rFonts w:ascii="Times New Roman" w:hAnsi="Times New Roman" w:cs="Times New Roman"/>
        </w:rPr>
        <w:t xml:space="preserve"> </w:t>
      </w:r>
      <w:r w:rsidR="00181911" w:rsidRPr="00523556">
        <w:rPr>
          <w:rFonts w:ascii="Times New Roman" w:hAnsi="Times New Roman" w:cs="Times New Roman"/>
        </w:rPr>
        <w:t xml:space="preserve">but </w:t>
      </w:r>
      <w:r w:rsidR="00353135" w:rsidRPr="00523556">
        <w:rPr>
          <w:rFonts w:ascii="Times New Roman" w:hAnsi="Times New Roman" w:cs="Times New Roman"/>
        </w:rPr>
        <w:t xml:space="preserve">SSA Eurobonds will continue to offer investors an unusual opportunity to diversify their investment portfolios, and </w:t>
      </w:r>
      <w:r w:rsidR="00181911" w:rsidRPr="00523556">
        <w:rPr>
          <w:rFonts w:ascii="Times New Roman" w:hAnsi="Times New Roman" w:cs="Times New Roman"/>
        </w:rPr>
        <w:t xml:space="preserve">should do so </w:t>
      </w:r>
      <w:r w:rsidR="00353135" w:rsidRPr="00523556">
        <w:rPr>
          <w:rFonts w:ascii="Times New Roman" w:hAnsi="Times New Roman" w:cs="Times New Roman"/>
        </w:rPr>
        <w:t>at yields that remain attractive relative to other sovereign debt.</w:t>
      </w:r>
    </w:p>
    <w:p w:rsidR="001C5CA6" w:rsidRPr="00523556" w:rsidRDefault="004B012E" w:rsidP="00D97AA0">
      <w:pPr>
        <w:jc w:val="both"/>
        <w:rPr>
          <w:rFonts w:ascii="Times New Roman" w:hAnsi="Times New Roman" w:cs="Times New Roman"/>
        </w:rPr>
      </w:pPr>
      <w:r w:rsidRPr="00523556">
        <w:rPr>
          <w:rFonts w:ascii="Times New Roman" w:hAnsi="Times New Roman" w:cs="Times New Roman"/>
        </w:rPr>
        <w:t xml:space="preserve">Overall, investor </w:t>
      </w:r>
      <w:r w:rsidR="00D97AA0" w:rsidRPr="00523556">
        <w:rPr>
          <w:rFonts w:ascii="Times New Roman" w:hAnsi="Times New Roman" w:cs="Times New Roman"/>
        </w:rPr>
        <w:t xml:space="preserve">interest combined with Uganda’s current level of borrowing space means GoU </w:t>
      </w:r>
      <w:r w:rsidRPr="00523556">
        <w:rPr>
          <w:rFonts w:ascii="Times New Roman" w:hAnsi="Times New Roman" w:cs="Times New Roman"/>
        </w:rPr>
        <w:t>has</w:t>
      </w:r>
      <w:r w:rsidR="00D97AA0" w:rsidRPr="00523556">
        <w:rPr>
          <w:rFonts w:ascii="Times New Roman" w:hAnsi="Times New Roman" w:cs="Times New Roman"/>
        </w:rPr>
        <w:t xml:space="preserve"> the space and scope to issue a Eurobond if it so wished. However, it is vital to take into account the </w:t>
      </w:r>
      <w:r w:rsidRPr="00523556">
        <w:rPr>
          <w:rFonts w:ascii="Times New Roman" w:hAnsi="Times New Roman" w:cs="Times New Roman"/>
        </w:rPr>
        <w:t xml:space="preserve">full </w:t>
      </w:r>
      <w:r w:rsidR="00D97AA0" w:rsidRPr="00523556">
        <w:rPr>
          <w:rFonts w:ascii="Times New Roman" w:hAnsi="Times New Roman" w:cs="Times New Roman"/>
        </w:rPr>
        <w:t xml:space="preserve">range of </w:t>
      </w:r>
      <w:r w:rsidRPr="00523556">
        <w:rPr>
          <w:rFonts w:ascii="Times New Roman" w:hAnsi="Times New Roman" w:cs="Times New Roman"/>
        </w:rPr>
        <w:t xml:space="preserve">benefits, </w:t>
      </w:r>
      <w:r w:rsidR="00D97AA0" w:rsidRPr="00523556">
        <w:rPr>
          <w:rFonts w:ascii="Times New Roman" w:hAnsi="Times New Roman" w:cs="Times New Roman"/>
        </w:rPr>
        <w:t xml:space="preserve">costs and risks associated with this form of borrowing – as well as to carefully consider the </w:t>
      </w:r>
      <w:r w:rsidRPr="00523556">
        <w:rPr>
          <w:rFonts w:ascii="Times New Roman" w:hAnsi="Times New Roman" w:cs="Times New Roman"/>
        </w:rPr>
        <w:t xml:space="preserve">required </w:t>
      </w:r>
      <w:r w:rsidR="00D97AA0" w:rsidRPr="00523556">
        <w:rPr>
          <w:rFonts w:ascii="Times New Roman" w:hAnsi="Times New Roman" w:cs="Times New Roman"/>
        </w:rPr>
        <w:t xml:space="preserve">preparations, timing, and </w:t>
      </w:r>
      <w:r w:rsidR="00905D4E" w:rsidRPr="00523556">
        <w:rPr>
          <w:rFonts w:ascii="Times New Roman" w:hAnsi="Times New Roman" w:cs="Times New Roman"/>
        </w:rPr>
        <w:t>returns on the</w:t>
      </w:r>
      <w:r w:rsidRPr="00523556">
        <w:rPr>
          <w:rFonts w:ascii="Times New Roman" w:hAnsi="Times New Roman" w:cs="Times New Roman"/>
        </w:rPr>
        <w:t xml:space="preserve"> </w:t>
      </w:r>
      <w:r w:rsidR="00D97AA0" w:rsidRPr="00523556">
        <w:rPr>
          <w:rFonts w:ascii="Times New Roman" w:hAnsi="Times New Roman" w:cs="Times New Roman"/>
        </w:rPr>
        <w:t xml:space="preserve">use of proceeds (and to weigh the net benefits relative to those of alternative financing options; see Section </w:t>
      </w:r>
      <w:r w:rsidR="00EB0FA2" w:rsidRPr="00523556">
        <w:rPr>
          <w:rFonts w:ascii="Times New Roman" w:hAnsi="Times New Roman" w:cs="Times New Roman"/>
        </w:rPr>
        <w:t>3</w:t>
      </w:r>
      <w:r w:rsidR="00D97AA0" w:rsidRPr="00523556">
        <w:rPr>
          <w:rFonts w:ascii="Times New Roman" w:hAnsi="Times New Roman" w:cs="Times New Roman"/>
        </w:rPr>
        <w:t>) – before any decision on whether and when to issue a Eurobond is made.</w:t>
      </w:r>
      <w:r w:rsidRPr="00523556">
        <w:rPr>
          <w:rFonts w:ascii="Times New Roman" w:hAnsi="Times New Roman" w:cs="Times New Roman"/>
        </w:rPr>
        <w:t xml:space="preserve"> Detailed discussions of general benefits, costs, risks and strategic considerations for first-time sovereign bond issuers are available to guide potential issuers (see </w:t>
      </w:r>
      <w:r w:rsidR="009634BD" w:rsidRPr="00523556">
        <w:rPr>
          <w:rFonts w:ascii="Times New Roman" w:hAnsi="Times New Roman" w:cs="Times New Roman"/>
        </w:rPr>
        <w:t xml:space="preserve">for example </w:t>
      </w:r>
      <w:r w:rsidRPr="00523556">
        <w:rPr>
          <w:rFonts w:ascii="Times New Roman" w:hAnsi="Times New Roman" w:cs="Times New Roman"/>
        </w:rPr>
        <w:t>Das et al 2008); the next two sections consider the foremost elements of these, for Uganda’s context.</w:t>
      </w:r>
    </w:p>
    <w:p w:rsidR="001C5CA6" w:rsidRPr="00523556" w:rsidRDefault="00C43F09" w:rsidP="008F1F85">
      <w:pPr>
        <w:pStyle w:val="Heading3"/>
        <w:numPr>
          <w:ilvl w:val="2"/>
          <w:numId w:val="23"/>
        </w:numPr>
        <w:rPr>
          <w:rFonts w:ascii="Times New Roman" w:hAnsi="Times New Roman" w:cs="Times New Roman"/>
        </w:rPr>
      </w:pPr>
      <w:r w:rsidRPr="00523556">
        <w:rPr>
          <w:rFonts w:ascii="Times New Roman" w:hAnsi="Times New Roman" w:cs="Times New Roman"/>
        </w:rPr>
        <w:t>Benefits, c</w:t>
      </w:r>
      <w:r w:rsidR="001C5CA6" w:rsidRPr="00523556">
        <w:rPr>
          <w:rFonts w:ascii="Times New Roman" w:hAnsi="Times New Roman" w:cs="Times New Roman"/>
        </w:rPr>
        <w:t>osts and risks</w:t>
      </w:r>
    </w:p>
    <w:p w:rsidR="00C43F09" w:rsidRPr="00523556" w:rsidRDefault="00C43F09" w:rsidP="008F1F85">
      <w:pPr>
        <w:jc w:val="both"/>
        <w:rPr>
          <w:rFonts w:ascii="Times New Roman" w:hAnsi="Times New Roman" w:cs="Times New Roman"/>
        </w:rPr>
      </w:pPr>
      <w:r w:rsidRPr="00523556">
        <w:rPr>
          <w:rFonts w:ascii="Times New Roman" w:hAnsi="Times New Roman" w:cs="Times New Roman"/>
        </w:rPr>
        <w:t xml:space="preserve">There </w:t>
      </w:r>
      <w:r w:rsidR="008F1F85" w:rsidRPr="00523556">
        <w:rPr>
          <w:rFonts w:ascii="Times New Roman" w:hAnsi="Times New Roman" w:cs="Times New Roman"/>
        </w:rPr>
        <w:t xml:space="preserve">would be </w:t>
      </w:r>
      <w:r w:rsidRPr="00523556">
        <w:rPr>
          <w:rFonts w:ascii="Times New Roman" w:hAnsi="Times New Roman" w:cs="Times New Roman"/>
        </w:rPr>
        <w:t xml:space="preserve">a variety of potential benefits to </w:t>
      </w:r>
      <w:r w:rsidR="008F1F85" w:rsidRPr="00523556">
        <w:rPr>
          <w:rFonts w:ascii="Times New Roman" w:hAnsi="Times New Roman" w:cs="Times New Roman"/>
        </w:rPr>
        <w:t xml:space="preserve">Uganda </w:t>
      </w:r>
      <w:r w:rsidR="004B012E" w:rsidRPr="00523556">
        <w:rPr>
          <w:rFonts w:ascii="Times New Roman" w:hAnsi="Times New Roman" w:cs="Times New Roman"/>
        </w:rPr>
        <w:t xml:space="preserve">from </w:t>
      </w:r>
      <w:r w:rsidRPr="00523556">
        <w:rPr>
          <w:rFonts w:ascii="Times New Roman" w:hAnsi="Times New Roman" w:cs="Times New Roman"/>
        </w:rPr>
        <w:t>Eurobond</w:t>
      </w:r>
      <w:r w:rsidR="004B012E" w:rsidRPr="00523556">
        <w:rPr>
          <w:rFonts w:ascii="Times New Roman" w:hAnsi="Times New Roman" w:cs="Times New Roman"/>
        </w:rPr>
        <w:t xml:space="preserve"> issuance</w:t>
      </w:r>
      <w:r w:rsidRPr="00523556">
        <w:rPr>
          <w:rFonts w:ascii="Times New Roman" w:hAnsi="Times New Roman" w:cs="Times New Roman"/>
        </w:rPr>
        <w:t xml:space="preserve">. </w:t>
      </w:r>
      <w:r w:rsidR="008F1F85" w:rsidRPr="00523556">
        <w:rPr>
          <w:rFonts w:ascii="Times New Roman" w:hAnsi="Times New Roman" w:cs="Times New Roman"/>
        </w:rPr>
        <w:t xml:space="preserve">For example, </w:t>
      </w:r>
      <w:r w:rsidR="004B012E" w:rsidRPr="00523556">
        <w:rPr>
          <w:rFonts w:ascii="Times New Roman" w:hAnsi="Times New Roman" w:cs="Times New Roman"/>
        </w:rPr>
        <w:t>Eurobonds can</w:t>
      </w:r>
      <w:r w:rsidRPr="00523556">
        <w:rPr>
          <w:rFonts w:ascii="Times New Roman" w:hAnsi="Times New Roman" w:cs="Times New Roman"/>
        </w:rPr>
        <w:t>:</w:t>
      </w:r>
      <w:r w:rsidR="004B012E" w:rsidRPr="00523556">
        <w:rPr>
          <w:rFonts w:ascii="Times New Roman" w:hAnsi="Times New Roman" w:cs="Times New Roman"/>
        </w:rPr>
        <w:t xml:space="preserve"> allow </w:t>
      </w:r>
      <w:r w:rsidRPr="00523556">
        <w:rPr>
          <w:rFonts w:ascii="Times New Roman" w:hAnsi="Times New Roman" w:cs="Times New Roman"/>
        </w:rPr>
        <w:t>access to a much wider pool of capita</w:t>
      </w:r>
      <w:r w:rsidR="004B012E" w:rsidRPr="00523556">
        <w:rPr>
          <w:rFonts w:ascii="Times New Roman" w:hAnsi="Times New Roman" w:cs="Times New Roman"/>
        </w:rPr>
        <w:t>l than</w:t>
      </w:r>
      <w:r w:rsidRPr="00523556">
        <w:rPr>
          <w:rFonts w:ascii="Times New Roman" w:hAnsi="Times New Roman" w:cs="Times New Roman"/>
        </w:rPr>
        <w:t xml:space="preserve"> available from concessional financing and domestic savings</w:t>
      </w:r>
      <w:r w:rsidR="004B012E" w:rsidRPr="00523556">
        <w:rPr>
          <w:rFonts w:ascii="Times New Roman" w:hAnsi="Times New Roman" w:cs="Times New Roman"/>
        </w:rPr>
        <w:t>,</w:t>
      </w:r>
      <w:r w:rsidRPr="00523556">
        <w:rPr>
          <w:rFonts w:ascii="Times New Roman" w:hAnsi="Times New Roman" w:cs="Times New Roman"/>
        </w:rPr>
        <w:t xml:space="preserve"> and thus help finance desired infrastructure projects more rapidly;</w:t>
      </w:r>
      <w:r w:rsidR="004B012E" w:rsidRPr="00523556">
        <w:rPr>
          <w:rFonts w:ascii="Times New Roman" w:hAnsi="Times New Roman" w:cs="Times New Roman"/>
        </w:rPr>
        <w:t xml:space="preserve"> </w:t>
      </w:r>
      <w:r w:rsidRPr="00523556">
        <w:rPr>
          <w:rFonts w:ascii="Times New Roman" w:hAnsi="Times New Roman" w:cs="Times New Roman"/>
        </w:rPr>
        <w:t>provide a source of foreign exchange, to help finance import-intensive expenditure (such as</w:t>
      </w:r>
      <w:r w:rsidR="004B012E" w:rsidRPr="00523556">
        <w:rPr>
          <w:rFonts w:ascii="Times New Roman" w:hAnsi="Times New Roman" w:cs="Times New Roman"/>
        </w:rPr>
        <w:t xml:space="preserve"> major infrastructure projects)</w:t>
      </w:r>
      <w:r w:rsidRPr="00523556">
        <w:rPr>
          <w:rFonts w:ascii="Times New Roman" w:hAnsi="Times New Roman" w:cs="Times New Roman"/>
        </w:rPr>
        <w:t xml:space="preserve"> without the need to tap existing reserves or risk weakening of the Shilling;</w:t>
      </w:r>
      <w:r w:rsidR="004B012E" w:rsidRPr="00523556">
        <w:rPr>
          <w:rFonts w:ascii="Times New Roman" w:hAnsi="Times New Roman" w:cs="Times New Roman"/>
        </w:rPr>
        <w:t xml:space="preserve"> </w:t>
      </w:r>
      <w:r w:rsidRPr="00523556">
        <w:rPr>
          <w:rFonts w:ascii="Times New Roman" w:hAnsi="Times New Roman" w:cs="Times New Roman"/>
        </w:rPr>
        <w:t>mitigate domestic debt issuance requirements, and thus potential pressures on domestic interest rates and private sector credit growth;</w:t>
      </w:r>
      <w:r w:rsidR="008F1F85" w:rsidRPr="00523556">
        <w:rPr>
          <w:rFonts w:ascii="Times New Roman" w:hAnsi="Times New Roman" w:cs="Times New Roman"/>
        </w:rPr>
        <w:t xml:space="preserve"> </w:t>
      </w:r>
      <w:r w:rsidRPr="00523556">
        <w:rPr>
          <w:rFonts w:ascii="Times New Roman" w:hAnsi="Times New Roman" w:cs="Times New Roman"/>
        </w:rPr>
        <w:t>diversify sources of financing;</w:t>
      </w:r>
      <w:r w:rsidR="008F1F85" w:rsidRPr="00523556">
        <w:rPr>
          <w:rFonts w:ascii="Times New Roman" w:hAnsi="Times New Roman" w:cs="Times New Roman"/>
        </w:rPr>
        <w:t xml:space="preserve"> </w:t>
      </w:r>
      <w:r w:rsidRPr="00523556">
        <w:rPr>
          <w:rFonts w:ascii="Times New Roman" w:hAnsi="Times New Roman" w:cs="Times New Roman"/>
        </w:rPr>
        <w:t>provide a benchmark for potential private sector dollar-denominated bond issuance;</w:t>
      </w:r>
      <w:r w:rsidRPr="00523556">
        <w:rPr>
          <w:rStyle w:val="FootnoteReference"/>
          <w:rFonts w:ascii="Times New Roman" w:hAnsi="Times New Roman" w:cs="Times New Roman"/>
        </w:rPr>
        <w:t xml:space="preserve"> </w:t>
      </w:r>
      <w:r w:rsidRPr="00523556">
        <w:rPr>
          <w:rStyle w:val="FootnoteReference"/>
          <w:rFonts w:ascii="Times New Roman" w:hAnsi="Times New Roman" w:cs="Times New Roman"/>
        </w:rPr>
        <w:footnoteReference w:id="63"/>
      </w:r>
      <w:r w:rsidRPr="00523556">
        <w:rPr>
          <w:rFonts w:ascii="Times New Roman" w:hAnsi="Times New Roman" w:cs="Times New Roman"/>
        </w:rPr>
        <w:t xml:space="preserve"> and</w:t>
      </w:r>
      <w:r w:rsidR="008F1F85" w:rsidRPr="00523556">
        <w:rPr>
          <w:rFonts w:ascii="Times New Roman" w:hAnsi="Times New Roman" w:cs="Times New Roman"/>
        </w:rPr>
        <w:t xml:space="preserve"> can in principle help strengthen incentives to maintain </w:t>
      </w:r>
      <w:r w:rsidR="00473798" w:rsidRPr="00523556">
        <w:rPr>
          <w:rFonts w:ascii="Times New Roman" w:hAnsi="Times New Roman" w:cs="Times New Roman"/>
        </w:rPr>
        <w:t xml:space="preserve">prudent </w:t>
      </w:r>
      <w:r w:rsidR="008F1F85" w:rsidRPr="00523556">
        <w:rPr>
          <w:rFonts w:ascii="Times New Roman" w:hAnsi="Times New Roman" w:cs="Times New Roman"/>
        </w:rPr>
        <w:t xml:space="preserve">macroeconomic </w:t>
      </w:r>
      <w:r w:rsidR="00473798" w:rsidRPr="00523556">
        <w:rPr>
          <w:rFonts w:ascii="Times New Roman" w:hAnsi="Times New Roman" w:cs="Times New Roman"/>
        </w:rPr>
        <w:t xml:space="preserve">policies </w:t>
      </w:r>
      <w:r w:rsidR="008F1F85" w:rsidRPr="00523556">
        <w:rPr>
          <w:rFonts w:ascii="Times New Roman" w:hAnsi="Times New Roman" w:cs="Times New Roman"/>
        </w:rPr>
        <w:t xml:space="preserve">and </w:t>
      </w:r>
      <w:r w:rsidR="00473798" w:rsidRPr="00523556">
        <w:rPr>
          <w:rFonts w:ascii="Times New Roman" w:hAnsi="Times New Roman" w:cs="Times New Roman"/>
        </w:rPr>
        <w:t xml:space="preserve">continue </w:t>
      </w:r>
      <w:r w:rsidR="008F1F85" w:rsidRPr="00523556">
        <w:rPr>
          <w:rFonts w:ascii="Times New Roman" w:hAnsi="Times New Roman" w:cs="Times New Roman"/>
        </w:rPr>
        <w:t>reform efforts.</w:t>
      </w:r>
    </w:p>
    <w:p w:rsidR="001C5CA6" w:rsidRPr="00523556" w:rsidRDefault="00C43F09" w:rsidP="001C5CA6">
      <w:pPr>
        <w:jc w:val="both"/>
        <w:rPr>
          <w:rFonts w:ascii="Times New Roman" w:hAnsi="Times New Roman" w:cs="Times New Roman"/>
        </w:rPr>
      </w:pPr>
      <w:r w:rsidRPr="00523556">
        <w:rPr>
          <w:rFonts w:ascii="Times New Roman" w:hAnsi="Times New Roman" w:cs="Times New Roman"/>
        </w:rPr>
        <w:t xml:space="preserve">However, Eurobond issuance </w:t>
      </w:r>
      <w:r w:rsidR="009634BD" w:rsidRPr="00523556">
        <w:rPr>
          <w:rFonts w:ascii="Times New Roman" w:hAnsi="Times New Roman" w:cs="Times New Roman"/>
        </w:rPr>
        <w:t>would</w:t>
      </w:r>
      <w:r w:rsidR="004B4C0D" w:rsidRPr="00523556">
        <w:rPr>
          <w:rFonts w:ascii="Times New Roman" w:hAnsi="Times New Roman" w:cs="Times New Roman"/>
        </w:rPr>
        <w:t xml:space="preserve"> </w:t>
      </w:r>
      <w:r w:rsidR="009634BD" w:rsidRPr="00523556">
        <w:rPr>
          <w:rFonts w:ascii="Times New Roman" w:hAnsi="Times New Roman" w:cs="Times New Roman"/>
        </w:rPr>
        <w:t>entail</w:t>
      </w:r>
      <w:r w:rsidRPr="00523556">
        <w:rPr>
          <w:rFonts w:ascii="Times New Roman" w:hAnsi="Times New Roman" w:cs="Times New Roman"/>
        </w:rPr>
        <w:t xml:space="preserve"> a variety of costs and risks</w:t>
      </w:r>
      <w:r w:rsidR="004B4C0D" w:rsidRPr="00523556">
        <w:rPr>
          <w:rFonts w:ascii="Times New Roman" w:hAnsi="Times New Roman" w:cs="Times New Roman"/>
        </w:rPr>
        <w:t xml:space="preserve">. </w:t>
      </w:r>
      <w:r w:rsidR="001C5CA6" w:rsidRPr="00523556">
        <w:rPr>
          <w:rFonts w:ascii="Times New Roman" w:hAnsi="Times New Roman" w:cs="Times New Roman"/>
        </w:rPr>
        <w:t>The foremost cost is the interest rate that Uganda would have to pay. This can be thought of as consisting of two primary components: (1) a risk-free benchmark – generally taken to be the yield on the US Treasury Bond of th</w:t>
      </w:r>
      <w:r w:rsidR="00BA2096" w:rsidRPr="00523556">
        <w:rPr>
          <w:rFonts w:ascii="Times New Roman" w:hAnsi="Times New Roman" w:cs="Times New Roman"/>
        </w:rPr>
        <w:t xml:space="preserve">e same </w:t>
      </w:r>
      <w:r w:rsidR="00115FFC" w:rsidRPr="00523556">
        <w:rPr>
          <w:rFonts w:ascii="Times New Roman" w:hAnsi="Times New Roman" w:cs="Times New Roman"/>
        </w:rPr>
        <w:t>maturity</w:t>
      </w:r>
      <w:r w:rsidR="00BA2096" w:rsidRPr="00523556">
        <w:rPr>
          <w:rFonts w:ascii="Times New Roman" w:hAnsi="Times New Roman" w:cs="Times New Roman"/>
        </w:rPr>
        <w:t>, and (2) a spread</w:t>
      </w:r>
      <w:r w:rsidR="001C5CA6" w:rsidRPr="00523556">
        <w:rPr>
          <w:rFonts w:ascii="Times New Roman" w:hAnsi="Times New Roman" w:cs="Times New Roman"/>
        </w:rPr>
        <w:t xml:space="preserve"> above this benchmark, predominantly reflecting a Uganda country-specific risk premium.</w:t>
      </w:r>
      <w:r w:rsidR="001C5CA6" w:rsidRPr="00523556">
        <w:rPr>
          <w:rStyle w:val="FootnoteReference"/>
          <w:rFonts w:ascii="Times New Roman" w:hAnsi="Times New Roman" w:cs="Times New Roman"/>
        </w:rPr>
        <w:footnoteReference w:id="64"/>
      </w:r>
      <w:r w:rsidR="00F56AC7" w:rsidRPr="00523556">
        <w:rPr>
          <w:rStyle w:val="FootnoteReference"/>
          <w:rFonts w:ascii="Times New Roman" w:hAnsi="Times New Roman" w:cs="Times New Roman"/>
        </w:rPr>
        <w:footnoteReference w:id="65"/>
      </w:r>
      <w:r w:rsidR="001C5CA6" w:rsidRPr="00523556">
        <w:rPr>
          <w:rFonts w:ascii="Times New Roman" w:hAnsi="Times New Roman" w:cs="Times New Roman"/>
        </w:rPr>
        <w:t xml:space="preserve"> Both these elements will vary over time. Yields on US Treasury Bonds </w:t>
      </w:r>
      <w:r w:rsidR="000A75D4" w:rsidRPr="00523556">
        <w:rPr>
          <w:rFonts w:ascii="Times New Roman" w:hAnsi="Times New Roman" w:cs="Times New Roman"/>
        </w:rPr>
        <w:t xml:space="preserve">rose over </w:t>
      </w:r>
      <w:r w:rsidR="001C5CA6" w:rsidRPr="00523556">
        <w:rPr>
          <w:rFonts w:ascii="Times New Roman" w:hAnsi="Times New Roman" w:cs="Times New Roman"/>
        </w:rPr>
        <w:t xml:space="preserve">2013, with 10-year yields up from </w:t>
      </w:r>
      <w:r w:rsidR="000A75D4" w:rsidRPr="00523556">
        <w:rPr>
          <w:rFonts w:ascii="Times New Roman" w:hAnsi="Times New Roman" w:cs="Times New Roman"/>
        </w:rPr>
        <w:t>just below 1.9</w:t>
      </w:r>
      <w:r w:rsidR="00E557B8" w:rsidRPr="00523556">
        <w:rPr>
          <w:rFonts w:ascii="Times New Roman" w:hAnsi="Times New Roman" w:cs="Times New Roman"/>
        </w:rPr>
        <w:t xml:space="preserve"> per cent</w:t>
      </w:r>
      <w:r w:rsidR="000A75D4" w:rsidRPr="00523556">
        <w:rPr>
          <w:rFonts w:ascii="Times New Roman" w:hAnsi="Times New Roman" w:cs="Times New Roman"/>
        </w:rPr>
        <w:t xml:space="preserve"> at the start of January to just over 3.0</w:t>
      </w:r>
      <w:r w:rsidR="00E557B8" w:rsidRPr="00523556">
        <w:rPr>
          <w:rFonts w:ascii="Times New Roman" w:hAnsi="Times New Roman" w:cs="Times New Roman"/>
        </w:rPr>
        <w:t xml:space="preserve"> per cent</w:t>
      </w:r>
      <w:r w:rsidR="000A75D4" w:rsidRPr="00523556">
        <w:rPr>
          <w:rFonts w:ascii="Times New Roman" w:hAnsi="Times New Roman" w:cs="Times New Roman"/>
        </w:rPr>
        <w:t xml:space="preserve"> at the end of December</w:t>
      </w:r>
      <w:r w:rsidR="001C5CA6" w:rsidRPr="00523556">
        <w:rPr>
          <w:rFonts w:ascii="Times New Roman" w:hAnsi="Times New Roman" w:cs="Times New Roman"/>
        </w:rPr>
        <w:t xml:space="preserve">; whilst they can be expected to rise </w:t>
      </w:r>
      <w:r w:rsidR="000A75D4" w:rsidRPr="00523556">
        <w:rPr>
          <w:rFonts w:ascii="Times New Roman" w:hAnsi="Times New Roman" w:cs="Times New Roman"/>
        </w:rPr>
        <w:t xml:space="preserve">further </w:t>
      </w:r>
      <w:r w:rsidR="001C5CA6" w:rsidRPr="00523556">
        <w:rPr>
          <w:rFonts w:ascii="Times New Roman" w:hAnsi="Times New Roman" w:cs="Times New Roman"/>
        </w:rPr>
        <w:t xml:space="preserve">over the medium term as global economic recovery strengthens, they still remain at present well below the levels prior to the global financial crisis and close to historic lows. The spread </w:t>
      </w:r>
      <w:r w:rsidR="005877E6" w:rsidRPr="00523556">
        <w:rPr>
          <w:rFonts w:ascii="Times New Roman" w:hAnsi="Times New Roman" w:cs="Times New Roman"/>
        </w:rPr>
        <w:t xml:space="preserve">on a Ugandan Eurobond </w:t>
      </w:r>
      <w:r w:rsidR="001C5CA6" w:rsidRPr="00523556">
        <w:rPr>
          <w:rFonts w:ascii="Times New Roman" w:hAnsi="Times New Roman" w:cs="Times New Roman"/>
        </w:rPr>
        <w:t xml:space="preserve">over the US Treasury </w:t>
      </w:r>
      <w:r w:rsidR="001C5CA6" w:rsidRPr="00523556">
        <w:rPr>
          <w:rFonts w:ascii="Times New Roman" w:hAnsi="Times New Roman" w:cs="Times New Roman"/>
        </w:rPr>
        <w:lastRenderedPageBreak/>
        <w:t>Bond rate would depend on global investor risk appetite and market conditions at the time</w:t>
      </w:r>
      <w:r w:rsidR="005877E6" w:rsidRPr="00523556">
        <w:rPr>
          <w:rFonts w:ascii="Times New Roman" w:hAnsi="Times New Roman" w:cs="Times New Roman"/>
        </w:rPr>
        <w:t xml:space="preserve"> of issuance</w:t>
      </w:r>
      <w:r w:rsidR="001C5CA6" w:rsidRPr="00523556">
        <w:rPr>
          <w:rFonts w:ascii="Times New Roman" w:hAnsi="Times New Roman" w:cs="Times New Roman"/>
        </w:rPr>
        <w:t>, as well as factors specific to Uganda</w:t>
      </w:r>
      <w:r w:rsidR="00167F96" w:rsidRPr="00523556">
        <w:rPr>
          <w:rStyle w:val="FootnoteReference"/>
          <w:rFonts w:ascii="Times New Roman" w:hAnsi="Times New Roman" w:cs="Times New Roman"/>
        </w:rPr>
        <w:footnoteReference w:id="66"/>
      </w:r>
      <w:r w:rsidR="001C5CA6" w:rsidRPr="00523556">
        <w:rPr>
          <w:rFonts w:ascii="Times New Roman" w:hAnsi="Times New Roman" w:cs="Times New Roman"/>
        </w:rPr>
        <w:t xml:space="preserve"> and the </w:t>
      </w:r>
      <w:r w:rsidR="005877E6" w:rsidRPr="00523556">
        <w:rPr>
          <w:rFonts w:ascii="Times New Roman" w:hAnsi="Times New Roman" w:cs="Times New Roman"/>
        </w:rPr>
        <w:t xml:space="preserve">precise nature of the </w:t>
      </w:r>
      <w:r w:rsidR="001C5CA6" w:rsidRPr="00523556">
        <w:rPr>
          <w:rFonts w:ascii="Times New Roman" w:hAnsi="Times New Roman" w:cs="Times New Roman"/>
        </w:rPr>
        <w:t>issue itself.</w:t>
      </w:r>
    </w:p>
    <w:p w:rsidR="00293777" w:rsidRPr="00523556" w:rsidRDefault="001C5CA6" w:rsidP="00293777">
      <w:pPr>
        <w:jc w:val="both"/>
        <w:rPr>
          <w:rFonts w:ascii="Times New Roman" w:hAnsi="Times New Roman" w:cs="Times New Roman"/>
        </w:rPr>
      </w:pPr>
      <w:r w:rsidRPr="00523556">
        <w:rPr>
          <w:rFonts w:ascii="Times New Roman" w:hAnsi="Times New Roman" w:cs="Times New Roman"/>
        </w:rPr>
        <w:t>To get a feel for what interest rate Uganda might pay on a Eurobond issued today, it is instructive to look at the latest secondary market yields on Eurobonds issued by similarly-rated SSA countries.</w:t>
      </w:r>
      <w:r w:rsidRPr="00523556">
        <w:rPr>
          <w:rStyle w:val="FootnoteReference"/>
          <w:rFonts w:ascii="Times New Roman" w:hAnsi="Times New Roman" w:cs="Times New Roman"/>
        </w:rPr>
        <w:footnoteReference w:id="67"/>
      </w:r>
      <w:r w:rsidRPr="00523556">
        <w:rPr>
          <w:rFonts w:ascii="Times New Roman" w:hAnsi="Times New Roman" w:cs="Times New Roman"/>
        </w:rPr>
        <w:t xml:space="preserve"> As of 5</w:t>
      </w:r>
      <w:r w:rsidRPr="00523556">
        <w:rPr>
          <w:rFonts w:ascii="Times New Roman" w:hAnsi="Times New Roman" w:cs="Times New Roman"/>
          <w:vertAlign w:val="superscript"/>
        </w:rPr>
        <w:t>th</w:t>
      </w:r>
      <w:r w:rsidRPr="00523556">
        <w:rPr>
          <w:rFonts w:ascii="Times New Roman" w:hAnsi="Times New Roman" w:cs="Times New Roman"/>
        </w:rPr>
        <w:t xml:space="preserve"> December 2013, Zambia’s Eurobond maturing in 2022 was trading at a yield of 7.3</w:t>
      </w:r>
      <w:r w:rsidR="00E557B8" w:rsidRPr="00523556">
        <w:rPr>
          <w:rFonts w:ascii="Times New Roman" w:hAnsi="Times New Roman" w:cs="Times New Roman"/>
        </w:rPr>
        <w:t xml:space="preserve"> per cent</w:t>
      </w:r>
      <w:r w:rsidRPr="00523556">
        <w:rPr>
          <w:rFonts w:ascii="Times New Roman" w:hAnsi="Times New Roman" w:cs="Times New Roman"/>
        </w:rPr>
        <w:t>, Rwanda 2023 at 7.5</w:t>
      </w:r>
      <w:r w:rsidR="00E557B8" w:rsidRPr="00523556">
        <w:rPr>
          <w:rFonts w:ascii="Times New Roman" w:hAnsi="Times New Roman" w:cs="Times New Roman"/>
        </w:rPr>
        <w:t xml:space="preserve"> per cent</w:t>
      </w:r>
      <w:r w:rsidRPr="00523556">
        <w:rPr>
          <w:rFonts w:ascii="Times New Roman" w:hAnsi="Times New Roman" w:cs="Times New Roman"/>
        </w:rPr>
        <w:t>, and Ghana 2023 at 8.3</w:t>
      </w:r>
      <w:r w:rsidR="00E557B8" w:rsidRPr="00523556">
        <w:rPr>
          <w:rFonts w:ascii="Times New Roman" w:hAnsi="Times New Roman" w:cs="Times New Roman"/>
        </w:rPr>
        <w:t xml:space="preserve"> per cent</w:t>
      </w:r>
      <w:r w:rsidRPr="00523556">
        <w:rPr>
          <w:rFonts w:ascii="Times New Roman" w:hAnsi="Times New Roman" w:cs="Times New Roman"/>
        </w:rPr>
        <w:t xml:space="preserve">. Using these as an indicator, if Uganda </w:t>
      </w:r>
      <w:r w:rsidR="005877E6" w:rsidRPr="00523556">
        <w:rPr>
          <w:rFonts w:ascii="Times New Roman" w:hAnsi="Times New Roman" w:cs="Times New Roman"/>
        </w:rPr>
        <w:t xml:space="preserve">had </w:t>
      </w:r>
      <w:r w:rsidRPr="00523556">
        <w:rPr>
          <w:rFonts w:ascii="Times New Roman" w:hAnsi="Times New Roman" w:cs="Times New Roman"/>
        </w:rPr>
        <w:t xml:space="preserve">issued a 10-year Eurobond </w:t>
      </w:r>
      <w:r w:rsidR="005877E6" w:rsidRPr="00523556">
        <w:rPr>
          <w:rFonts w:ascii="Times New Roman" w:hAnsi="Times New Roman" w:cs="Times New Roman"/>
        </w:rPr>
        <w:t>around this time</w:t>
      </w:r>
      <w:r w:rsidRPr="00523556">
        <w:rPr>
          <w:rFonts w:ascii="Times New Roman" w:hAnsi="Times New Roman" w:cs="Times New Roman"/>
        </w:rPr>
        <w:t xml:space="preserve">, it might </w:t>
      </w:r>
      <w:r w:rsidR="005877E6" w:rsidRPr="00523556">
        <w:rPr>
          <w:rFonts w:ascii="Times New Roman" w:hAnsi="Times New Roman" w:cs="Times New Roman"/>
        </w:rPr>
        <w:t xml:space="preserve">have </w:t>
      </w:r>
      <w:r w:rsidRPr="00523556">
        <w:rPr>
          <w:rFonts w:ascii="Times New Roman" w:hAnsi="Times New Roman" w:cs="Times New Roman"/>
        </w:rPr>
        <w:t>be</w:t>
      </w:r>
      <w:r w:rsidR="005877E6" w:rsidRPr="00523556">
        <w:rPr>
          <w:rFonts w:ascii="Times New Roman" w:hAnsi="Times New Roman" w:cs="Times New Roman"/>
        </w:rPr>
        <w:t>en</w:t>
      </w:r>
      <w:r w:rsidRPr="00523556">
        <w:rPr>
          <w:rFonts w:ascii="Times New Roman" w:hAnsi="Times New Roman" w:cs="Times New Roman"/>
        </w:rPr>
        <w:t xml:space="preserve"> priced to yield in the region of 7½</w:t>
      </w:r>
      <w:r w:rsidR="00E557B8" w:rsidRPr="00523556">
        <w:rPr>
          <w:rFonts w:ascii="Times New Roman" w:hAnsi="Times New Roman" w:cs="Times New Roman"/>
        </w:rPr>
        <w:t xml:space="preserve"> to </w:t>
      </w:r>
      <w:r w:rsidRPr="00523556">
        <w:rPr>
          <w:rFonts w:ascii="Times New Roman" w:hAnsi="Times New Roman" w:cs="Times New Roman"/>
        </w:rPr>
        <w:t>8½</w:t>
      </w:r>
      <w:r w:rsidR="00E557B8" w:rsidRPr="00523556">
        <w:rPr>
          <w:rFonts w:ascii="Times New Roman" w:hAnsi="Times New Roman" w:cs="Times New Roman"/>
        </w:rPr>
        <w:t xml:space="preserve"> per cent</w:t>
      </w:r>
      <w:r w:rsidRPr="00523556">
        <w:rPr>
          <w:rFonts w:ascii="Times New Roman" w:hAnsi="Times New Roman" w:cs="Times New Roman"/>
        </w:rPr>
        <w:t xml:space="preserve"> per annum</w:t>
      </w:r>
      <w:r w:rsidR="00322E35" w:rsidRPr="00523556">
        <w:rPr>
          <w:rFonts w:ascii="Times New Roman" w:hAnsi="Times New Roman" w:cs="Times New Roman"/>
        </w:rPr>
        <w:t xml:space="preserve"> </w:t>
      </w:r>
      <w:r w:rsidR="001C7D66" w:rsidRPr="00523556">
        <w:rPr>
          <w:rFonts w:ascii="Times New Roman" w:hAnsi="Times New Roman" w:cs="Times New Roman"/>
        </w:rPr>
        <w:t xml:space="preserve">(this is in </w:t>
      </w:r>
      <w:r w:rsidR="00322E35" w:rsidRPr="00523556">
        <w:rPr>
          <w:rFonts w:ascii="Times New Roman" w:hAnsi="Times New Roman" w:cs="Times New Roman"/>
        </w:rPr>
        <w:t>US$ terms</w:t>
      </w:r>
      <w:r w:rsidR="001C7D66" w:rsidRPr="00523556">
        <w:rPr>
          <w:rFonts w:ascii="Times New Roman" w:hAnsi="Times New Roman" w:cs="Times New Roman"/>
        </w:rPr>
        <w:t>;</w:t>
      </w:r>
      <w:r w:rsidR="00322E35" w:rsidRPr="00523556">
        <w:rPr>
          <w:rFonts w:ascii="Times New Roman" w:hAnsi="Times New Roman" w:cs="Times New Roman"/>
        </w:rPr>
        <w:t xml:space="preserve"> Section 3.2.2 discuss</w:t>
      </w:r>
      <w:r w:rsidR="001C7D66" w:rsidRPr="00523556">
        <w:rPr>
          <w:rFonts w:ascii="Times New Roman" w:hAnsi="Times New Roman" w:cs="Times New Roman"/>
        </w:rPr>
        <w:t>es</w:t>
      </w:r>
      <w:r w:rsidR="00322E35" w:rsidRPr="00523556">
        <w:rPr>
          <w:rFonts w:ascii="Times New Roman" w:hAnsi="Times New Roman" w:cs="Times New Roman"/>
        </w:rPr>
        <w:t xml:space="preserve"> the Shilling equivalent, and comparison to </w:t>
      </w:r>
      <w:r w:rsidR="001C7D66" w:rsidRPr="00523556">
        <w:rPr>
          <w:rFonts w:ascii="Times New Roman" w:hAnsi="Times New Roman" w:cs="Times New Roman"/>
        </w:rPr>
        <w:t xml:space="preserve">yields on </w:t>
      </w:r>
      <w:r w:rsidR="00322E35" w:rsidRPr="00523556">
        <w:rPr>
          <w:rFonts w:ascii="Times New Roman" w:hAnsi="Times New Roman" w:cs="Times New Roman"/>
        </w:rPr>
        <w:t>DD)</w:t>
      </w:r>
      <w:r w:rsidRPr="00523556">
        <w:rPr>
          <w:rFonts w:ascii="Times New Roman" w:hAnsi="Times New Roman" w:cs="Times New Roman"/>
        </w:rPr>
        <w:t>. This however must be taken as a very rough estimate, and the precise yield on any future Ugandan Eurobond issue will depend on global market conditions</w:t>
      </w:r>
      <w:r w:rsidR="00CC2B21" w:rsidRPr="00523556">
        <w:rPr>
          <w:rFonts w:ascii="Times New Roman" w:hAnsi="Times New Roman" w:cs="Times New Roman"/>
        </w:rPr>
        <w:t>, market perceptions of Uganda’s fiscal outlook,</w:t>
      </w:r>
      <w:r w:rsidRPr="00523556">
        <w:rPr>
          <w:rFonts w:ascii="Times New Roman" w:hAnsi="Times New Roman" w:cs="Times New Roman"/>
        </w:rPr>
        <w:t xml:space="preserve"> and the precise nature of the issue. </w:t>
      </w:r>
      <w:r w:rsidR="00734577" w:rsidRPr="00523556">
        <w:rPr>
          <w:rFonts w:ascii="Times New Roman" w:hAnsi="Times New Roman" w:cs="Times New Roman"/>
        </w:rPr>
        <w:t>As part of considerations as to whether to issue a Ugandan Eurobond, it would be necessary to monitor closely t</w:t>
      </w:r>
      <w:r w:rsidRPr="00523556">
        <w:rPr>
          <w:rFonts w:ascii="Times New Roman" w:hAnsi="Times New Roman" w:cs="Times New Roman"/>
        </w:rPr>
        <w:t>he latest secondary-market yields on such SSA Eurobonds, as a Ugandan Eurobond would be priced relative to its peers.</w:t>
      </w:r>
      <w:r w:rsidR="00293777" w:rsidRPr="00523556">
        <w:rPr>
          <w:rFonts w:ascii="Times New Roman" w:hAnsi="Times New Roman" w:cs="Times New Roman"/>
        </w:rPr>
        <w:t xml:space="preserve"> </w:t>
      </w:r>
    </w:p>
    <w:p w:rsidR="00293777" w:rsidRPr="00523556" w:rsidRDefault="00293777" w:rsidP="00293777">
      <w:pPr>
        <w:jc w:val="both"/>
        <w:rPr>
          <w:rFonts w:ascii="Times New Roman" w:hAnsi="Times New Roman" w:cs="Times New Roman"/>
        </w:rPr>
      </w:pPr>
      <w:r w:rsidRPr="00523556">
        <w:rPr>
          <w:rFonts w:ascii="Times New Roman" w:hAnsi="Times New Roman" w:cs="Times New Roman"/>
        </w:rPr>
        <w:t>In addition to interest costs, a Eurobond would also require paying fees for the high-quality financial and legal advice and services that are vital for an issue to be successful. These fees would vary with the size of the issue, and are negotiable. As of November 2013, one major international investment bank advised the authors that the transactions expenses for a debut Eurobond (inclusive of all lead manager, legal counsel, roadshow and listing fees) could be a little under $1m (i.e. around 20 basis points on a $500m issue).</w:t>
      </w:r>
    </w:p>
    <w:p w:rsidR="00210FD0" w:rsidRPr="00523556" w:rsidRDefault="00210FD0" w:rsidP="00210FD0">
      <w:pPr>
        <w:jc w:val="both"/>
        <w:rPr>
          <w:rFonts w:ascii="Times New Roman" w:hAnsi="Times New Roman" w:cs="Times New Roman"/>
        </w:rPr>
      </w:pPr>
      <w:r w:rsidRPr="00523556">
        <w:rPr>
          <w:rFonts w:ascii="Times New Roman" w:hAnsi="Times New Roman" w:cs="Times New Roman"/>
        </w:rPr>
        <w:t>Key risks to consider in relation to a potential Eurobond issue include exchange rate risk and risks associated with principal repayments. Most SSA sovereign bonds issued to date have been structured with bullet repayment of principle – which entails a higher degree of refinancing risk for the issuer than under an amortising structure. However, there are a variety of different strategies that can be adopted to manage this risk, such as building up a sinking fund (i.e. a pool of advance savings with which to make the bullet repayment), executing debt buy-backs or swaps (i.e. buying some of the debt back from investors, or exchanging it for longer-dated debt, before the redemption data), or issuance of another Eurobond (at or before the redemption date), or a combination of these options. Alternatively, whilst Uganda’s default option would be to stick to recent market norms of a bullet repayment, GoU could (in consultation with experienced advisors and potential investors) consider an amortising structure.</w:t>
      </w:r>
      <w:r w:rsidRPr="00523556">
        <w:rPr>
          <w:rStyle w:val="FootnoteReference"/>
          <w:rFonts w:ascii="Times New Roman" w:hAnsi="Times New Roman" w:cs="Times New Roman"/>
        </w:rPr>
        <w:footnoteReference w:id="68"/>
      </w:r>
    </w:p>
    <w:p w:rsidR="00210FD0" w:rsidRPr="00523556" w:rsidRDefault="00210FD0" w:rsidP="00210FD0">
      <w:pPr>
        <w:jc w:val="both"/>
        <w:rPr>
          <w:rFonts w:ascii="Times New Roman" w:hAnsi="Times New Roman" w:cs="Times New Roman"/>
        </w:rPr>
      </w:pPr>
      <w:r w:rsidRPr="00523556">
        <w:rPr>
          <w:rFonts w:ascii="Times New Roman" w:hAnsi="Times New Roman" w:cs="Times New Roman"/>
        </w:rPr>
        <w:lastRenderedPageBreak/>
        <w:t>The maturity and associated timing of redemption payments for any Eurobond issuance is particularly pertinent for Uganda; if redemptions fall due at a time by which oil revenues have come on stream in significant volumes, then Uganda will have greater freedom in how it chooses to manage repayment (whereas a Eurobond that fell due before this time would more likely necessitate refinancing of the redemption by rolling over the debt). Given that oil revenues are not predicted to come on stream in significant volumes until FY18/19 at the earliest, this would argue for any Eurobond issuance by Uganda in the near term being of, say, a 10-year rather than a 5-year maturity – although this would need to be weighed against the higher yield associated with longer-term issuance.</w:t>
      </w:r>
      <w:r w:rsidRPr="00523556">
        <w:rPr>
          <w:rStyle w:val="FootnoteReference"/>
          <w:rFonts w:ascii="Times New Roman" w:hAnsi="Times New Roman" w:cs="Times New Roman"/>
        </w:rPr>
        <w:footnoteReference w:id="69"/>
      </w:r>
    </w:p>
    <w:p w:rsidR="00CA4711" w:rsidRPr="00523556" w:rsidRDefault="00CA4711" w:rsidP="00D97AA0">
      <w:pPr>
        <w:jc w:val="both"/>
        <w:rPr>
          <w:rFonts w:ascii="Times New Roman" w:hAnsi="Times New Roman" w:cs="Times New Roman"/>
        </w:rPr>
      </w:pPr>
      <w:r w:rsidRPr="00523556">
        <w:rPr>
          <w:rFonts w:ascii="Times New Roman" w:hAnsi="Times New Roman" w:cs="Times New Roman"/>
        </w:rPr>
        <w:br w:type="page"/>
      </w:r>
    </w:p>
    <w:p w:rsidR="00CA4711" w:rsidRPr="00523556" w:rsidRDefault="00CA4711" w:rsidP="00783109">
      <w:pPr>
        <w:jc w:val="both"/>
        <w:rPr>
          <w:rFonts w:ascii="Times New Roman" w:hAnsi="Times New Roman" w:cs="Times New Roman"/>
        </w:rPr>
        <w:sectPr w:rsidR="00CA4711" w:rsidRPr="00523556" w:rsidSect="00B23EA0">
          <w:footerReference w:type="default" r:id="rId14"/>
          <w:pgSz w:w="11906" w:h="16838"/>
          <w:pgMar w:top="1440" w:right="1440" w:bottom="1440" w:left="1440" w:header="708" w:footer="708" w:gutter="0"/>
          <w:cols w:space="708"/>
          <w:docGrid w:linePitch="360"/>
        </w:sectPr>
      </w:pPr>
    </w:p>
    <w:p w:rsidR="00CA4711" w:rsidRPr="00523556" w:rsidRDefault="00CA4711" w:rsidP="00CA4711">
      <w:pPr>
        <w:pStyle w:val="Figheader"/>
        <w:rPr>
          <w:rFonts w:ascii="Times New Roman" w:hAnsi="Times New Roman" w:cs="Times New Roman"/>
        </w:rPr>
      </w:pPr>
      <w:r w:rsidRPr="00523556">
        <w:rPr>
          <w:rFonts w:ascii="Times New Roman" w:hAnsi="Times New Roman" w:cs="Times New Roman"/>
        </w:rPr>
        <w:lastRenderedPageBreak/>
        <w:t>Fig</w:t>
      </w:r>
      <w:r w:rsidR="004820E9" w:rsidRPr="00523556">
        <w:rPr>
          <w:rFonts w:ascii="Times New Roman" w:hAnsi="Times New Roman" w:cs="Times New Roman"/>
        </w:rPr>
        <w:t>ure</w:t>
      </w:r>
      <w:r w:rsidRPr="00523556">
        <w:rPr>
          <w:rFonts w:ascii="Times New Roman" w:hAnsi="Times New Roman" w:cs="Times New Roman"/>
        </w:rPr>
        <w:t xml:space="preserve"> </w:t>
      </w:r>
      <w:r w:rsidR="00EB0FA2" w:rsidRPr="00523556">
        <w:rPr>
          <w:rFonts w:ascii="Times New Roman" w:hAnsi="Times New Roman" w:cs="Times New Roman"/>
        </w:rPr>
        <w:t>2.6</w:t>
      </w:r>
      <w:r w:rsidRPr="00523556">
        <w:rPr>
          <w:rFonts w:ascii="Times New Roman" w:hAnsi="Times New Roman" w:cs="Times New Roman"/>
        </w:rPr>
        <w:t>: Selected Eurobond Issuance by Sub-Saharan African Sovereigns (excluding South Africa) to date</w:t>
      </w:r>
    </w:p>
    <w:p w:rsidR="00CA4711" w:rsidRPr="00523556" w:rsidRDefault="004C0C91" w:rsidP="00CA4711">
      <w:pPr>
        <w:spacing w:before="120" w:after="120"/>
        <w:rPr>
          <w:rFonts w:ascii="Times New Roman" w:hAnsi="Times New Roman" w:cs="Times New Roman"/>
          <w:i/>
        </w:rPr>
      </w:pPr>
      <w:r w:rsidRPr="00523556">
        <w:rPr>
          <w:rFonts w:ascii="Times New Roman" w:hAnsi="Times New Roman" w:cs="Times New Roman"/>
          <w:noProof/>
          <w:lang w:eastAsia="en-GB"/>
        </w:rPr>
        <w:drawing>
          <wp:inline distT="0" distB="0" distL="0" distR="0">
            <wp:extent cx="8863330" cy="4419881"/>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8863330" cy="4419881"/>
                    </a:xfrm>
                    <a:prstGeom prst="rect">
                      <a:avLst/>
                    </a:prstGeom>
                    <a:noFill/>
                    <a:ln w="9525">
                      <a:noFill/>
                      <a:miter lim="800000"/>
                      <a:headEnd/>
                      <a:tailEnd/>
                    </a:ln>
                  </pic:spPr>
                </pic:pic>
              </a:graphicData>
            </a:graphic>
          </wp:inline>
        </w:drawing>
      </w:r>
    </w:p>
    <w:p w:rsidR="00D97AA0" w:rsidRPr="00523556" w:rsidRDefault="00D97AA0" w:rsidP="00D97AA0">
      <w:pPr>
        <w:pStyle w:val="Figfootnote"/>
        <w:spacing w:before="120" w:after="120"/>
        <w:rPr>
          <w:rFonts w:ascii="Times New Roman" w:hAnsi="Times New Roman" w:cs="Times New Roman"/>
          <w:sz w:val="24"/>
          <w:szCs w:val="24"/>
        </w:rPr>
      </w:pPr>
      <w:r w:rsidRPr="00523556">
        <w:rPr>
          <w:rFonts w:ascii="Times New Roman" w:hAnsi="Times New Roman" w:cs="Times New Roman"/>
          <w:sz w:val="24"/>
          <w:szCs w:val="24"/>
        </w:rPr>
        <w:t xml:space="preserve">Note: All Eurobonds in this table have fixed coupons and bullet repayments (as such, it excludes the amortizing, dollar-denominated bonds that have been issued by Tanzania, Ivory Coast, Seychelles and DR Congo. Angola’s Loan Participation Note is also excluded). </w:t>
      </w:r>
    </w:p>
    <w:p w:rsidR="00D97AA0" w:rsidRPr="00523556" w:rsidRDefault="00D97AA0" w:rsidP="00D97AA0">
      <w:pPr>
        <w:pStyle w:val="Figfootnote"/>
        <w:spacing w:before="120" w:after="120"/>
        <w:rPr>
          <w:rFonts w:ascii="Times New Roman" w:hAnsi="Times New Roman" w:cs="Times New Roman"/>
          <w:sz w:val="24"/>
          <w:szCs w:val="24"/>
        </w:rPr>
      </w:pPr>
      <w:r w:rsidRPr="00523556">
        <w:rPr>
          <w:rFonts w:ascii="Times New Roman" w:hAnsi="Times New Roman" w:cs="Times New Roman"/>
          <w:sz w:val="24"/>
          <w:szCs w:val="24"/>
        </w:rPr>
        <w:t>* Credit ratings are ratings as at 5</w:t>
      </w:r>
      <w:r w:rsidRPr="00523556">
        <w:rPr>
          <w:rFonts w:ascii="Times New Roman" w:hAnsi="Times New Roman" w:cs="Times New Roman"/>
          <w:sz w:val="24"/>
          <w:szCs w:val="24"/>
          <w:vertAlign w:val="superscript"/>
        </w:rPr>
        <w:t>th</w:t>
      </w:r>
      <w:r w:rsidRPr="00523556">
        <w:rPr>
          <w:rFonts w:ascii="Times New Roman" w:hAnsi="Times New Roman" w:cs="Times New Roman"/>
          <w:sz w:val="24"/>
          <w:szCs w:val="24"/>
        </w:rPr>
        <w:t xml:space="preserve"> December 2013; Ghana’s credit rating was revised down by Fitch from B+ to B in October 2013, and by S&amp;P from B+ to B in August 2010. Zambia’s credit rating was revised down by Fitch from B+ to B in October 2013.</w:t>
      </w:r>
      <w:r w:rsidRPr="00523556">
        <w:rPr>
          <w:rFonts w:ascii="Times New Roman" w:hAnsi="Times New Roman" w:cs="Times New Roman"/>
          <w:sz w:val="24"/>
          <w:szCs w:val="24"/>
        </w:rPr>
        <w:br w:type="page"/>
      </w:r>
    </w:p>
    <w:p w:rsidR="00D97AA0" w:rsidRPr="00523556" w:rsidRDefault="00D97AA0" w:rsidP="00D97AA0">
      <w:pPr>
        <w:jc w:val="both"/>
        <w:rPr>
          <w:rFonts w:ascii="Times New Roman" w:hAnsi="Times New Roman" w:cs="Times New Roman"/>
        </w:rPr>
        <w:sectPr w:rsidR="00D97AA0" w:rsidRPr="00523556" w:rsidSect="00CA4711">
          <w:pgSz w:w="16838" w:h="11906" w:orient="landscape"/>
          <w:pgMar w:top="1440" w:right="1440" w:bottom="1440" w:left="1440" w:header="709" w:footer="709" w:gutter="0"/>
          <w:cols w:space="708"/>
          <w:docGrid w:linePitch="360"/>
        </w:sectPr>
      </w:pPr>
    </w:p>
    <w:p w:rsidR="00210FD0" w:rsidRPr="00523556" w:rsidRDefault="00210FD0" w:rsidP="00210FD0">
      <w:pPr>
        <w:pStyle w:val="Heading3"/>
        <w:rPr>
          <w:rFonts w:ascii="Times New Roman" w:hAnsi="Times New Roman" w:cs="Times New Roman"/>
        </w:rPr>
      </w:pPr>
      <w:r w:rsidRPr="00523556">
        <w:rPr>
          <w:rFonts w:ascii="Times New Roman" w:hAnsi="Times New Roman" w:cs="Times New Roman"/>
        </w:rPr>
        <w:lastRenderedPageBreak/>
        <w:t>2.3.3 Additional considerations</w:t>
      </w:r>
    </w:p>
    <w:p w:rsidR="00210FD0" w:rsidRPr="00523556" w:rsidRDefault="00210FD0" w:rsidP="00210FD0">
      <w:pPr>
        <w:jc w:val="both"/>
        <w:rPr>
          <w:rFonts w:ascii="Times New Roman" w:hAnsi="Times New Roman" w:cs="Times New Roman"/>
        </w:rPr>
      </w:pPr>
      <w:r w:rsidRPr="00523556">
        <w:rPr>
          <w:rFonts w:ascii="Times New Roman" w:hAnsi="Times New Roman" w:cs="Times New Roman"/>
        </w:rPr>
        <w:t xml:space="preserve">In addition to the direct cost and risks considered above, there is an important range of broader macroeconomic and fiscal considerations that would need to be taken into account in order to maximise the benefits of any potential issue and minimise potential broader costs and risks, as well as a range of institutional and practical considerations. </w:t>
      </w:r>
    </w:p>
    <w:p w:rsidR="000025B1" w:rsidRPr="00523556" w:rsidRDefault="00CE239A" w:rsidP="00F56E01">
      <w:pPr>
        <w:jc w:val="both"/>
        <w:rPr>
          <w:rFonts w:ascii="Times New Roman" w:hAnsi="Times New Roman" w:cs="Times New Roman"/>
        </w:rPr>
      </w:pPr>
      <w:r w:rsidRPr="00523556">
        <w:rPr>
          <w:rFonts w:ascii="Times New Roman" w:hAnsi="Times New Roman" w:cs="Times New Roman"/>
        </w:rPr>
        <w:t>T</w:t>
      </w:r>
      <w:r w:rsidR="00A165CC" w:rsidRPr="00523556">
        <w:rPr>
          <w:rFonts w:ascii="Times New Roman" w:hAnsi="Times New Roman" w:cs="Times New Roman"/>
        </w:rPr>
        <w:t xml:space="preserve">he </w:t>
      </w:r>
      <w:r w:rsidR="003E474E" w:rsidRPr="00523556">
        <w:rPr>
          <w:rFonts w:ascii="Times New Roman" w:hAnsi="Times New Roman" w:cs="Times New Roman"/>
        </w:rPr>
        <w:t xml:space="preserve">returns </w:t>
      </w:r>
      <w:r w:rsidR="00717F94" w:rsidRPr="00523556">
        <w:rPr>
          <w:rFonts w:ascii="Times New Roman" w:hAnsi="Times New Roman" w:cs="Times New Roman"/>
        </w:rPr>
        <w:t xml:space="preserve">on the marginal expenditure being supported by </w:t>
      </w:r>
      <w:r w:rsidR="003E474E" w:rsidRPr="00523556">
        <w:rPr>
          <w:rFonts w:ascii="Times New Roman" w:hAnsi="Times New Roman" w:cs="Times New Roman"/>
        </w:rPr>
        <w:t xml:space="preserve">the </w:t>
      </w:r>
      <w:r w:rsidRPr="00523556">
        <w:rPr>
          <w:rFonts w:ascii="Times New Roman" w:hAnsi="Times New Roman" w:cs="Times New Roman"/>
        </w:rPr>
        <w:t xml:space="preserve">issuance </w:t>
      </w:r>
      <w:r w:rsidR="00A165CC" w:rsidRPr="00523556">
        <w:rPr>
          <w:rFonts w:ascii="Times New Roman" w:hAnsi="Times New Roman" w:cs="Times New Roman"/>
        </w:rPr>
        <w:t xml:space="preserve">proceeds </w:t>
      </w:r>
      <w:r w:rsidR="00EB7CE4" w:rsidRPr="00523556">
        <w:rPr>
          <w:rFonts w:ascii="Times New Roman" w:hAnsi="Times New Roman" w:cs="Times New Roman"/>
        </w:rPr>
        <w:t xml:space="preserve">would </w:t>
      </w:r>
      <w:r w:rsidRPr="00523556">
        <w:rPr>
          <w:rFonts w:ascii="Times New Roman" w:hAnsi="Times New Roman" w:cs="Times New Roman"/>
        </w:rPr>
        <w:t>be a crucial issue in this regard</w:t>
      </w:r>
      <w:r w:rsidR="00A165CC" w:rsidRPr="00523556">
        <w:rPr>
          <w:rFonts w:ascii="Times New Roman" w:hAnsi="Times New Roman" w:cs="Times New Roman"/>
        </w:rPr>
        <w:t xml:space="preserve">. Ideally a Eurobond would be used to </w:t>
      </w:r>
      <w:r w:rsidR="00717F94" w:rsidRPr="00523556">
        <w:rPr>
          <w:rFonts w:ascii="Times New Roman" w:hAnsi="Times New Roman" w:cs="Times New Roman"/>
        </w:rPr>
        <w:t xml:space="preserve">support </w:t>
      </w:r>
      <w:r w:rsidR="00A165CC" w:rsidRPr="00523556">
        <w:rPr>
          <w:rFonts w:ascii="Times New Roman" w:hAnsi="Times New Roman" w:cs="Times New Roman"/>
        </w:rPr>
        <w:t xml:space="preserve">expenditures that will generate significant fiscal returns to government (either directly through user charges and/or GoU’s share of operating profits, or indirectly via driving faster growth in GDP and associated tax revenues), to </w:t>
      </w:r>
      <w:r w:rsidR="00717F94" w:rsidRPr="00523556">
        <w:rPr>
          <w:rFonts w:ascii="Times New Roman" w:hAnsi="Times New Roman" w:cs="Times New Roman"/>
        </w:rPr>
        <w:t xml:space="preserve">ensure that </w:t>
      </w:r>
      <w:r w:rsidR="00A165CC" w:rsidRPr="00523556">
        <w:rPr>
          <w:rFonts w:ascii="Times New Roman" w:hAnsi="Times New Roman" w:cs="Times New Roman"/>
        </w:rPr>
        <w:t>the impact on the budget of the commercial rate of interest</w:t>
      </w:r>
      <w:r w:rsidR="00717F94" w:rsidRPr="00523556">
        <w:rPr>
          <w:rFonts w:ascii="Times New Roman" w:hAnsi="Times New Roman" w:cs="Times New Roman"/>
        </w:rPr>
        <w:t xml:space="preserve"> is being offset</w:t>
      </w:r>
      <w:r w:rsidR="004D024C" w:rsidRPr="00523556">
        <w:rPr>
          <w:rFonts w:ascii="Times New Roman" w:hAnsi="Times New Roman" w:cs="Times New Roman"/>
        </w:rPr>
        <w:t>,</w:t>
      </w:r>
      <w:r w:rsidR="0029052C" w:rsidRPr="00523556">
        <w:rPr>
          <w:rStyle w:val="FootnoteReference"/>
          <w:rFonts w:ascii="Times New Roman" w:hAnsi="Times New Roman" w:cs="Times New Roman"/>
        </w:rPr>
        <w:footnoteReference w:id="70"/>
      </w:r>
      <w:r w:rsidR="001F7830" w:rsidRPr="00523556">
        <w:rPr>
          <w:rFonts w:ascii="Times New Roman" w:hAnsi="Times New Roman" w:cs="Times New Roman"/>
        </w:rPr>
        <w:t xml:space="preserve"> </w:t>
      </w:r>
      <w:r w:rsidR="004D024C" w:rsidRPr="00523556">
        <w:rPr>
          <w:rFonts w:ascii="Times New Roman" w:hAnsi="Times New Roman" w:cs="Times New Roman"/>
        </w:rPr>
        <w:t>and that involve a</w:t>
      </w:r>
      <w:r w:rsidR="00F63F3F" w:rsidRPr="00523556">
        <w:rPr>
          <w:rFonts w:ascii="Times New Roman" w:hAnsi="Times New Roman" w:cs="Times New Roman"/>
        </w:rPr>
        <w:t xml:space="preserve"> significant foreign </w:t>
      </w:r>
      <w:r w:rsidR="004D024C" w:rsidRPr="00523556">
        <w:rPr>
          <w:rFonts w:ascii="Times New Roman" w:hAnsi="Times New Roman" w:cs="Times New Roman"/>
        </w:rPr>
        <w:t>currency-</w:t>
      </w:r>
      <w:r w:rsidR="00F63F3F" w:rsidRPr="00523556">
        <w:rPr>
          <w:rFonts w:ascii="Times New Roman" w:hAnsi="Times New Roman" w:cs="Times New Roman"/>
        </w:rPr>
        <w:t>denominated</w:t>
      </w:r>
      <w:r w:rsidR="004D024C" w:rsidRPr="00523556">
        <w:rPr>
          <w:rFonts w:ascii="Times New Roman" w:hAnsi="Times New Roman" w:cs="Times New Roman"/>
        </w:rPr>
        <w:t xml:space="preserve"> component,</w:t>
      </w:r>
      <w:r w:rsidR="007E3AE5" w:rsidRPr="00523556">
        <w:rPr>
          <w:rFonts w:ascii="Times New Roman" w:hAnsi="Times New Roman" w:cs="Times New Roman"/>
        </w:rPr>
        <w:t xml:space="preserve"> to minimise </w:t>
      </w:r>
      <w:r w:rsidR="004D024C" w:rsidRPr="00523556">
        <w:rPr>
          <w:rFonts w:ascii="Times New Roman" w:hAnsi="Times New Roman" w:cs="Times New Roman"/>
        </w:rPr>
        <w:t xml:space="preserve">the </w:t>
      </w:r>
      <w:r w:rsidR="007E3AE5" w:rsidRPr="00523556">
        <w:rPr>
          <w:rFonts w:ascii="Times New Roman" w:hAnsi="Times New Roman" w:cs="Times New Roman"/>
        </w:rPr>
        <w:t xml:space="preserve">potential impacts on the </w:t>
      </w:r>
      <w:r w:rsidR="00FB772F" w:rsidRPr="00523556">
        <w:rPr>
          <w:rFonts w:ascii="Times New Roman" w:hAnsi="Times New Roman" w:cs="Times New Roman"/>
        </w:rPr>
        <w:t xml:space="preserve">real </w:t>
      </w:r>
      <w:r w:rsidR="007E3AE5" w:rsidRPr="00523556">
        <w:rPr>
          <w:rFonts w:ascii="Times New Roman" w:hAnsi="Times New Roman" w:cs="Times New Roman"/>
        </w:rPr>
        <w:t>exchange rate</w:t>
      </w:r>
      <w:r w:rsidR="00FB772F" w:rsidRPr="00523556">
        <w:rPr>
          <w:rFonts w:ascii="Times New Roman" w:hAnsi="Times New Roman" w:cs="Times New Roman"/>
        </w:rPr>
        <w:t xml:space="preserve"> that could arise if </w:t>
      </w:r>
      <w:r w:rsidR="000025B1" w:rsidRPr="00523556">
        <w:rPr>
          <w:rFonts w:ascii="Times New Roman" w:hAnsi="Times New Roman" w:cs="Times New Roman"/>
        </w:rPr>
        <w:t xml:space="preserve">the significant dollar-denominated </w:t>
      </w:r>
      <w:r w:rsidR="00FB772F" w:rsidRPr="00523556">
        <w:rPr>
          <w:rFonts w:ascii="Times New Roman" w:hAnsi="Times New Roman" w:cs="Times New Roman"/>
        </w:rPr>
        <w:t>process were used to finance Shilling-denominated expenditures</w:t>
      </w:r>
      <w:r w:rsidR="000025B1" w:rsidRPr="00523556">
        <w:rPr>
          <w:rFonts w:ascii="Times New Roman" w:hAnsi="Times New Roman" w:cs="Times New Roman"/>
        </w:rPr>
        <w:t xml:space="preserve">. </w:t>
      </w:r>
      <w:r w:rsidR="00F63F3F" w:rsidRPr="00523556">
        <w:rPr>
          <w:rFonts w:ascii="Times New Roman" w:hAnsi="Times New Roman" w:cs="Times New Roman"/>
        </w:rPr>
        <w:t xml:space="preserve">Matching these criteria, </w:t>
      </w:r>
      <w:r w:rsidR="0057654F" w:rsidRPr="00523556">
        <w:rPr>
          <w:rFonts w:ascii="Times New Roman" w:hAnsi="Times New Roman" w:cs="Times New Roman"/>
        </w:rPr>
        <w:t>a Eurobond issu</w:t>
      </w:r>
      <w:r w:rsidR="00686D8D" w:rsidRPr="00523556">
        <w:rPr>
          <w:rFonts w:ascii="Times New Roman" w:hAnsi="Times New Roman" w:cs="Times New Roman"/>
        </w:rPr>
        <w:t>e</w:t>
      </w:r>
      <w:r w:rsidR="00F63F3F" w:rsidRPr="00523556">
        <w:rPr>
          <w:rFonts w:ascii="Times New Roman" w:hAnsi="Times New Roman" w:cs="Times New Roman"/>
        </w:rPr>
        <w:t xml:space="preserve"> </w:t>
      </w:r>
      <w:r w:rsidR="0057654F" w:rsidRPr="00523556">
        <w:rPr>
          <w:rFonts w:ascii="Times New Roman" w:hAnsi="Times New Roman" w:cs="Times New Roman"/>
        </w:rPr>
        <w:t>w</w:t>
      </w:r>
      <w:r w:rsidR="00F63F3F" w:rsidRPr="00523556">
        <w:rPr>
          <w:rFonts w:ascii="Times New Roman" w:hAnsi="Times New Roman" w:cs="Times New Roman"/>
        </w:rPr>
        <w:t xml:space="preserve">ould be </w:t>
      </w:r>
      <w:r w:rsidR="00502E1D" w:rsidRPr="00523556">
        <w:rPr>
          <w:rFonts w:ascii="Times New Roman" w:hAnsi="Times New Roman" w:cs="Times New Roman"/>
        </w:rPr>
        <w:t xml:space="preserve">most </w:t>
      </w:r>
      <w:r w:rsidR="00F63F3F" w:rsidRPr="00523556">
        <w:rPr>
          <w:rFonts w:ascii="Times New Roman" w:hAnsi="Times New Roman" w:cs="Times New Roman"/>
        </w:rPr>
        <w:t xml:space="preserve">appropriate </w:t>
      </w:r>
      <w:r w:rsidR="0057654F" w:rsidRPr="00523556">
        <w:rPr>
          <w:rFonts w:ascii="Times New Roman" w:hAnsi="Times New Roman" w:cs="Times New Roman"/>
        </w:rPr>
        <w:t xml:space="preserve">in the context of </w:t>
      </w:r>
      <w:r w:rsidR="00F63F3F" w:rsidRPr="00523556">
        <w:rPr>
          <w:rFonts w:ascii="Times New Roman" w:hAnsi="Times New Roman" w:cs="Times New Roman"/>
        </w:rPr>
        <w:t xml:space="preserve">financing </w:t>
      </w:r>
      <w:r w:rsidR="001F5242" w:rsidRPr="00523556">
        <w:rPr>
          <w:rFonts w:ascii="Times New Roman" w:hAnsi="Times New Roman" w:cs="Times New Roman"/>
        </w:rPr>
        <w:t>a major infrastructure project</w:t>
      </w:r>
      <w:r w:rsidR="00F63F3F" w:rsidRPr="00523556">
        <w:rPr>
          <w:rFonts w:ascii="Times New Roman" w:hAnsi="Times New Roman" w:cs="Times New Roman"/>
        </w:rPr>
        <w:t xml:space="preserve"> such as GoU’s contribution to the oil refinery, the standard gauge railway, or a major power project. </w:t>
      </w:r>
    </w:p>
    <w:p w:rsidR="00E062ED" w:rsidRPr="00523556" w:rsidRDefault="00F63F3F" w:rsidP="00364D0E">
      <w:pPr>
        <w:jc w:val="both"/>
        <w:rPr>
          <w:rFonts w:ascii="Times New Roman" w:hAnsi="Times New Roman" w:cs="Times New Roman"/>
        </w:rPr>
      </w:pPr>
      <w:r w:rsidRPr="00523556">
        <w:rPr>
          <w:rFonts w:ascii="Times New Roman" w:hAnsi="Times New Roman" w:cs="Times New Roman"/>
        </w:rPr>
        <w:t xml:space="preserve">Furthermore, it is vital that </w:t>
      </w:r>
      <w:r w:rsidR="000025B1" w:rsidRPr="00523556">
        <w:rPr>
          <w:rFonts w:ascii="Times New Roman" w:hAnsi="Times New Roman" w:cs="Times New Roman"/>
        </w:rPr>
        <w:t xml:space="preserve">the size and timing of any issue </w:t>
      </w:r>
      <w:r w:rsidR="004D3449" w:rsidRPr="00523556">
        <w:rPr>
          <w:rFonts w:ascii="Times New Roman" w:hAnsi="Times New Roman" w:cs="Times New Roman"/>
        </w:rPr>
        <w:t>be</w:t>
      </w:r>
      <w:r w:rsidR="000025B1" w:rsidRPr="00523556">
        <w:rPr>
          <w:rFonts w:ascii="Times New Roman" w:hAnsi="Times New Roman" w:cs="Times New Roman"/>
        </w:rPr>
        <w:t xml:space="preserve"> appropriate</w:t>
      </w:r>
      <w:r w:rsidR="00C56A51" w:rsidRPr="00523556">
        <w:rPr>
          <w:rFonts w:ascii="Times New Roman" w:hAnsi="Times New Roman" w:cs="Times New Roman"/>
        </w:rPr>
        <w:t xml:space="preserve">. </w:t>
      </w:r>
      <w:r w:rsidR="0092143E" w:rsidRPr="00523556">
        <w:rPr>
          <w:rFonts w:ascii="Times New Roman" w:hAnsi="Times New Roman" w:cs="Times New Roman"/>
        </w:rPr>
        <w:t xml:space="preserve">The </w:t>
      </w:r>
      <w:r w:rsidR="00C56A51" w:rsidRPr="00523556">
        <w:rPr>
          <w:rFonts w:ascii="Times New Roman" w:hAnsi="Times New Roman" w:cs="Times New Roman"/>
        </w:rPr>
        <w:t>over</w:t>
      </w:r>
      <w:r w:rsidR="0092143E" w:rsidRPr="00523556">
        <w:rPr>
          <w:rFonts w:ascii="Times New Roman" w:hAnsi="Times New Roman" w:cs="Times New Roman"/>
        </w:rPr>
        <w:t>-</w:t>
      </w:r>
      <w:r w:rsidR="00C56A51" w:rsidRPr="00523556">
        <w:rPr>
          <w:rFonts w:ascii="Times New Roman" w:hAnsi="Times New Roman" w:cs="Times New Roman"/>
        </w:rPr>
        <w:t xml:space="preserve">riding requirement is to ensure that </w:t>
      </w:r>
      <w:r w:rsidR="0092143E" w:rsidRPr="00523556">
        <w:rPr>
          <w:rFonts w:ascii="Times New Roman" w:hAnsi="Times New Roman" w:cs="Times New Roman"/>
        </w:rPr>
        <w:t xml:space="preserve">a debt sustainability analysis confirms that </w:t>
      </w:r>
      <w:r w:rsidR="00C56A51" w:rsidRPr="00523556">
        <w:rPr>
          <w:rFonts w:ascii="Times New Roman" w:hAnsi="Times New Roman" w:cs="Times New Roman"/>
        </w:rPr>
        <w:t xml:space="preserve">the size of issuance is consistent with maintaining debt sustainability. </w:t>
      </w:r>
      <w:r w:rsidR="0092143E" w:rsidRPr="00523556">
        <w:rPr>
          <w:rFonts w:ascii="Times New Roman" w:hAnsi="Times New Roman" w:cs="Times New Roman"/>
        </w:rPr>
        <w:t>Beyond this</w:t>
      </w:r>
      <w:r w:rsidR="00C56A51" w:rsidRPr="00523556">
        <w:rPr>
          <w:rFonts w:ascii="Times New Roman" w:hAnsi="Times New Roman" w:cs="Times New Roman"/>
        </w:rPr>
        <w:t>, it is necessary to ensure that</w:t>
      </w:r>
      <w:r w:rsidR="004D3449" w:rsidRPr="00523556">
        <w:rPr>
          <w:rFonts w:ascii="Times New Roman" w:hAnsi="Times New Roman" w:cs="Times New Roman"/>
        </w:rPr>
        <w:t xml:space="preserve"> the size of </w:t>
      </w:r>
      <w:r w:rsidR="0092143E" w:rsidRPr="00523556">
        <w:rPr>
          <w:rFonts w:ascii="Times New Roman" w:hAnsi="Times New Roman" w:cs="Times New Roman"/>
        </w:rPr>
        <w:t xml:space="preserve">any </w:t>
      </w:r>
      <w:r w:rsidR="004D3449" w:rsidRPr="00523556">
        <w:rPr>
          <w:rFonts w:ascii="Times New Roman" w:hAnsi="Times New Roman" w:cs="Times New Roman"/>
        </w:rPr>
        <w:t>issue</w:t>
      </w:r>
      <w:r w:rsidR="007E208E" w:rsidRPr="00523556">
        <w:rPr>
          <w:rFonts w:ascii="Times New Roman" w:hAnsi="Times New Roman" w:cs="Times New Roman"/>
        </w:rPr>
        <w:t xml:space="preserve"> </w:t>
      </w:r>
      <w:r w:rsidR="00C56A51" w:rsidRPr="00523556">
        <w:rPr>
          <w:rFonts w:ascii="Times New Roman" w:hAnsi="Times New Roman" w:cs="Times New Roman"/>
        </w:rPr>
        <w:t xml:space="preserve">does </w:t>
      </w:r>
      <w:r w:rsidR="007E208E" w:rsidRPr="00523556">
        <w:rPr>
          <w:rFonts w:ascii="Times New Roman" w:hAnsi="Times New Roman" w:cs="Times New Roman"/>
        </w:rPr>
        <w:t xml:space="preserve">not exceed that required for the intended </w:t>
      </w:r>
      <w:r w:rsidR="0092143E" w:rsidRPr="00523556">
        <w:rPr>
          <w:rFonts w:ascii="Times New Roman" w:hAnsi="Times New Roman" w:cs="Times New Roman"/>
        </w:rPr>
        <w:t>use of the proceeds</w:t>
      </w:r>
      <w:r w:rsidR="007E208E" w:rsidRPr="00523556">
        <w:rPr>
          <w:rFonts w:ascii="Times New Roman" w:hAnsi="Times New Roman" w:cs="Times New Roman"/>
        </w:rPr>
        <w:t xml:space="preserve">, and </w:t>
      </w:r>
      <w:r w:rsidR="00C56A51" w:rsidRPr="00523556">
        <w:rPr>
          <w:rFonts w:ascii="Times New Roman" w:hAnsi="Times New Roman" w:cs="Times New Roman"/>
        </w:rPr>
        <w:t xml:space="preserve">that </w:t>
      </w:r>
      <w:r w:rsidR="007E208E" w:rsidRPr="00523556">
        <w:rPr>
          <w:rFonts w:ascii="Times New Roman" w:hAnsi="Times New Roman" w:cs="Times New Roman"/>
        </w:rPr>
        <w:t xml:space="preserve">as far as feasible </w:t>
      </w:r>
      <w:r w:rsidR="0092143E" w:rsidRPr="00523556">
        <w:rPr>
          <w:rFonts w:ascii="Times New Roman" w:hAnsi="Times New Roman" w:cs="Times New Roman"/>
        </w:rPr>
        <w:t xml:space="preserve">that </w:t>
      </w:r>
      <w:r w:rsidR="00C56A51" w:rsidRPr="00523556">
        <w:rPr>
          <w:rFonts w:ascii="Times New Roman" w:hAnsi="Times New Roman" w:cs="Times New Roman"/>
        </w:rPr>
        <w:t xml:space="preserve">it </w:t>
      </w:r>
      <w:r w:rsidR="0092143E" w:rsidRPr="00523556">
        <w:rPr>
          <w:rFonts w:ascii="Times New Roman" w:hAnsi="Times New Roman" w:cs="Times New Roman"/>
        </w:rPr>
        <w:t xml:space="preserve">be </w:t>
      </w:r>
      <w:r w:rsidR="007E208E" w:rsidRPr="00523556">
        <w:rPr>
          <w:rFonts w:ascii="Times New Roman" w:hAnsi="Times New Roman" w:cs="Times New Roman"/>
        </w:rPr>
        <w:t xml:space="preserve">conducted </w:t>
      </w:r>
      <w:r w:rsidR="00CA2806" w:rsidRPr="00523556">
        <w:rPr>
          <w:rFonts w:ascii="Times New Roman" w:hAnsi="Times New Roman" w:cs="Times New Roman"/>
        </w:rPr>
        <w:t xml:space="preserve">only when </w:t>
      </w:r>
      <w:r w:rsidR="00C56A51" w:rsidRPr="00523556">
        <w:rPr>
          <w:rFonts w:ascii="Times New Roman" w:hAnsi="Times New Roman" w:cs="Times New Roman"/>
        </w:rPr>
        <w:t xml:space="preserve">government </w:t>
      </w:r>
      <w:r w:rsidR="007E208E" w:rsidRPr="00523556">
        <w:rPr>
          <w:rFonts w:ascii="Times New Roman" w:hAnsi="Times New Roman" w:cs="Times New Roman"/>
        </w:rPr>
        <w:t>is ready to put the proceeds to use</w:t>
      </w:r>
      <w:r w:rsidR="0092143E" w:rsidRPr="00523556">
        <w:rPr>
          <w:rFonts w:ascii="Times New Roman" w:hAnsi="Times New Roman" w:cs="Times New Roman"/>
        </w:rPr>
        <w:t xml:space="preserve"> – in order to avoid excess interest payments</w:t>
      </w:r>
      <w:r w:rsidRPr="00523556">
        <w:rPr>
          <w:rFonts w:ascii="Times New Roman" w:hAnsi="Times New Roman" w:cs="Times New Roman"/>
        </w:rPr>
        <w:t>.</w:t>
      </w:r>
      <w:r w:rsidR="007E208E" w:rsidRPr="00523556">
        <w:rPr>
          <w:rStyle w:val="FootnoteReference"/>
          <w:rFonts w:ascii="Times New Roman" w:hAnsi="Times New Roman" w:cs="Times New Roman"/>
        </w:rPr>
        <w:footnoteReference w:id="71"/>
      </w:r>
      <w:r w:rsidR="00842EA8" w:rsidRPr="00523556">
        <w:rPr>
          <w:rFonts w:ascii="Times New Roman" w:hAnsi="Times New Roman" w:cs="Times New Roman"/>
        </w:rPr>
        <w:t xml:space="preserve"> </w:t>
      </w:r>
      <w:r w:rsidR="00830E8B" w:rsidRPr="00523556">
        <w:rPr>
          <w:rFonts w:ascii="Times New Roman" w:hAnsi="Times New Roman" w:cs="Times New Roman"/>
        </w:rPr>
        <w:t>I</w:t>
      </w:r>
      <w:r w:rsidR="00842EA8" w:rsidRPr="00523556">
        <w:rPr>
          <w:rFonts w:ascii="Times New Roman" w:hAnsi="Times New Roman" w:cs="Times New Roman"/>
        </w:rPr>
        <w:t xml:space="preserve">t is worth noting that </w:t>
      </w:r>
      <w:r w:rsidR="00830E8B" w:rsidRPr="00523556">
        <w:rPr>
          <w:rFonts w:ascii="Times New Roman" w:hAnsi="Times New Roman" w:cs="Times New Roman"/>
        </w:rPr>
        <w:t xml:space="preserve">whilst </w:t>
      </w:r>
      <w:r w:rsidR="00AD039A" w:rsidRPr="00523556">
        <w:rPr>
          <w:rFonts w:ascii="Times New Roman" w:hAnsi="Times New Roman" w:cs="Times New Roman"/>
        </w:rPr>
        <w:t>$500 million is the minimum level required for inclusion in global emerging market bond indices</w:t>
      </w:r>
      <w:r w:rsidR="00E062ED" w:rsidRPr="00523556">
        <w:rPr>
          <w:rFonts w:ascii="Times New Roman" w:hAnsi="Times New Roman" w:cs="Times New Roman"/>
        </w:rPr>
        <w:t xml:space="preserve">, </w:t>
      </w:r>
      <w:r w:rsidR="00842EA8" w:rsidRPr="00523556">
        <w:rPr>
          <w:rFonts w:ascii="Times New Roman" w:hAnsi="Times New Roman" w:cs="Times New Roman"/>
        </w:rPr>
        <w:t xml:space="preserve">which </w:t>
      </w:r>
      <w:r w:rsidR="00AD039A" w:rsidRPr="00523556">
        <w:rPr>
          <w:rFonts w:ascii="Times New Roman" w:hAnsi="Times New Roman" w:cs="Times New Roman"/>
        </w:rPr>
        <w:t>brings with it some liquid</w:t>
      </w:r>
      <w:r w:rsidR="00830E8B" w:rsidRPr="00523556">
        <w:rPr>
          <w:rFonts w:ascii="Times New Roman" w:hAnsi="Times New Roman" w:cs="Times New Roman"/>
        </w:rPr>
        <w:t>ity (and thus pricing) benefits,</w:t>
      </w:r>
      <w:r w:rsidR="00B77535" w:rsidRPr="00523556">
        <w:rPr>
          <w:rFonts w:ascii="Times New Roman" w:hAnsi="Times New Roman" w:cs="Times New Roman"/>
        </w:rPr>
        <w:t xml:space="preserve"> this should </w:t>
      </w:r>
      <w:r w:rsidR="00B77535" w:rsidRPr="00523556">
        <w:rPr>
          <w:rFonts w:ascii="Times New Roman" w:hAnsi="Times New Roman" w:cs="Times New Roman"/>
          <w:i/>
        </w:rPr>
        <w:t>not</w:t>
      </w:r>
      <w:r w:rsidR="00B77535" w:rsidRPr="00523556">
        <w:rPr>
          <w:rFonts w:ascii="Times New Roman" w:hAnsi="Times New Roman" w:cs="Times New Roman"/>
        </w:rPr>
        <w:t xml:space="preserve"> be viewed as a ‘mandatory’ minimum</w:t>
      </w:r>
      <w:r w:rsidR="00842EA8" w:rsidRPr="00523556">
        <w:rPr>
          <w:rFonts w:ascii="Times New Roman" w:hAnsi="Times New Roman" w:cs="Times New Roman"/>
        </w:rPr>
        <w:t xml:space="preserve"> issuance size</w:t>
      </w:r>
      <w:r w:rsidR="00B77535" w:rsidRPr="00523556">
        <w:rPr>
          <w:rFonts w:ascii="Times New Roman" w:hAnsi="Times New Roman" w:cs="Times New Roman"/>
        </w:rPr>
        <w:t xml:space="preserve">; if Uganda were not ready or able to use </w:t>
      </w:r>
      <w:r w:rsidR="00842EA8" w:rsidRPr="00523556">
        <w:rPr>
          <w:rFonts w:ascii="Times New Roman" w:hAnsi="Times New Roman" w:cs="Times New Roman"/>
        </w:rPr>
        <w:t xml:space="preserve">an </w:t>
      </w:r>
      <w:r w:rsidR="00B77535" w:rsidRPr="00523556">
        <w:rPr>
          <w:rFonts w:ascii="Times New Roman" w:hAnsi="Times New Roman" w:cs="Times New Roman"/>
        </w:rPr>
        <w:t xml:space="preserve">amount </w:t>
      </w:r>
      <w:r w:rsidR="00842EA8" w:rsidRPr="00523556">
        <w:rPr>
          <w:rFonts w:ascii="Times New Roman" w:hAnsi="Times New Roman" w:cs="Times New Roman"/>
        </w:rPr>
        <w:t xml:space="preserve">of this size </w:t>
      </w:r>
      <w:r w:rsidR="00B77535" w:rsidRPr="00523556">
        <w:rPr>
          <w:rFonts w:ascii="Times New Roman" w:hAnsi="Times New Roman" w:cs="Times New Roman"/>
        </w:rPr>
        <w:t>effectively then any liquidity benefit would likely be more than offset by the unnecessary additional interest payments</w:t>
      </w:r>
      <w:r w:rsidR="00A4208C" w:rsidRPr="00523556">
        <w:rPr>
          <w:rFonts w:ascii="Times New Roman" w:hAnsi="Times New Roman" w:cs="Times New Roman"/>
        </w:rPr>
        <w:t xml:space="preserve">. Furthermore, </w:t>
      </w:r>
      <w:r w:rsidR="00842EA8" w:rsidRPr="00523556">
        <w:rPr>
          <w:rFonts w:ascii="Times New Roman" w:hAnsi="Times New Roman" w:cs="Times New Roman"/>
        </w:rPr>
        <w:t>it is not necessary for an issue to be of this size to be successful – as illustrated</w:t>
      </w:r>
      <w:r w:rsidR="00830E8B" w:rsidRPr="00523556">
        <w:rPr>
          <w:rFonts w:ascii="Times New Roman" w:hAnsi="Times New Roman" w:cs="Times New Roman"/>
        </w:rPr>
        <w:t xml:space="preserve"> for example</w:t>
      </w:r>
      <w:r w:rsidR="00842EA8" w:rsidRPr="00523556">
        <w:rPr>
          <w:rFonts w:ascii="Times New Roman" w:hAnsi="Times New Roman" w:cs="Times New Roman"/>
        </w:rPr>
        <w:t xml:space="preserve"> by </w:t>
      </w:r>
      <w:r w:rsidR="00B77535" w:rsidRPr="00523556">
        <w:rPr>
          <w:rFonts w:ascii="Times New Roman" w:hAnsi="Times New Roman" w:cs="Times New Roman"/>
        </w:rPr>
        <w:t xml:space="preserve">Rwanda’s $400 million </w:t>
      </w:r>
      <w:r w:rsidR="00842EA8" w:rsidRPr="00523556">
        <w:rPr>
          <w:rFonts w:ascii="Times New Roman" w:hAnsi="Times New Roman" w:cs="Times New Roman"/>
        </w:rPr>
        <w:t>Eurobond issue in May 2013.</w:t>
      </w:r>
      <w:r w:rsidR="00842EA8" w:rsidRPr="00523556">
        <w:rPr>
          <w:rStyle w:val="FootnoteReference"/>
          <w:rFonts w:ascii="Times New Roman" w:hAnsi="Times New Roman" w:cs="Times New Roman"/>
        </w:rPr>
        <w:footnoteReference w:id="72"/>
      </w:r>
      <w:r w:rsidR="00B77535" w:rsidRPr="00523556">
        <w:rPr>
          <w:rFonts w:ascii="Times New Roman" w:hAnsi="Times New Roman" w:cs="Times New Roman"/>
        </w:rPr>
        <w:t xml:space="preserve"> </w:t>
      </w:r>
    </w:p>
    <w:p w:rsidR="00293777" w:rsidRPr="00523556" w:rsidRDefault="00A9114E" w:rsidP="00783109">
      <w:pPr>
        <w:jc w:val="both"/>
        <w:rPr>
          <w:rFonts w:ascii="Times New Roman" w:hAnsi="Times New Roman" w:cs="Times New Roman"/>
        </w:rPr>
      </w:pPr>
      <w:r w:rsidRPr="00523556">
        <w:rPr>
          <w:rFonts w:ascii="Times New Roman" w:hAnsi="Times New Roman" w:cs="Times New Roman"/>
        </w:rPr>
        <w:t>W</w:t>
      </w:r>
      <w:r w:rsidR="006E418E" w:rsidRPr="00523556">
        <w:rPr>
          <w:rFonts w:ascii="Times New Roman" w:hAnsi="Times New Roman" w:cs="Times New Roman"/>
        </w:rPr>
        <w:t xml:space="preserve">hilst broader internal organisational and institutional issues for debt management are discussed further in Section </w:t>
      </w:r>
      <w:r w:rsidR="00C8239E" w:rsidRPr="00523556">
        <w:rPr>
          <w:rFonts w:ascii="Times New Roman" w:hAnsi="Times New Roman" w:cs="Times New Roman"/>
        </w:rPr>
        <w:t>3</w:t>
      </w:r>
      <w:r w:rsidR="006E418E" w:rsidRPr="00523556">
        <w:rPr>
          <w:rFonts w:ascii="Times New Roman" w:hAnsi="Times New Roman" w:cs="Times New Roman"/>
        </w:rPr>
        <w:t xml:space="preserve">, there are some factors which are particularly pertinent to the </w:t>
      </w:r>
      <w:r w:rsidR="002925F3" w:rsidRPr="00523556">
        <w:rPr>
          <w:rFonts w:ascii="Times New Roman" w:hAnsi="Times New Roman" w:cs="Times New Roman"/>
        </w:rPr>
        <w:t xml:space="preserve">consideration </w:t>
      </w:r>
      <w:r w:rsidR="006E418E" w:rsidRPr="00523556">
        <w:rPr>
          <w:rFonts w:ascii="Times New Roman" w:hAnsi="Times New Roman" w:cs="Times New Roman"/>
        </w:rPr>
        <w:t xml:space="preserve">of Eurobonds. </w:t>
      </w:r>
      <w:r w:rsidR="002925F3" w:rsidRPr="00523556">
        <w:rPr>
          <w:rFonts w:ascii="Times New Roman" w:hAnsi="Times New Roman" w:cs="Times New Roman"/>
        </w:rPr>
        <w:t xml:space="preserve">Eurobond issuance </w:t>
      </w:r>
      <w:r w:rsidR="00EE425C" w:rsidRPr="00523556">
        <w:rPr>
          <w:rFonts w:ascii="Times New Roman" w:hAnsi="Times New Roman" w:cs="Times New Roman"/>
        </w:rPr>
        <w:t>would generate</w:t>
      </w:r>
      <w:r w:rsidR="002925F3" w:rsidRPr="00523556">
        <w:rPr>
          <w:rFonts w:ascii="Times New Roman" w:hAnsi="Times New Roman" w:cs="Times New Roman"/>
        </w:rPr>
        <w:t xml:space="preserve"> exposure to a variety of market and refinancing risks which </w:t>
      </w:r>
      <w:r w:rsidR="00EE425C" w:rsidRPr="00523556">
        <w:rPr>
          <w:rFonts w:ascii="Times New Roman" w:hAnsi="Times New Roman" w:cs="Times New Roman"/>
        </w:rPr>
        <w:t xml:space="preserve">would </w:t>
      </w:r>
      <w:r w:rsidR="002925F3" w:rsidRPr="00523556">
        <w:rPr>
          <w:rFonts w:ascii="Times New Roman" w:hAnsi="Times New Roman" w:cs="Times New Roman"/>
        </w:rPr>
        <w:t>need to be carefully managed. To best manage</w:t>
      </w:r>
      <w:r w:rsidR="008B5B4E" w:rsidRPr="00523556">
        <w:rPr>
          <w:rFonts w:ascii="Times New Roman" w:hAnsi="Times New Roman" w:cs="Times New Roman"/>
        </w:rPr>
        <w:t xml:space="preserve"> the</w:t>
      </w:r>
      <w:r w:rsidR="00EE425C" w:rsidRPr="00523556">
        <w:rPr>
          <w:rFonts w:ascii="Times New Roman" w:hAnsi="Times New Roman" w:cs="Times New Roman"/>
        </w:rPr>
        <w:t>se risks</w:t>
      </w:r>
      <w:r w:rsidRPr="00523556">
        <w:rPr>
          <w:rFonts w:ascii="Times New Roman" w:hAnsi="Times New Roman" w:cs="Times New Roman"/>
        </w:rPr>
        <w:t>,</w:t>
      </w:r>
      <w:r w:rsidR="00EE425C" w:rsidRPr="00523556">
        <w:rPr>
          <w:rFonts w:ascii="Times New Roman" w:hAnsi="Times New Roman" w:cs="Times New Roman"/>
        </w:rPr>
        <w:t xml:space="preserve"> </w:t>
      </w:r>
      <w:r w:rsidR="002925F3" w:rsidRPr="00523556">
        <w:rPr>
          <w:rFonts w:ascii="Times New Roman" w:hAnsi="Times New Roman" w:cs="Times New Roman"/>
        </w:rPr>
        <w:t xml:space="preserve">it would be crucial to ensure that any issuance </w:t>
      </w:r>
      <w:r w:rsidRPr="00523556">
        <w:rPr>
          <w:rFonts w:ascii="Times New Roman" w:hAnsi="Times New Roman" w:cs="Times New Roman"/>
        </w:rPr>
        <w:t>be</w:t>
      </w:r>
      <w:r w:rsidR="002925F3" w:rsidRPr="00523556">
        <w:rPr>
          <w:rFonts w:ascii="Times New Roman" w:hAnsi="Times New Roman" w:cs="Times New Roman"/>
        </w:rPr>
        <w:t xml:space="preserve"> conduct</w:t>
      </w:r>
      <w:r w:rsidR="008B5B4E" w:rsidRPr="00523556">
        <w:rPr>
          <w:rFonts w:ascii="Times New Roman" w:hAnsi="Times New Roman" w:cs="Times New Roman"/>
        </w:rPr>
        <w:t>ed</w:t>
      </w:r>
      <w:r w:rsidR="002925F3" w:rsidRPr="00523556">
        <w:rPr>
          <w:rFonts w:ascii="Times New Roman" w:hAnsi="Times New Roman" w:cs="Times New Roman"/>
        </w:rPr>
        <w:t xml:space="preserve"> </w:t>
      </w:r>
      <w:r w:rsidR="008B5B4E" w:rsidRPr="00523556">
        <w:rPr>
          <w:rFonts w:ascii="Times New Roman" w:hAnsi="Times New Roman" w:cs="Times New Roman"/>
        </w:rPr>
        <w:t xml:space="preserve">only as part of </w:t>
      </w:r>
      <w:r w:rsidR="002925F3" w:rsidRPr="00523556">
        <w:rPr>
          <w:rFonts w:ascii="Times New Roman" w:hAnsi="Times New Roman" w:cs="Times New Roman"/>
        </w:rPr>
        <w:t xml:space="preserve">a clear </w:t>
      </w:r>
      <w:r w:rsidR="008B5B4E" w:rsidRPr="00523556">
        <w:rPr>
          <w:rFonts w:ascii="Times New Roman" w:hAnsi="Times New Roman" w:cs="Times New Roman"/>
        </w:rPr>
        <w:t>fiscal strategy</w:t>
      </w:r>
      <w:r w:rsidR="004354A1" w:rsidRPr="00523556">
        <w:rPr>
          <w:rFonts w:ascii="Times New Roman" w:hAnsi="Times New Roman" w:cs="Times New Roman"/>
        </w:rPr>
        <w:t xml:space="preserve"> that credibly safeguards fiscal sustainability</w:t>
      </w:r>
      <w:r w:rsidR="008B5B4E" w:rsidRPr="00523556">
        <w:rPr>
          <w:rFonts w:ascii="Times New Roman" w:hAnsi="Times New Roman" w:cs="Times New Roman"/>
        </w:rPr>
        <w:t xml:space="preserve">, a comprehensive debt </w:t>
      </w:r>
      <w:r w:rsidR="008B5B4E" w:rsidRPr="00523556">
        <w:rPr>
          <w:rFonts w:ascii="Times New Roman" w:hAnsi="Times New Roman" w:cs="Times New Roman"/>
        </w:rPr>
        <w:lastRenderedPageBreak/>
        <w:t xml:space="preserve">management strategy, and sufficient </w:t>
      </w:r>
      <w:r w:rsidR="00EE425C" w:rsidRPr="00523556">
        <w:rPr>
          <w:rFonts w:ascii="Times New Roman" w:hAnsi="Times New Roman" w:cs="Times New Roman"/>
        </w:rPr>
        <w:t xml:space="preserve">institutional </w:t>
      </w:r>
      <w:r w:rsidR="008B5B4E" w:rsidRPr="00523556">
        <w:rPr>
          <w:rFonts w:ascii="Times New Roman" w:hAnsi="Times New Roman" w:cs="Times New Roman"/>
        </w:rPr>
        <w:t>debt management capacity</w:t>
      </w:r>
      <w:r w:rsidR="002E4A6E" w:rsidRPr="00523556">
        <w:rPr>
          <w:rFonts w:ascii="Times New Roman" w:hAnsi="Times New Roman" w:cs="Times New Roman"/>
        </w:rPr>
        <w:t xml:space="preserve"> (including the relevant hiring and training of personnel</w:t>
      </w:r>
      <w:r w:rsidR="002133C0" w:rsidRPr="00523556">
        <w:rPr>
          <w:rFonts w:ascii="Times New Roman" w:hAnsi="Times New Roman" w:cs="Times New Roman"/>
        </w:rPr>
        <w:t xml:space="preserve"> within a dedicated Debt Management Office</w:t>
      </w:r>
      <w:r w:rsidR="00B97864" w:rsidRPr="00523556">
        <w:rPr>
          <w:rFonts w:ascii="Times New Roman" w:hAnsi="Times New Roman" w:cs="Times New Roman"/>
        </w:rPr>
        <w:t>, to monitor and manage risks</w:t>
      </w:r>
      <w:r w:rsidR="002E4A6E" w:rsidRPr="00523556">
        <w:rPr>
          <w:rFonts w:ascii="Times New Roman" w:hAnsi="Times New Roman" w:cs="Times New Roman"/>
        </w:rPr>
        <w:t>)</w:t>
      </w:r>
      <w:r w:rsidR="008B5B4E" w:rsidRPr="00523556">
        <w:rPr>
          <w:rFonts w:ascii="Times New Roman" w:hAnsi="Times New Roman" w:cs="Times New Roman"/>
        </w:rPr>
        <w:t>.</w:t>
      </w:r>
      <w:r w:rsidR="002925F3" w:rsidRPr="00523556">
        <w:rPr>
          <w:rFonts w:ascii="Times New Roman" w:hAnsi="Times New Roman" w:cs="Times New Roman"/>
        </w:rPr>
        <w:t xml:space="preserve"> </w:t>
      </w:r>
      <w:r w:rsidR="00D932D1" w:rsidRPr="00523556">
        <w:rPr>
          <w:rFonts w:ascii="Times New Roman" w:hAnsi="Times New Roman" w:cs="Times New Roman"/>
        </w:rPr>
        <w:t xml:space="preserve">The active communication to the market of such plans and associated actions would also take on elevated importance, </w:t>
      </w:r>
      <w:r w:rsidR="00E062ED" w:rsidRPr="00523556">
        <w:rPr>
          <w:rFonts w:ascii="Times New Roman" w:hAnsi="Times New Roman" w:cs="Times New Roman"/>
        </w:rPr>
        <w:t xml:space="preserve">as part of efforts </w:t>
      </w:r>
      <w:r w:rsidR="00D932D1" w:rsidRPr="00523556">
        <w:rPr>
          <w:rFonts w:ascii="Times New Roman" w:hAnsi="Times New Roman" w:cs="Times New Roman"/>
        </w:rPr>
        <w:t xml:space="preserve">to </w:t>
      </w:r>
      <w:r w:rsidR="00D93FF5" w:rsidRPr="00523556">
        <w:rPr>
          <w:rFonts w:ascii="Times New Roman" w:hAnsi="Times New Roman" w:cs="Times New Roman"/>
        </w:rPr>
        <w:t xml:space="preserve">influence </w:t>
      </w:r>
      <w:r w:rsidR="00D932D1" w:rsidRPr="00523556">
        <w:rPr>
          <w:rFonts w:ascii="Times New Roman" w:hAnsi="Times New Roman" w:cs="Times New Roman"/>
        </w:rPr>
        <w:t xml:space="preserve">market sentiment. </w:t>
      </w:r>
    </w:p>
    <w:p w:rsidR="00D932D1" w:rsidRPr="00523556" w:rsidRDefault="00A9114E" w:rsidP="00783109">
      <w:pPr>
        <w:jc w:val="both"/>
        <w:rPr>
          <w:rFonts w:ascii="Times New Roman" w:hAnsi="Times New Roman" w:cs="Times New Roman"/>
        </w:rPr>
      </w:pPr>
      <w:r w:rsidRPr="00523556">
        <w:rPr>
          <w:rFonts w:ascii="Times New Roman" w:hAnsi="Times New Roman" w:cs="Times New Roman"/>
        </w:rPr>
        <w:t xml:space="preserve">On </w:t>
      </w:r>
      <w:r w:rsidR="00B82F3A" w:rsidRPr="00523556">
        <w:rPr>
          <w:rFonts w:ascii="Times New Roman" w:hAnsi="Times New Roman" w:cs="Times New Roman"/>
        </w:rPr>
        <w:t>practical</w:t>
      </w:r>
      <w:r w:rsidRPr="00523556">
        <w:rPr>
          <w:rFonts w:ascii="Times New Roman" w:hAnsi="Times New Roman" w:cs="Times New Roman"/>
        </w:rPr>
        <w:t xml:space="preserve"> matters, a key step in the issuance process would be the </w:t>
      </w:r>
      <w:r w:rsidR="00B82F3A" w:rsidRPr="00523556">
        <w:rPr>
          <w:rFonts w:ascii="Times New Roman" w:hAnsi="Times New Roman" w:cs="Times New Roman"/>
        </w:rPr>
        <w:t xml:space="preserve">early, </w:t>
      </w:r>
      <w:r w:rsidRPr="00523556">
        <w:rPr>
          <w:rFonts w:ascii="Times New Roman" w:hAnsi="Times New Roman" w:cs="Times New Roman"/>
        </w:rPr>
        <w:t>competitive selection by government of its legal counsel and lead managers – who it would be vital to ensure have considerable prior experience in advising on debut SSA Eurobond issues.</w:t>
      </w:r>
      <w:r w:rsidR="00B82F3A" w:rsidRPr="00523556">
        <w:rPr>
          <w:rStyle w:val="FootnoteReference"/>
          <w:rFonts w:ascii="Times New Roman" w:hAnsi="Times New Roman" w:cs="Times New Roman"/>
        </w:rPr>
        <w:footnoteReference w:id="73"/>
      </w:r>
    </w:p>
    <w:p w:rsidR="00783109" w:rsidRPr="00523556" w:rsidRDefault="00CD4D23" w:rsidP="00783109">
      <w:pPr>
        <w:jc w:val="both"/>
        <w:rPr>
          <w:rFonts w:ascii="Times New Roman" w:hAnsi="Times New Roman" w:cs="Times New Roman"/>
        </w:rPr>
      </w:pPr>
      <w:r w:rsidRPr="00523556">
        <w:rPr>
          <w:rFonts w:ascii="Times New Roman" w:hAnsi="Times New Roman" w:cs="Times New Roman"/>
        </w:rPr>
        <w:t xml:space="preserve">Overall, </w:t>
      </w:r>
      <w:r w:rsidR="00783109" w:rsidRPr="00523556">
        <w:rPr>
          <w:rFonts w:ascii="Times New Roman" w:hAnsi="Times New Roman" w:cs="Times New Roman"/>
        </w:rPr>
        <w:t xml:space="preserve">recent SSA Eurobond issues show that there is considerable global investor interest in SSA debt. There is good reason to believe that Uganda </w:t>
      </w:r>
      <w:r w:rsidR="00942EB5" w:rsidRPr="00523556">
        <w:rPr>
          <w:rFonts w:ascii="Times New Roman" w:hAnsi="Times New Roman" w:cs="Times New Roman"/>
        </w:rPr>
        <w:t>c</w:t>
      </w:r>
      <w:r w:rsidR="00783109" w:rsidRPr="00523556">
        <w:rPr>
          <w:rFonts w:ascii="Times New Roman" w:hAnsi="Times New Roman" w:cs="Times New Roman"/>
        </w:rPr>
        <w:t xml:space="preserve">ould </w:t>
      </w:r>
      <w:r w:rsidR="00942EB5" w:rsidRPr="00523556">
        <w:rPr>
          <w:rFonts w:ascii="Times New Roman" w:hAnsi="Times New Roman" w:cs="Times New Roman"/>
        </w:rPr>
        <w:t>successfully issue</w:t>
      </w:r>
      <w:r w:rsidR="00783109" w:rsidRPr="00523556">
        <w:rPr>
          <w:rFonts w:ascii="Times New Roman" w:hAnsi="Times New Roman" w:cs="Times New Roman"/>
        </w:rPr>
        <w:t xml:space="preserve"> a Eurobond</w:t>
      </w:r>
      <w:r w:rsidR="005C4CB4" w:rsidRPr="00523556">
        <w:rPr>
          <w:rFonts w:ascii="Times New Roman" w:hAnsi="Times New Roman" w:cs="Times New Roman"/>
        </w:rPr>
        <w:t xml:space="preserve"> in the near future</w:t>
      </w:r>
      <w:r w:rsidR="00783109" w:rsidRPr="00523556">
        <w:rPr>
          <w:rFonts w:ascii="Times New Roman" w:hAnsi="Times New Roman" w:cs="Times New Roman"/>
        </w:rPr>
        <w:t xml:space="preserve">, if it so wished. Whilst global interest rates have risen in the past few months, they remain at levels which are below those prior to the 2007 financial crisis and are still close to historic lows. Issuing a Eurobond could bring a number of benefits, including creating access to a much wider pool of capital for financing much-needed infrastructure projects, </w:t>
      </w:r>
      <w:r w:rsidR="005F1261" w:rsidRPr="00523556">
        <w:rPr>
          <w:rFonts w:ascii="Times New Roman" w:hAnsi="Times New Roman" w:cs="Times New Roman"/>
        </w:rPr>
        <w:t>and</w:t>
      </w:r>
      <w:r w:rsidR="00783109" w:rsidRPr="00523556">
        <w:rPr>
          <w:rFonts w:ascii="Times New Roman" w:hAnsi="Times New Roman" w:cs="Times New Roman"/>
        </w:rPr>
        <w:t xml:space="preserve"> relieving pressure for debt issuance in the domestic market.</w:t>
      </w:r>
      <w:r w:rsidR="005C4CB4" w:rsidRPr="00523556">
        <w:rPr>
          <w:rFonts w:ascii="Times New Roman" w:hAnsi="Times New Roman" w:cs="Times New Roman"/>
        </w:rPr>
        <w:t xml:space="preserve"> </w:t>
      </w:r>
      <w:r w:rsidR="00783109" w:rsidRPr="00523556">
        <w:rPr>
          <w:rFonts w:ascii="Times New Roman" w:hAnsi="Times New Roman" w:cs="Times New Roman"/>
        </w:rPr>
        <w:t xml:space="preserve">However, </w:t>
      </w:r>
      <w:r w:rsidR="00942EB5" w:rsidRPr="00523556">
        <w:rPr>
          <w:rFonts w:ascii="Times New Roman" w:hAnsi="Times New Roman" w:cs="Times New Roman"/>
        </w:rPr>
        <w:t xml:space="preserve">it would be significantly more expensive than traditional concessional borrowing (and most semi-concessional financing options), and </w:t>
      </w:r>
      <w:r w:rsidR="008A7FC8" w:rsidRPr="00523556">
        <w:rPr>
          <w:rFonts w:ascii="Times New Roman" w:hAnsi="Times New Roman" w:cs="Times New Roman"/>
        </w:rPr>
        <w:t xml:space="preserve">would </w:t>
      </w:r>
      <w:r w:rsidR="00942EB5" w:rsidRPr="00523556">
        <w:rPr>
          <w:rFonts w:ascii="Times New Roman" w:hAnsi="Times New Roman" w:cs="Times New Roman"/>
        </w:rPr>
        <w:t xml:space="preserve">introduce exposure to a range of </w:t>
      </w:r>
      <w:r w:rsidR="006112E8" w:rsidRPr="00523556">
        <w:rPr>
          <w:rFonts w:ascii="Times New Roman" w:hAnsi="Times New Roman" w:cs="Times New Roman"/>
        </w:rPr>
        <w:t>new risks</w:t>
      </w:r>
      <w:r w:rsidR="00942EB5" w:rsidRPr="00523556">
        <w:rPr>
          <w:rFonts w:ascii="Times New Roman" w:hAnsi="Times New Roman" w:cs="Times New Roman"/>
        </w:rPr>
        <w:t xml:space="preserve">. The merits of recourse to Eurobond issuance, as compared to other financing options, is discussed in </w:t>
      </w:r>
      <w:r w:rsidR="00C8239E" w:rsidRPr="00523556">
        <w:rPr>
          <w:rFonts w:ascii="Times New Roman" w:hAnsi="Times New Roman" w:cs="Times New Roman"/>
        </w:rPr>
        <w:t>Section 3</w:t>
      </w:r>
      <w:r w:rsidR="00942EB5" w:rsidRPr="00523556">
        <w:rPr>
          <w:rFonts w:ascii="Times New Roman" w:hAnsi="Times New Roman" w:cs="Times New Roman"/>
        </w:rPr>
        <w:t>.</w:t>
      </w:r>
      <w:r w:rsidR="00783109" w:rsidRPr="00523556">
        <w:rPr>
          <w:rFonts w:ascii="Times New Roman" w:hAnsi="Times New Roman" w:cs="Times New Roman"/>
        </w:rPr>
        <w:t xml:space="preserve"> </w:t>
      </w:r>
    </w:p>
    <w:p w:rsidR="00A61071" w:rsidRPr="00523556" w:rsidRDefault="00A61071" w:rsidP="00A61071">
      <w:pPr>
        <w:pStyle w:val="Heading2"/>
        <w:rPr>
          <w:rFonts w:ascii="Times New Roman" w:hAnsi="Times New Roman" w:cs="Times New Roman"/>
        </w:rPr>
      </w:pPr>
      <w:bookmarkStart w:id="10" w:name="_Toc383757441"/>
      <w:r w:rsidRPr="00523556">
        <w:rPr>
          <w:rFonts w:ascii="Times New Roman" w:hAnsi="Times New Roman" w:cs="Times New Roman"/>
        </w:rPr>
        <w:t>2.4 Concessional external borrowing</w:t>
      </w:r>
      <w:bookmarkEnd w:id="10"/>
    </w:p>
    <w:p w:rsidR="007102FC" w:rsidRPr="00523556" w:rsidRDefault="00F45ED6" w:rsidP="00A61071">
      <w:pPr>
        <w:jc w:val="both"/>
        <w:rPr>
          <w:rFonts w:ascii="Times New Roman" w:hAnsi="Times New Roman" w:cs="Times New Roman"/>
        </w:rPr>
      </w:pPr>
      <w:r w:rsidRPr="00523556">
        <w:rPr>
          <w:rFonts w:ascii="Times New Roman" w:hAnsi="Times New Roman" w:cs="Times New Roman"/>
        </w:rPr>
        <w:t>T</w:t>
      </w:r>
      <w:r w:rsidR="00FD3BAE" w:rsidRPr="00523556">
        <w:rPr>
          <w:rFonts w:ascii="Times New Roman" w:hAnsi="Times New Roman" w:cs="Times New Roman"/>
        </w:rPr>
        <w:t xml:space="preserve">his paper defines concessional external </w:t>
      </w:r>
      <w:r w:rsidR="00753854" w:rsidRPr="00523556">
        <w:rPr>
          <w:rFonts w:ascii="Times New Roman" w:hAnsi="Times New Roman" w:cs="Times New Roman"/>
        </w:rPr>
        <w:t xml:space="preserve">loans as those with a grant element of </w:t>
      </w:r>
      <w:r w:rsidR="00193E0D" w:rsidRPr="00523556">
        <w:rPr>
          <w:rFonts w:ascii="Times New Roman" w:hAnsi="Times New Roman" w:cs="Times New Roman"/>
        </w:rPr>
        <w:t>greater than</w:t>
      </w:r>
      <w:r w:rsidR="001A130F" w:rsidRPr="00523556">
        <w:rPr>
          <w:rFonts w:ascii="Times New Roman" w:hAnsi="Times New Roman" w:cs="Times New Roman"/>
        </w:rPr>
        <w:t xml:space="preserve"> or equal to</w:t>
      </w:r>
      <w:r w:rsidR="00193E0D" w:rsidRPr="00523556">
        <w:rPr>
          <w:rFonts w:ascii="Times New Roman" w:hAnsi="Times New Roman" w:cs="Times New Roman"/>
        </w:rPr>
        <w:t xml:space="preserve"> </w:t>
      </w:r>
      <w:r w:rsidR="00753854" w:rsidRPr="00523556">
        <w:rPr>
          <w:rFonts w:ascii="Times New Roman" w:hAnsi="Times New Roman" w:cs="Times New Roman"/>
        </w:rPr>
        <w:t>35</w:t>
      </w:r>
      <w:r w:rsidR="00E557B8" w:rsidRPr="00523556">
        <w:rPr>
          <w:rFonts w:ascii="Times New Roman" w:hAnsi="Times New Roman" w:cs="Times New Roman"/>
        </w:rPr>
        <w:t xml:space="preserve"> per cent</w:t>
      </w:r>
      <w:r w:rsidR="005C6BEF" w:rsidRPr="00523556">
        <w:rPr>
          <w:rFonts w:ascii="Times New Roman" w:hAnsi="Times New Roman" w:cs="Times New Roman"/>
        </w:rPr>
        <w:t xml:space="preserve"> </w:t>
      </w:r>
      <w:r w:rsidRPr="00523556">
        <w:rPr>
          <w:rFonts w:ascii="Times New Roman" w:hAnsi="Times New Roman" w:cs="Times New Roman"/>
        </w:rPr>
        <w:t>(in line with standard international practice)</w:t>
      </w:r>
      <w:r w:rsidR="009267C8" w:rsidRPr="00523556">
        <w:rPr>
          <w:rStyle w:val="FootnoteReference"/>
          <w:rFonts w:ascii="Times New Roman" w:hAnsi="Times New Roman" w:cs="Times New Roman"/>
        </w:rPr>
        <w:footnoteReference w:id="74"/>
      </w:r>
      <w:r w:rsidRPr="00523556">
        <w:rPr>
          <w:rFonts w:ascii="Times New Roman" w:hAnsi="Times New Roman" w:cs="Times New Roman"/>
        </w:rPr>
        <w:t xml:space="preserve"> </w:t>
      </w:r>
      <w:r w:rsidR="009C3D95" w:rsidRPr="00523556">
        <w:rPr>
          <w:rFonts w:ascii="Times New Roman" w:hAnsi="Times New Roman" w:cs="Times New Roman"/>
        </w:rPr>
        <w:t xml:space="preserve">– </w:t>
      </w:r>
      <w:r w:rsidR="00753854" w:rsidRPr="00523556">
        <w:rPr>
          <w:rFonts w:ascii="Times New Roman" w:hAnsi="Times New Roman" w:cs="Times New Roman"/>
        </w:rPr>
        <w:t>as</w:t>
      </w:r>
      <w:r w:rsidR="009C3D95" w:rsidRPr="00523556">
        <w:rPr>
          <w:rFonts w:ascii="Times New Roman" w:hAnsi="Times New Roman" w:cs="Times New Roman"/>
        </w:rPr>
        <w:t xml:space="preserve"> </w:t>
      </w:r>
      <w:r w:rsidR="00193E0D" w:rsidRPr="00523556">
        <w:rPr>
          <w:rFonts w:ascii="Times New Roman" w:hAnsi="Times New Roman" w:cs="Times New Roman"/>
        </w:rPr>
        <w:t>has been the case to date for the vast majority of Uganda’s bilateral and multilateral borrowing</w:t>
      </w:r>
      <w:r w:rsidR="00753854" w:rsidRPr="00523556">
        <w:rPr>
          <w:rFonts w:ascii="Times New Roman" w:hAnsi="Times New Roman" w:cs="Times New Roman"/>
        </w:rPr>
        <w:t xml:space="preserve">. </w:t>
      </w:r>
    </w:p>
    <w:p w:rsidR="00A61071" w:rsidRPr="00523556" w:rsidRDefault="00F45ED6" w:rsidP="00A61071">
      <w:pPr>
        <w:jc w:val="both"/>
        <w:rPr>
          <w:rFonts w:ascii="Times New Roman" w:hAnsi="Times New Roman" w:cs="Times New Roman"/>
        </w:rPr>
      </w:pPr>
      <w:r w:rsidRPr="00523556">
        <w:rPr>
          <w:rFonts w:ascii="Times New Roman" w:hAnsi="Times New Roman" w:cs="Times New Roman"/>
        </w:rPr>
        <w:t>T</w:t>
      </w:r>
      <w:r w:rsidR="00A61071" w:rsidRPr="00523556">
        <w:rPr>
          <w:rFonts w:ascii="Times New Roman" w:hAnsi="Times New Roman" w:cs="Times New Roman"/>
        </w:rPr>
        <w:t xml:space="preserve">he relative contribution of </w:t>
      </w:r>
      <w:r w:rsidR="00486BB8" w:rsidRPr="00523556">
        <w:rPr>
          <w:rFonts w:ascii="Times New Roman" w:hAnsi="Times New Roman" w:cs="Times New Roman"/>
        </w:rPr>
        <w:t>concessional financing</w:t>
      </w:r>
      <w:r w:rsidR="00A61071" w:rsidRPr="00523556">
        <w:rPr>
          <w:rFonts w:ascii="Times New Roman" w:hAnsi="Times New Roman" w:cs="Times New Roman"/>
        </w:rPr>
        <w:t xml:space="preserve"> </w:t>
      </w:r>
      <w:r w:rsidRPr="00523556">
        <w:rPr>
          <w:rFonts w:ascii="Times New Roman" w:hAnsi="Times New Roman" w:cs="Times New Roman"/>
        </w:rPr>
        <w:t xml:space="preserve">to Uganda’s budget </w:t>
      </w:r>
      <w:r w:rsidR="00A61071" w:rsidRPr="00523556">
        <w:rPr>
          <w:rFonts w:ascii="Times New Roman" w:hAnsi="Times New Roman" w:cs="Times New Roman"/>
        </w:rPr>
        <w:t>looks set to decline</w:t>
      </w:r>
      <w:r w:rsidRPr="00523556">
        <w:rPr>
          <w:rFonts w:ascii="Times New Roman" w:hAnsi="Times New Roman" w:cs="Times New Roman"/>
        </w:rPr>
        <w:t xml:space="preserve"> – reflecting continued robust GDP growth in Uganda and fiscal conditions in donor countries</w:t>
      </w:r>
      <w:r w:rsidR="00486BB8" w:rsidRPr="00523556">
        <w:rPr>
          <w:rFonts w:ascii="Times New Roman" w:hAnsi="Times New Roman" w:cs="Times New Roman"/>
        </w:rPr>
        <w:t>.</w:t>
      </w:r>
      <w:r w:rsidR="00D52325" w:rsidRPr="00523556">
        <w:rPr>
          <w:rFonts w:ascii="Times New Roman" w:hAnsi="Times New Roman" w:cs="Times New Roman"/>
        </w:rPr>
        <w:t xml:space="preserve"> MoFPED (2013c) projects that net concessional financing will decline as </w:t>
      </w:r>
      <w:r w:rsidR="00486BB8" w:rsidRPr="00523556">
        <w:rPr>
          <w:rFonts w:ascii="Times New Roman" w:hAnsi="Times New Roman" w:cs="Times New Roman"/>
        </w:rPr>
        <w:t xml:space="preserve">a </w:t>
      </w:r>
      <w:r w:rsidR="00D52325" w:rsidRPr="00523556">
        <w:rPr>
          <w:rFonts w:ascii="Times New Roman" w:hAnsi="Times New Roman" w:cs="Times New Roman"/>
        </w:rPr>
        <w:t xml:space="preserve">ratio to GDP </w:t>
      </w:r>
      <w:r w:rsidR="00A61071" w:rsidRPr="00523556">
        <w:rPr>
          <w:rFonts w:ascii="Times New Roman" w:hAnsi="Times New Roman" w:cs="Times New Roman"/>
        </w:rPr>
        <w:t>from 2.4</w:t>
      </w:r>
      <w:r w:rsidR="00E557B8" w:rsidRPr="00523556">
        <w:rPr>
          <w:rFonts w:ascii="Times New Roman" w:hAnsi="Times New Roman" w:cs="Times New Roman"/>
        </w:rPr>
        <w:t xml:space="preserve"> per cent</w:t>
      </w:r>
      <w:r w:rsidR="00A61071" w:rsidRPr="00523556">
        <w:rPr>
          <w:rFonts w:ascii="Times New Roman" w:hAnsi="Times New Roman" w:cs="Times New Roman"/>
        </w:rPr>
        <w:t xml:space="preserve"> of GDP in FY12/13, to just 1.2</w:t>
      </w:r>
      <w:r w:rsidR="00E557B8" w:rsidRPr="00523556">
        <w:rPr>
          <w:rFonts w:ascii="Times New Roman" w:hAnsi="Times New Roman" w:cs="Times New Roman"/>
        </w:rPr>
        <w:t xml:space="preserve"> per cent</w:t>
      </w:r>
      <w:r w:rsidR="00A61071" w:rsidRPr="00523556">
        <w:rPr>
          <w:rFonts w:ascii="Times New Roman" w:hAnsi="Times New Roman" w:cs="Times New Roman"/>
        </w:rPr>
        <w:t xml:space="preserve"> of GDP by FY19/20</w:t>
      </w:r>
      <w:r w:rsidR="00F651E1" w:rsidRPr="00523556">
        <w:rPr>
          <w:rFonts w:ascii="Times New Roman" w:hAnsi="Times New Roman" w:cs="Times New Roman"/>
        </w:rPr>
        <w:t>.</w:t>
      </w:r>
      <w:r w:rsidR="00A61071" w:rsidRPr="00523556">
        <w:rPr>
          <w:rFonts w:ascii="Times New Roman" w:hAnsi="Times New Roman" w:cs="Times New Roman"/>
        </w:rPr>
        <w:t xml:space="preserve"> </w:t>
      </w:r>
      <w:r w:rsidR="00F651E1" w:rsidRPr="00523556">
        <w:rPr>
          <w:rFonts w:ascii="Times New Roman" w:hAnsi="Times New Roman" w:cs="Times New Roman"/>
        </w:rPr>
        <w:t>T</w:t>
      </w:r>
      <w:r w:rsidR="00D52325" w:rsidRPr="00523556">
        <w:rPr>
          <w:rFonts w:ascii="Times New Roman" w:hAnsi="Times New Roman" w:cs="Times New Roman"/>
        </w:rPr>
        <w:t xml:space="preserve">his </w:t>
      </w:r>
      <w:r w:rsidR="00F651E1" w:rsidRPr="00523556">
        <w:rPr>
          <w:rFonts w:ascii="Times New Roman" w:hAnsi="Times New Roman" w:cs="Times New Roman"/>
        </w:rPr>
        <w:t xml:space="preserve">projection </w:t>
      </w:r>
      <w:r w:rsidR="00D52325" w:rsidRPr="00523556">
        <w:rPr>
          <w:rFonts w:ascii="Times New Roman" w:hAnsi="Times New Roman" w:cs="Times New Roman"/>
        </w:rPr>
        <w:t xml:space="preserve">is </w:t>
      </w:r>
      <w:r w:rsidR="00EC3521" w:rsidRPr="00523556">
        <w:rPr>
          <w:rFonts w:ascii="Times New Roman" w:hAnsi="Times New Roman" w:cs="Times New Roman"/>
        </w:rPr>
        <w:t xml:space="preserve">broadly in line with recent IMF-World Bank debt sustainability analyses </w:t>
      </w:r>
      <w:r w:rsidRPr="00523556">
        <w:rPr>
          <w:rFonts w:ascii="Times New Roman" w:hAnsi="Times New Roman" w:cs="Times New Roman"/>
        </w:rPr>
        <w:t xml:space="preserve">– </w:t>
      </w:r>
      <w:r w:rsidR="00EC3521" w:rsidRPr="00523556">
        <w:rPr>
          <w:rFonts w:ascii="Times New Roman" w:hAnsi="Times New Roman" w:cs="Times New Roman"/>
        </w:rPr>
        <w:t>which</w:t>
      </w:r>
      <w:r w:rsidRPr="00523556">
        <w:rPr>
          <w:rFonts w:ascii="Times New Roman" w:hAnsi="Times New Roman" w:cs="Times New Roman"/>
        </w:rPr>
        <w:t xml:space="preserve"> </w:t>
      </w:r>
      <w:r w:rsidR="00EC3521" w:rsidRPr="00523556">
        <w:rPr>
          <w:rFonts w:ascii="Times New Roman" w:hAnsi="Times New Roman" w:cs="Times New Roman"/>
        </w:rPr>
        <w:t>assume that concessional loan flows remain broadly constant in nominal US</w:t>
      </w:r>
      <w:r w:rsidR="008864A9" w:rsidRPr="00523556">
        <w:rPr>
          <w:rFonts w:ascii="Times New Roman" w:hAnsi="Times New Roman" w:cs="Times New Roman"/>
        </w:rPr>
        <w:t xml:space="preserve"> dollar</w:t>
      </w:r>
      <w:r w:rsidR="00EC3521" w:rsidRPr="00523556">
        <w:rPr>
          <w:rFonts w:ascii="Times New Roman" w:hAnsi="Times New Roman" w:cs="Times New Roman"/>
        </w:rPr>
        <w:t xml:space="preserve"> terms over the medium term</w:t>
      </w:r>
      <w:r w:rsidRPr="00523556">
        <w:rPr>
          <w:rFonts w:ascii="Times New Roman" w:hAnsi="Times New Roman" w:cs="Times New Roman"/>
        </w:rPr>
        <w:t xml:space="preserve"> –</w:t>
      </w:r>
      <w:r w:rsidR="00486BB8" w:rsidRPr="00523556">
        <w:rPr>
          <w:rStyle w:val="FootnoteReference"/>
          <w:rFonts w:ascii="Times New Roman" w:hAnsi="Times New Roman" w:cs="Times New Roman"/>
        </w:rPr>
        <w:footnoteReference w:id="75"/>
      </w:r>
      <w:r w:rsidRPr="00523556">
        <w:rPr>
          <w:rFonts w:ascii="Times New Roman" w:hAnsi="Times New Roman" w:cs="Times New Roman"/>
        </w:rPr>
        <w:t xml:space="preserve"> although it </w:t>
      </w:r>
      <w:r w:rsidR="00F52D62" w:rsidRPr="00523556">
        <w:rPr>
          <w:rFonts w:ascii="Times New Roman" w:hAnsi="Times New Roman" w:cs="Times New Roman"/>
        </w:rPr>
        <w:t xml:space="preserve">would represent an </w:t>
      </w:r>
      <w:r w:rsidR="00EC3521" w:rsidRPr="00523556">
        <w:rPr>
          <w:rFonts w:ascii="Times New Roman" w:hAnsi="Times New Roman" w:cs="Times New Roman"/>
        </w:rPr>
        <w:t xml:space="preserve">acceleration of the historical </w:t>
      </w:r>
      <w:r w:rsidRPr="00523556">
        <w:rPr>
          <w:rFonts w:ascii="Times New Roman" w:hAnsi="Times New Roman" w:cs="Times New Roman"/>
        </w:rPr>
        <w:t>downward trend</w:t>
      </w:r>
      <w:r w:rsidR="008864A9" w:rsidRPr="00523556">
        <w:rPr>
          <w:rFonts w:ascii="Times New Roman" w:hAnsi="Times New Roman" w:cs="Times New Roman"/>
        </w:rPr>
        <w:t xml:space="preserve"> (</w:t>
      </w:r>
      <w:r w:rsidR="00F52D62" w:rsidRPr="00523556">
        <w:rPr>
          <w:rFonts w:ascii="Times New Roman" w:hAnsi="Times New Roman" w:cs="Times New Roman"/>
        </w:rPr>
        <w:t xml:space="preserve">on average over the past ten years </w:t>
      </w:r>
      <w:r w:rsidR="00EC3521" w:rsidRPr="00523556">
        <w:rPr>
          <w:rFonts w:ascii="Times New Roman" w:hAnsi="Times New Roman" w:cs="Times New Roman"/>
        </w:rPr>
        <w:t xml:space="preserve">net concessional financing has fallen </w:t>
      </w:r>
      <w:r w:rsidRPr="00523556">
        <w:rPr>
          <w:rFonts w:ascii="Times New Roman" w:hAnsi="Times New Roman" w:cs="Times New Roman"/>
        </w:rPr>
        <w:t xml:space="preserve">less rapidly – </w:t>
      </w:r>
      <w:r w:rsidR="00F52D62" w:rsidRPr="00523556">
        <w:rPr>
          <w:rFonts w:ascii="Times New Roman" w:hAnsi="Times New Roman" w:cs="Times New Roman"/>
        </w:rPr>
        <w:t>by</w:t>
      </w:r>
      <w:r w:rsidRPr="00523556">
        <w:rPr>
          <w:rFonts w:ascii="Times New Roman" w:hAnsi="Times New Roman" w:cs="Times New Roman"/>
        </w:rPr>
        <w:t xml:space="preserve"> </w:t>
      </w:r>
      <w:r w:rsidR="00F52D62" w:rsidRPr="00523556">
        <w:rPr>
          <w:rFonts w:ascii="Times New Roman" w:hAnsi="Times New Roman" w:cs="Times New Roman"/>
        </w:rPr>
        <w:t>0.1</w:t>
      </w:r>
      <w:r w:rsidR="00E557B8" w:rsidRPr="00523556">
        <w:rPr>
          <w:rFonts w:ascii="Times New Roman" w:hAnsi="Times New Roman" w:cs="Times New Roman"/>
        </w:rPr>
        <w:t xml:space="preserve"> percentage point</w:t>
      </w:r>
      <w:r w:rsidR="00F52D62" w:rsidRPr="00523556">
        <w:rPr>
          <w:rFonts w:ascii="Times New Roman" w:hAnsi="Times New Roman" w:cs="Times New Roman"/>
        </w:rPr>
        <w:t xml:space="preserve"> as a share of GDP </w:t>
      </w:r>
      <w:r w:rsidR="00F651E1" w:rsidRPr="00523556">
        <w:rPr>
          <w:rFonts w:ascii="Times New Roman" w:hAnsi="Times New Roman" w:cs="Times New Roman"/>
        </w:rPr>
        <w:t>per</w:t>
      </w:r>
      <w:r w:rsidR="00F52D62" w:rsidRPr="00523556">
        <w:rPr>
          <w:rFonts w:ascii="Times New Roman" w:hAnsi="Times New Roman" w:cs="Times New Roman"/>
        </w:rPr>
        <w:t xml:space="preserve"> year</w:t>
      </w:r>
      <w:r w:rsidR="008864A9" w:rsidRPr="00523556">
        <w:rPr>
          <w:rFonts w:ascii="Times New Roman" w:hAnsi="Times New Roman" w:cs="Times New Roman"/>
        </w:rPr>
        <w:t xml:space="preserve">; </w:t>
      </w:r>
      <w:r w:rsidR="00EE1B4E" w:rsidRPr="00523556">
        <w:rPr>
          <w:rFonts w:ascii="Times New Roman" w:hAnsi="Times New Roman" w:cs="Times New Roman"/>
        </w:rPr>
        <w:t xml:space="preserve">if this trend continued, net concessional financing as a share of GDP would fall </w:t>
      </w:r>
      <w:r w:rsidR="008864A9" w:rsidRPr="00523556">
        <w:rPr>
          <w:rFonts w:ascii="Times New Roman" w:hAnsi="Times New Roman" w:cs="Times New Roman"/>
        </w:rPr>
        <w:t xml:space="preserve">more slowly than in MoFPED (2013c), </w:t>
      </w:r>
      <w:r w:rsidR="00EE1B4E" w:rsidRPr="00523556">
        <w:rPr>
          <w:rFonts w:ascii="Times New Roman" w:hAnsi="Times New Roman" w:cs="Times New Roman"/>
        </w:rPr>
        <w:t>to around 1.7</w:t>
      </w:r>
      <w:r w:rsidR="00E557B8" w:rsidRPr="00523556">
        <w:rPr>
          <w:rFonts w:ascii="Times New Roman" w:hAnsi="Times New Roman" w:cs="Times New Roman"/>
        </w:rPr>
        <w:t xml:space="preserve"> per cent</w:t>
      </w:r>
      <w:r w:rsidR="00EE1B4E" w:rsidRPr="00523556">
        <w:rPr>
          <w:rFonts w:ascii="Times New Roman" w:hAnsi="Times New Roman" w:cs="Times New Roman"/>
        </w:rPr>
        <w:t xml:space="preserve"> of GDP by FY19/20</w:t>
      </w:r>
      <w:r w:rsidR="00F52D62" w:rsidRPr="00523556">
        <w:rPr>
          <w:rFonts w:ascii="Times New Roman" w:hAnsi="Times New Roman" w:cs="Times New Roman"/>
        </w:rPr>
        <w:t xml:space="preserve">). </w:t>
      </w:r>
    </w:p>
    <w:p w:rsidR="007102FC" w:rsidRPr="00523556" w:rsidRDefault="007102FC" w:rsidP="007102FC">
      <w:pPr>
        <w:jc w:val="both"/>
        <w:rPr>
          <w:rFonts w:ascii="Times New Roman" w:hAnsi="Times New Roman" w:cs="Times New Roman"/>
        </w:rPr>
      </w:pPr>
      <w:r w:rsidRPr="00523556">
        <w:rPr>
          <w:rFonts w:ascii="Times New Roman" w:hAnsi="Times New Roman" w:cs="Times New Roman"/>
        </w:rPr>
        <w:lastRenderedPageBreak/>
        <w:t xml:space="preserve">Whilst the precise outlook for concessional external borrowing is uncertain, </w:t>
      </w:r>
      <w:r w:rsidR="001C6A79" w:rsidRPr="00523556">
        <w:rPr>
          <w:rFonts w:ascii="Times New Roman" w:hAnsi="Times New Roman" w:cs="Times New Roman"/>
        </w:rPr>
        <w:t>a</w:t>
      </w:r>
      <w:r w:rsidRPr="00523556">
        <w:rPr>
          <w:rFonts w:ascii="Times New Roman" w:hAnsi="Times New Roman" w:cs="Times New Roman"/>
        </w:rPr>
        <w:t xml:space="preserve"> </w:t>
      </w:r>
      <w:r w:rsidR="00B066F8" w:rsidRPr="00523556">
        <w:rPr>
          <w:rFonts w:ascii="Times New Roman" w:hAnsi="Times New Roman" w:cs="Times New Roman"/>
        </w:rPr>
        <w:t>key point that comes out starkly from both theory (see for example Beaugrand et al (2002))</w:t>
      </w:r>
      <w:r w:rsidR="00C5290E" w:rsidRPr="00523556">
        <w:rPr>
          <w:rStyle w:val="FootnoteReference"/>
          <w:rFonts w:ascii="Times New Roman" w:hAnsi="Times New Roman" w:cs="Times New Roman"/>
        </w:rPr>
        <w:footnoteReference w:id="76"/>
      </w:r>
      <w:r w:rsidR="00B066F8" w:rsidRPr="00523556">
        <w:rPr>
          <w:rFonts w:ascii="Times New Roman" w:hAnsi="Times New Roman" w:cs="Times New Roman"/>
        </w:rPr>
        <w:t xml:space="preserve"> and practice (</w:t>
      </w:r>
      <w:r w:rsidR="00C5290E" w:rsidRPr="00523556">
        <w:rPr>
          <w:rFonts w:ascii="Times New Roman" w:hAnsi="Times New Roman" w:cs="Times New Roman"/>
        </w:rPr>
        <w:t xml:space="preserve">see for example </w:t>
      </w:r>
      <w:r w:rsidR="00B066F8" w:rsidRPr="00523556">
        <w:rPr>
          <w:rFonts w:ascii="Times New Roman" w:hAnsi="Times New Roman" w:cs="Times New Roman"/>
        </w:rPr>
        <w:t>the relative domestic and external interest burdens on Uganda’s current debt stock</w:t>
      </w:r>
      <w:r w:rsidR="00C5290E" w:rsidRPr="00523556">
        <w:rPr>
          <w:rFonts w:ascii="Times New Roman" w:hAnsi="Times New Roman" w:cs="Times New Roman"/>
        </w:rPr>
        <w:t>, in</w:t>
      </w:r>
      <w:r w:rsidR="00B066F8" w:rsidRPr="00523556">
        <w:rPr>
          <w:rFonts w:ascii="Times New Roman" w:hAnsi="Times New Roman" w:cs="Times New Roman"/>
        </w:rPr>
        <w:t xml:space="preserve"> Figure </w:t>
      </w:r>
      <w:r w:rsidR="00C5290E" w:rsidRPr="00523556">
        <w:rPr>
          <w:rFonts w:ascii="Times New Roman" w:hAnsi="Times New Roman" w:cs="Times New Roman"/>
        </w:rPr>
        <w:t>2.3 above</w:t>
      </w:r>
      <w:r w:rsidR="00B066F8" w:rsidRPr="00523556">
        <w:rPr>
          <w:rFonts w:ascii="Times New Roman" w:hAnsi="Times New Roman" w:cs="Times New Roman"/>
        </w:rPr>
        <w:t xml:space="preserve">) is that </w:t>
      </w:r>
      <w:r w:rsidR="007D6AF5" w:rsidRPr="00523556">
        <w:rPr>
          <w:rFonts w:ascii="Times New Roman" w:hAnsi="Times New Roman" w:cs="Times New Roman"/>
        </w:rPr>
        <w:t xml:space="preserve">in purely financial terms </w:t>
      </w:r>
      <w:r w:rsidR="00B066F8" w:rsidRPr="00523556">
        <w:rPr>
          <w:rFonts w:ascii="Times New Roman" w:hAnsi="Times New Roman" w:cs="Times New Roman"/>
        </w:rPr>
        <w:t xml:space="preserve">– given </w:t>
      </w:r>
      <w:r w:rsidR="00277FF6" w:rsidRPr="00523556">
        <w:rPr>
          <w:rFonts w:ascii="Times New Roman" w:hAnsi="Times New Roman" w:cs="Times New Roman"/>
        </w:rPr>
        <w:t xml:space="preserve">the </w:t>
      </w:r>
      <w:r w:rsidRPr="00523556">
        <w:rPr>
          <w:rFonts w:ascii="Times New Roman" w:hAnsi="Times New Roman" w:cs="Times New Roman"/>
        </w:rPr>
        <w:t>extremely generous terms on which such lending is offered</w:t>
      </w:r>
      <w:r w:rsidR="00277FF6" w:rsidRPr="00523556">
        <w:rPr>
          <w:rStyle w:val="FootnoteReference"/>
          <w:rFonts w:ascii="Times New Roman" w:hAnsi="Times New Roman" w:cs="Times New Roman"/>
        </w:rPr>
        <w:footnoteReference w:id="77"/>
      </w:r>
      <w:r w:rsidR="00B066F8" w:rsidRPr="00523556">
        <w:rPr>
          <w:rFonts w:ascii="Times New Roman" w:hAnsi="Times New Roman" w:cs="Times New Roman"/>
        </w:rPr>
        <w:t xml:space="preserve"> –</w:t>
      </w:r>
      <w:r w:rsidR="007D6AF5" w:rsidRPr="00523556">
        <w:rPr>
          <w:rFonts w:ascii="Times New Roman" w:hAnsi="Times New Roman" w:cs="Times New Roman"/>
        </w:rPr>
        <w:t xml:space="preserve"> </w:t>
      </w:r>
      <w:r w:rsidRPr="00523556">
        <w:rPr>
          <w:rFonts w:ascii="Times New Roman" w:hAnsi="Times New Roman" w:cs="Times New Roman"/>
        </w:rPr>
        <w:t>it</w:t>
      </w:r>
      <w:r w:rsidR="00B066F8" w:rsidRPr="00523556">
        <w:rPr>
          <w:rFonts w:ascii="Times New Roman" w:hAnsi="Times New Roman" w:cs="Times New Roman"/>
        </w:rPr>
        <w:t xml:space="preserve"> </w:t>
      </w:r>
      <w:r w:rsidRPr="00523556">
        <w:rPr>
          <w:rFonts w:ascii="Times New Roman" w:hAnsi="Times New Roman" w:cs="Times New Roman"/>
        </w:rPr>
        <w:t>is optimal for GoU to maximise use of this form of financing as far as is possible.</w:t>
      </w:r>
      <w:r w:rsidR="007D6AF5" w:rsidRPr="00523556">
        <w:rPr>
          <w:rStyle w:val="FootnoteReference"/>
          <w:rFonts w:ascii="Times New Roman" w:hAnsi="Times New Roman" w:cs="Times New Roman"/>
        </w:rPr>
        <w:footnoteReference w:id="78"/>
      </w:r>
      <w:r w:rsidR="00B066F8" w:rsidRPr="00523556">
        <w:rPr>
          <w:rFonts w:ascii="Times New Roman" w:hAnsi="Times New Roman" w:cs="Times New Roman"/>
        </w:rPr>
        <w:t xml:space="preserve"> </w:t>
      </w:r>
    </w:p>
    <w:p w:rsidR="006438BC" w:rsidRPr="00523556" w:rsidRDefault="00A61071" w:rsidP="004427E0">
      <w:pPr>
        <w:pStyle w:val="Heading2"/>
        <w:rPr>
          <w:rFonts w:ascii="Times New Roman" w:hAnsi="Times New Roman" w:cs="Times New Roman"/>
        </w:rPr>
      </w:pPr>
      <w:bookmarkStart w:id="11" w:name="_Toc383757442"/>
      <w:r w:rsidRPr="00523556">
        <w:rPr>
          <w:rFonts w:ascii="Times New Roman" w:hAnsi="Times New Roman" w:cs="Times New Roman"/>
        </w:rPr>
        <w:t>2.5</w:t>
      </w:r>
      <w:r w:rsidR="004427E0" w:rsidRPr="00523556">
        <w:rPr>
          <w:rFonts w:ascii="Times New Roman" w:hAnsi="Times New Roman" w:cs="Times New Roman"/>
        </w:rPr>
        <w:t xml:space="preserve"> </w:t>
      </w:r>
      <w:r w:rsidR="00987EF8" w:rsidRPr="00523556">
        <w:rPr>
          <w:rFonts w:ascii="Times New Roman" w:hAnsi="Times New Roman" w:cs="Times New Roman"/>
        </w:rPr>
        <w:t>Semi</w:t>
      </w:r>
      <w:r w:rsidR="006438BC" w:rsidRPr="00523556">
        <w:rPr>
          <w:rFonts w:ascii="Times New Roman" w:hAnsi="Times New Roman" w:cs="Times New Roman"/>
        </w:rPr>
        <w:t>-Concessional external borrowing</w:t>
      </w:r>
      <w:bookmarkEnd w:id="11"/>
    </w:p>
    <w:p w:rsidR="001455BC" w:rsidRPr="00523556" w:rsidRDefault="00F651E1" w:rsidP="00D26EA2">
      <w:pPr>
        <w:jc w:val="both"/>
        <w:rPr>
          <w:rFonts w:ascii="Times New Roman" w:hAnsi="Times New Roman" w:cs="Times New Roman"/>
        </w:rPr>
      </w:pPr>
      <w:r w:rsidRPr="00523556">
        <w:rPr>
          <w:rFonts w:ascii="Times New Roman" w:hAnsi="Times New Roman" w:cs="Times New Roman"/>
        </w:rPr>
        <w:t xml:space="preserve">This paper defines </w:t>
      </w:r>
      <w:r w:rsidR="00987EF8" w:rsidRPr="00523556">
        <w:rPr>
          <w:rFonts w:ascii="Times New Roman" w:hAnsi="Times New Roman" w:cs="Times New Roman"/>
        </w:rPr>
        <w:t>semi</w:t>
      </w:r>
      <w:r w:rsidRPr="00523556">
        <w:rPr>
          <w:rFonts w:ascii="Times New Roman" w:hAnsi="Times New Roman" w:cs="Times New Roman"/>
        </w:rPr>
        <w:t xml:space="preserve">-concessional borrowing as loans which incorporate a </w:t>
      </w:r>
      <w:r w:rsidR="00CC380A" w:rsidRPr="00523556">
        <w:rPr>
          <w:rFonts w:ascii="Times New Roman" w:hAnsi="Times New Roman" w:cs="Times New Roman"/>
        </w:rPr>
        <w:t>grant element of less than 35</w:t>
      </w:r>
      <w:r w:rsidR="00E557B8" w:rsidRPr="00523556">
        <w:rPr>
          <w:rFonts w:ascii="Times New Roman" w:hAnsi="Times New Roman" w:cs="Times New Roman"/>
        </w:rPr>
        <w:t xml:space="preserve"> per cent</w:t>
      </w:r>
      <w:r w:rsidRPr="00523556">
        <w:rPr>
          <w:rFonts w:ascii="Times New Roman" w:hAnsi="Times New Roman" w:cs="Times New Roman"/>
        </w:rPr>
        <w:t xml:space="preserve"> but that are still contracted on more generous terms than fully-commercial lending. </w:t>
      </w:r>
      <w:r w:rsidR="00657893" w:rsidRPr="00523556">
        <w:rPr>
          <w:rFonts w:ascii="Times New Roman" w:hAnsi="Times New Roman" w:cs="Times New Roman"/>
        </w:rPr>
        <w:t>As of end-</w:t>
      </w:r>
      <w:r w:rsidR="0069195E" w:rsidRPr="00523556">
        <w:rPr>
          <w:rFonts w:ascii="Times New Roman" w:hAnsi="Times New Roman" w:cs="Times New Roman"/>
        </w:rPr>
        <w:t>FY12/13</w:t>
      </w:r>
      <w:r w:rsidR="00657893" w:rsidRPr="00523556">
        <w:rPr>
          <w:rFonts w:ascii="Times New Roman" w:hAnsi="Times New Roman" w:cs="Times New Roman"/>
        </w:rPr>
        <w:t xml:space="preserve">, GoU had </w:t>
      </w:r>
      <w:r w:rsidR="00BA3C76" w:rsidRPr="00523556">
        <w:rPr>
          <w:rFonts w:ascii="Times New Roman" w:hAnsi="Times New Roman" w:cs="Times New Roman"/>
        </w:rPr>
        <w:t>accumulated</w:t>
      </w:r>
      <w:r w:rsidR="00657893" w:rsidRPr="00523556">
        <w:rPr>
          <w:rFonts w:ascii="Times New Roman" w:hAnsi="Times New Roman" w:cs="Times New Roman"/>
        </w:rPr>
        <w:t xml:space="preserve"> </w:t>
      </w:r>
      <w:r w:rsidR="00987EF8" w:rsidRPr="00523556">
        <w:rPr>
          <w:rFonts w:ascii="Times New Roman" w:hAnsi="Times New Roman" w:cs="Times New Roman"/>
        </w:rPr>
        <w:t>semi</w:t>
      </w:r>
      <w:r w:rsidR="00657893" w:rsidRPr="00523556">
        <w:rPr>
          <w:rFonts w:ascii="Times New Roman" w:hAnsi="Times New Roman" w:cs="Times New Roman"/>
        </w:rPr>
        <w:t xml:space="preserve">-concessional external </w:t>
      </w:r>
      <w:r w:rsidR="00BA3C76" w:rsidRPr="00523556">
        <w:rPr>
          <w:rFonts w:ascii="Times New Roman" w:hAnsi="Times New Roman" w:cs="Times New Roman"/>
        </w:rPr>
        <w:t>debt of around $450m</w:t>
      </w:r>
      <w:r w:rsidR="004D3FC2" w:rsidRPr="00523556">
        <w:rPr>
          <w:rFonts w:ascii="Times New Roman" w:hAnsi="Times New Roman" w:cs="Times New Roman"/>
        </w:rPr>
        <w:t>.</w:t>
      </w:r>
      <w:r w:rsidR="00BA3C76" w:rsidRPr="00523556">
        <w:rPr>
          <w:rStyle w:val="FootnoteReference"/>
          <w:rFonts w:ascii="Times New Roman" w:hAnsi="Times New Roman" w:cs="Times New Roman"/>
        </w:rPr>
        <w:footnoteReference w:id="79"/>
      </w:r>
      <w:r w:rsidR="004D3FC2" w:rsidRPr="00523556">
        <w:rPr>
          <w:rFonts w:ascii="Times New Roman" w:hAnsi="Times New Roman" w:cs="Times New Roman"/>
        </w:rPr>
        <w:t xml:space="preserve"> </w:t>
      </w:r>
      <w:r w:rsidR="001277F5" w:rsidRPr="00523556">
        <w:rPr>
          <w:rFonts w:ascii="Times New Roman" w:hAnsi="Times New Roman" w:cs="Times New Roman"/>
        </w:rPr>
        <w:t xml:space="preserve">The bulk of this category of loans </w:t>
      </w:r>
      <w:r w:rsidR="00C20D92" w:rsidRPr="00523556">
        <w:rPr>
          <w:rFonts w:ascii="Times New Roman" w:hAnsi="Times New Roman" w:cs="Times New Roman"/>
        </w:rPr>
        <w:t xml:space="preserve">has been </w:t>
      </w:r>
      <w:r w:rsidR="001277F5" w:rsidRPr="00523556">
        <w:rPr>
          <w:rFonts w:ascii="Times New Roman" w:hAnsi="Times New Roman" w:cs="Times New Roman"/>
        </w:rPr>
        <w:t>contracted with China</w:t>
      </w:r>
      <w:r w:rsidR="00DF1BFE" w:rsidRPr="00523556">
        <w:rPr>
          <w:rFonts w:ascii="Times New Roman" w:hAnsi="Times New Roman" w:cs="Times New Roman"/>
        </w:rPr>
        <w:t xml:space="preserve"> </w:t>
      </w:r>
      <w:r w:rsidR="00940D11" w:rsidRPr="00523556">
        <w:rPr>
          <w:rFonts w:ascii="Times New Roman" w:hAnsi="Times New Roman" w:cs="Times New Roman"/>
        </w:rPr>
        <w:t>(</w:t>
      </w:r>
      <w:r w:rsidR="00454929" w:rsidRPr="00523556">
        <w:rPr>
          <w:rFonts w:ascii="Times New Roman" w:hAnsi="Times New Roman" w:cs="Times New Roman"/>
        </w:rPr>
        <w:t>although</w:t>
      </w:r>
      <w:r w:rsidR="00DF1BFE" w:rsidRPr="00523556">
        <w:rPr>
          <w:rFonts w:ascii="Times New Roman" w:hAnsi="Times New Roman" w:cs="Times New Roman"/>
        </w:rPr>
        <w:t xml:space="preserve"> </w:t>
      </w:r>
      <w:r w:rsidR="00D67D93" w:rsidRPr="00523556">
        <w:rPr>
          <w:rFonts w:ascii="Times New Roman" w:hAnsi="Times New Roman" w:cs="Times New Roman"/>
        </w:rPr>
        <w:t xml:space="preserve">it also </w:t>
      </w:r>
      <w:r w:rsidR="00DF1BFE" w:rsidRPr="00523556">
        <w:rPr>
          <w:rFonts w:ascii="Times New Roman" w:hAnsi="Times New Roman" w:cs="Times New Roman"/>
        </w:rPr>
        <w:t xml:space="preserve">currently </w:t>
      </w:r>
      <w:r w:rsidR="00D67D93" w:rsidRPr="00523556">
        <w:rPr>
          <w:rFonts w:ascii="Times New Roman" w:hAnsi="Times New Roman" w:cs="Times New Roman"/>
        </w:rPr>
        <w:t>captures two loans from France and fr</w:t>
      </w:r>
      <w:r w:rsidR="00DF1BFE" w:rsidRPr="00523556">
        <w:rPr>
          <w:rFonts w:ascii="Times New Roman" w:hAnsi="Times New Roman" w:cs="Times New Roman"/>
        </w:rPr>
        <w:t>om the European Investment Bank</w:t>
      </w:r>
      <w:r w:rsidR="00940D11" w:rsidRPr="00523556">
        <w:rPr>
          <w:rFonts w:ascii="Times New Roman" w:hAnsi="Times New Roman" w:cs="Times New Roman"/>
        </w:rPr>
        <w:t>,</w:t>
      </w:r>
      <w:r w:rsidR="00D67D93" w:rsidRPr="00523556">
        <w:rPr>
          <w:rFonts w:ascii="Times New Roman" w:hAnsi="Times New Roman" w:cs="Times New Roman"/>
        </w:rPr>
        <w:t xml:space="preserve"> of €75m each</w:t>
      </w:r>
      <w:r w:rsidR="006A1A35" w:rsidRPr="00523556">
        <w:rPr>
          <w:rFonts w:ascii="Times New Roman" w:hAnsi="Times New Roman" w:cs="Times New Roman"/>
        </w:rPr>
        <w:t>.</w:t>
      </w:r>
      <w:r w:rsidR="00940D11" w:rsidRPr="00523556">
        <w:rPr>
          <w:rFonts w:ascii="Times New Roman" w:hAnsi="Times New Roman" w:cs="Times New Roman"/>
        </w:rPr>
        <w:t xml:space="preserve"> </w:t>
      </w:r>
      <w:r w:rsidR="006A1A35" w:rsidRPr="00523556">
        <w:rPr>
          <w:rFonts w:ascii="Times New Roman" w:hAnsi="Times New Roman" w:cs="Times New Roman"/>
        </w:rPr>
        <w:t>I</w:t>
      </w:r>
      <w:r w:rsidR="00940D11" w:rsidRPr="00523556">
        <w:rPr>
          <w:rFonts w:ascii="Times New Roman" w:hAnsi="Times New Roman" w:cs="Times New Roman"/>
        </w:rPr>
        <w:t>t</w:t>
      </w:r>
      <w:r w:rsidR="00DF1BFE" w:rsidRPr="00523556">
        <w:rPr>
          <w:rFonts w:ascii="Times New Roman" w:hAnsi="Times New Roman" w:cs="Times New Roman"/>
        </w:rPr>
        <w:t xml:space="preserve"> could in future also include </w:t>
      </w:r>
      <w:r w:rsidR="00940D11" w:rsidRPr="00523556">
        <w:rPr>
          <w:rFonts w:ascii="Times New Roman" w:hAnsi="Times New Roman" w:cs="Times New Roman"/>
        </w:rPr>
        <w:t xml:space="preserve">some </w:t>
      </w:r>
      <w:r w:rsidR="00DF1BFE" w:rsidRPr="00523556">
        <w:rPr>
          <w:rFonts w:ascii="Times New Roman" w:hAnsi="Times New Roman" w:cs="Times New Roman"/>
        </w:rPr>
        <w:t xml:space="preserve">loans from </w:t>
      </w:r>
      <w:r w:rsidR="006A1A35" w:rsidRPr="00523556">
        <w:rPr>
          <w:rFonts w:ascii="Times New Roman" w:hAnsi="Times New Roman" w:cs="Times New Roman"/>
        </w:rPr>
        <w:t xml:space="preserve">other organisations, such as </w:t>
      </w:r>
      <w:r w:rsidR="00DF1BFE" w:rsidRPr="00523556">
        <w:rPr>
          <w:rFonts w:ascii="Times New Roman" w:hAnsi="Times New Roman" w:cs="Times New Roman"/>
        </w:rPr>
        <w:t>the AfDB</w:t>
      </w:r>
      <w:r w:rsidR="00940D11" w:rsidRPr="00523556">
        <w:rPr>
          <w:rFonts w:ascii="Times New Roman" w:hAnsi="Times New Roman" w:cs="Times New Roman"/>
        </w:rPr>
        <w:t xml:space="preserve"> –</w:t>
      </w:r>
      <w:r w:rsidR="00DF1BFE" w:rsidRPr="00523556">
        <w:rPr>
          <w:rFonts w:ascii="Times New Roman" w:hAnsi="Times New Roman" w:cs="Times New Roman"/>
        </w:rPr>
        <w:t xml:space="preserve"> and</w:t>
      </w:r>
      <w:r w:rsidR="00940D11" w:rsidRPr="00523556">
        <w:rPr>
          <w:rFonts w:ascii="Times New Roman" w:hAnsi="Times New Roman" w:cs="Times New Roman"/>
        </w:rPr>
        <w:t xml:space="preserve"> </w:t>
      </w:r>
      <w:r w:rsidR="00DF1BFE" w:rsidRPr="00523556">
        <w:rPr>
          <w:rFonts w:ascii="Times New Roman" w:hAnsi="Times New Roman" w:cs="Times New Roman"/>
        </w:rPr>
        <w:t>potentially even the IBRD</w:t>
      </w:r>
      <w:r w:rsidR="00940D11" w:rsidRPr="00523556">
        <w:rPr>
          <w:rFonts w:ascii="Times New Roman" w:hAnsi="Times New Roman" w:cs="Times New Roman"/>
        </w:rPr>
        <w:t>)</w:t>
      </w:r>
      <w:r w:rsidR="00454929" w:rsidRPr="00523556">
        <w:rPr>
          <w:rFonts w:ascii="Times New Roman" w:hAnsi="Times New Roman" w:cs="Times New Roman"/>
        </w:rPr>
        <w:t xml:space="preserve">. Reflecting discussions with the </w:t>
      </w:r>
      <w:r w:rsidR="001A4C58" w:rsidRPr="00523556">
        <w:rPr>
          <w:rFonts w:ascii="Times New Roman" w:hAnsi="Times New Roman" w:cs="Times New Roman"/>
        </w:rPr>
        <w:t xml:space="preserve">Ugandan </w:t>
      </w:r>
      <w:r w:rsidR="00454929" w:rsidRPr="00523556">
        <w:rPr>
          <w:rFonts w:ascii="Times New Roman" w:hAnsi="Times New Roman" w:cs="Times New Roman"/>
        </w:rPr>
        <w:t>authorities, IMF (2013c) estimate</w:t>
      </w:r>
      <w:r w:rsidR="001A4C58" w:rsidRPr="00523556">
        <w:rPr>
          <w:rFonts w:ascii="Times New Roman" w:hAnsi="Times New Roman" w:cs="Times New Roman"/>
        </w:rPr>
        <w:t xml:space="preserve">s that </w:t>
      </w:r>
      <w:r w:rsidR="00117F24" w:rsidRPr="00523556">
        <w:rPr>
          <w:rFonts w:ascii="Times New Roman" w:hAnsi="Times New Roman" w:cs="Times New Roman"/>
        </w:rPr>
        <w:t>further</w:t>
      </w:r>
      <w:r w:rsidR="001A4C58" w:rsidRPr="00523556">
        <w:rPr>
          <w:rFonts w:ascii="Times New Roman" w:hAnsi="Times New Roman" w:cs="Times New Roman"/>
        </w:rPr>
        <w:t xml:space="preserve"> semi-concessional borrowing from China of close to $2bn will be accumulated over the next five years, to help finance two large hydropower projects.</w:t>
      </w:r>
      <w:r w:rsidR="001A4C58" w:rsidRPr="00523556">
        <w:rPr>
          <w:rStyle w:val="FootnoteReference"/>
          <w:rFonts w:ascii="Times New Roman" w:hAnsi="Times New Roman" w:cs="Times New Roman"/>
        </w:rPr>
        <w:footnoteReference w:id="80"/>
      </w:r>
      <w:r w:rsidR="001A4C58" w:rsidRPr="00523556">
        <w:rPr>
          <w:rFonts w:ascii="Times New Roman" w:hAnsi="Times New Roman" w:cs="Times New Roman"/>
        </w:rPr>
        <w:t xml:space="preserve"> </w:t>
      </w:r>
    </w:p>
    <w:p w:rsidR="0000031A" w:rsidRPr="00523556" w:rsidRDefault="00E92790" w:rsidP="00D26EA2">
      <w:pPr>
        <w:jc w:val="both"/>
        <w:rPr>
          <w:rFonts w:ascii="Times New Roman" w:hAnsi="Times New Roman" w:cs="Times New Roman"/>
        </w:rPr>
      </w:pPr>
      <w:r w:rsidRPr="00523556">
        <w:rPr>
          <w:rFonts w:ascii="Times New Roman" w:hAnsi="Times New Roman" w:cs="Times New Roman"/>
        </w:rPr>
        <w:t>Semi-concessional external borrowing is clearly preferable to commercial ext</w:t>
      </w:r>
      <w:r w:rsidR="009F59B4" w:rsidRPr="00523556">
        <w:rPr>
          <w:rFonts w:ascii="Times New Roman" w:hAnsi="Times New Roman" w:cs="Times New Roman"/>
        </w:rPr>
        <w:t xml:space="preserve">ernal borrowing, all else equal – although some conditions can </w:t>
      </w:r>
      <w:r w:rsidR="008901AB" w:rsidRPr="00523556">
        <w:rPr>
          <w:rFonts w:ascii="Times New Roman" w:hAnsi="Times New Roman" w:cs="Times New Roman"/>
        </w:rPr>
        <w:t xml:space="preserve">potentially </w:t>
      </w:r>
      <w:r w:rsidR="009F59B4" w:rsidRPr="00523556">
        <w:rPr>
          <w:rFonts w:ascii="Times New Roman" w:hAnsi="Times New Roman" w:cs="Times New Roman"/>
        </w:rPr>
        <w:t xml:space="preserve">make the comparison less clear-cut. </w:t>
      </w:r>
      <w:r w:rsidR="008901AB" w:rsidRPr="00523556">
        <w:rPr>
          <w:rFonts w:ascii="Times New Roman" w:hAnsi="Times New Roman" w:cs="Times New Roman"/>
        </w:rPr>
        <w:t>For example, a</w:t>
      </w:r>
      <w:r w:rsidR="00875A5F" w:rsidRPr="00523556">
        <w:rPr>
          <w:rFonts w:ascii="Times New Roman" w:hAnsi="Times New Roman" w:cs="Times New Roman"/>
        </w:rPr>
        <w:t xml:space="preserve"> standard feature of </w:t>
      </w:r>
      <w:r w:rsidR="00987EF8" w:rsidRPr="00523556">
        <w:rPr>
          <w:rFonts w:ascii="Times New Roman" w:hAnsi="Times New Roman" w:cs="Times New Roman"/>
        </w:rPr>
        <w:t>semi</w:t>
      </w:r>
      <w:r w:rsidR="00875A5F" w:rsidRPr="00523556">
        <w:rPr>
          <w:rFonts w:ascii="Times New Roman" w:hAnsi="Times New Roman" w:cs="Times New Roman"/>
        </w:rPr>
        <w:t xml:space="preserve">-concessional borrowing </w:t>
      </w:r>
      <w:r w:rsidR="00B00766" w:rsidRPr="00523556">
        <w:rPr>
          <w:rFonts w:ascii="Times New Roman" w:hAnsi="Times New Roman" w:cs="Times New Roman"/>
        </w:rPr>
        <w:t>looks</w:t>
      </w:r>
      <w:r w:rsidR="00875A5F" w:rsidRPr="00523556">
        <w:rPr>
          <w:rFonts w:ascii="Times New Roman" w:hAnsi="Times New Roman" w:cs="Times New Roman"/>
        </w:rPr>
        <w:t xml:space="preserve"> to be that it</w:t>
      </w:r>
      <w:r w:rsidR="00A40F52" w:rsidRPr="00523556">
        <w:rPr>
          <w:rFonts w:ascii="Times New Roman" w:hAnsi="Times New Roman" w:cs="Times New Roman"/>
        </w:rPr>
        <w:t xml:space="preserve"> is attached</w:t>
      </w:r>
      <w:r w:rsidR="00875A5F" w:rsidRPr="00523556">
        <w:rPr>
          <w:rFonts w:ascii="Times New Roman" w:hAnsi="Times New Roman" w:cs="Times New Roman"/>
        </w:rPr>
        <w:t xml:space="preserve"> </w:t>
      </w:r>
      <w:r w:rsidR="00A40F52" w:rsidRPr="00523556">
        <w:rPr>
          <w:rFonts w:ascii="Times New Roman" w:hAnsi="Times New Roman" w:cs="Times New Roman"/>
        </w:rPr>
        <w:t xml:space="preserve">to </w:t>
      </w:r>
      <w:r w:rsidR="00875A5F" w:rsidRPr="00523556">
        <w:rPr>
          <w:rFonts w:ascii="Times New Roman" w:hAnsi="Times New Roman" w:cs="Times New Roman"/>
        </w:rPr>
        <w:t>specific projects</w:t>
      </w:r>
      <w:r w:rsidR="008901AB" w:rsidRPr="00523556">
        <w:rPr>
          <w:rFonts w:ascii="Times New Roman" w:hAnsi="Times New Roman" w:cs="Times New Roman"/>
        </w:rPr>
        <w:t>, meaning it comes with less flexibility</w:t>
      </w:r>
      <w:r w:rsidR="00C41250" w:rsidRPr="00523556">
        <w:rPr>
          <w:rFonts w:ascii="Times New Roman" w:hAnsi="Times New Roman" w:cs="Times New Roman"/>
        </w:rPr>
        <w:t>.</w:t>
      </w:r>
      <w:r w:rsidR="008901AB" w:rsidRPr="00523556">
        <w:rPr>
          <w:rStyle w:val="FootnoteReference"/>
          <w:rFonts w:ascii="Times New Roman" w:hAnsi="Times New Roman" w:cs="Times New Roman"/>
        </w:rPr>
        <w:footnoteReference w:id="81"/>
      </w:r>
      <w:r w:rsidR="00C41250" w:rsidRPr="00523556">
        <w:rPr>
          <w:rFonts w:ascii="Times New Roman" w:hAnsi="Times New Roman" w:cs="Times New Roman"/>
        </w:rPr>
        <w:t xml:space="preserve"> </w:t>
      </w:r>
      <w:r w:rsidR="0000031A" w:rsidRPr="00523556">
        <w:rPr>
          <w:rFonts w:ascii="Times New Roman" w:hAnsi="Times New Roman" w:cs="Times New Roman"/>
        </w:rPr>
        <w:t xml:space="preserve">More substantively, semi-concessional lending can </w:t>
      </w:r>
      <w:r w:rsidR="00117F24" w:rsidRPr="00523556">
        <w:rPr>
          <w:rFonts w:ascii="Times New Roman" w:hAnsi="Times New Roman" w:cs="Times New Roman"/>
        </w:rPr>
        <w:t xml:space="preserve">also </w:t>
      </w:r>
      <w:r w:rsidR="00525D63" w:rsidRPr="00523556">
        <w:rPr>
          <w:rFonts w:ascii="Times New Roman" w:hAnsi="Times New Roman" w:cs="Times New Roman"/>
        </w:rPr>
        <w:t xml:space="preserve">take the form of </w:t>
      </w:r>
      <w:r w:rsidR="00875A5F" w:rsidRPr="00523556">
        <w:rPr>
          <w:rFonts w:ascii="Times New Roman" w:hAnsi="Times New Roman" w:cs="Times New Roman"/>
        </w:rPr>
        <w:t>tied</w:t>
      </w:r>
      <w:r w:rsidR="00525D63" w:rsidRPr="00523556">
        <w:rPr>
          <w:rFonts w:ascii="Times New Roman" w:hAnsi="Times New Roman" w:cs="Times New Roman"/>
        </w:rPr>
        <w:t xml:space="preserve"> aid</w:t>
      </w:r>
      <w:r w:rsidR="00C41250" w:rsidRPr="00523556">
        <w:rPr>
          <w:rFonts w:ascii="Times New Roman" w:hAnsi="Times New Roman" w:cs="Times New Roman"/>
        </w:rPr>
        <w:t xml:space="preserve">; </w:t>
      </w:r>
      <w:r w:rsidR="0000031A" w:rsidRPr="00523556">
        <w:rPr>
          <w:rFonts w:ascii="Times New Roman" w:hAnsi="Times New Roman" w:cs="Times New Roman"/>
        </w:rPr>
        <w:t>where there is no</w:t>
      </w:r>
      <w:r w:rsidR="00525D63" w:rsidRPr="00523556">
        <w:rPr>
          <w:rFonts w:ascii="Times New Roman" w:hAnsi="Times New Roman" w:cs="Times New Roman"/>
        </w:rPr>
        <w:t xml:space="preserve"> competitive public procurement </w:t>
      </w:r>
      <w:r w:rsidR="0000031A" w:rsidRPr="00523556">
        <w:rPr>
          <w:rFonts w:ascii="Times New Roman" w:hAnsi="Times New Roman" w:cs="Times New Roman"/>
        </w:rPr>
        <w:t xml:space="preserve">or </w:t>
      </w:r>
      <w:r w:rsidR="00525D63" w:rsidRPr="00523556">
        <w:rPr>
          <w:rFonts w:ascii="Times New Roman" w:hAnsi="Times New Roman" w:cs="Times New Roman"/>
        </w:rPr>
        <w:t xml:space="preserve">independent evaluation, </w:t>
      </w:r>
      <w:r w:rsidR="0000031A" w:rsidRPr="00523556">
        <w:rPr>
          <w:rFonts w:ascii="Times New Roman" w:hAnsi="Times New Roman" w:cs="Times New Roman"/>
        </w:rPr>
        <w:t xml:space="preserve">it is </w:t>
      </w:r>
      <w:r w:rsidR="00525D63" w:rsidRPr="00523556">
        <w:rPr>
          <w:rFonts w:ascii="Times New Roman" w:hAnsi="Times New Roman" w:cs="Times New Roman"/>
        </w:rPr>
        <w:t>not possible to determine the true financing cost</w:t>
      </w:r>
      <w:r w:rsidR="00BF14D2" w:rsidRPr="00523556">
        <w:rPr>
          <w:rFonts w:ascii="Times New Roman" w:hAnsi="Times New Roman" w:cs="Times New Roman"/>
        </w:rPr>
        <w:t xml:space="preserve"> and degree of concessionality</w:t>
      </w:r>
      <w:r w:rsidR="00525D63" w:rsidRPr="00523556">
        <w:rPr>
          <w:rFonts w:ascii="Times New Roman" w:hAnsi="Times New Roman" w:cs="Times New Roman"/>
        </w:rPr>
        <w:t>.</w:t>
      </w:r>
      <w:r w:rsidR="00B00766" w:rsidRPr="00523556">
        <w:rPr>
          <w:rFonts w:ascii="Times New Roman" w:hAnsi="Times New Roman" w:cs="Times New Roman"/>
        </w:rPr>
        <w:t xml:space="preserve"> </w:t>
      </w:r>
    </w:p>
    <w:p w:rsidR="00657893" w:rsidRPr="00523556" w:rsidRDefault="0000031A" w:rsidP="00293777">
      <w:pPr>
        <w:rPr>
          <w:rFonts w:ascii="Times New Roman" w:hAnsi="Times New Roman" w:cs="Times New Roman"/>
        </w:rPr>
      </w:pPr>
      <w:r w:rsidRPr="00523556">
        <w:rPr>
          <w:rFonts w:ascii="Times New Roman" w:hAnsi="Times New Roman" w:cs="Times New Roman"/>
        </w:rPr>
        <w:t>I</w:t>
      </w:r>
      <w:r w:rsidR="001455BC" w:rsidRPr="00523556">
        <w:rPr>
          <w:rFonts w:ascii="Times New Roman" w:hAnsi="Times New Roman" w:cs="Times New Roman"/>
        </w:rPr>
        <w:t>n contrast to the predicted decline in</w:t>
      </w:r>
      <w:r w:rsidR="001277F5" w:rsidRPr="00523556">
        <w:rPr>
          <w:rFonts w:ascii="Times New Roman" w:hAnsi="Times New Roman" w:cs="Times New Roman"/>
        </w:rPr>
        <w:t xml:space="preserve"> concessional loan</w:t>
      </w:r>
      <w:r w:rsidR="005250B7" w:rsidRPr="00523556">
        <w:rPr>
          <w:rFonts w:ascii="Times New Roman" w:hAnsi="Times New Roman" w:cs="Times New Roman"/>
        </w:rPr>
        <w:t xml:space="preserve"> availability</w:t>
      </w:r>
      <w:r w:rsidR="001277F5" w:rsidRPr="00523556">
        <w:rPr>
          <w:rFonts w:ascii="Times New Roman" w:hAnsi="Times New Roman" w:cs="Times New Roman"/>
        </w:rPr>
        <w:t xml:space="preserve">, </w:t>
      </w:r>
      <w:r w:rsidR="00987EF8" w:rsidRPr="00523556">
        <w:rPr>
          <w:rFonts w:ascii="Times New Roman" w:hAnsi="Times New Roman" w:cs="Times New Roman"/>
        </w:rPr>
        <w:t>semi</w:t>
      </w:r>
      <w:r w:rsidR="00A27E77" w:rsidRPr="00523556">
        <w:rPr>
          <w:rFonts w:ascii="Times New Roman" w:hAnsi="Times New Roman" w:cs="Times New Roman"/>
        </w:rPr>
        <w:t>-concessional financing is emerging as an increasingly</w:t>
      </w:r>
      <w:r w:rsidR="00117F24" w:rsidRPr="00523556">
        <w:rPr>
          <w:rFonts w:ascii="Times New Roman" w:hAnsi="Times New Roman" w:cs="Times New Roman"/>
        </w:rPr>
        <w:t>-</w:t>
      </w:r>
      <w:r w:rsidR="00A27E77" w:rsidRPr="00523556">
        <w:rPr>
          <w:rFonts w:ascii="Times New Roman" w:hAnsi="Times New Roman" w:cs="Times New Roman"/>
        </w:rPr>
        <w:t>important source of potential financing</w:t>
      </w:r>
      <w:r w:rsidR="005250B7" w:rsidRPr="00523556">
        <w:rPr>
          <w:rFonts w:ascii="Times New Roman" w:hAnsi="Times New Roman" w:cs="Times New Roman"/>
        </w:rPr>
        <w:t xml:space="preserve"> – although t</w:t>
      </w:r>
      <w:r w:rsidR="001277F5" w:rsidRPr="00523556">
        <w:rPr>
          <w:rFonts w:ascii="Times New Roman" w:hAnsi="Times New Roman" w:cs="Times New Roman"/>
        </w:rPr>
        <w:t xml:space="preserve">here </w:t>
      </w:r>
      <w:r w:rsidR="00117F24" w:rsidRPr="00523556">
        <w:rPr>
          <w:rFonts w:ascii="Times New Roman" w:hAnsi="Times New Roman" w:cs="Times New Roman"/>
        </w:rPr>
        <w:t>remains</w:t>
      </w:r>
      <w:r w:rsidR="001277F5" w:rsidRPr="00523556">
        <w:rPr>
          <w:rFonts w:ascii="Times New Roman" w:hAnsi="Times New Roman" w:cs="Times New Roman"/>
        </w:rPr>
        <w:t xml:space="preserve"> significant uncertainty over what levels may be available.</w:t>
      </w:r>
    </w:p>
    <w:p w:rsidR="00047BE9" w:rsidRPr="00523556" w:rsidRDefault="00DD7CB6" w:rsidP="00DD7CB6">
      <w:pPr>
        <w:pStyle w:val="Heading2"/>
        <w:rPr>
          <w:rFonts w:ascii="Times New Roman" w:hAnsi="Times New Roman" w:cs="Times New Roman"/>
        </w:rPr>
      </w:pPr>
      <w:bookmarkStart w:id="12" w:name="_Toc383757443"/>
      <w:r w:rsidRPr="00523556">
        <w:rPr>
          <w:rFonts w:ascii="Times New Roman" w:hAnsi="Times New Roman" w:cs="Times New Roman"/>
        </w:rPr>
        <w:lastRenderedPageBreak/>
        <w:t xml:space="preserve">2.6 </w:t>
      </w:r>
      <w:r w:rsidR="00C8140C" w:rsidRPr="00523556">
        <w:rPr>
          <w:rFonts w:ascii="Times New Roman" w:hAnsi="Times New Roman" w:cs="Times New Roman"/>
        </w:rPr>
        <w:t>GoU savings (</w:t>
      </w:r>
      <w:r w:rsidR="00047BE9" w:rsidRPr="00523556">
        <w:rPr>
          <w:rFonts w:ascii="Times New Roman" w:hAnsi="Times New Roman" w:cs="Times New Roman"/>
        </w:rPr>
        <w:t>Bank of Uganda Financing</w:t>
      </w:r>
      <w:r w:rsidR="00C8140C" w:rsidRPr="00523556">
        <w:rPr>
          <w:rFonts w:ascii="Times New Roman" w:hAnsi="Times New Roman" w:cs="Times New Roman"/>
        </w:rPr>
        <w:t>)</w:t>
      </w:r>
      <w:r w:rsidR="00F12132" w:rsidRPr="00523556">
        <w:rPr>
          <w:rStyle w:val="FootnoteReference"/>
          <w:rFonts w:ascii="Times New Roman" w:hAnsi="Times New Roman" w:cs="Times New Roman"/>
        </w:rPr>
        <w:footnoteReference w:id="82"/>
      </w:r>
      <w:bookmarkEnd w:id="12"/>
    </w:p>
    <w:p w:rsidR="0084361A" w:rsidRPr="00523556" w:rsidRDefault="001465A1" w:rsidP="002C2BD5">
      <w:pPr>
        <w:jc w:val="both"/>
        <w:rPr>
          <w:rFonts w:ascii="Times New Roman" w:hAnsi="Times New Roman" w:cs="Times New Roman"/>
        </w:rPr>
      </w:pPr>
      <w:r w:rsidRPr="00523556">
        <w:rPr>
          <w:rFonts w:ascii="Times New Roman" w:hAnsi="Times New Roman" w:cs="Times New Roman"/>
        </w:rPr>
        <w:t>As of end-FY12/13, GoU had net savings at the BoU of Shs.</w:t>
      </w:r>
      <w:r w:rsidR="005154A5" w:rsidRPr="00523556">
        <w:rPr>
          <w:rFonts w:ascii="Times New Roman" w:hAnsi="Times New Roman" w:cs="Times New Roman"/>
        </w:rPr>
        <w:t>2.9</w:t>
      </w:r>
      <w:r w:rsidRPr="00523556">
        <w:rPr>
          <w:rFonts w:ascii="Times New Roman" w:hAnsi="Times New Roman" w:cs="Times New Roman"/>
        </w:rPr>
        <w:t xml:space="preserve"> trillion</w:t>
      </w:r>
      <w:r w:rsidR="002C2BD5" w:rsidRPr="00523556">
        <w:rPr>
          <w:rFonts w:ascii="Times New Roman" w:hAnsi="Times New Roman" w:cs="Times New Roman"/>
        </w:rPr>
        <w:t xml:space="preserve"> </w:t>
      </w:r>
      <w:r w:rsidR="005154A5" w:rsidRPr="00523556">
        <w:rPr>
          <w:rFonts w:ascii="Times New Roman" w:hAnsi="Times New Roman" w:cs="Times New Roman"/>
        </w:rPr>
        <w:t>(equivalent to 5</w:t>
      </w:r>
      <w:r w:rsidR="004B483B" w:rsidRPr="00523556">
        <w:rPr>
          <w:rFonts w:ascii="Times New Roman" w:hAnsi="Times New Roman" w:cs="Times New Roman"/>
        </w:rPr>
        <w:t>.2</w:t>
      </w:r>
      <w:r w:rsidR="00E557B8" w:rsidRPr="00523556">
        <w:rPr>
          <w:rFonts w:ascii="Times New Roman" w:hAnsi="Times New Roman" w:cs="Times New Roman"/>
        </w:rPr>
        <w:t xml:space="preserve"> per cent</w:t>
      </w:r>
      <w:r w:rsidR="0091631E" w:rsidRPr="00523556">
        <w:rPr>
          <w:rFonts w:ascii="Times New Roman" w:hAnsi="Times New Roman" w:cs="Times New Roman"/>
        </w:rPr>
        <w:t xml:space="preserve"> of GDP)</w:t>
      </w:r>
      <w:r w:rsidR="00CC426E" w:rsidRPr="00523556">
        <w:rPr>
          <w:rStyle w:val="FootnoteReference"/>
          <w:rFonts w:ascii="Times New Roman" w:hAnsi="Times New Roman" w:cs="Times New Roman"/>
        </w:rPr>
        <w:footnoteReference w:id="83"/>
      </w:r>
      <w:r w:rsidR="0091631E" w:rsidRPr="00523556">
        <w:rPr>
          <w:rFonts w:ascii="Times New Roman" w:hAnsi="Times New Roman" w:cs="Times New Roman"/>
        </w:rPr>
        <w:t xml:space="preserve"> </w:t>
      </w:r>
      <w:r w:rsidR="002C2BD5" w:rsidRPr="00523556">
        <w:rPr>
          <w:rFonts w:ascii="Times New Roman" w:hAnsi="Times New Roman" w:cs="Times New Roman"/>
        </w:rPr>
        <w:t>– of which around Shs.1.6 trillion are from oil</w:t>
      </w:r>
      <w:r w:rsidR="00A1217F" w:rsidRPr="00523556">
        <w:rPr>
          <w:rFonts w:ascii="Times New Roman" w:hAnsi="Times New Roman" w:cs="Times New Roman"/>
        </w:rPr>
        <w:t>-related</w:t>
      </w:r>
      <w:r w:rsidR="002C2BD5" w:rsidRPr="00523556">
        <w:rPr>
          <w:rFonts w:ascii="Times New Roman" w:hAnsi="Times New Roman" w:cs="Times New Roman"/>
        </w:rPr>
        <w:t xml:space="preserve"> tax revenues</w:t>
      </w:r>
      <w:r w:rsidR="000C3B03" w:rsidRPr="00523556">
        <w:rPr>
          <w:rFonts w:ascii="Times New Roman" w:hAnsi="Times New Roman" w:cs="Times New Roman"/>
        </w:rPr>
        <w:t xml:space="preserve"> received to date</w:t>
      </w:r>
      <w:r w:rsidR="002C2BD5" w:rsidRPr="00523556">
        <w:rPr>
          <w:rFonts w:ascii="Times New Roman" w:hAnsi="Times New Roman" w:cs="Times New Roman"/>
        </w:rPr>
        <w:t>,</w:t>
      </w:r>
      <w:r w:rsidR="00E57DAA" w:rsidRPr="00523556">
        <w:rPr>
          <w:rStyle w:val="FootnoteReference"/>
          <w:rFonts w:ascii="Times New Roman" w:hAnsi="Times New Roman" w:cs="Times New Roman"/>
        </w:rPr>
        <w:footnoteReference w:id="84"/>
      </w:r>
      <w:r w:rsidR="002C2BD5" w:rsidRPr="00523556">
        <w:rPr>
          <w:rFonts w:ascii="Times New Roman" w:hAnsi="Times New Roman" w:cs="Times New Roman"/>
        </w:rPr>
        <w:t xml:space="preserve"> with the remainder largely accounted for by project funds</w:t>
      </w:r>
      <w:r w:rsidRPr="00523556">
        <w:rPr>
          <w:rFonts w:ascii="Times New Roman" w:hAnsi="Times New Roman" w:cs="Times New Roman"/>
        </w:rPr>
        <w:t>.</w:t>
      </w:r>
      <w:r w:rsidR="00240A9F" w:rsidRPr="00523556">
        <w:rPr>
          <w:rStyle w:val="FootnoteReference"/>
          <w:rFonts w:ascii="Times New Roman" w:hAnsi="Times New Roman" w:cs="Times New Roman"/>
        </w:rPr>
        <w:footnoteReference w:id="85"/>
      </w:r>
      <w:r w:rsidR="00B21F88" w:rsidRPr="00523556">
        <w:rPr>
          <w:rFonts w:ascii="Times New Roman" w:hAnsi="Times New Roman" w:cs="Times New Roman"/>
        </w:rPr>
        <w:t xml:space="preserve"> </w:t>
      </w:r>
      <w:r w:rsidR="00D52637" w:rsidRPr="00523556">
        <w:rPr>
          <w:rFonts w:ascii="Times New Roman" w:hAnsi="Times New Roman" w:cs="Times New Roman"/>
        </w:rPr>
        <w:t>As</w:t>
      </w:r>
      <w:r w:rsidR="00650B1C" w:rsidRPr="00523556">
        <w:rPr>
          <w:rFonts w:ascii="Times New Roman" w:hAnsi="Times New Roman" w:cs="Times New Roman"/>
        </w:rPr>
        <w:t xml:space="preserve"> using </w:t>
      </w:r>
      <w:r w:rsidR="00B21F88" w:rsidRPr="00523556">
        <w:rPr>
          <w:rFonts w:ascii="Times New Roman" w:hAnsi="Times New Roman" w:cs="Times New Roman"/>
        </w:rPr>
        <w:t>these deposits</w:t>
      </w:r>
      <w:r w:rsidR="00E57DAA" w:rsidRPr="00523556">
        <w:rPr>
          <w:rFonts w:ascii="Times New Roman" w:hAnsi="Times New Roman" w:cs="Times New Roman"/>
        </w:rPr>
        <w:t xml:space="preserve"> </w:t>
      </w:r>
      <w:r w:rsidR="00D52637" w:rsidRPr="00523556">
        <w:rPr>
          <w:rFonts w:ascii="Times New Roman" w:hAnsi="Times New Roman" w:cs="Times New Roman"/>
        </w:rPr>
        <w:t xml:space="preserve">in effect </w:t>
      </w:r>
      <w:r w:rsidR="00650B1C" w:rsidRPr="00523556">
        <w:rPr>
          <w:rFonts w:ascii="Times New Roman" w:hAnsi="Times New Roman" w:cs="Times New Roman"/>
        </w:rPr>
        <w:t>dis</w:t>
      </w:r>
      <w:r w:rsidR="009B085B" w:rsidRPr="00523556">
        <w:rPr>
          <w:rFonts w:ascii="Times New Roman" w:hAnsi="Times New Roman" w:cs="Times New Roman"/>
        </w:rPr>
        <w:t>place</w:t>
      </w:r>
      <w:r w:rsidR="00D52637" w:rsidRPr="00523556">
        <w:rPr>
          <w:rFonts w:ascii="Times New Roman" w:hAnsi="Times New Roman" w:cs="Times New Roman"/>
        </w:rPr>
        <w:t>s</w:t>
      </w:r>
      <w:r w:rsidR="009B085B" w:rsidRPr="00523556">
        <w:rPr>
          <w:rFonts w:ascii="Times New Roman" w:hAnsi="Times New Roman" w:cs="Times New Roman"/>
        </w:rPr>
        <w:t xml:space="preserve"> </w:t>
      </w:r>
      <w:r w:rsidR="00B21F88" w:rsidRPr="00523556">
        <w:rPr>
          <w:rFonts w:ascii="Times New Roman" w:hAnsi="Times New Roman" w:cs="Times New Roman"/>
        </w:rPr>
        <w:t xml:space="preserve">the need for an equivalent amount of </w:t>
      </w:r>
      <w:r w:rsidR="00D52637" w:rsidRPr="00523556">
        <w:rPr>
          <w:rFonts w:ascii="Times New Roman" w:hAnsi="Times New Roman" w:cs="Times New Roman"/>
        </w:rPr>
        <w:t xml:space="preserve">debt issuance on which GoU would need to pay </w:t>
      </w:r>
      <w:r w:rsidR="00B21F88" w:rsidRPr="00523556">
        <w:rPr>
          <w:rFonts w:ascii="Times New Roman" w:hAnsi="Times New Roman" w:cs="Times New Roman"/>
        </w:rPr>
        <w:t>interest</w:t>
      </w:r>
      <w:r w:rsidR="00650B1C" w:rsidRPr="00523556">
        <w:rPr>
          <w:rFonts w:ascii="Times New Roman" w:hAnsi="Times New Roman" w:cs="Times New Roman"/>
        </w:rPr>
        <w:t>,</w:t>
      </w:r>
      <w:r w:rsidR="00A50E91" w:rsidRPr="00523556">
        <w:rPr>
          <w:rFonts w:ascii="Times New Roman" w:hAnsi="Times New Roman" w:cs="Times New Roman"/>
        </w:rPr>
        <w:t xml:space="preserve"> </w:t>
      </w:r>
      <w:r w:rsidR="0084361A" w:rsidRPr="00523556">
        <w:rPr>
          <w:rFonts w:ascii="Times New Roman" w:hAnsi="Times New Roman" w:cs="Times New Roman"/>
        </w:rPr>
        <w:t xml:space="preserve">there is a strong argument that </w:t>
      </w:r>
      <w:r w:rsidR="00A50E91" w:rsidRPr="00523556">
        <w:rPr>
          <w:rFonts w:ascii="Times New Roman" w:hAnsi="Times New Roman" w:cs="Times New Roman"/>
        </w:rPr>
        <w:t>thes</w:t>
      </w:r>
      <w:r w:rsidR="00B21F88" w:rsidRPr="00523556">
        <w:rPr>
          <w:rFonts w:ascii="Times New Roman" w:hAnsi="Times New Roman" w:cs="Times New Roman"/>
        </w:rPr>
        <w:t>e</w:t>
      </w:r>
      <w:r w:rsidR="00321BBB" w:rsidRPr="00523556">
        <w:rPr>
          <w:rFonts w:ascii="Times New Roman" w:hAnsi="Times New Roman" w:cs="Times New Roman"/>
        </w:rPr>
        <w:t xml:space="preserve"> </w:t>
      </w:r>
      <w:r w:rsidR="00A50E91" w:rsidRPr="00523556">
        <w:rPr>
          <w:rFonts w:ascii="Times New Roman" w:hAnsi="Times New Roman" w:cs="Times New Roman"/>
        </w:rPr>
        <w:t xml:space="preserve">should be drawn </w:t>
      </w:r>
      <w:r w:rsidR="00650B1C" w:rsidRPr="00523556">
        <w:rPr>
          <w:rFonts w:ascii="Times New Roman" w:hAnsi="Times New Roman" w:cs="Times New Roman"/>
        </w:rPr>
        <w:t xml:space="preserve">down </w:t>
      </w:r>
      <w:r w:rsidR="00B21F88" w:rsidRPr="00523556">
        <w:rPr>
          <w:rFonts w:ascii="Times New Roman" w:hAnsi="Times New Roman" w:cs="Times New Roman"/>
        </w:rPr>
        <w:t>as quickly as possible</w:t>
      </w:r>
      <w:r w:rsidR="002F4A11" w:rsidRPr="00523556">
        <w:rPr>
          <w:rStyle w:val="FootnoteReference"/>
          <w:rFonts w:ascii="Times New Roman" w:hAnsi="Times New Roman" w:cs="Times New Roman"/>
        </w:rPr>
        <w:footnoteReference w:id="86"/>
      </w:r>
      <w:r w:rsidR="0098014F" w:rsidRPr="00523556">
        <w:rPr>
          <w:rStyle w:val="FootnoteReference"/>
          <w:rFonts w:ascii="Times New Roman" w:hAnsi="Times New Roman" w:cs="Times New Roman"/>
        </w:rPr>
        <w:footnoteReference w:id="87"/>
      </w:r>
      <w:r w:rsidR="001C64BD" w:rsidRPr="00523556">
        <w:rPr>
          <w:rFonts w:ascii="Times New Roman" w:hAnsi="Times New Roman" w:cs="Times New Roman"/>
        </w:rPr>
        <w:t xml:space="preserve"> – subject to monetary policy considerations.</w:t>
      </w:r>
      <w:r w:rsidR="0084361A" w:rsidRPr="00523556">
        <w:rPr>
          <w:rFonts w:ascii="Times New Roman" w:hAnsi="Times New Roman" w:cs="Times New Roman"/>
        </w:rPr>
        <w:t xml:space="preserve"> </w:t>
      </w:r>
    </w:p>
    <w:p w:rsidR="009A4856" w:rsidRPr="00523556" w:rsidRDefault="0084361A" w:rsidP="002C2BD5">
      <w:pPr>
        <w:jc w:val="both"/>
        <w:rPr>
          <w:rFonts w:ascii="Times New Roman" w:hAnsi="Times New Roman" w:cs="Times New Roman"/>
        </w:rPr>
      </w:pPr>
      <w:r w:rsidRPr="00523556">
        <w:rPr>
          <w:rFonts w:ascii="Times New Roman" w:hAnsi="Times New Roman" w:cs="Times New Roman"/>
        </w:rPr>
        <w:t xml:space="preserve">The key constraint </w:t>
      </w:r>
      <w:r w:rsidR="009A4856" w:rsidRPr="00523556">
        <w:rPr>
          <w:rFonts w:ascii="Times New Roman" w:hAnsi="Times New Roman" w:cs="Times New Roman"/>
        </w:rPr>
        <w:t xml:space="preserve">to consider </w:t>
      </w:r>
      <w:r w:rsidRPr="00523556">
        <w:rPr>
          <w:rFonts w:ascii="Times New Roman" w:hAnsi="Times New Roman" w:cs="Times New Roman"/>
        </w:rPr>
        <w:t xml:space="preserve">on the speed of draw-down is the impact on liquidity and </w:t>
      </w:r>
      <w:r w:rsidR="009A4856" w:rsidRPr="00523556">
        <w:rPr>
          <w:rFonts w:ascii="Times New Roman" w:hAnsi="Times New Roman" w:cs="Times New Roman"/>
        </w:rPr>
        <w:t>monetary policy operations</w:t>
      </w:r>
      <w:r w:rsidRPr="00523556">
        <w:rPr>
          <w:rFonts w:ascii="Times New Roman" w:hAnsi="Times New Roman" w:cs="Times New Roman"/>
        </w:rPr>
        <w:t xml:space="preserve">. </w:t>
      </w:r>
      <w:r w:rsidR="00E819B9" w:rsidRPr="00523556">
        <w:rPr>
          <w:rFonts w:ascii="Times New Roman" w:hAnsi="Times New Roman" w:cs="Times New Roman"/>
        </w:rPr>
        <w:t xml:space="preserve">Drawing down </w:t>
      </w:r>
      <w:r w:rsidRPr="00523556">
        <w:rPr>
          <w:rFonts w:ascii="Times New Roman" w:hAnsi="Times New Roman" w:cs="Times New Roman"/>
        </w:rPr>
        <w:t>dollar-denominated deposit</w:t>
      </w:r>
      <w:r w:rsidR="009A4856" w:rsidRPr="00523556">
        <w:rPr>
          <w:rFonts w:ascii="Times New Roman" w:hAnsi="Times New Roman" w:cs="Times New Roman"/>
        </w:rPr>
        <w:t>s</w:t>
      </w:r>
      <w:r w:rsidRPr="00523556">
        <w:rPr>
          <w:rFonts w:ascii="Times New Roman" w:hAnsi="Times New Roman" w:cs="Times New Roman"/>
        </w:rPr>
        <w:t xml:space="preserve"> to finance import-intensive expenditure (such as </w:t>
      </w:r>
      <w:r w:rsidR="00E819B9" w:rsidRPr="00523556">
        <w:rPr>
          <w:rFonts w:ascii="Times New Roman" w:hAnsi="Times New Roman" w:cs="Times New Roman"/>
        </w:rPr>
        <w:t xml:space="preserve">major infrastructure projects) should have a minimal impact on domestic </w:t>
      </w:r>
      <w:r w:rsidR="009A4856" w:rsidRPr="00523556">
        <w:rPr>
          <w:rFonts w:ascii="Times New Roman" w:hAnsi="Times New Roman" w:cs="Times New Roman"/>
        </w:rPr>
        <w:t>liquidity</w:t>
      </w:r>
      <w:r w:rsidRPr="00523556">
        <w:rPr>
          <w:rFonts w:ascii="Times New Roman" w:hAnsi="Times New Roman" w:cs="Times New Roman"/>
        </w:rPr>
        <w:t xml:space="preserve">. </w:t>
      </w:r>
      <w:r w:rsidR="009A4856" w:rsidRPr="00523556">
        <w:rPr>
          <w:rFonts w:ascii="Times New Roman" w:hAnsi="Times New Roman" w:cs="Times New Roman"/>
        </w:rPr>
        <w:t>In contrast</w:t>
      </w:r>
      <w:r w:rsidR="001C64BD" w:rsidRPr="00523556">
        <w:rPr>
          <w:rFonts w:ascii="Times New Roman" w:hAnsi="Times New Roman" w:cs="Times New Roman"/>
        </w:rPr>
        <w:t xml:space="preserve"> however</w:t>
      </w:r>
      <w:r w:rsidR="009A4856" w:rsidRPr="00523556">
        <w:rPr>
          <w:rFonts w:ascii="Times New Roman" w:hAnsi="Times New Roman" w:cs="Times New Roman"/>
        </w:rPr>
        <w:t xml:space="preserve">, </w:t>
      </w:r>
      <w:r w:rsidR="00E819B9" w:rsidRPr="00523556">
        <w:rPr>
          <w:rFonts w:ascii="Times New Roman" w:hAnsi="Times New Roman" w:cs="Times New Roman"/>
        </w:rPr>
        <w:t xml:space="preserve">when GoU draws down </w:t>
      </w:r>
      <w:r w:rsidR="009A4856" w:rsidRPr="00523556">
        <w:rPr>
          <w:rFonts w:ascii="Times New Roman" w:hAnsi="Times New Roman" w:cs="Times New Roman"/>
        </w:rPr>
        <w:t xml:space="preserve">Shilling deposits </w:t>
      </w:r>
      <w:r w:rsidR="006C2F79" w:rsidRPr="00523556">
        <w:rPr>
          <w:rFonts w:ascii="Times New Roman" w:hAnsi="Times New Roman" w:cs="Times New Roman"/>
        </w:rPr>
        <w:t xml:space="preserve">held </w:t>
      </w:r>
      <w:r w:rsidR="00E819B9" w:rsidRPr="00523556">
        <w:rPr>
          <w:rFonts w:ascii="Times New Roman" w:hAnsi="Times New Roman" w:cs="Times New Roman"/>
        </w:rPr>
        <w:t>at BoU</w:t>
      </w:r>
      <w:r w:rsidR="004F06B9" w:rsidRPr="00523556">
        <w:rPr>
          <w:rFonts w:ascii="Times New Roman" w:hAnsi="Times New Roman" w:cs="Times New Roman"/>
        </w:rPr>
        <w:t xml:space="preserve"> and </w:t>
      </w:r>
      <w:r w:rsidR="00D57C40" w:rsidRPr="00523556">
        <w:rPr>
          <w:rFonts w:ascii="Times New Roman" w:hAnsi="Times New Roman" w:cs="Times New Roman"/>
        </w:rPr>
        <w:t>uses</w:t>
      </w:r>
      <w:r w:rsidR="004F06B9" w:rsidRPr="00523556">
        <w:rPr>
          <w:rFonts w:ascii="Times New Roman" w:hAnsi="Times New Roman" w:cs="Times New Roman"/>
        </w:rPr>
        <w:t xml:space="preserve"> these </w:t>
      </w:r>
      <w:r w:rsidR="00D57C40" w:rsidRPr="00523556">
        <w:rPr>
          <w:rFonts w:ascii="Times New Roman" w:hAnsi="Times New Roman" w:cs="Times New Roman"/>
        </w:rPr>
        <w:t xml:space="preserve">for </w:t>
      </w:r>
      <w:r w:rsidR="004F06B9" w:rsidRPr="00523556">
        <w:rPr>
          <w:rFonts w:ascii="Times New Roman" w:hAnsi="Times New Roman" w:cs="Times New Roman"/>
        </w:rPr>
        <w:t>Shilling-denominated expenditure</w:t>
      </w:r>
      <w:r w:rsidR="00E819B9" w:rsidRPr="00523556">
        <w:rPr>
          <w:rFonts w:ascii="Times New Roman" w:hAnsi="Times New Roman" w:cs="Times New Roman"/>
        </w:rPr>
        <w:t xml:space="preserve">, this </w:t>
      </w:r>
      <w:r w:rsidR="009A4856" w:rsidRPr="00523556">
        <w:rPr>
          <w:rFonts w:ascii="Times New Roman" w:hAnsi="Times New Roman" w:cs="Times New Roman"/>
        </w:rPr>
        <w:t>in effect raises the level of base money by an equivalent amount</w:t>
      </w:r>
      <w:r w:rsidR="00F11709" w:rsidRPr="00523556">
        <w:rPr>
          <w:rFonts w:ascii="Times New Roman" w:hAnsi="Times New Roman" w:cs="Times New Roman"/>
        </w:rPr>
        <w:t>.</w:t>
      </w:r>
      <w:r w:rsidR="006C2F79" w:rsidRPr="00523556">
        <w:rPr>
          <w:rStyle w:val="FootnoteReference"/>
          <w:rFonts w:ascii="Times New Roman" w:hAnsi="Times New Roman" w:cs="Times New Roman"/>
        </w:rPr>
        <w:footnoteReference w:id="88"/>
      </w:r>
      <w:r w:rsidR="00F11709" w:rsidRPr="00523556">
        <w:rPr>
          <w:rFonts w:ascii="Times New Roman" w:hAnsi="Times New Roman" w:cs="Times New Roman"/>
        </w:rPr>
        <w:t xml:space="preserve"> To ensure this does not risk driving core inflation above the BoU’s target of 5</w:t>
      </w:r>
      <w:r w:rsidR="00E557B8" w:rsidRPr="00523556">
        <w:rPr>
          <w:rFonts w:ascii="Times New Roman" w:hAnsi="Times New Roman" w:cs="Times New Roman"/>
        </w:rPr>
        <w:t xml:space="preserve"> per cent</w:t>
      </w:r>
      <w:r w:rsidR="00F11709" w:rsidRPr="00523556">
        <w:rPr>
          <w:rFonts w:ascii="Times New Roman" w:hAnsi="Times New Roman" w:cs="Times New Roman"/>
        </w:rPr>
        <w:t xml:space="preserve"> (and thus to avoid the interest costs that would </w:t>
      </w:r>
      <w:r w:rsidR="001C64BD" w:rsidRPr="00523556">
        <w:rPr>
          <w:rFonts w:ascii="Times New Roman" w:hAnsi="Times New Roman" w:cs="Times New Roman"/>
        </w:rPr>
        <w:t xml:space="preserve">need to be </w:t>
      </w:r>
      <w:r w:rsidR="00F11709" w:rsidRPr="00523556">
        <w:rPr>
          <w:rFonts w:ascii="Times New Roman" w:hAnsi="Times New Roman" w:cs="Times New Roman"/>
        </w:rPr>
        <w:t>incur</w:t>
      </w:r>
      <w:r w:rsidR="001C64BD" w:rsidRPr="00523556">
        <w:rPr>
          <w:rFonts w:ascii="Times New Roman" w:hAnsi="Times New Roman" w:cs="Times New Roman"/>
        </w:rPr>
        <w:t>red</w:t>
      </w:r>
      <w:r w:rsidR="00F11709" w:rsidRPr="00523556">
        <w:rPr>
          <w:rFonts w:ascii="Times New Roman" w:hAnsi="Times New Roman" w:cs="Times New Roman"/>
        </w:rPr>
        <w:t>, through repo operations or Treasury securities issuance</w:t>
      </w:r>
      <w:r w:rsidR="001C64BD" w:rsidRPr="00523556">
        <w:rPr>
          <w:rFonts w:ascii="Times New Roman" w:hAnsi="Times New Roman" w:cs="Times New Roman"/>
        </w:rPr>
        <w:t xml:space="preserve"> by the BoU</w:t>
      </w:r>
      <w:r w:rsidR="00F11709" w:rsidRPr="00523556">
        <w:rPr>
          <w:rFonts w:ascii="Times New Roman" w:hAnsi="Times New Roman" w:cs="Times New Roman"/>
        </w:rPr>
        <w:t xml:space="preserve">, to drain the excess liquidity), </w:t>
      </w:r>
      <w:r w:rsidR="00E819B9" w:rsidRPr="00523556">
        <w:rPr>
          <w:rFonts w:ascii="Times New Roman" w:hAnsi="Times New Roman" w:cs="Times New Roman"/>
        </w:rPr>
        <w:t xml:space="preserve">it </w:t>
      </w:r>
      <w:r w:rsidR="00F11709" w:rsidRPr="00523556">
        <w:rPr>
          <w:rFonts w:ascii="Times New Roman" w:hAnsi="Times New Roman" w:cs="Times New Roman"/>
        </w:rPr>
        <w:t xml:space="preserve">will be </w:t>
      </w:r>
      <w:r w:rsidR="00E819B9" w:rsidRPr="00523556">
        <w:rPr>
          <w:rFonts w:ascii="Times New Roman" w:hAnsi="Times New Roman" w:cs="Times New Roman"/>
        </w:rPr>
        <w:t xml:space="preserve">vital </w:t>
      </w:r>
      <w:r w:rsidR="00F11709" w:rsidRPr="00523556">
        <w:rPr>
          <w:rFonts w:ascii="Times New Roman" w:hAnsi="Times New Roman" w:cs="Times New Roman"/>
        </w:rPr>
        <w:t>for draw-downs to be carefully planned</w:t>
      </w:r>
      <w:r w:rsidR="006C2F79" w:rsidRPr="00523556">
        <w:rPr>
          <w:rFonts w:ascii="Times New Roman" w:hAnsi="Times New Roman" w:cs="Times New Roman"/>
        </w:rPr>
        <w:t xml:space="preserve"> –</w:t>
      </w:r>
      <w:r w:rsidR="00F11709" w:rsidRPr="00523556">
        <w:rPr>
          <w:rFonts w:ascii="Times New Roman" w:hAnsi="Times New Roman" w:cs="Times New Roman"/>
        </w:rPr>
        <w:t xml:space="preserve"> </w:t>
      </w:r>
      <w:r w:rsidR="006C2F79" w:rsidRPr="00523556">
        <w:rPr>
          <w:rFonts w:ascii="Times New Roman" w:hAnsi="Times New Roman" w:cs="Times New Roman"/>
        </w:rPr>
        <w:t xml:space="preserve">with full consideration of the liquidity implications, </w:t>
      </w:r>
      <w:r w:rsidR="00F11709" w:rsidRPr="00523556">
        <w:rPr>
          <w:rFonts w:ascii="Times New Roman" w:hAnsi="Times New Roman" w:cs="Times New Roman"/>
        </w:rPr>
        <w:t xml:space="preserve">and </w:t>
      </w:r>
      <w:r w:rsidR="006C2F79" w:rsidRPr="00523556">
        <w:rPr>
          <w:rFonts w:ascii="Times New Roman" w:hAnsi="Times New Roman" w:cs="Times New Roman"/>
        </w:rPr>
        <w:t>close coordination between the fiscal and monetary authorities on the precise size and timing.</w:t>
      </w:r>
      <w:r w:rsidR="00D57C40" w:rsidRPr="00523556">
        <w:rPr>
          <w:rStyle w:val="FootnoteReference"/>
          <w:rFonts w:ascii="Times New Roman" w:hAnsi="Times New Roman" w:cs="Times New Roman"/>
        </w:rPr>
        <w:footnoteReference w:id="89"/>
      </w:r>
      <w:r w:rsidR="00E819B9" w:rsidRPr="00523556">
        <w:rPr>
          <w:rFonts w:ascii="Times New Roman" w:hAnsi="Times New Roman" w:cs="Times New Roman"/>
        </w:rPr>
        <w:t xml:space="preserve"> </w:t>
      </w:r>
    </w:p>
    <w:p w:rsidR="00E7126B" w:rsidRPr="00523556" w:rsidRDefault="00E7126B" w:rsidP="0000453F">
      <w:pPr>
        <w:rPr>
          <w:rFonts w:ascii="Times New Roman" w:hAnsi="Times New Roman" w:cs="Times New Roman"/>
        </w:rPr>
      </w:pPr>
      <w:r w:rsidRPr="00523556">
        <w:rPr>
          <w:rFonts w:ascii="Times New Roman" w:hAnsi="Times New Roman" w:cs="Times New Roman"/>
        </w:rPr>
        <w:br w:type="page"/>
      </w:r>
    </w:p>
    <w:p w:rsidR="00664BB0" w:rsidRPr="00523556" w:rsidRDefault="00EC06C0" w:rsidP="0000453F">
      <w:pPr>
        <w:pStyle w:val="Heading1"/>
        <w:rPr>
          <w:rFonts w:ascii="Times New Roman" w:hAnsi="Times New Roman" w:cs="Times New Roman"/>
        </w:rPr>
      </w:pPr>
      <w:bookmarkStart w:id="13" w:name="_Toc383757444"/>
      <w:r w:rsidRPr="00523556">
        <w:rPr>
          <w:rFonts w:ascii="Times New Roman" w:hAnsi="Times New Roman" w:cs="Times New Roman"/>
        </w:rPr>
        <w:lastRenderedPageBreak/>
        <w:t>3</w:t>
      </w:r>
      <w:r w:rsidR="00D3222E" w:rsidRPr="00523556">
        <w:rPr>
          <w:rFonts w:ascii="Times New Roman" w:hAnsi="Times New Roman" w:cs="Times New Roman"/>
        </w:rPr>
        <w:t xml:space="preserve">. </w:t>
      </w:r>
      <w:r w:rsidR="00233DA2" w:rsidRPr="00523556">
        <w:rPr>
          <w:rFonts w:ascii="Times New Roman" w:hAnsi="Times New Roman" w:cs="Times New Roman"/>
        </w:rPr>
        <w:t>Forming</w:t>
      </w:r>
      <w:r w:rsidR="00CA1870" w:rsidRPr="00523556">
        <w:rPr>
          <w:rFonts w:ascii="Times New Roman" w:hAnsi="Times New Roman" w:cs="Times New Roman"/>
        </w:rPr>
        <w:t xml:space="preserve"> a F</w:t>
      </w:r>
      <w:r w:rsidR="00664BB0" w:rsidRPr="00523556">
        <w:rPr>
          <w:rFonts w:ascii="Times New Roman" w:hAnsi="Times New Roman" w:cs="Times New Roman"/>
        </w:rPr>
        <w:t xml:space="preserve">inancing </w:t>
      </w:r>
      <w:r w:rsidR="00CA1870" w:rsidRPr="00523556">
        <w:rPr>
          <w:rFonts w:ascii="Times New Roman" w:hAnsi="Times New Roman" w:cs="Times New Roman"/>
        </w:rPr>
        <w:t>S</w:t>
      </w:r>
      <w:r w:rsidR="00664BB0" w:rsidRPr="00523556">
        <w:rPr>
          <w:rFonts w:ascii="Times New Roman" w:hAnsi="Times New Roman" w:cs="Times New Roman"/>
        </w:rPr>
        <w:t>trategy</w:t>
      </w:r>
      <w:r w:rsidR="00E63250" w:rsidRPr="00523556">
        <w:rPr>
          <w:rFonts w:ascii="Times New Roman" w:hAnsi="Times New Roman" w:cs="Times New Roman"/>
        </w:rPr>
        <w:t>: Considerations</w:t>
      </w:r>
      <w:bookmarkEnd w:id="13"/>
      <w:r w:rsidR="00664BB0" w:rsidRPr="00523556">
        <w:rPr>
          <w:rFonts w:ascii="Times New Roman" w:hAnsi="Times New Roman" w:cs="Times New Roman"/>
        </w:rPr>
        <w:t xml:space="preserve"> </w:t>
      </w:r>
    </w:p>
    <w:p w:rsidR="00194DD8" w:rsidRPr="00523556" w:rsidRDefault="00944965" w:rsidP="00194DD8">
      <w:pPr>
        <w:pStyle w:val="Heading2"/>
        <w:rPr>
          <w:rFonts w:ascii="Times New Roman" w:hAnsi="Times New Roman" w:cs="Times New Roman"/>
        </w:rPr>
      </w:pPr>
      <w:bookmarkStart w:id="14" w:name="_Toc383757445"/>
      <w:r w:rsidRPr="00523556">
        <w:rPr>
          <w:rFonts w:ascii="Times New Roman" w:hAnsi="Times New Roman" w:cs="Times New Roman"/>
        </w:rPr>
        <w:t xml:space="preserve">3.1 </w:t>
      </w:r>
      <w:r w:rsidR="00410369" w:rsidRPr="00523556">
        <w:rPr>
          <w:rFonts w:ascii="Times New Roman" w:hAnsi="Times New Roman" w:cs="Times New Roman"/>
        </w:rPr>
        <w:t>Context</w:t>
      </w:r>
      <w:bookmarkEnd w:id="14"/>
    </w:p>
    <w:p w:rsidR="0047523B" w:rsidRPr="00523556" w:rsidRDefault="007C3468" w:rsidP="0047523B">
      <w:pPr>
        <w:jc w:val="both"/>
        <w:rPr>
          <w:rFonts w:ascii="Times New Roman" w:hAnsi="Times New Roman" w:cs="Times New Roman"/>
        </w:rPr>
      </w:pPr>
      <w:r w:rsidRPr="00523556">
        <w:rPr>
          <w:rFonts w:ascii="Times New Roman" w:hAnsi="Times New Roman" w:cs="Times New Roman"/>
        </w:rPr>
        <w:t xml:space="preserve">The government’s draft </w:t>
      </w:r>
      <w:r w:rsidR="00246897" w:rsidRPr="00523556">
        <w:rPr>
          <w:rFonts w:ascii="Times New Roman" w:hAnsi="Times New Roman" w:cs="Times New Roman"/>
        </w:rPr>
        <w:t xml:space="preserve">new </w:t>
      </w:r>
      <w:r w:rsidRPr="00523556">
        <w:rPr>
          <w:rFonts w:ascii="Times New Roman" w:hAnsi="Times New Roman" w:cs="Times New Roman"/>
          <w:i/>
        </w:rPr>
        <w:t xml:space="preserve">Public Debt </w:t>
      </w:r>
      <w:r w:rsidR="00246897" w:rsidRPr="00523556">
        <w:rPr>
          <w:rFonts w:ascii="Times New Roman" w:hAnsi="Times New Roman" w:cs="Times New Roman"/>
          <w:i/>
        </w:rPr>
        <w:t>Policy Framework</w:t>
      </w:r>
      <w:r w:rsidR="00C55FBB" w:rsidRPr="00523556">
        <w:rPr>
          <w:rFonts w:ascii="Times New Roman" w:hAnsi="Times New Roman" w:cs="Times New Roman"/>
        </w:rPr>
        <w:t xml:space="preserve"> (</w:t>
      </w:r>
      <w:r w:rsidRPr="00523556">
        <w:rPr>
          <w:rFonts w:ascii="Times New Roman" w:hAnsi="Times New Roman" w:cs="Times New Roman"/>
        </w:rPr>
        <w:t>PD</w:t>
      </w:r>
      <w:r w:rsidR="00246897" w:rsidRPr="00523556">
        <w:rPr>
          <w:rFonts w:ascii="Times New Roman" w:hAnsi="Times New Roman" w:cs="Times New Roman"/>
        </w:rPr>
        <w:t>PF</w:t>
      </w:r>
      <w:r w:rsidR="00C55FBB" w:rsidRPr="00523556">
        <w:rPr>
          <w:rFonts w:ascii="Times New Roman" w:hAnsi="Times New Roman" w:cs="Times New Roman"/>
        </w:rPr>
        <w:t>)</w:t>
      </w:r>
      <w:r w:rsidR="00397966" w:rsidRPr="00523556">
        <w:rPr>
          <w:rFonts w:ascii="Times New Roman" w:hAnsi="Times New Roman" w:cs="Times New Roman"/>
        </w:rPr>
        <w:t xml:space="preserve"> </w:t>
      </w:r>
      <w:r w:rsidR="00C55FBB" w:rsidRPr="00523556">
        <w:rPr>
          <w:rFonts w:ascii="Times New Roman" w:hAnsi="Times New Roman" w:cs="Times New Roman"/>
        </w:rPr>
        <w:t>lays</w:t>
      </w:r>
      <w:r w:rsidR="00397966" w:rsidRPr="00523556">
        <w:rPr>
          <w:rFonts w:ascii="Times New Roman" w:hAnsi="Times New Roman" w:cs="Times New Roman"/>
        </w:rPr>
        <w:t xml:space="preserve"> out </w:t>
      </w:r>
      <w:r w:rsidR="00F96D48" w:rsidRPr="00523556">
        <w:rPr>
          <w:rFonts w:ascii="Times New Roman" w:hAnsi="Times New Roman" w:cs="Times New Roman"/>
        </w:rPr>
        <w:t>GoU’s</w:t>
      </w:r>
      <w:r w:rsidR="00C55FBB" w:rsidRPr="00523556">
        <w:rPr>
          <w:rFonts w:ascii="Times New Roman" w:hAnsi="Times New Roman" w:cs="Times New Roman"/>
        </w:rPr>
        <w:t xml:space="preserve"> </w:t>
      </w:r>
      <w:r w:rsidR="00FE47CC" w:rsidRPr="00523556">
        <w:rPr>
          <w:rFonts w:ascii="Times New Roman" w:hAnsi="Times New Roman" w:cs="Times New Roman"/>
        </w:rPr>
        <w:t>overall policy, legal and institutional framework within which debt will be incurred, used and managed. Under the PDPF, GoU will each year publish a Medium Term Debt Management Strategy (MTDS)</w:t>
      </w:r>
      <w:r w:rsidR="00F96D48" w:rsidRPr="00523556">
        <w:rPr>
          <w:rFonts w:ascii="Times New Roman" w:hAnsi="Times New Roman" w:cs="Times New Roman"/>
        </w:rPr>
        <w:t xml:space="preserve">, which will set out </w:t>
      </w:r>
      <w:r w:rsidR="0047523B" w:rsidRPr="00523556">
        <w:rPr>
          <w:rFonts w:ascii="Times New Roman" w:hAnsi="Times New Roman" w:cs="Times New Roman"/>
        </w:rPr>
        <w:t xml:space="preserve">the broad financing plan it intends to implement to achieve its precise preferred </w:t>
      </w:r>
      <w:r w:rsidR="00495F4A" w:rsidRPr="00523556">
        <w:rPr>
          <w:rFonts w:ascii="Times New Roman" w:hAnsi="Times New Roman" w:cs="Times New Roman"/>
        </w:rPr>
        <w:t xml:space="preserve">debt </w:t>
      </w:r>
      <w:r w:rsidR="0047523B" w:rsidRPr="00523556">
        <w:rPr>
          <w:rFonts w:ascii="Times New Roman" w:hAnsi="Times New Roman" w:cs="Times New Roman"/>
        </w:rPr>
        <w:t xml:space="preserve">portfolio composition. </w:t>
      </w:r>
      <w:r w:rsidR="00732319" w:rsidRPr="00523556">
        <w:rPr>
          <w:rFonts w:ascii="Times New Roman" w:hAnsi="Times New Roman" w:cs="Times New Roman"/>
        </w:rPr>
        <w:t xml:space="preserve">This Section </w:t>
      </w:r>
      <w:r w:rsidR="009A7714" w:rsidRPr="00523556">
        <w:rPr>
          <w:rFonts w:ascii="Times New Roman" w:hAnsi="Times New Roman" w:cs="Times New Roman"/>
        </w:rPr>
        <w:t xml:space="preserve">addresses </w:t>
      </w:r>
      <w:r w:rsidR="005B7F70" w:rsidRPr="00523556">
        <w:rPr>
          <w:rFonts w:ascii="Times New Roman" w:hAnsi="Times New Roman" w:cs="Times New Roman"/>
        </w:rPr>
        <w:t xml:space="preserve">the </w:t>
      </w:r>
      <w:r w:rsidR="009A7714" w:rsidRPr="00523556">
        <w:rPr>
          <w:rFonts w:ascii="Times New Roman" w:hAnsi="Times New Roman" w:cs="Times New Roman"/>
        </w:rPr>
        <w:t xml:space="preserve">determination of the </w:t>
      </w:r>
      <w:r w:rsidR="005B7F70" w:rsidRPr="00523556">
        <w:rPr>
          <w:rFonts w:ascii="Times New Roman" w:hAnsi="Times New Roman" w:cs="Times New Roman"/>
        </w:rPr>
        <w:t>annual MTDS.</w:t>
      </w:r>
    </w:p>
    <w:p w:rsidR="007664DC" w:rsidRPr="00523556" w:rsidRDefault="00732319" w:rsidP="00944965">
      <w:pPr>
        <w:jc w:val="both"/>
        <w:rPr>
          <w:rFonts w:ascii="Times New Roman" w:hAnsi="Times New Roman" w:cs="Times New Roman"/>
        </w:rPr>
      </w:pPr>
      <w:r w:rsidRPr="00523556">
        <w:rPr>
          <w:rFonts w:ascii="Times New Roman" w:hAnsi="Times New Roman" w:cs="Times New Roman"/>
        </w:rPr>
        <w:t>A key component of</w:t>
      </w:r>
      <w:r w:rsidR="00FE47CC" w:rsidRPr="00523556">
        <w:rPr>
          <w:rFonts w:ascii="Times New Roman" w:hAnsi="Times New Roman" w:cs="Times New Roman"/>
        </w:rPr>
        <w:t xml:space="preserve"> the </w:t>
      </w:r>
      <w:r w:rsidRPr="00523556">
        <w:rPr>
          <w:rFonts w:ascii="Times New Roman" w:hAnsi="Times New Roman" w:cs="Times New Roman"/>
        </w:rPr>
        <w:t xml:space="preserve">draft </w:t>
      </w:r>
      <w:r w:rsidR="00FE47CC" w:rsidRPr="00523556">
        <w:rPr>
          <w:rFonts w:ascii="Times New Roman" w:hAnsi="Times New Roman" w:cs="Times New Roman"/>
        </w:rPr>
        <w:t xml:space="preserve">PDPF </w:t>
      </w:r>
      <w:r w:rsidRPr="00523556">
        <w:rPr>
          <w:rFonts w:ascii="Times New Roman" w:hAnsi="Times New Roman" w:cs="Times New Roman"/>
        </w:rPr>
        <w:t xml:space="preserve">is </w:t>
      </w:r>
      <w:r w:rsidR="00FE47CC" w:rsidRPr="00523556">
        <w:rPr>
          <w:rFonts w:ascii="Times New Roman" w:hAnsi="Times New Roman" w:cs="Times New Roman"/>
        </w:rPr>
        <w:t xml:space="preserve">GoU’s </w:t>
      </w:r>
      <w:r w:rsidR="00C55FBB" w:rsidRPr="00523556">
        <w:rPr>
          <w:rFonts w:ascii="Times New Roman" w:hAnsi="Times New Roman" w:cs="Times New Roman"/>
        </w:rPr>
        <w:t>medium-term debt management objectives</w:t>
      </w:r>
      <w:r w:rsidRPr="00523556">
        <w:rPr>
          <w:rFonts w:ascii="Times New Roman" w:hAnsi="Times New Roman" w:cs="Times New Roman"/>
        </w:rPr>
        <w:t>.</w:t>
      </w:r>
      <w:r w:rsidR="00C55FBB" w:rsidRPr="00523556">
        <w:rPr>
          <w:rFonts w:ascii="Times New Roman" w:hAnsi="Times New Roman" w:cs="Times New Roman"/>
        </w:rPr>
        <w:t xml:space="preserve"> </w:t>
      </w:r>
      <w:r w:rsidRPr="00523556">
        <w:rPr>
          <w:rFonts w:ascii="Times New Roman" w:hAnsi="Times New Roman" w:cs="Times New Roman"/>
        </w:rPr>
        <w:t>I</w:t>
      </w:r>
      <w:r w:rsidR="00C55FBB" w:rsidRPr="00523556">
        <w:rPr>
          <w:rFonts w:ascii="Times New Roman" w:hAnsi="Times New Roman" w:cs="Times New Roman"/>
        </w:rPr>
        <w:t xml:space="preserve">n addition to </w:t>
      </w:r>
      <w:r w:rsidR="00C90D26" w:rsidRPr="00523556">
        <w:rPr>
          <w:rFonts w:ascii="Times New Roman" w:hAnsi="Times New Roman" w:cs="Times New Roman"/>
        </w:rPr>
        <w:t xml:space="preserve">the key fiscal objective of </w:t>
      </w:r>
      <w:r w:rsidR="00C55FBB" w:rsidRPr="00523556">
        <w:rPr>
          <w:rFonts w:ascii="Times New Roman" w:hAnsi="Times New Roman" w:cs="Times New Roman"/>
        </w:rPr>
        <w:t xml:space="preserve">ensuring debt sustainability, </w:t>
      </w:r>
      <w:r w:rsidRPr="00523556">
        <w:rPr>
          <w:rFonts w:ascii="Times New Roman" w:hAnsi="Times New Roman" w:cs="Times New Roman"/>
        </w:rPr>
        <w:t xml:space="preserve">these </w:t>
      </w:r>
      <w:r w:rsidR="00C55FBB" w:rsidRPr="00523556">
        <w:rPr>
          <w:rFonts w:ascii="Times New Roman" w:hAnsi="Times New Roman" w:cs="Times New Roman"/>
        </w:rPr>
        <w:t>are</w:t>
      </w:r>
      <w:r w:rsidRPr="00523556">
        <w:rPr>
          <w:rFonts w:ascii="Times New Roman" w:hAnsi="Times New Roman" w:cs="Times New Roman"/>
        </w:rPr>
        <w:t>:</w:t>
      </w:r>
      <w:r w:rsidR="00C55FBB" w:rsidRPr="00523556">
        <w:rPr>
          <w:rFonts w:ascii="Times New Roman" w:hAnsi="Times New Roman" w:cs="Times New Roman"/>
        </w:rPr>
        <w:t xml:space="preserve"> </w:t>
      </w:r>
      <w:r w:rsidR="00617232" w:rsidRPr="00523556">
        <w:rPr>
          <w:rFonts w:ascii="Times New Roman" w:hAnsi="Times New Roman" w:cs="Times New Roman"/>
        </w:rPr>
        <w:t xml:space="preserve">(i) </w:t>
      </w:r>
      <w:r w:rsidR="00C55FBB" w:rsidRPr="00523556">
        <w:rPr>
          <w:rFonts w:ascii="Times New Roman" w:hAnsi="Times New Roman" w:cs="Times New Roman"/>
        </w:rPr>
        <w:t>“</w:t>
      </w:r>
      <w:r w:rsidR="00617232" w:rsidRPr="00523556">
        <w:rPr>
          <w:rFonts w:ascii="Times New Roman" w:hAnsi="Times New Roman" w:cs="Times New Roman"/>
          <w:i/>
        </w:rPr>
        <w:t xml:space="preserve">to </w:t>
      </w:r>
      <w:r w:rsidR="00C55FBB" w:rsidRPr="00523556">
        <w:rPr>
          <w:rFonts w:ascii="Times New Roman" w:hAnsi="Times New Roman" w:cs="Times New Roman"/>
          <w:i/>
        </w:rPr>
        <w:t>meet Government’s financing requirements at the minimum cost, subject to a prudent degree of risk</w:t>
      </w:r>
      <w:r w:rsidR="00617232" w:rsidRPr="00523556">
        <w:rPr>
          <w:rFonts w:ascii="Times New Roman" w:hAnsi="Times New Roman" w:cs="Times New Roman"/>
        </w:rPr>
        <w:t>”;</w:t>
      </w:r>
      <w:r w:rsidR="00C55FBB" w:rsidRPr="00523556">
        <w:rPr>
          <w:rFonts w:ascii="Times New Roman" w:hAnsi="Times New Roman" w:cs="Times New Roman"/>
        </w:rPr>
        <w:t xml:space="preserve"> and </w:t>
      </w:r>
      <w:r w:rsidR="00617232" w:rsidRPr="00523556">
        <w:rPr>
          <w:rFonts w:ascii="Times New Roman" w:hAnsi="Times New Roman" w:cs="Times New Roman"/>
        </w:rPr>
        <w:t xml:space="preserve">(ii) </w:t>
      </w:r>
      <w:r w:rsidR="00C55FBB" w:rsidRPr="00523556">
        <w:rPr>
          <w:rFonts w:ascii="Times New Roman" w:hAnsi="Times New Roman" w:cs="Times New Roman"/>
        </w:rPr>
        <w:t>“</w:t>
      </w:r>
      <w:r w:rsidR="00C55FBB" w:rsidRPr="00523556">
        <w:rPr>
          <w:rFonts w:ascii="Times New Roman" w:hAnsi="Times New Roman" w:cs="Times New Roman"/>
          <w:i/>
        </w:rPr>
        <w:t>to promote the development of the domestic financial markets</w:t>
      </w:r>
      <w:r w:rsidR="00C55FBB" w:rsidRPr="00523556">
        <w:rPr>
          <w:rFonts w:ascii="Times New Roman" w:hAnsi="Times New Roman" w:cs="Times New Roman"/>
        </w:rPr>
        <w:t>.”</w:t>
      </w:r>
      <w:r w:rsidR="00C55FBB" w:rsidRPr="00523556">
        <w:rPr>
          <w:rStyle w:val="FootnoteReference"/>
          <w:rFonts w:ascii="Times New Roman" w:hAnsi="Times New Roman" w:cs="Times New Roman"/>
        </w:rPr>
        <w:footnoteReference w:id="90"/>
      </w:r>
      <w:r w:rsidR="00C55FBB" w:rsidRPr="00523556">
        <w:rPr>
          <w:rFonts w:ascii="Times New Roman" w:hAnsi="Times New Roman" w:cs="Times New Roman"/>
        </w:rPr>
        <w:t xml:space="preserve"> The </w:t>
      </w:r>
      <w:r w:rsidR="005A070F" w:rsidRPr="00523556">
        <w:rPr>
          <w:rFonts w:ascii="Times New Roman" w:hAnsi="Times New Roman" w:cs="Times New Roman"/>
        </w:rPr>
        <w:t>PDPF</w:t>
      </w:r>
      <w:r w:rsidR="00C55FBB" w:rsidRPr="00523556">
        <w:rPr>
          <w:rFonts w:ascii="Times New Roman" w:hAnsi="Times New Roman" w:cs="Times New Roman"/>
        </w:rPr>
        <w:t xml:space="preserve"> also sets out a number of quantitative limits</w:t>
      </w:r>
      <w:r w:rsidR="00730171" w:rsidRPr="00523556">
        <w:rPr>
          <w:rFonts w:ascii="Times New Roman" w:hAnsi="Times New Roman" w:cs="Times New Roman"/>
        </w:rPr>
        <w:t>, guidelines</w:t>
      </w:r>
      <w:r w:rsidR="00C55FBB" w:rsidRPr="00523556">
        <w:rPr>
          <w:rFonts w:ascii="Times New Roman" w:hAnsi="Times New Roman" w:cs="Times New Roman"/>
        </w:rPr>
        <w:t xml:space="preserve"> and benchmarks</w:t>
      </w:r>
      <w:r w:rsidR="00730171" w:rsidRPr="00523556">
        <w:rPr>
          <w:rFonts w:ascii="Times New Roman" w:hAnsi="Times New Roman" w:cs="Times New Roman"/>
        </w:rPr>
        <w:t>,</w:t>
      </w:r>
      <w:r w:rsidR="00C55FBB" w:rsidRPr="00523556">
        <w:rPr>
          <w:rFonts w:ascii="Times New Roman" w:hAnsi="Times New Roman" w:cs="Times New Roman"/>
        </w:rPr>
        <w:t xml:space="preserve"> consistent with the</w:t>
      </w:r>
      <w:r w:rsidR="00730171" w:rsidRPr="00523556">
        <w:rPr>
          <w:rFonts w:ascii="Times New Roman" w:hAnsi="Times New Roman" w:cs="Times New Roman"/>
        </w:rPr>
        <w:t>se</w:t>
      </w:r>
      <w:r w:rsidR="00C55FBB" w:rsidRPr="00523556">
        <w:rPr>
          <w:rFonts w:ascii="Times New Roman" w:hAnsi="Times New Roman" w:cs="Times New Roman"/>
        </w:rPr>
        <w:t xml:space="preserve"> objectives</w:t>
      </w:r>
      <w:r w:rsidR="008A615F" w:rsidRPr="00523556">
        <w:rPr>
          <w:rFonts w:ascii="Times New Roman" w:hAnsi="Times New Roman" w:cs="Times New Roman"/>
        </w:rPr>
        <w:t xml:space="preserve">. </w:t>
      </w:r>
    </w:p>
    <w:p w:rsidR="002463B1" w:rsidRPr="00523556" w:rsidRDefault="008A615F" w:rsidP="00944965">
      <w:pPr>
        <w:jc w:val="both"/>
        <w:rPr>
          <w:rFonts w:ascii="Times New Roman" w:hAnsi="Times New Roman" w:cs="Times New Roman"/>
        </w:rPr>
      </w:pPr>
      <w:r w:rsidRPr="00523556">
        <w:rPr>
          <w:rFonts w:ascii="Times New Roman" w:hAnsi="Times New Roman" w:cs="Times New Roman"/>
        </w:rPr>
        <w:t>However,</w:t>
      </w:r>
      <w:r w:rsidR="00730171" w:rsidRPr="00523556">
        <w:rPr>
          <w:rFonts w:ascii="Times New Roman" w:hAnsi="Times New Roman" w:cs="Times New Roman"/>
        </w:rPr>
        <w:t xml:space="preserve"> </w:t>
      </w:r>
      <w:r w:rsidR="00C55FBB" w:rsidRPr="00523556">
        <w:rPr>
          <w:rFonts w:ascii="Times New Roman" w:hAnsi="Times New Roman" w:cs="Times New Roman"/>
        </w:rPr>
        <w:t xml:space="preserve">these still </w:t>
      </w:r>
      <w:r w:rsidR="007664DC" w:rsidRPr="00523556">
        <w:rPr>
          <w:rFonts w:ascii="Times New Roman" w:hAnsi="Times New Roman" w:cs="Times New Roman"/>
        </w:rPr>
        <w:t>accommodate</w:t>
      </w:r>
      <w:r w:rsidR="00730171" w:rsidRPr="00523556">
        <w:rPr>
          <w:rFonts w:ascii="Times New Roman" w:hAnsi="Times New Roman" w:cs="Times New Roman"/>
        </w:rPr>
        <w:t xml:space="preserve"> a very broad range of potential financing strategies</w:t>
      </w:r>
      <w:r w:rsidR="002463B1" w:rsidRPr="00523556">
        <w:rPr>
          <w:rFonts w:ascii="Times New Roman" w:hAnsi="Times New Roman" w:cs="Times New Roman"/>
        </w:rPr>
        <w:t xml:space="preserve"> from which GoU </w:t>
      </w:r>
      <w:r w:rsidR="007664DC" w:rsidRPr="00523556">
        <w:rPr>
          <w:rFonts w:ascii="Times New Roman" w:hAnsi="Times New Roman" w:cs="Times New Roman"/>
        </w:rPr>
        <w:t>can</w:t>
      </w:r>
      <w:r w:rsidR="002463B1" w:rsidRPr="00523556">
        <w:rPr>
          <w:rFonts w:ascii="Times New Roman" w:hAnsi="Times New Roman" w:cs="Times New Roman"/>
        </w:rPr>
        <w:t xml:space="preserve"> choose</w:t>
      </w:r>
      <w:r w:rsidR="007664DC" w:rsidRPr="00523556">
        <w:rPr>
          <w:rFonts w:ascii="Times New Roman" w:hAnsi="Times New Roman" w:cs="Times New Roman"/>
        </w:rPr>
        <w:t>.</w:t>
      </w:r>
      <w:r w:rsidRPr="00523556">
        <w:rPr>
          <w:rFonts w:ascii="Times New Roman" w:hAnsi="Times New Roman" w:cs="Times New Roman"/>
        </w:rPr>
        <w:t xml:space="preserve"> </w:t>
      </w:r>
      <w:r w:rsidR="001938D7" w:rsidRPr="00523556">
        <w:rPr>
          <w:rFonts w:ascii="Times New Roman" w:hAnsi="Times New Roman" w:cs="Times New Roman"/>
        </w:rPr>
        <w:t xml:space="preserve">Section 2 </w:t>
      </w:r>
      <w:r w:rsidR="006A03F5" w:rsidRPr="00523556">
        <w:rPr>
          <w:rFonts w:ascii="Times New Roman" w:hAnsi="Times New Roman" w:cs="Times New Roman"/>
        </w:rPr>
        <w:t xml:space="preserve">of this paper </w:t>
      </w:r>
      <w:r w:rsidR="00FE47CC" w:rsidRPr="00523556">
        <w:rPr>
          <w:rFonts w:ascii="Times New Roman" w:hAnsi="Times New Roman" w:cs="Times New Roman"/>
        </w:rPr>
        <w:t xml:space="preserve">set out </w:t>
      </w:r>
      <w:r w:rsidR="001938D7" w:rsidRPr="00523556">
        <w:rPr>
          <w:rFonts w:ascii="Times New Roman" w:hAnsi="Times New Roman" w:cs="Times New Roman"/>
        </w:rPr>
        <w:t xml:space="preserve">the </w:t>
      </w:r>
      <w:r w:rsidR="002463B1" w:rsidRPr="00523556">
        <w:rPr>
          <w:rFonts w:ascii="Times New Roman" w:hAnsi="Times New Roman" w:cs="Times New Roman"/>
        </w:rPr>
        <w:t xml:space="preserve">foremost </w:t>
      </w:r>
      <w:r w:rsidR="001938D7" w:rsidRPr="00523556">
        <w:rPr>
          <w:rFonts w:ascii="Times New Roman" w:hAnsi="Times New Roman" w:cs="Times New Roman"/>
        </w:rPr>
        <w:t xml:space="preserve">costs, risks and broader considerations associated with each of the main individual financing options </w:t>
      </w:r>
      <w:r w:rsidR="00C90D26" w:rsidRPr="00523556">
        <w:rPr>
          <w:rFonts w:ascii="Times New Roman" w:hAnsi="Times New Roman" w:cs="Times New Roman"/>
        </w:rPr>
        <w:t xml:space="preserve">available </w:t>
      </w:r>
      <w:r w:rsidR="001938D7" w:rsidRPr="00523556">
        <w:rPr>
          <w:rFonts w:ascii="Times New Roman" w:hAnsi="Times New Roman" w:cs="Times New Roman"/>
        </w:rPr>
        <w:t xml:space="preserve">to GoU. Given this discussion, and </w:t>
      </w:r>
      <w:r w:rsidR="0063428A" w:rsidRPr="00523556">
        <w:rPr>
          <w:rFonts w:ascii="Times New Roman" w:hAnsi="Times New Roman" w:cs="Times New Roman"/>
        </w:rPr>
        <w:t xml:space="preserve">GoU’s preferences as set out in </w:t>
      </w:r>
      <w:r w:rsidR="005A070F" w:rsidRPr="00523556">
        <w:rPr>
          <w:rFonts w:ascii="Times New Roman" w:hAnsi="Times New Roman" w:cs="Times New Roman"/>
        </w:rPr>
        <w:t>the PDPF</w:t>
      </w:r>
      <w:r w:rsidR="0063428A" w:rsidRPr="00523556">
        <w:rPr>
          <w:rFonts w:ascii="Times New Roman" w:hAnsi="Times New Roman" w:cs="Times New Roman"/>
        </w:rPr>
        <w:t xml:space="preserve">, </w:t>
      </w:r>
      <w:r w:rsidR="00500985" w:rsidRPr="00523556">
        <w:rPr>
          <w:rFonts w:ascii="Times New Roman" w:hAnsi="Times New Roman" w:cs="Times New Roman"/>
        </w:rPr>
        <w:t xml:space="preserve">how </w:t>
      </w:r>
      <w:r w:rsidR="00194DD8" w:rsidRPr="00523556">
        <w:rPr>
          <w:rFonts w:ascii="Times New Roman" w:hAnsi="Times New Roman" w:cs="Times New Roman"/>
        </w:rPr>
        <w:t>might</w:t>
      </w:r>
      <w:r w:rsidR="006867AB" w:rsidRPr="00523556">
        <w:rPr>
          <w:rFonts w:ascii="Times New Roman" w:hAnsi="Times New Roman" w:cs="Times New Roman"/>
        </w:rPr>
        <w:t xml:space="preserve"> </w:t>
      </w:r>
      <w:r w:rsidR="00500985" w:rsidRPr="00523556">
        <w:rPr>
          <w:rFonts w:ascii="Times New Roman" w:hAnsi="Times New Roman" w:cs="Times New Roman"/>
        </w:rPr>
        <w:t>the</w:t>
      </w:r>
      <w:r w:rsidR="0063428A" w:rsidRPr="00523556">
        <w:rPr>
          <w:rFonts w:ascii="Times New Roman" w:hAnsi="Times New Roman" w:cs="Times New Roman"/>
        </w:rPr>
        <w:t xml:space="preserve"> individual financing options</w:t>
      </w:r>
      <w:r w:rsidR="00500985" w:rsidRPr="00523556">
        <w:rPr>
          <w:rFonts w:ascii="Times New Roman" w:hAnsi="Times New Roman" w:cs="Times New Roman"/>
        </w:rPr>
        <w:t xml:space="preserve"> be ‘optimally’ combined in </w:t>
      </w:r>
      <w:r w:rsidR="0063428A" w:rsidRPr="00523556">
        <w:rPr>
          <w:rFonts w:ascii="Times New Roman" w:hAnsi="Times New Roman" w:cs="Times New Roman"/>
        </w:rPr>
        <w:t xml:space="preserve">GoU’s </w:t>
      </w:r>
      <w:r w:rsidR="00500985" w:rsidRPr="00523556">
        <w:rPr>
          <w:rFonts w:ascii="Times New Roman" w:hAnsi="Times New Roman" w:cs="Times New Roman"/>
        </w:rPr>
        <w:t xml:space="preserve">overall financing </w:t>
      </w:r>
      <w:r w:rsidR="0063428A" w:rsidRPr="00523556">
        <w:rPr>
          <w:rFonts w:ascii="Times New Roman" w:hAnsi="Times New Roman" w:cs="Times New Roman"/>
        </w:rPr>
        <w:t xml:space="preserve">and debt management </w:t>
      </w:r>
      <w:r w:rsidR="006867AB" w:rsidRPr="00523556">
        <w:rPr>
          <w:rFonts w:ascii="Times New Roman" w:hAnsi="Times New Roman" w:cs="Times New Roman"/>
        </w:rPr>
        <w:t>strategy?</w:t>
      </w:r>
      <w:r w:rsidR="00944965" w:rsidRPr="00523556">
        <w:rPr>
          <w:rFonts w:ascii="Times New Roman" w:hAnsi="Times New Roman" w:cs="Times New Roman"/>
        </w:rPr>
        <w:t xml:space="preserve"> </w:t>
      </w:r>
      <w:r w:rsidR="00522E10" w:rsidRPr="00523556">
        <w:rPr>
          <w:rFonts w:ascii="Times New Roman" w:hAnsi="Times New Roman" w:cs="Times New Roman"/>
        </w:rPr>
        <w:t>This is a v</w:t>
      </w:r>
      <w:r w:rsidR="0023149C" w:rsidRPr="00523556">
        <w:rPr>
          <w:rFonts w:ascii="Times New Roman" w:hAnsi="Times New Roman" w:cs="Times New Roman"/>
        </w:rPr>
        <w:t xml:space="preserve">ery difficult question </w:t>
      </w:r>
      <w:r w:rsidR="00500985" w:rsidRPr="00523556">
        <w:rPr>
          <w:rFonts w:ascii="Times New Roman" w:hAnsi="Times New Roman" w:cs="Times New Roman"/>
        </w:rPr>
        <w:t>for which to provide a precise answer</w:t>
      </w:r>
      <w:r w:rsidR="0023149C" w:rsidRPr="00523556">
        <w:rPr>
          <w:rFonts w:ascii="Times New Roman" w:hAnsi="Times New Roman" w:cs="Times New Roman"/>
        </w:rPr>
        <w:t xml:space="preserve">. </w:t>
      </w:r>
      <w:r w:rsidR="00522E10" w:rsidRPr="00523556">
        <w:rPr>
          <w:rFonts w:ascii="Times New Roman" w:hAnsi="Times New Roman" w:cs="Times New Roman"/>
        </w:rPr>
        <w:t>Bua et al (2013) note, potentially dispiritingly, that: “</w:t>
      </w:r>
      <w:r w:rsidR="00C90D26" w:rsidRPr="00523556">
        <w:rPr>
          <w:rFonts w:ascii="Times New Roman" w:hAnsi="Times New Roman" w:cs="Times New Roman"/>
          <w:i/>
        </w:rPr>
        <w:t>[t]</w:t>
      </w:r>
      <w:r w:rsidR="00522E10" w:rsidRPr="00523556">
        <w:rPr>
          <w:rFonts w:ascii="Times New Roman" w:hAnsi="Times New Roman" w:cs="Times New Roman"/>
          <w:i/>
        </w:rPr>
        <w:t xml:space="preserve">he theoretical literature on government borrowing and public debt management in LICs is relatively scant...and still inconclusive with regard to the [relative] benefits and costs” </w:t>
      </w:r>
      <w:r w:rsidR="00522E10" w:rsidRPr="00523556">
        <w:rPr>
          <w:rFonts w:ascii="Times New Roman" w:hAnsi="Times New Roman" w:cs="Times New Roman"/>
        </w:rPr>
        <w:t xml:space="preserve">of different liabilities. </w:t>
      </w:r>
      <w:r w:rsidR="00500985" w:rsidRPr="00523556">
        <w:rPr>
          <w:rFonts w:ascii="Times New Roman" w:hAnsi="Times New Roman" w:cs="Times New Roman"/>
        </w:rPr>
        <w:t>Furthermore, what constitutes an ‘optimal’ financing strategy should be expected to vary across countries and across time, depending on economic and fiscal conditions, the nature</w:t>
      </w:r>
      <w:r w:rsidR="007F2836" w:rsidRPr="00523556">
        <w:rPr>
          <w:rFonts w:ascii="Times New Roman" w:hAnsi="Times New Roman" w:cs="Times New Roman"/>
        </w:rPr>
        <w:t xml:space="preserve"> and likelihood of shocks, and </w:t>
      </w:r>
      <w:r w:rsidR="00500985" w:rsidRPr="00523556">
        <w:rPr>
          <w:rFonts w:ascii="Times New Roman" w:hAnsi="Times New Roman" w:cs="Times New Roman"/>
        </w:rPr>
        <w:t>governments’ risk preferences.</w:t>
      </w:r>
      <w:r w:rsidR="00500985" w:rsidRPr="00523556">
        <w:rPr>
          <w:rStyle w:val="FootnoteReference"/>
          <w:rFonts w:ascii="Times New Roman" w:hAnsi="Times New Roman" w:cs="Times New Roman"/>
        </w:rPr>
        <w:footnoteReference w:id="91"/>
      </w:r>
      <w:r w:rsidR="00500985" w:rsidRPr="00523556">
        <w:rPr>
          <w:rFonts w:ascii="Times New Roman" w:hAnsi="Times New Roman" w:cs="Times New Roman"/>
        </w:rPr>
        <w:t xml:space="preserve"> </w:t>
      </w:r>
    </w:p>
    <w:p w:rsidR="00FC23AB" w:rsidRPr="00523556" w:rsidRDefault="000635E1" w:rsidP="00293777">
      <w:pPr>
        <w:rPr>
          <w:rFonts w:ascii="Times New Roman" w:hAnsi="Times New Roman" w:cs="Times New Roman"/>
        </w:rPr>
      </w:pPr>
      <w:r w:rsidRPr="00523556">
        <w:rPr>
          <w:rFonts w:ascii="Times New Roman" w:hAnsi="Times New Roman" w:cs="Times New Roman"/>
        </w:rPr>
        <w:t xml:space="preserve">However, there are some key principles, findings from the broader literature, and </w:t>
      </w:r>
      <w:r w:rsidR="007C3468" w:rsidRPr="00523556">
        <w:rPr>
          <w:rFonts w:ascii="Times New Roman" w:hAnsi="Times New Roman" w:cs="Times New Roman"/>
        </w:rPr>
        <w:t xml:space="preserve">broader </w:t>
      </w:r>
      <w:r w:rsidRPr="00523556">
        <w:rPr>
          <w:rFonts w:ascii="Times New Roman" w:hAnsi="Times New Roman" w:cs="Times New Roman"/>
        </w:rPr>
        <w:t xml:space="preserve">considerations that can be </w:t>
      </w:r>
      <w:r w:rsidR="002463B1" w:rsidRPr="00523556">
        <w:rPr>
          <w:rFonts w:ascii="Times New Roman" w:hAnsi="Times New Roman" w:cs="Times New Roman"/>
        </w:rPr>
        <w:t>used</w:t>
      </w:r>
      <w:r w:rsidRPr="00523556">
        <w:rPr>
          <w:rFonts w:ascii="Times New Roman" w:hAnsi="Times New Roman" w:cs="Times New Roman"/>
        </w:rPr>
        <w:t xml:space="preserve"> to help guide debt managers in their decisions</w:t>
      </w:r>
      <w:r w:rsidR="0023149C" w:rsidRPr="00523556">
        <w:rPr>
          <w:rFonts w:ascii="Times New Roman" w:hAnsi="Times New Roman" w:cs="Times New Roman"/>
        </w:rPr>
        <w:t>.</w:t>
      </w:r>
      <w:r w:rsidR="002463B1" w:rsidRPr="00523556">
        <w:rPr>
          <w:rFonts w:ascii="Times New Roman" w:hAnsi="Times New Roman" w:cs="Times New Roman"/>
        </w:rPr>
        <w:t xml:space="preserve"> This section provides a preliminary look at these factors, and how they can be used to inform the determination of </w:t>
      </w:r>
      <w:r w:rsidR="007D6DF2" w:rsidRPr="00523556">
        <w:rPr>
          <w:rFonts w:ascii="Times New Roman" w:hAnsi="Times New Roman" w:cs="Times New Roman"/>
        </w:rPr>
        <w:t xml:space="preserve">GoU’s desired debt portfolio and associated financing plan, fully consistent with the (draft) PDPF, as will be expressed in </w:t>
      </w:r>
      <w:r w:rsidR="00A64090" w:rsidRPr="00523556">
        <w:rPr>
          <w:rFonts w:ascii="Times New Roman" w:hAnsi="Times New Roman" w:cs="Times New Roman"/>
        </w:rPr>
        <w:t>each</w:t>
      </w:r>
      <w:r w:rsidR="007D6DF2" w:rsidRPr="00523556">
        <w:rPr>
          <w:rFonts w:ascii="Times New Roman" w:hAnsi="Times New Roman" w:cs="Times New Roman"/>
        </w:rPr>
        <w:t xml:space="preserve"> annual </w:t>
      </w:r>
      <w:r w:rsidR="00CF6B28" w:rsidRPr="00523556">
        <w:rPr>
          <w:rFonts w:ascii="Times New Roman" w:hAnsi="Times New Roman" w:cs="Times New Roman"/>
        </w:rPr>
        <w:t>MTDS</w:t>
      </w:r>
      <w:r w:rsidR="002463B1" w:rsidRPr="00523556">
        <w:rPr>
          <w:rFonts w:ascii="Times New Roman" w:hAnsi="Times New Roman" w:cs="Times New Roman"/>
        </w:rPr>
        <w:t>.</w:t>
      </w:r>
    </w:p>
    <w:p w:rsidR="00293777" w:rsidRPr="00523556" w:rsidRDefault="00293777" w:rsidP="00293777">
      <w:pPr>
        <w:rPr>
          <w:rFonts w:ascii="Times New Roman" w:hAnsi="Times New Roman" w:cs="Times New Roman"/>
        </w:rPr>
      </w:pPr>
    </w:p>
    <w:p w:rsidR="00293777" w:rsidRPr="00523556" w:rsidRDefault="00293777" w:rsidP="00293777">
      <w:pPr>
        <w:rPr>
          <w:rFonts w:ascii="Times New Roman" w:hAnsi="Times New Roman" w:cs="Times New Roman"/>
        </w:rPr>
      </w:pPr>
    </w:p>
    <w:p w:rsidR="00293777" w:rsidRPr="00523556" w:rsidRDefault="00293777" w:rsidP="00293777">
      <w:pPr>
        <w:rPr>
          <w:rFonts w:ascii="Times New Roman" w:hAnsi="Times New Roman" w:cs="Times New Roman"/>
        </w:rPr>
      </w:pPr>
    </w:p>
    <w:p w:rsidR="00914A1D" w:rsidRPr="00523556" w:rsidRDefault="00914A1D" w:rsidP="00027EC6">
      <w:pPr>
        <w:pStyle w:val="Heading2"/>
        <w:rPr>
          <w:rFonts w:ascii="Times New Roman" w:hAnsi="Times New Roman" w:cs="Times New Roman"/>
        </w:rPr>
      </w:pPr>
      <w:bookmarkStart w:id="15" w:name="_Toc383757446"/>
      <w:r w:rsidRPr="00523556">
        <w:rPr>
          <w:rFonts w:ascii="Times New Roman" w:hAnsi="Times New Roman" w:cs="Times New Roman"/>
        </w:rPr>
        <w:t>3.2 Meeting GoU’s debt management objectives</w:t>
      </w:r>
      <w:bookmarkEnd w:id="15"/>
    </w:p>
    <w:p w:rsidR="00914A1D" w:rsidRPr="00523556" w:rsidRDefault="007F2836" w:rsidP="00F135F4">
      <w:pPr>
        <w:jc w:val="both"/>
        <w:rPr>
          <w:rFonts w:ascii="Times New Roman" w:hAnsi="Times New Roman" w:cs="Times New Roman"/>
        </w:rPr>
      </w:pPr>
      <w:r w:rsidRPr="00523556">
        <w:rPr>
          <w:rFonts w:ascii="Times New Roman" w:hAnsi="Times New Roman" w:cs="Times New Roman"/>
        </w:rPr>
        <w:lastRenderedPageBreak/>
        <w:t xml:space="preserve">GoU’s </w:t>
      </w:r>
      <w:r w:rsidR="00914A1D" w:rsidRPr="00523556">
        <w:rPr>
          <w:rFonts w:ascii="Times New Roman" w:hAnsi="Times New Roman" w:cs="Times New Roman"/>
        </w:rPr>
        <w:t xml:space="preserve">debt management objectives can be broken down in to three key components: meeting financing requirements, doing so at minimum cost subject to risk, and developing the domestic financial markets. </w:t>
      </w:r>
      <w:r w:rsidR="00F135F4" w:rsidRPr="00523556">
        <w:rPr>
          <w:rFonts w:ascii="Times New Roman" w:hAnsi="Times New Roman" w:cs="Times New Roman"/>
        </w:rPr>
        <w:t>Some k</w:t>
      </w:r>
      <w:r w:rsidR="00914A1D" w:rsidRPr="00523556">
        <w:rPr>
          <w:rFonts w:ascii="Times New Roman" w:hAnsi="Times New Roman" w:cs="Times New Roman"/>
        </w:rPr>
        <w:t xml:space="preserve">ey </w:t>
      </w:r>
      <w:r w:rsidR="00F135F4" w:rsidRPr="00523556">
        <w:rPr>
          <w:rFonts w:ascii="Times New Roman" w:hAnsi="Times New Roman" w:cs="Times New Roman"/>
        </w:rPr>
        <w:t xml:space="preserve">practical considerations for meeting each </w:t>
      </w:r>
      <w:r w:rsidR="00914A1D" w:rsidRPr="00523556">
        <w:rPr>
          <w:rFonts w:ascii="Times New Roman" w:hAnsi="Times New Roman" w:cs="Times New Roman"/>
        </w:rPr>
        <w:t>are discussed in turn below.</w:t>
      </w:r>
    </w:p>
    <w:p w:rsidR="00D7469C" w:rsidRPr="00523556" w:rsidRDefault="00914A1D" w:rsidP="00914A1D">
      <w:pPr>
        <w:pStyle w:val="Heading3"/>
        <w:rPr>
          <w:rFonts w:ascii="Times New Roman" w:hAnsi="Times New Roman" w:cs="Times New Roman"/>
        </w:rPr>
      </w:pPr>
      <w:r w:rsidRPr="00523556">
        <w:rPr>
          <w:rFonts w:ascii="Times New Roman" w:hAnsi="Times New Roman" w:cs="Times New Roman"/>
        </w:rPr>
        <w:t xml:space="preserve">3.2.1 </w:t>
      </w:r>
      <w:r w:rsidR="00F336CE" w:rsidRPr="00523556">
        <w:rPr>
          <w:rFonts w:ascii="Times New Roman" w:hAnsi="Times New Roman" w:cs="Times New Roman"/>
        </w:rPr>
        <w:t xml:space="preserve">Meeting government’s financing requirements </w:t>
      </w:r>
    </w:p>
    <w:p w:rsidR="00F336CE" w:rsidRPr="00523556" w:rsidRDefault="00F336CE" w:rsidP="001E087E">
      <w:pPr>
        <w:jc w:val="both"/>
        <w:rPr>
          <w:rFonts w:ascii="Times New Roman" w:hAnsi="Times New Roman" w:cs="Times New Roman"/>
        </w:rPr>
      </w:pPr>
      <w:r w:rsidRPr="00523556">
        <w:rPr>
          <w:rFonts w:ascii="Times New Roman" w:hAnsi="Times New Roman" w:cs="Times New Roman"/>
        </w:rPr>
        <w:t xml:space="preserve">Mobilising </w:t>
      </w:r>
      <w:r w:rsidR="001E087E" w:rsidRPr="00523556">
        <w:rPr>
          <w:rFonts w:ascii="Times New Roman" w:hAnsi="Times New Roman" w:cs="Times New Roman"/>
        </w:rPr>
        <w:t xml:space="preserve">sufficient financing to meet government’s requirements is a </w:t>
      </w:r>
      <w:r w:rsidRPr="00523556">
        <w:rPr>
          <w:rFonts w:ascii="Times New Roman" w:hAnsi="Times New Roman" w:cs="Times New Roman"/>
        </w:rPr>
        <w:t xml:space="preserve">fundamental goal of </w:t>
      </w:r>
      <w:r w:rsidR="00CF49CE" w:rsidRPr="00523556">
        <w:rPr>
          <w:rFonts w:ascii="Times New Roman" w:hAnsi="Times New Roman" w:cs="Times New Roman"/>
        </w:rPr>
        <w:t>debt</w:t>
      </w:r>
      <w:r w:rsidR="001E087E" w:rsidRPr="00523556">
        <w:rPr>
          <w:rFonts w:ascii="Times New Roman" w:hAnsi="Times New Roman" w:cs="Times New Roman"/>
        </w:rPr>
        <w:t xml:space="preserve"> management</w:t>
      </w:r>
      <w:r w:rsidRPr="00523556">
        <w:rPr>
          <w:rFonts w:ascii="Times New Roman" w:hAnsi="Times New Roman" w:cs="Times New Roman"/>
        </w:rPr>
        <w:t>.</w:t>
      </w:r>
      <w:r w:rsidR="001E087E" w:rsidRPr="00523556">
        <w:rPr>
          <w:rFonts w:ascii="Times New Roman" w:hAnsi="Times New Roman" w:cs="Times New Roman"/>
        </w:rPr>
        <w:t xml:space="preserve"> </w:t>
      </w:r>
      <w:r w:rsidR="00E656A3" w:rsidRPr="00523556">
        <w:rPr>
          <w:rFonts w:ascii="Times New Roman" w:hAnsi="Times New Roman" w:cs="Times New Roman"/>
        </w:rPr>
        <w:t xml:space="preserve">Two particular issues </w:t>
      </w:r>
      <w:r w:rsidR="001E087E" w:rsidRPr="00523556">
        <w:rPr>
          <w:rFonts w:ascii="Times New Roman" w:hAnsi="Times New Roman" w:cs="Times New Roman"/>
        </w:rPr>
        <w:t>to consider here</w:t>
      </w:r>
      <w:r w:rsidR="00E656A3" w:rsidRPr="00523556">
        <w:rPr>
          <w:rFonts w:ascii="Times New Roman" w:hAnsi="Times New Roman" w:cs="Times New Roman"/>
        </w:rPr>
        <w:t xml:space="preserve"> are </w:t>
      </w:r>
      <w:r w:rsidR="001E087E" w:rsidRPr="00523556">
        <w:rPr>
          <w:rFonts w:ascii="Times New Roman" w:hAnsi="Times New Roman" w:cs="Times New Roman"/>
        </w:rPr>
        <w:t>availability and diversification.</w:t>
      </w:r>
      <w:r w:rsidR="00E656A3" w:rsidRPr="00523556">
        <w:rPr>
          <w:rFonts w:ascii="Times New Roman" w:hAnsi="Times New Roman" w:cs="Times New Roman"/>
        </w:rPr>
        <w:t xml:space="preserve"> The </w:t>
      </w:r>
      <w:r w:rsidR="001E087E" w:rsidRPr="00523556">
        <w:rPr>
          <w:rFonts w:ascii="Times New Roman" w:hAnsi="Times New Roman" w:cs="Times New Roman"/>
        </w:rPr>
        <w:t>more GoU’s financing requirements expand beyond available concessional lending</w:t>
      </w:r>
      <w:r w:rsidR="00EF02F0" w:rsidRPr="00523556">
        <w:rPr>
          <w:rFonts w:ascii="Times New Roman" w:hAnsi="Times New Roman" w:cs="Times New Roman"/>
        </w:rPr>
        <w:t xml:space="preserve"> and past savings</w:t>
      </w:r>
      <w:r w:rsidR="001E087E" w:rsidRPr="00523556">
        <w:rPr>
          <w:rFonts w:ascii="Times New Roman" w:hAnsi="Times New Roman" w:cs="Times New Roman"/>
        </w:rPr>
        <w:t xml:space="preserve">, the </w:t>
      </w:r>
      <w:r w:rsidR="00CF49CE" w:rsidRPr="00523556">
        <w:rPr>
          <w:rFonts w:ascii="Times New Roman" w:hAnsi="Times New Roman" w:cs="Times New Roman"/>
        </w:rPr>
        <w:t>more pressing</w:t>
      </w:r>
      <w:r w:rsidR="001E087E" w:rsidRPr="00523556">
        <w:rPr>
          <w:rFonts w:ascii="Times New Roman" w:hAnsi="Times New Roman" w:cs="Times New Roman"/>
        </w:rPr>
        <w:t xml:space="preserve"> </w:t>
      </w:r>
      <w:r w:rsidR="00E656A3" w:rsidRPr="00523556">
        <w:rPr>
          <w:rFonts w:ascii="Times New Roman" w:hAnsi="Times New Roman" w:cs="Times New Roman"/>
        </w:rPr>
        <w:t xml:space="preserve">is </w:t>
      </w:r>
      <w:r w:rsidR="001E087E" w:rsidRPr="00523556">
        <w:rPr>
          <w:rFonts w:ascii="Times New Roman" w:hAnsi="Times New Roman" w:cs="Times New Roman"/>
        </w:rPr>
        <w:t xml:space="preserve">the </w:t>
      </w:r>
      <w:r w:rsidR="00CF49CE" w:rsidRPr="00523556">
        <w:rPr>
          <w:rFonts w:ascii="Times New Roman" w:hAnsi="Times New Roman" w:cs="Times New Roman"/>
        </w:rPr>
        <w:t xml:space="preserve">need </w:t>
      </w:r>
      <w:r w:rsidR="001E087E" w:rsidRPr="00523556">
        <w:rPr>
          <w:rFonts w:ascii="Times New Roman" w:hAnsi="Times New Roman" w:cs="Times New Roman"/>
        </w:rPr>
        <w:t xml:space="preserve">to develop access to </w:t>
      </w:r>
      <w:r w:rsidR="00EF02F0" w:rsidRPr="00523556">
        <w:rPr>
          <w:rFonts w:ascii="Times New Roman" w:hAnsi="Times New Roman" w:cs="Times New Roman"/>
        </w:rPr>
        <w:t xml:space="preserve">alternative </w:t>
      </w:r>
      <w:r w:rsidR="001E087E" w:rsidRPr="00523556">
        <w:rPr>
          <w:rFonts w:ascii="Times New Roman" w:hAnsi="Times New Roman" w:cs="Times New Roman"/>
        </w:rPr>
        <w:t>financing source</w:t>
      </w:r>
      <w:r w:rsidR="00EF02F0" w:rsidRPr="00523556">
        <w:rPr>
          <w:rFonts w:ascii="Times New Roman" w:hAnsi="Times New Roman" w:cs="Times New Roman"/>
        </w:rPr>
        <w:t>s</w:t>
      </w:r>
      <w:r w:rsidR="00E656A3" w:rsidRPr="00523556">
        <w:rPr>
          <w:rFonts w:ascii="Times New Roman" w:hAnsi="Times New Roman" w:cs="Times New Roman"/>
        </w:rPr>
        <w:t>;</w:t>
      </w:r>
      <w:r w:rsidR="00EF02F0" w:rsidRPr="00523556">
        <w:rPr>
          <w:rFonts w:ascii="Times New Roman" w:hAnsi="Times New Roman" w:cs="Times New Roman"/>
        </w:rPr>
        <w:t xml:space="preserve"> </w:t>
      </w:r>
      <w:r w:rsidR="00E656A3" w:rsidRPr="00523556">
        <w:rPr>
          <w:rFonts w:ascii="Times New Roman" w:hAnsi="Times New Roman" w:cs="Times New Roman"/>
        </w:rPr>
        <w:t xml:space="preserve">one potential benefit of </w:t>
      </w:r>
      <w:r w:rsidR="00EF02F0" w:rsidRPr="00523556">
        <w:rPr>
          <w:rFonts w:ascii="Times New Roman" w:hAnsi="Times New Roman" w:cs="Times New Roman"/>
        </w:rPr>
        <w:t>Eurobond issuance</w:t>
      </w:r>
      <w:r w:rsidR="00E656A3" w:rsidRPr="00523556">
        <w:rPr>
          <w:rFonts w:ascii="Times New Roman" w:hAnsi="Times New Roman" w:cs="Times New Roman"/>
        </w:rPr>
        <w:t xml:space="preserve"> in this regard, for example, is that it</w:t>
      </w:r>
      <w:r w:rsidR="00EF02F0" w:rsidRPr="00523556">
        <w:rPr>
          <w:rFonts w:ascii="Times New Roman" w:hAnsi="Times New Roman" w:cs="Times New Roman"/>
        </w:rPr>
        <w:t xml:space="preserve"> can </w:t>
      </w:r>
      <w:r w:rsidR="00E656A3" w:rsidRPr="00523556">
        <w:rPr>
          <w:rFonts w:ascii="Times New Roman" w:hAnsi="Times New Roman" w:cs="Times New Roman"/>
        </w:rPr>
        <w:t xml:space="preserve">supplement or ease </w:t>
      </w:r>
      <w:r w:rsidR="004B042E" w:rsidRPr="00523556">
        <w:rPr>
          <w:rFonts w:ascii="Times New Roman" w:hAnsi="Times New Roman" w:cs="Times New Roman"/>
        </w:rPr>
        <w:t>pressures</w:t>
      </w:r>
      <w:r w:rsidR="00E656A3" w:rsidRPr="00523556">
        <w:rPr>
          <w:rFonts w:ascii="Times New Roman" w:hAnsi="Times New Roman" w:cs="Times New Roman"/>
        </w:rPr>
        <w:t xml:space="preserve"> </w:t>
      </w:r>
      <w:r w:rsidR="00C90D26" w:rsidRPr="00523556">
        <w:rPr>
          <w:rFonts w:ascii="Times New Roman" w:hAnsi="Times New Roman" w:cs="Times New Roman"/>
        </w:rPr>
        <w:t>for domestic debt issuance</w:t>
      </w:r>
      <w:r w:rsidR="00E656A3" w:rsidRPr="00523556">
        <w:rPr>
          <w:rFonts w:ascii="Times New Roman" w:hAnsi="Times New Roman" w:cs="Times New Roman"/>
        </w:rPr>
        <w:t>,</w:t>
      </w:r>
      <w:r w:rsidR="00EF02F0" w:rsidRPr="00523556">
        <w:rPr>
          <w:rFonts w:ascii="Times New Roman" w:hAnsi="Times New Roman" w:cs="Times New Roman"/>
        </w:rPr>
        <w:t xml:space="preserve"> by tapping into a pool of capital to which GoU would otherwise not have access. </w:t>
      </w:r>
      <w:r w:rsidR="00E656A3" w:rsidRPr="00523556">
        <w:rPr>
          <w:rFonts w:ascii="Times New Roman" w:hAnsi="Times New Roman" w:cs="Times New Roman"/>
        </w:rPr>
        <w:t xml:space="preserve">Diversifying financing sources brings benefits in terms of </w:t>
      </w:r>
      <w:r w:rsidR="00F85FFC" w:rsidRPr="00523556">
        <w:rPr>
          <w:rFonts w:ascii="Times New Roman" w:hAnsi="Times New Roman" w:cs="Times New Roman"/>
        </w:rPr>
        <w:t xml:space="preserve">broadening the policy space within which debt managers can </w:t>
      </w:r>
      <w:r w:rsidR="00E656A3" w:rsidRPr="00523556">
        <w:rPr>
          <w:rFonts w:ascii="Times New Roman" w:hAnsi="Times New Roman" w:cs="Times New Roman"/>
        </w:rPr>
        <w:t>plan</w:t>
      </w:r>
      <w:r w:rsidR="00F85FFC" w:rsidRPr="00523556">
        <w:rPr>
          <w:rFonts w:ascii="Times New Roman" w:hAnsi="Times New Roman" w:cs="Times New Roman"/>
        </w:rPr>
        <w:t xml:space="preserve"> – and can also be important in responding to unexpected events in-year. For example in FY12/13, having just introduced Treasury securities issuance for fiscal purposes, GoU was able to increase net issuance to help partially cushion the fiscal shock caused by </w:t>
      </w:r>
      <w:r w:rsidR="00C90D26" w:rsidRPr="00523556">
        <w:rPr>
          <w:rFonts w:ascii="Times New Roman" w:hAnsi="Times New Roman" w:cs="Times New Roman"/>
        </w:rPr>
        <w:t>a</w:t>
      </w:r>
      <w:r w:rsidR="00F85FFC" w:rsidRPr="00523556">
        <w:rPr>
          <w:rFonts w:ascii="Times New Roman" w:hAnsi="Times New Roman" w:cs="Times New Roman"/>
        </w:rPr>
        <w:t xml:space="preserve"> donor aid withdrawal</w:t>
      </w:r>
      <w:r w:rsidR="004B042E" w:rsidRPr="00523556">
        <w:rPr>
          <w:rFonts w:ascii="Times New Roman" w:hAnsi="Times New Roman" w:cs="Times New Roman"/>
        </w:rPr>
        <w:t xml:space="preserve"> (albeit at a cost of increased yields)</w:t>
      </w:r>
      <w:r w:rsidR="00F85FFC" w:rsidRPr="00523556">
        <w:rPr>
          <w:rFonts w:ascii="Times New Roman" w:hAnsi="Times New Roman" w:cs="Times New Roman"/>
        </w:rPr>
        <w:t xml:space="preserve">. However, whilst external and domestic market debt can provide such benefits, it is vital to ensure measures are put in place to </w:t>
      </w:r>
      <w:r w:rsidR="004B042E" w:rsidRPr="00523556">
        <w:rPr>
          <w:rFonts w:ascii="Times New Roman" w:hAnsi="Times New Roman" w:cs="Times New Roman"/>
        </w:rPr>
        <w:t xml:space="preserve">help </w:t>
      </w:r>
      <w:r w:rsidR="00F85FFC" w:rsidRPr="00523556">
        <w:rPr>
          <w:rFonts w:ascii="Times New Roman" w:hAnsi="Times New Roman" w:cs="Times New Roman"/>
        </w:rPr>
        <w:t xml:space="preserve">resist the potential for </w:t>
      </w:r>
      <w:r w:rsidR="004B042E" w:rsidRPr="00523556">
        <w:rPr>
          <w:rFonts w:ascii="Times New Roman" w:hAnsi="Times New Roman" w:cs="Times New Roman"/>
        </w:rPr>
        <w:t xml:space="preserve">increased </w:t>
      </w:r>
      <w:r w:rsidR="00F85FFC" w:rsidRPr="00523556">
        <w:rPr>
          <w:rFonts w:ascii="Times New Roman" w:hAnsi="Times New Roman" w:cs="Times New Roman"/>
        </w:rPr>
        <w:t xml:space="preserve">availability and diversification </w:t>
      </w:r>
      <w:r w:rsidR="004B042E" w:rsidRPr="00523556">
        <w:rPr>
          <w:rFonts w:ascii="Times New Roman" w:hAnsi="Times New Roman" w:cs="Times New Roman"/>
        </w:rPr>
        <w:t xml:space="preserve">of financing sources </w:t>
      </w:r>
      <w:r w:rsidR="00F85FFC" w:rsidRPr="00523556">
        <w:rPr>
          <w:rFonts w:ascii="Times New Roman" w:hAnsi="Times New Roman" w:cs="Times New Roman"/>
        </w:rPr>
        <w:t xml:space="preserve">to facilitate </w:t>
      </w:r>
      <w:r w:rsidR="004B042E" w:rsidRPr="00523556">
        <w:rPr>
          <w:rFonts w:ascii="Times New Roman" w:hAnsi="Times New Roman" w:cs="Times New Roman"/>
        </w:rPr>
        <w:t xml:space="preserve">weaker </w:t>
      </w:r>
      <w:r w:rsidR="00F85FFC" w:rsidRPr="00523556">
        <w:rPr>
          <w:rFonts w:ascii="Times New Roman" w:hAnsi="Times New Roman" w:cs="Times New Roman"/>
        </w:rPr>
        <w:t xml:space="preserve">fiscal discipline. </w:t>
      </w:r>
    </w:p>
    <w:p w:rsidR="00D7469C" w:rsidRPr="00523556" w:rsidRDefault="00027EC6" w:rsidP="00027EC6">
      <w:pPr>
        <w:pStyle w:val="Heading3"/>
        <w:rPr>
          <w:rFonts w:ascii="Times New Roman" w:hAnsi="Times New Roman" w:cs="Times New Roman"/>
        </w:rPr>
      </w:pPr>
      <w:r w:rsidRPr="00523556">
        <w:rPr>
          <w:rFonts w:ascii="Times New Roman" w:hAnsi="Times New Roman" w:cs="Times New Roman"/>
        </w:rPr>
        <w:t xml:space="preserve">3.2.2 </w:t>
      </w:r>
      <w:r w:rsidR="00D7469C" w:rsidRPr="00523556">
        <w:rPr>
          <w:rFonts w:ascii="Times New Roman" w:hAnsi="Times New Roman" w:cs="Times New Roman"/>
        </w:rPr>
        <w:t>Minimising costs subject to risk</w:t>
      </w:r>
    </w:p>
    <w:p w:rsidR="00F377BD" w:rsidRPr="00523556" w:rsidRDefault="00D431B8" w:rsidP="00D431B8">
      <w:pPr>
        <w:jc w:val="both"/>
        <w:rPr>
          <w:rFonts w:ascii="Times New Roman" w:hAnsi="Times New Roman" w:cs="Times New Roman"/>
        </w:rPr>
      </w:pPr>
      <w:r w:rsidRPr="00523556">
        <w:rPr>
          <w:rFonts w:ascii="Times New Roman" w:hAnsi="Times New Roman" w:cs="Times New Roman"/>
        </w:rPr>
        <w:t xml:space="preserve">Some financing options open to Uganda are both lower cost and lower risk than others; for example, concessional external borrowing is clearly preferable to Eurobond issuance, with </w:t>
      </w:r>
      <w:r w:rsidR="002E6362" w:rsidRPr="00523556">
        <w:rPr>
          <w:rFonts w:ascii="Times New Roman" w:hAnsi="Times New Roman" w:cs="Times New Roman"/>
        </w:rPr>
        <w:t xml:space="preserve">unambiguously and </w:t>
      </w:r>
      <w:r w:rsidRPr="00523556">
        <w:rPr>
          <w:rFonts w:ascii="Times New Roman" w:hAnsi="Times New Roman" w:cs="Times New Roman"/>
        </w:rPr>
        <w:t>significantly lower interest costs and refinancing risk.</w:t>
      </w:r>
      <w:r w:rsidR="009C3CE1" w:rsidRPr="00523556">
        <w:rPr>
          <w:rStyle w:val="FootnoteReference"/>
          <w:rFonts w:ascii="Times New Roman" w:hAnsi="Times New Roman" w:cs="Times New Roman"/>
        </w:rPr>
        <w:footnoteReference w:id="92"/>
      </w:r>
      <w:r w:rsidRPr="00523556">
        <w:rPr>
          <w:rFonts w:ascii="Times New Roman" w:hAnsi="Times New Roman" w:cs="Times New Roman"/>
        </w:rPr>
        <w:t xml:space="preserve"> However, in many other cases, GoU faces a direct trade-off between costs and risks</w:t>
      </w:r>
      <w:r w:rsidR="002E6362" w:rsidRPr="00523556">
        <w:rPr>
          <w:rFonts w:ascii="Times New Roman" w:hAnsi="Times New Roman" w:cs="Times New Roman"/>
        </w:rPr>
        <w:t>. F</w:t>
      </w:r>
      <w:r w:rsidRPr="00523556">
        <w:rPr>
          <w:rFonts w:ascii="Times New Roman" w:hAnsi="Times New Roman" w:cs="Times New Roman"/>
        </w:rPr>
        <w:t xml:space="preserve">or example, for </w:t>
      </w:r>
      <w:r w:rsidR="00F377BD" w:rsidRPr="00523556">
        <w:rPr>
          <w:rFonts w:ascii="Times New Roman" w:hAnsi="Times New Roman" w:cs="Times New Roman"/>
        </w:rPr>
        <w:t xml:space="preserve">any given level of </w:t>
      </w:r>
      <w:r w:rsidRPr="00523556">
        <w:rPr>
          <w:rFonts w:ascii="Times New Roman" w:hAnsi="Times New Roman" w:cs="Times New Roman"/>
        </w:rPr>
        <w:t xml:space="preserve">domestic debt financing, </w:t>
      </w:r>
      <w:r w:rsidR="00F377BD" w:rsidRPr="00523556">
        <w:rPr>
          <w:rFonts w:ascii="Times New Roman" w:hAnsi="Times New Roman" w:cs="Times New Roman"/>
        </w:rPr>
        <w:t xml:space="preserve">there will </w:t>
      </w:r>
      <w:r w:rsidR="00FD6BFA" w:rsidRPr="00523556">
        <w:rPr>
          <w:rFonts w:ascii="Times New Roman" w:hAnsi="Times New Roman" w:cs="Times New Roman"/>
        </w:rPr>
        <w:t>normally</w:t>
      </w:r>
      <w:r w:rsidR="00F377BD" w:rsidRPr="00523556">
        <w:rPr>
          <w:rFonts w:ascii="Times New Roman" w:hAnsi="Times New Roman" w:cs="Times New Roman"/>
        </w:rPr>
        <w:t xml:space="preserve"> be </w:t>
      </w:r>
      <w:r w:rsidRPr="00523556">
        <w:rPr>
          <w:rFonts w:ascii="Times New Roman" w:hAnsi="Times New Roman" w:cs="Times New Roman"/>
        </w:rPr>
        <w:t>a direct trade-off between lower interest costs (achieved by greater issuance at shorter maturities</w:t>
      </w:r>
      <w:r w:rsidR="00FD6BFA" w:rsidRPr="00523556">
        <w:rPr>
          <w:rFonts w:ascii="Times New Roman" w:hAnsi="Times New Roman" w:cs="Times New Roman"/>
        </w:rPr>
        <w:t>, at which yields are normally lower</w:t>
      </w:r>
      <w:r w:rsidRPr="00523556">
        <w:rPr>
          <w:rFonts w:ascii="Times New Roman" w:hAnsi="Times New Roman" w:cs="Times New Roman"/>
        </w:rPr>
        <w:t xml:space="preserve">) </w:t>
      </w:r>
      <w:r w:rsidR="00F377BD" w:rsidRPr="00523556">
        <w:rPr>
          <w:rFonts w:ascii="Times New Roman" w:hAnsi="Times New Roman" w:cs="Times New Roman"/>
        </w:rPr>
        <w:t xml:space="preserve">and lower refinancing risk (achieved by greater </w:t>
      </w:r>
      <w:r w:rsidRPr="00523556">
        <w:rPr>
          <w:rFonts w:ascii="Times New Roman" w:hAnsi="Times New Roman" w:cs="Times New Roman"/>
        </w:rPr>
        <w:t xml:space="preserve">issuance </w:t>
      </w:r>
      <w:r w:rsidR="00F377BD" w:rsidRPr="00523556">
        <w:rPr>
          <w:rFonts w:ascii="Times New Roman" w:hAnsi="Times New Roman" w:cs="Times New Roman"/>
        </w:rPr>
        <w:t xml:space="preserve">at longer maturities). GoU’s risk tolerance – as </w:t>
      </w:r>
      <w:r w:rsidR="00C577A5" w:rsidRPr="00523556">
        <w:rPr>
          <w:rFonts w:ascii="Times New Roman" w:hAnsi="Times New Roman" w:cs="Times New Roman"/>
        </w:rPr>
        <w:t>reflected in part</w:t>
      </w:r>
      <w:r w:rsidR="00F377BD" w:rsidRPr="00523556">
        <w:rPr>
          <w:rFonts w:ascii="Times New Roman" w:hAnsi="Times New Roman" w:cs="Times New Roman"/>
        </w:rPr>
        <w:t xml:space="preserve"> in </w:t>
      </w:r>
      <w:r w:rsidR="005A070F" w:rsidRPr="00523556">
        <w:rPr>
          <w:rFonts w:ascii="Times New Roman" w:hAnsi="Times New Roman" w:cs="Times New Roman"/>
        </w:rPr>
        <w:t>the PDPF</w:t>
      </w:r>
      <w:r w:rsidR="00F377BD" w:rsidRPr="00523556">
        <w:rPr>
          <w:rFonts w:ascii="Times New Roman" w:hAnsi="Times New Roman" w:cs="Times New Roman"/>
        </w:rPr>
        <w:t xml:space="preserve"> – will be an important factor in determining the appropriate position </w:t>
      </w:r>
      <w:r w:rsidR="00C90D26" w:rsidRPr="00523556">
        <w:rPr>
          <w:rFonts w:ascii="Times New Roman" w:hAnsi="Times New Roman" w:cs="Times New Roman"/>
        </w:rPr>
        <w:t>within</w:t>
      </w:r>
      <w:r w:rsidR="00F377BD" w:rsidRPr="00523556">
        <w:rPr>
          <w:rFonts w:ascii="Times New Roman" w:hAnsi="Times New Roman" w:cs="Times New Roman"/>
        </w:rPr>
        <w:t xml:space="preserve"> such trade-offs, as will be a consideration of the severity and probability of risks.</w:t>
      </w:r>
    </w:p>
    <w:p w:rsidR="00610CB5" w:rsidRPr="00523556" w:rsidRDefault="00C577A5" w:rsidP="00D431B8">
      <w:pPr>
        <w:jc w:val="both"/>
        <w:rPr>
          <w:rFonts w:ascii="Times New Roman" w:hAnsi="Times New Roman" w:cs="Times New Roman"/>
        </w:rPr>
      </w:pPr>
      <w:r w:rsidRPr="00523556">
        <w:rPr>
          <w:rFonts w:ascii="Times New Roman" w:hAnsi="Times New Roman" w:cs="Times New Roman"/>
        </w:rPr>
        <w:t xml:space="preserve">A </w:t>
      </w:r>
      <w:r w:rsidR="00F377BD" w:rsidRPr="00523556">
        <w:rPr>
          <w:rFonts w:ascii="Times New Roman" w:hAnsi="Times New Roman" w:cs="Times New Roman"/>
        </w:rPr>
        <w:t xml:space="preserve">cost-risk trade-off </w:t>
      </w:r>
      <w:r w:rsidRPr="00523556">
        <w:rPr>
          <w:rFonts w:ascii="Times New Roman" w:hAnsi="Times New Roman" w:cs="Times New Roman"/>
        </w:rPr>
        <w:t xml:space="preserve">of particular note is </w:t>
      </w:r>
      <w:r w:rsidR="00610CB5" w:rsidRPr="00523556">
        <w:rPr>
          <w:rFonts w:ascii="Times New Roman" w:hAnsi="Times New Roman" w:cs="Times New Roman"/>
        </w:rPr>
        <w:t xml:space="preserve">in </w:t>
      </w:r>
      <w:r w:rsidRPr="00523556">
        <w:rPr>
          <w:rFonts w:ascii="Times New Roman" w:hAnsi="Times New Roman" w:cs="Times New Roman"/>
        </w:rPr>
        <w:t xml:space="preserve">the choice </w:t>
      </w:r>
      <w:r w:rsidR="00F377BD" w:rsidRPr="00523556">
        <w:rPr>
          <w:rFonts w:ascii="Times New Roman" w:hAnsi="Times New Roman" w:cs="Times New Roman"/>
        </w:rPr>
        <w:t xml:space="preserve">between non-concessional external and domestic borrowing. </w:t>
      </w:r>
      <w:r w:rsidR="00803A5F" w:rsidRPr="00523556">
        <w:rPr>
          <w:rFonts w:ascii="Times New Roman" w:hAnsi="Times New Roman" w:cs="Times New Roman"/>
        </w:rPr>
        <w:t>In the absence of risk, t</w:t>
      </w:r>
      <w:r w:rsidRPr="00523556">
        <w:rPr>
          <w:rFonts w:ascii="Times New Roman" w:hAnsi="Times New Roman" w:cs="Times New Roman"/>
        </w:rPr>
        <w:t xml:space="preserve">he </w:t>
      </w:r>
      <w:r w:rsidR="00803A5F" w:rsidRPr="00523556">
        <w:rPr>
          <w:rFonts w:ascii="Times New Roman" w:hAnsi="Times New Roman" w:cs="Times New Roman"/>
        </w:rPr>
        <w:t xml:space="preserve">equivalent nominal interest rate in </w:t>
      </w:r>
      <w:r w:rsidRPr="00523556">
        <w:rPr>
          <w:rFonts w:ascii="Times New Roman" w:hAnsi="Times New Roman" w:cs="Times New Roman"/>
        </w:rPr>
        <w:t>Shilling</w:t>
      </w:r>
      <w:r w:rsidR="00803A5F" w:rsidRPr="00523556">
        <w:rPr>
          <w:rFonts w:ascii="Times New Roman" w:hAnsi="Times New Roman" w:cs="Times New Roman"/>
        </w:rPr>
        <w:t>s of a dollar-denominated loan can be calculated by adding the expected rate of depreciation to the nominal interest rate on the loan;</w:t>
      </w:r>
      <w:r w:rsidR="00F00706" w:rsidRPr="00523556">
        <w:rPr>
          <w:rStyle w:val="FootnoteReference"/>
          <w:rFonts w:ascii="Times New Roman" w:hAnsi="Times New Roman" w:cs="Times New Roman"/>
        </w:rPr>
        <w:footnoteReference w:id="93"/>
      </w:r>
      <w:r w:rsidR="00803A5F" w:rsidRPr="00523556">
        <w:rPr>
          <w:rFonts w:ascii="Times New Roman" w:hAnsi="Times New Roman" w:cs="Times New Roman"/>
        </w:rPr>
        <w:t xml:space="preserve"> so for example</w:t>
      </w:r>
      <w:r w:rsidR="00F377BD" w:rsidRPr="00523556">
        <w:rPr>
          <w:rFonts w:ascii="Times New Roman" w:hAnsi="Times New Roman" w:cs="Times New Roman"/>
        </w:rPr>
        <w:t>,</w:t>
      </w:r>
      <w:r w:rsidR="000C0864" w:rsidRPr="00523556">
        <w:rPr>
          <w:rFonts w:ascii="Times New Roman" w:hAnsi="Times New Roman" w:cs="Times New Roman"/>
        </w:rPr>
        <w:t xml:space="preserve"> if a Ugandan Eurobond could be issued at a yield of around </w:t>
      </w:r>
      <w:r w:rsidR="005A3029" w:rsidRPr="00523556">
        <w:rPr>
          <w:rFonts w:ascii="Times New Roman" w:hAnsi="Times New Roman" w:cs="Times New Roman"/>
        </w:rPr>
        <w:t>7½</w:t>
      </w:r>
      <w:r w:rsidR="00E557B8" w:rsidRPr="00523556">
        <w:rPr>
          <w:rFonts w:ascii="Times New Roman" w:hAnsi="Times New Roman" w:cs="Times New Roman"/>
        </w:rPr>
        <w:t xml:space="preserve"> to </w:t>
      </w:r>
      <w:r w:rsidR="005A3029" w:rsidRPr="00523556">
        <w:rPr>
          <w:rFonts w:ascii="Times New Roman" w:hAnsi="Times New Roman" w:cs="Times New Roman"/>
        </w:rPr>
        <w:t>8½</w:t>
      </w:r>
      <w:r w:rsidR="00E557B8" w:rsidRPr="00523556">
        <w:rPr>
          <w:rFonts w:ascii="Times New Roman" w:hAnsi="Times New Roman" w:cs="Times New Roman"/>
        </w:rPr>
        <w:t xml:space="preserve"> per cent</w:t>
      </w:r>
      <w:r w:rsidR="00803A5F" w:rsidRPr="00523556">
        <w:rPr>
          <w:rFonts w:ascii="Times New Roman" w:hAnsi="Times New Roman" w:cs="Times New Roman"/>
        </w:rPr>
        <w:t xml:space="preserve"> (see Section 2.3</w:t>
      </w:r>
      <w:r w:rsidR="00322E35" w:rsidRPr="00523556">
        <w:rPr>
          <w:rFonts w:ascii="Times New Roman" w:hAnsi="Times New Roman" w:cs="Times New Roman"/>
        </w:rPr>
        <w:t>.2</w:t>
      </w:r>
      <w:r w:rsidR="00803A5F" w:rsidRPr="00523556">
        <w:rPr>
          <w:rFonts w:ascii="Times New Roman" w:hAnsi="Times New Roman" w:cs="Times New Roman"/>
        </w:rPr>
        <w:t>)</w:t>
      </w:r>
      <w:r w:rsidR="000C0864" w:rsidRPr="00523556">
        <w:rPr>
          <w:rFonts w:ascii="Times New Roman" w:hAnsi="Times New Roman" w:cs="Times New Roman"/>
        </w:rPr>
        <w:t xml:space="preserve">, and it is assumed that </w:t>
      </w:r>
      <w:r w:rsidR="007455C0" w:rsidRPr="00523556">
        <w:rPr>
          <w:rFonts w:ascii="Times New Roman" w:hAnsi="Times New Roman" w:cs="Times New Roman"/>
        </w:rPr>
        <w:t xml:space="preserve">the </w:t>
      </w:r>
      <w:r w:rsidR="007455C0" w:rsidRPr="00523556">
        <w:rPr>
          <w:rFonts w:ascii="Times New Roman" w:hAnsi="Times New Roman" w:cs="Times New Roman"/>
        </w:rPr>
        <w:lastRenderedPageBreak/>
        <w:t xml:space="preserve">Shilling depreciates against the </w:t>
      </w:r>
      <w:r w:rsidR="00803A5F" w:rsidRPr="00523556">
        <w:rPr>
          <w:rFonts w:ascii="Times New Roman" w:hAnsi="Times New Roman" w:cs="Times New Roman"/>
        </w:rPr>
        <w:t>dollar</w:t>
      </w:r>
      <w:r w:rsidR="007455C0" w:rsidRPr="00523556">
        <w:rPr>
          <w:rFonts w:ascii="Times New Roman" w:hAnsi="Times New Roman" w:cs="Times New Roman"/>
        </w:rPr>
        <w:t xml:space="preserve"> by around 3</w:t>
      </w:r>
      <w:r w:rsidR="00E557B8" w:rsidRPr="00523556">
        <w:rPr>
          <w:rFonts w:ascii="Times New Roman" w:hAnsi="Times New Roman" w:cs="Times New Roman"/>
        </w:rPr>
        <w:t xml:space="preserve"> per cent</w:t>
      </w:r>
      <w:r w:rsidR="007455C0" w:rsidRPr="00523556">
        <w:rPr>
          <w:rFonts w:ascii="Times New Roman" w:hAnsi="Times New Roman" w:cs="Times New Roman"/>
        </w:rPr>
        <w:t xml:space="preserve"> per year</w:t>
      </w:r>
      <w:r w:rsidR="00803A5F" w:rsidRPr="00523556">
        <w:rPr>
          <w:rFonts w:ascii="Times New Roman" w:hAnsi="Times New Roman" w:cs="Times New Roman"/>
        </w:rPr>
        <w:t>,</w:t>
      </w:r>
      <w:r w:rsidR="007455C0" w:rsidRPr="00523556">
        <w:rPr>
          <w:rStyle w:val="FootnoteReference"/>
          <w:rFonts w:ascii="Times New Roman" w:hAnsi="Times New Roman" w:cs="Times New Roman"/>
        </w:rPr>
        <w:footnoteReference w:id="94"/>
      </w:r>
      <w:r w:rsidR="00F377BD" w:rsidRPr="00523556">
        <w:rPr>
          <w:rFonts w:ascii="Times New Roman" w:hAnsi="Times New Roman" w:cs="Times New Roman"/>
        </w:rPr>
        <w:t xml:space="preserve"> </w:t>
      </w:r>
      <w:r w:rsidR="00C8004C" w:rsidRPr="00523556">
        <w:rPr>
          <w:rFonts w:ascii="Times New Roman" w:hAnsi="Times New Roman" w:cs="Times New Roman"/>
        </w:rPr>
        <w:t xml:space="preserve">then the equivalent Shilling interest rate </w:t>
      </w:r>
      <w:r w:rsidR="005846DE" w:rsidRPr="00523556">
        <w:rPr>
          <w:rFonts w:ascii="Times New Roman" w:hAnsi="Times New Roman" w:cs="Times New Roman"/>
        </w:rPr>
        <w:t>on</w:t>
      </w:r>
      <w:r w:rsidR="00C8004C" w:rsidRPr="00523556">
        <w:rPr>
          <w:rFonts w:ascii="Times New Roman" w:hAnsi="Times New Roman" w:cs="Times New Roman"/>
        </w:rPr>
        <w:t xml:space="preserve"> a Eurobond would be around </w:t>
      </w:r>
      <w:r w:rsidR="005A3029" w:rsidRPr="00523556">
        <w:rPr>
          <w:rFonts w:ascii="Times New Roman" w:hAnsi="Times New Roman" w:cs="Times New Roman"/>
        </w:rPr>
        <w:t>10½</w:t>
      </w:r>
      <w:r w:rsidR="00E557B8" w:rsidRPr="00523556">
        <w:rPr>
          <w:rFonts w:ascii="Times New Roman" w:hAnsi="Times New Roman" w:cs="Times New Roman"/>
        </w:rPr>
        <w:t xml:space="preserve"> to </w:t>
      </w:r>
      <w:r w:rsidR="005A3029" w:rsidRPr="00523556">
        <w:rPr>
          <w:rFonts w:ascii="Times New Roman" w:hAnsi="Times New Roman" w:cs="Times New Roman"/>
        </w:rPr>
        <w:t>11½</w:t>
      </w:r>
      <w:r w:rsidR="00E557B8" w:rsidRPr="00523556">
        <w:rPr>
          <w:rFonts w:ascii="Times New Roman" w:hAnsi="Times New Roman" w:cs="Times New Roman"/>
        </w:rPr>
        <w:t xml:space="preserve"> per cent</w:t>
      </w:r>
      <w:r w:rsidR="00C8004C" w:rsidRPr="00523556">
        <w:rPr>
          <w:rFonts w:ascii="Times New Roman" w:hAnsi="Times New Roman" w:cs="Times New Roman"/>
        </w:rPr>
        <w:t xml:space="preserve">. </w:t>
      </w:r>
      <w:r w:rsidR="00816552" w:rsidRPr="00523556">
        <w:rPr>
          <w:rFonts w:ascii="Times New Roman" w:hAnsi="Times New Roman" w:cs="Times New Roman"/>
        </w:rPr>
        <w:t>T</w:t>
      </w:r>
      <w:r w:rsidR="00C8004C" w:rsidRPr="00523556">
        <w:rPr>
          <w:rFonts w:ascii="Times New Roman" w:hAnsi="Times New Roman" w:cs="Times New Roman"/>
        </w:rPr>
        <w:t xml:space="preserve">his </w:t>
      </w:r>
      <w:r w:rsidR="00816552" w:rsidRPr="00523556">
        <w:rPr>
          <w:rFonts w:ascii="Times New Roman" w:hAnsi="Times New Roman" w:cs="Times New Roman"/>
        </w:rPr>
        <w:t xml:space="preserve">is lower than </w:t>
      </w:r>
      <w:r w:rsidR="00C8004C" w:rsidRPr="00523556">
        <w:rPr>
          <w:rFonts w:ascii="Times New Roman" w:hAnsi="Times New Roman" w:cs="Times New Roman"/>
        </w:rPr>
        <w:t>the weighted average interest rate on Treasury securities of just over 13</w:t>
      </w:r>
      <w:r w:rsidR="00E557B8" w:rsidRPr="00523556">
        <w:rPr>
          <w:rFonts w:ascii="Times New Roman" w:hAnsi="Times New Roman" w:cs="Times New Roman"/>
        </w:rPr>
        <w:t xml:space="preserve"> per cent</w:t>
      </w:r>
      <w:r w:rsidR="00C8004C" w:rsidRPr="00523556">
        <w:rPr>
          <w:rFonts w:ascii="Times New Roman" w:hAnsi="Times New Roman" w:cs="Times New Roman"/>
        </w:rPr>
        <w:t xml:space="preserve"> (as o</w:t>
      </w:r>
      <w:r w:rsidR="005A3029" w:rsidRPr="00523556">
        <w:rPr>
          <w:rFonts w:ascii="Times New Roman" w:hAnsi="Times New Roman" w:cs="Times New Roman"/>
        </w:rPr>
        <w:t>f</w:t>
      </w:r>
      <w:r w:rsidR="00862434" w:rsidRPr="00523556">
        <w:rPr>
          <w:rFonts w:ascii="Times New Roman" w:hAnsi="Times New Roman" w:cs="Times New Roman"/>
        </w:rPr>
        <w:t xml:space="preserve"> end-FY12/13)</w:t>
      </w:r>
      <w:r w:rsidR="00D7273E" w:rsidRPr="00523556">
        <w:rPr>
          <w:rFonts w:ascii="Times New Roman" w:hAnsi="Times New Roman" w:cs="Times New Roman"/>
        </w:rPr>
        <w:t>.</w:t>
      </w:r>
      <w:r w:rsidR="00910534" w:rsidRPr="00523556">
        <w:rPr>
          <w:rFonts w:ascii="Times New Roman" w:hAnsi="Times New Roman" w:cs="Times New Roman"/>
        </w:rPr>
        <w:t xml:space="preserve"> </w:t>
      </w:r>
      <w:r w:rsidR="00B41F08" w:rsidRPr="00523556">
        <w:rPr>
          <w:rFonts w:ascii="Times New Roman" w:hAnsi="Times New Roman" w:cs="Times New Roman"/>
        </w:rPr>
        <w:t>However, this ostensibly-</w:t>
      </w:r>
      <w:r w:rsidR="00D7273E" w:rsidRPr="00523556">
        <w:rPr>
          <w:rFonts w:ascii="Times New Roman" w:hAnsi="Times New Roman" w:cs="Times New Roman"/>
        </w:rPr>
        <w:t xml:space="preserve">lower interest cost of a Eurobond </w:t>
      </w:r>
      <w:r w:rsidR="00910534" w:rsidRPr="00523556">
        <w:rPr>
          <w:rFonts w:ascii="Times New Roman" w:hAnsi="Times New Roman" w:cs="Times New Roman"/>
        </w:rPr>
        <w:t xml:space="preserve">is mitigated to </w:t>
      </w:r>
      <w:r w:rsidR="001E1772" w:rsidRPr="00523556">
        <w:rPr>
          <w:rFonts w:ascii="Times New Roman" w:hAnsi="Times New Roman" w:cs="Times New Roman"/>
        </w:rPr>
        <w:t>a substantive degree</w:t>
      </w:r>
      <w:r w:rsidR="00910534" w:rsidRPr="00523556">
        <w:rPr>
          <w:rFonts w:ascii="Times New Roman" w:hAnsi="Times New Roman" w:cs="Times New Roman"/>
        </w:rPr>
        <w:t xml:space="preserve"> </w:t>
      </w:r>
      <w:r w:rsidR="00D12A6E" w:rsidRPr="00523556">
        <w:rPr>
          <w:rFonts w:ascii="Times New Roman" w:hAnsi="Times New Roman" w:cs="Times New Roman"/>
        </w:rPr>
        <w:t>once</w:t>
      </w:r>
      <w:r w:rsidR="00117690" w:rsidRPr="00523556">
        <w:rPr>
          <w:rFonts w:ascii="Times New Roman" w:hAnsi="Times New Roman" w:cs="Times New Roman"/>
        </w:rPr>
        <w:t xml:space="preserve"> </w:t>
      </w:r>
      <w:r w:rsidR="00910534" w:rsidRPr="00523556">
        <w:rPr>
          <w:rFonts w:ascii="Times New Roman" w:hAnsi="Times New Roman" w:cs="Times New Roman"/>
        </w:rPr>
        <w:t xml:space="preserve">tax </w:t>
      </w:r>
      <w:r w:rsidR="00117690" w:rsidRPr="00523556">
        <w:rPr>
          <w:rFonts w:ascii="Times New Roman" w:hAnsi="Times New Roman" w:cs="Times New Roman"/>
        </w:rPr>
        <w:t>treatment is taken into account</w:t>
      </w:r>
      <w:r w:rsidR="00D7273E" w:rsidRPr="00523556">
        <w:rPr>
          <w:rFonts w:ascii="Times New Roman" w:hAnsi="Times New Roman" w:cs="Times New Roman"/>
        </w:rPr>
        <w:t>.</w:t>
      </w:r>
      <w:r w:rsidR="00B60F1F" w:rsidRPr="00523556">
        <w:rPr>
          <w:rStyle w:val="FootnoteReference"/>
          <w:rFonts w:ascii="Times New Roman" w:hAnsi="Times New Roman" w:cs="Times New Roman"/>
        </w:rPr>
        <w:footnoteReference w:id="95"/>
      </w:r>
      <w:r w:rsidR="00591356" w:rsidRPr="00523556">
        <w:rPr>
          <w:rStyle w:val="FootnoteReference"/>
          <w:rFonts w:ascii="Times New Roman" w:hAnsi="Times New Roman" w:cs="Times New Roman"/>
        </w:rPr>
        <w:footnoteReference w:id="96"/>
      </w:r>
      <w:r w:rsidR="00D7273E" w:rsidRPr="00523556">
        <w:rPr>
          <w:rFonts w:ascii="Times New Roman" w:hAnsi="Times New Roman" w:cs="Times New Roman"/>
        </w:rPr>
        <w:t xml:space="preserve"> Furthermore, </w:t>
      </w:r>
      <w:r w:rsidR="00862434" w:rsidRPr="00523556">
        <w:rPr>
          <w:rFonts w:ascii="Times New Roman" w:hAnsi="Times New Roman" w:cs="Times New Roman"/>
        </w:rPr>
        <w:t>exchange rate risk that comes with borrowing in foreign currenc</w:t>
      </w:r>
      <w:r w:rsidR="00406636" w:rsidRPr="00523556">
        <w:rPr>
          <w:rFonts w:ascii="Times New Roman" w:hAnsi="Times New Roman" w:cs="Times New Roman"/>
        </w:rPr>
        <w:t>y</w:t>
      </w:r>
      <w:r w:rsidR="001E31F4" w:rsidRPr="00523556">
        <w:rPr>
          <w:rFonts w:ascii="Times New Roman" w:hAnsi="Times New Roman" w:cs="Times New Roman"/>
        </w:rPr>
        <w:t>, and</w:t>
      </w:r>
      <w:r w:rsidR="00080CF0" w:rsidRPr="00523556">
        <w:rPr>
          <w:rFonts w:ascii="Times New Roman" w:hAnsi="Times New Roman" w:cs="Times New Roman"/>
        </w:rPr>
        <w:t xml:space="preserve"> </w:t>
      </w:r>
      <w:r w:rsidR="001E31F4" w:rsidRPr="00523556">
        <w:rPr>
          <w:rFonts w:ascii="Times New Roman" w:hAnsi="Times New Roman" w:cs="Times New Roman"/>
        </w:rPr>
        <w:t xml:space="preserve">differences in </w:t>
      </w:r>
      <w:r w:rsidR="00080CF0" w:rsidRPr="00523556">
        <w:rPr>
          <w:rFonts w:ascii="Times New Roman" w:hAnsi="Times New Roman" w:cs="Times New Roman"/>
        </w:rPr>
        <w:t>refinancing risk exposure</w:t>
      </w:r>
      <w:r w:rsidR="001E31F4" w:rsidRPr="00523556">
        <w:rPr>
          <w:rFonts w:ascii="Times New Roman" w:hAnsi="Times New Roman" w:cs="Times New Roman"/>
        </w:rPr>
        <w:t>,</w:t>
      </w:r>
      <w:r w:rsidR="00406636" w:rsidRPr="00523556">
        <w:rPr>
          <w:rFonts w:ascii="Times New Roman" w:hAnsi="Times New Roman" w:cs="Times New Roman"/>
        </w:rPr>
        <w:t xml:space="preserve"> also need to be considered</w:t>
      </w:r>
      <w:r w:rsidR="00610CB5" w:rsidRPr="00523556">
        <w:rPr>
          <w:rFonts w:ascii="Times New Roman" w:hAnsi="Times New Roman" w:cs="Times New Roman"/>
        </w:rPr>
        <w:t xml:space="preserve">. </w:t>
      </w:r>
      <w:r w:rsidR="001E31F4" w:rsidRPr="00523556">
        <w:rPr>
          <w:rFonts w:ascii="Times New Roman" w:hAnsi="Times New Roman" w:cs="Times New Roman"/>
        </w:rPr>
        <w:t>For example, a</w:t>
      </w:r>
      <w:r w:rsidR="00610CB5" w:rsidRPr="00523556">
        <w:rPr>
          <w:rFonts w:ascii="Times New Roman" w:hAnsi="Times New Roman" w:cs="Times New Roman"/>
        </w:rPr>
        <w:t>s measured by average time to maturity (ATM) alone, a Eurobond (of say either 5- or 10-years maturity) could be considered lower risk than domestic debt (the ATM on which is current</w:t>
      </w:r>
      <w:r w:rsidR="009A153E" w:rsidRPr="00523556">
        <w:rPr>
          <w:rFonts w:ascii="Times New Roman" w:hAnsi="Times New Roman" w:cs="Times New Roman"/>
        </w:rPr>
        <w:t>ly</w:t>
      </w:r>
      <w:r w:rsidR="00610CB5" w:rsidRPr="00523556">
        <w:rPr>
          <w:rFonts w:ascii="Times New Roman" w:hAnsi="Times New Roman" w:cs="Times New Roman"/>
        </w:rPr>
        <w:t xml:space="preserve"> around 1.7 years)</w:t>
      </w:r>
      <w:r w:rsidR="00BA7FBC" w:rsidRPr="00523556">
        <w:rPr>
          <w:rFonts w:ascii="Times New Roman" w:hAnsi="Times New Roman" w:cs="Times New Roman"/>
        </w:rPr>
        <w:t>.</w:t>
      </w:r>
      <w:r w:rsidR="00610CB5" w:rsidRPr="00523556">
        <w:rPr>
          <w:rFonts w:ascii="Times New Roman" w:hAnsi="Times New Roman" w:cs="Times New Roman"/>
        </w:rPr>
        <w:t xml:space="preserve"> </w:t>
      </w:r>
      <w:r w:rsidR="00BA7FBC" w:rsidRPr="00523556">
        <w:rPr>
          <w:rFonts w:ascii="Times New Roman" w:hAnsi="Times New Roman" w:cs="Times New Roman"/>
        </w:rPr>
        <w:t>H</w:t>
      </w:r>
      <w:r w:rsidR="00E45202" w:rsidRPr="00523556">
        <w:rPr>
          <w:rFonts w:ascii="Times New Roman" w:hAnsi="Times New Roman" w:cs="Times New Roman"/>
        </w:rPr>
        <w:t xml:space="preserve">owever, </w:t>
      </w:r>
      <w:r w:rsidR="00D965FA" w:rsidRPr="00523556">
        <w:rPr>
          <w:rFonts w:ascii="Times New Roman" w:hAnsi="Times New Roman" w:cs="Times New Roman"/>
        </w:rPr>
        <w:t xml:space="preserve">demand for domestic debt </w:t>
      </w:r>
      <w:r w:rsidR="00080CF0" w:rsidRPr="00523556">
        <w:rPr>
          <w:rFonts w:ascii="Times New Roman" w:hAnsi="Times New Roman" w:cs="Times New Roman"/>
        </w:rPr>
        <w:t xml:space="preserve">may be </w:t>
      </w:r>
      <w:r w:rsidR="00D965FA" w:rsidRPr="00523556">
        <w:rPr>
          <w:rFonts w:ascii="Times New Roman" w:hAnsi="Times New Roman" w:cs="Times New Roman"/>
        </w:rPr>
        <w:t>less volatile</w:t>
      </w:r>
      <w:r w:rsidR="001E31F4" w:rsidRPr="00523556">
        <w:rPr>
          <w:rFonts w:ascii="Times New Roman" w:hAnsi="Times New Roman" w:cs="Times New Roman"/>
        </w:rPr>
        <w:t xml:space="preserve"> than for external debt</w:t>
      </w:r>
      <w:r w:rsidR="00BA7FBC" w:rsidRPr="00523556">
        <w:rPr>
          <w:rFonts w:ascii="Times New Roman" w:hAnsi="Times New Roman" w:cs="Times New Roman"/>
        </w:rPr>
        <w:t xml:space="preserve"> – meaning the probability of market disruption for external borrowing </w:t>
      </w:r>
      <w:r w:rsidR="00B41F08" w:rsidRPr="00523556">
        <w:rPr>
          <w:rFonts w:ascii="Times New Roman" w:hAnsi="Times New Roman" w:cs="Times New Roman"/>
        </w:rPr>
        <w:t xml:space="preserve">at any given point in time </w:t>
      </w:r>
      <w:r w:rsidR="00BA7FBC" w:rsidRPr="00523556">
        <w:rPr>
          <w:rFonts w:ascii="Times New Roman" w:hAnsi="Times New Roman" w:cs="Times New Roman"/>
        </w:rPr>
        <w:t>might be greater –</w:t>
      </w:r>
      <w:r w:rsidR="005443A3" w:rsidRPr="00523556">
        <w:rPr>
          <w:rStyle w:val="FootnoteReference"/>
          <w:rFonts w:ascii="Times New Roman" w:hAnsi="Times New Roman" w:cs="Times New Roman"/>
        </w:rPr>
        <w:footnoteReference w:id="97"/>
      </w:r>
      <w:r w:rsidR="00D965FA" w:rsidRPr="00523556">
        <w:rPr>
          <w:rFonts w:ascii="Times New Roman" w:hAnsi="Times New Roman" w:cs="Times New Roman"/>
        </w:rPr>
        <w:t xml:space="preserve"> </w:t>
      </w:r>
      <w:r w:rsidR="00E45202" w:rsidRPr="00523556">
        <w:rPr>
          <w:rFonts w:ascii="Times New Roman" w:hAnsi="Times New Roman" w:cs="Times New Roman"/>
        </w:rPr>
        <w:t>whilst</w:t>
      </w:r>
      <w:r w:rsidR="00D965FA" w:rsidRPr="00523556">
        <w:rPr>
          <w:rFonts w:ascii="Times New Roman" w:hAnsi="Times New Roman" w:cs="Times New Roman"/>
        </w:rPr>
        <w:t xml:space="preserve"> </w:t>
      </w:r>
      <w:r w:rsidR="00610CB5" w:rsidRPr="00523556">
        <w:rPr>
          <w:rFonts w:ascii="Times New Roman" w:hAnsi="Times New Roman" w:cs="Times New Roman"/>
        </w:rPr>
        <w:t xml:space="preserve">the </w:t>
      </w:r>
      <w:r w:rsidR="00BA7FBC" w:rsidRPr="00523556">
        <w:rPr>
          <w:rFonts w:ascii="Times New Roman" w:hAnsi="Times New Roman" w:cs="Times New Roman"/>
        </w:rPr>
        <w:t xml:space="preserve">large </w:t>
      </w:r>
      <w:r w:rsidR="00610CB5" w:rsidRPr="00523556">
        <w:rPr>
          <w:rFonts w:ascii="Times New Roman" w:hAnsi="Times New Roman" w:cs="Times New Roman"/>
        </w:rPr>
        <w:t xml:space="preserve">size of </w:t>
      </w:r>
      <w:r w:rsidR="00080CF0" w:rsidRPr="00523556">
        <w:rPr>
          <w:rFonts w:ascii="Times New Roman" w:hAnsi="Times New Roman" w:cs="Times New Roman"/>
        </w:rPr>
        <w:t xml:space="preserve">redemption </w:t>
      </w:r>
      <w:r w:rsidR="00406636" w:rsidRPr="00523556">
        <w:rPr>
          <w:rFonts w:ascii="Times New Roman" w:hAnsi="Times New Roman" w:cs="Times New Roman"/>
        </w:rPr>
        <w:t>payment</w:t>
      </w:r>
      <w:r w:rsidR="00080CF0" w:rsidRPr="00523556">
        <w:rPr>
          <w:rFonts w:ascii="Times New Roman" w:hAnsi="Times New Roman" w:cs="Times New Roman"/>
        </w:rPr>
        <w:t>s</w:t>
      </w:r>
      <w:r w:rsidR="00406636" w:rsidRPr="00523556">
        <w:rPr>
          <w:rFonts w:ascii="Times New Roman" w:hAnsi="Times New Roman" w:cs="Times New Roman"/>
        </w:rPr>
        <w:t xml:space="preserve"> </w:t>
      </w:r>
      <w:r w:rsidR="00080CF0" w:rsidRPr="00523556">
        <w:rPr>
          <w:rFonts w:ascii="Times New Roman" w:hAnsi="Times New Roman" w:cs="Times New Roman"/>
        </w:rPr>
        <w:t xml:space="preserve">on </w:t>
      </w:r>
      <w:r w:rsidR="00406636" w:rsidRPr="00523556">
        <w:rPr>
          <w:rFonts w:ascii="Times New Roman" w:hAnsi="Times New Roman" w:cs="Times New Roman"/>
        </w:rPr>
        <w:t>a Eurobond</w:t>
      </w:r>
      <w:r w:rsidR="00610CB5" w:rsidRPr="00523556">
        <w:rPr>
          <w:rFonts w:ascii="Times New Roman" w:hAnsi="Times New Roman" w:cs="Times New Roman"/>
        </w:rPr>
        <w:t xml:space="preserve"> </w:t>
      </w:r>
      <w:r w:rsidR="00BA7FBC" w:rsidRPr="00523556">
        <w:rPr>
          <w:rFonts w:ascii="Times New Roman" w:hAnsi="Times New Roman" w:cs="Times New Roman"/>
        </w:rPr>
        <w:t xml:space="preserve">compared to </w:t>
      </w:r>
      <w:r w:rsidR="00610CB5" w:rsidRPr="00523556">
        <w:rPr>
          <w:rFonts w:ascii="Times New Roman" w:hAnsi="Times New Roman" w:cs="Times New Roman"/>
        </w:rPr>
        <w:t xml:space="preserve">individual </w:t>
      </w:r>
      <w:r w:rsidR="00080CF0" w:rsidRPr="00523556">
        <w:rPr>
          <w:rFonts w:ascii="Times New Roman" w:hAnsi="Times New Roman" w:cs="Times New Roman"/>
        </w:rPr>
        <w:t xml:space="preserve">domestic </w:t>
      </w:r>
      <w:r w:rsidR="00BA7FBC" w:rsidRPr="00523556">
        <w:rPr>
          <w:rFonts w:ascii="Times New Roman" w:hAnsi="Times New Roman" w:cs="Times New Roman"/>
        </w:rPr>
        <w:t>Treasury securities</w:t>
      </w:r>
      <w:r w:rsidR="00B41F08" w:rsidRPr="00523556">
        <w:rPr>
          <w:rStyle w:val="FootnoteReference"/>
          <w:rFonts w:ascii="Times New Roman" w:hAnsi="Times New Roman" w:cs="Times New Roman"/>
        </w:rPr>
        <w:footnoteReference w:id="98"/>
      </w:r>
      <w:r w:rsidR="00C61930" w:rsidRPr="00523556">
        <w:rPr>
          <w:rFonts w:ascii="Times New Roman" w:hAnsi="Times New Roman" w:cs="Times New Roman"/>
        </w:rPr>
        <w:t xml:space="preserve"> </w:t>
      </w:r>
      <w:r w:rsidR="00BA7FBC" w:rsidRPr="00523556">
        <w:rPr>
          <w:rFonts w:ascii="Times New Roman" w:hAnsi="Times New Roman" w:cs="Times New Roman"/>
        </w:rPr>
        <w:t>means</w:t>
      </w:r>
      <w:r w:rsidR="00C61930" w:rsidRPr="00523556">
        <w:rPr>
          <w:rFonts w:ascii="Times New Roman" w:hAnsi="Times New Roman" w:cs="Times New Roman"/>
        </w:rPr>
        <w:t xml:space="preserve"> </w:t>
      </w:r>
      <w:r w:rsidR="00E45202" w:rsidRPr="00523556">
        <w:rPr>
          <w:rFonts w:ascii="Times New Roman" w:hAnsi="Times New Roman" w:cs="Times New Roman"/>
        </w:rPr>
        <w:t xml:space="preserve">that </w:t>
      </w:r>
      <w:r w:rsidR="00B41F08" w:rsidRPr="00523556">
        <w:rPr>
          <w:rFonts w:ascii="Times New Roman" w:hAnsi="Times New Roman" w:cs="Times New Roman"/>
        </w:rPr>
        <w:t>the impact of any given market disruption at the time of redemption would be magnified</w:t>
      </w:r>
      <w:r w:rsidR="00143D22" w:rsidRPr="00523556">
        <w:rPr>
          <w:rFonts w:ascii="Times New Roman" w:hAnsi="Times New Roman" w:cs="Times New Roman"/>
        </w:rPr>
        <w:t xml:space="preserve"> for external borrowing</w:t>
      </w:r>
      <w:r w:rsidR="00B41F08" w:rsidRPr="00523556">
        <w:rPr>
          <w:rFonts w:ascii="Times New Roman" w:hAnsi="Times New Roman" w:cs="Times New Roman"/>
        </w:rPr>
        <w:t>.</w:t>
      </w:r>
      <w:r w:rsidR="00486F77" w:rsidRPr="00523556">
        <w:rPr>
          <w:rFonts w:ascii="Times New Roman" w:hAnsi="Times New Roman" w:cs="Times New Roman"/>
        </w:rPr>
        <w:t xml:space="preserve"> </w:t>
      </w:r>
    </w:p>
    <w:p w:rsidR="00610CB5" w:rsidRPr="00523556" w:rsidRDefault="00410378" w:rsidP="00D431B8">
      <w:pPr>
        <w:jc w:val="both"/>
        <w:rPr>
          <w:rFonts w:ascii="Times New Roman" w:hAnsi="Times New Roman" w:cs="Times New Roman"/>
        </w:rPr>
      </w:pPr>
      <w:r w:rsidRPr="00523556">
        <w:rPr>
          <w:rFonts w:ascii="Times New Roman" w:hAnsi="Times New Roman" w:cs="Times New Roman"/>
        </w:rPr>
        <w:t>Analytical aids</w:t>
      </w:r>
      <w:r w:rsidR="00FD6BFA" w:rsidRPr="00523556">
        <w:rPr>
          <w:rFonts w:ascii="Times New Roman" w:hAnsi="Times New Roman" w:cs="Times New Roman"/>
        </w:rPr>
        <w:t xml:space="preserve"> such as the World Bank-IMF Medium-Term Debt Management Strategy tool – which Uganda has just </w:t>
      </w:r>
      <w:r w:rsidR="000922FD" w:rsidRPr="00523556">
        <w:rPr>
          <w:rFonts w:ascii="Times New Roman" w:hAnsi="Times New Roman" w:cs="Times New Roman"/>
        </w:rPr>
        <w:t>adopted</w:t>
      </w:r>
      <w:r w:rsidR="00FD6BFA" w:rsidRPr="00523556">
        <w:rPr>
          <w:rFonts w:ascii="Times New Roman" w:hAnsi="Times New Roman" w:cs="Times New Roman"/>
        </w:rPr>
        <w:t>, and is discussed and used in Section 3.3 – can be used to provide a simple but informative quantification of cost-risk trade-offs.</w:t>
      </w:r>
    </w:p>
    <w:p w:rsidR="00D7469C" w:rsidRPr="00523556" w:rsidRDefault="00D7469C" w:rsidP="00F122EB">
      <w:pPr>
        <w:pStyle w:val="Heading3"/>
        <w:numPr>
          <w:ilvl w:val="2"/>
          <w:numId w:val="11"/>
        </w:numPr>
        <w:rPr>
          <w:rFonts w:ascii="Times New Roman" w:hAnsi="Times New Roman" w:cs="Times New Roman"/>
        </w:rPr>
      </w:pPr>
      <w:r w:rsidRPr="00523556">
        <w:rPr>
          <w:rFonts w:ascii="Times New Roman" w:hAnsi="Times New Roman" w:cs="Times New Roman"/>
        </w:rPr>
        <w:t>Promoting the development of</w:t>
      </w:r>
      <w:r w:rsidR="009B3D57" w:rsidRPr="00523556">
        <w:rPr>
          <w:rFonts w:ascii="Times New Roman" w:hAnsi="Times New Roman" w:cs="Times New Roman"/>
        </w:rPr>
        <w:t xml:space="preserve"> domestic financial</w:t>
      </w:r>
      <w:r w:rsidRPr="00523556">
        <w:rPr>
          <w:rFonts w:ascii="Times New Roman" w:hAnsi="Times New Roman" w:cs="Times New Roman"/>
        </w:rPr>
        <w:t xml:space="preserve"> markets</w:t>
      </w:r>
    </w:p>
    <w:p w:rsidR="003353EB" w:rsidRPr="00523556" w:rsidRDefault="00444900" w:rsidP="00ED3F44">
      <w:pPr>
        <w:jc w:val="both"/>
        <w:rPr>
          <w:rFonts w:ascii="Times New Roman" w:hAnsi="Times New Roman" w:cs="Times New Roman"/>
        </w:rPr>
      </w:pPr>
      <w:r w:rsidRPr="00523556">
        <w:rPr>
          <w:rFonts w:ascii="Times New Roman" w:hAnsi="Times New Roman" w:cs="Times New Roman"/>
        </w:rPr>
        <w:t>The d</w:t>
      </w:r>
      <w:r w:rsidR="00F12B2F" w:rsidRPr="00523556">
        <w:rPr>
          <w:rFonts w:ascii="Times New Roman" w:hAnsi="Times New Roman" w:cs="Times New Roman"/>
        </w:rPr>
        <w:t>evelop</w:t>
      </w:r>
      <w:r w:rsidR="00ED3F44" w:rsidRPr="00523556">
        <w:rPr>
          <w:rFonts w:ascii="Times New Roman" w:hAnsi="Times New Roman" w:cs="Times New Roman"/>
        </w:rPr>
        <w:t>ment of</w:t>
      </w:r>
      <w:r w:rsidR="00F12B2F" w:rsidRPr="00523556">
        <w:rPr>
          <w:rFonts w:ascii="Times New Roman" w:hAnsi="Times New Roman" w:cs="Times New Roman"/>
        </w:rPr>
        <w:t xml:space="preserve"> government debt markets </w:t>
      </w:r>
      <w:r w:rsidRPr="00523556">
        <w:rPr>
          <w:rFonts w:ascii="Times New Roman" w:hAnsi="Times New Roman" w:cs="Times New Roman"/>
        </w:rPr>
        <w:t xml:space="preserve">– in addition to reducing the costs and risks to government of domestic financing – </w:t>
      </w:r>
      <w:r w:rsidR="003353EB" w:rsidRPr="00523556">
        <w:rPr>
          <w:rFonts w:ascii="Times New Roman" w:hAnsi="Times New Roman" w:cs="Times New Roman"/>
        </w:rPr>
        <w:t>plays</w:t>
      </w:r>
      <w:r w:rsidRPr="00523556">
        <w:rPr>
          <w:rFonts w:ascii="Times New Roman" w:hAnsi="Times New Roman" w:cs="Times New Roman"/>
        </w:rPr>
        <w:t xml:space="preserve"> </w:t>
      </w:r>
      <w:r w:rsidR="003353EB" w:rsidRPr="00523556">
        <w:rPr>
          <w:rFonts w:ascii="Times New Roman" w:hAnsi="Times New Roman" w:cs="Times New Roman"/>
        </w:rPr>
        <w:t xml:space="preserve">a fundamental role in </w:t>
      </w:r>
      <w:r w:rsidR="00410378" w:rsidRPr="00523556">
        <w:rPr>
          <w:rFonts w:ascii="Times New Roman" w:hAnsi="Times New Roman" w:cs="Times New Roman"/>
        </w:rPr>
        <w:t xml:space="preserve">supporting </w:t>
      </w:r>
      <w:r w:rsidR="003353EB" w:rsidRPr="00523556">
        <w:rPr>
          <w:rFonts w:ascii="Times New Roman" w:hAnsi="Times New Roman" w:cs="Times New Roman"/>
        </w:rPr>
        <w:t xml:space="preserve">the development of the </w:t>
      </w:r>
      <w:r w:rsidR="00483DC5" w:rsidRPr="00523556">
        <w:rPr>
          <w:rFonts w:ascii="Times New Roman" w:hAnsi="Times New Roman" w:cs="Times New Roman"/>
        </w:rPr>
        <w:t xml:space="preserve">breadth, depth and resilience of the </w:t>
      </w:r>
      <w:r w:rsidRPr="00523556">
        <w:rPr>
          <w:rFonts w:ascii="Times New Roman" w:hAnsi="Times New Roman" w:cs="Times New Roman"/>
        </w:rPr>
        <w:t xml:space="preserve">domestic </w:t>
      </w:r>
      <w:r w:rsidR="003353EB" w:rsidRPr="00523556">
        <w:rPr>
          <w:rFonts w:ascii="Times New Roman" w:hAnsi="Times New Roman" w:cs="Times New Roman"/>
        </w:rPr>
        <w:t>financial sector more broadly.</w:t>
      </w:r>
      <w:r w:rsidR="00986E6E" w:rsidRPr="00523556">
        <w:rPr>
          <w:rStyle w:val="FootnoteReference"/>
          <w:rFonts w:ascii="Times New Roman" w:hAnsi="Times New Roman" w:cs="Times New Roman"/>
        </w:rPr>
        <w:footnoteReference w:id="99"/>
      </w:r>
      <w:r w:rsidR="003353EB" w:rsidRPr="00523556">
        <w:rPr>
          <w:rFonts w:ascii="Times New Roman" w:hAnsi="Times New Roman" w:cs="Times New Roman"/>
        </w:rPr>
        <w:t xml:space="preserve"> There is considerable policy guidance available on actions government</w:t>
      </w:r>
      <w:r w:rsidR="00755A66" w:rsidRPr="00523556">
        <w:rPr>
          <w:rFonts w:ascii="Times New Roman" w:hAnsi="Times New Roman" w:cs="Times New Roman"/>
        </w:rPr>
        <w:t>s</w:t>
      </w:r>
      <w:r w:rsidR="003353EB" w:rsidRPr="00523556">
        <w:rPr>
          <w:rFonts w:ascii="Times New Roman" w:hAnsi="Times New Roman" w:cs="Times New Roman"/>
        </w:rPr>
        <w:t xml:space="preserve"> can take in this area – </w:t>
      </w:r>
      <w:r w:rsidR="003353EB" w:rsidRPr="00523556">
        <w:rPr>
          <w:rFonts w:ascii="Times New Roman" w:hAnsi="Times New Roman" w:cs="Times New Roman"/>
        </w:rPr>
        <w:lastRenderedPageBreak/>
        <w:t xml:space="preserve">including </w:t>
      </w:r>
      <w:r w:rsidR="00755A66" w:rsidRPr="00523556">
        <w:rPr>
          <w:rFonts w:ascii="Times New Roman" w:hAnsi="Times New Roman" w:cs="Times New Roman"/>
        </w:rPr>
        <w:t xml:space="preserve">on </w:t>
      </w:r>
      <w:r w:rsidR="003353EB" w:rsidRPr="00523556">
        <w:rPr>
          <w:rFonts w:ascii="Times New Roman" w:hAnsi="Times New Roman" w:cs="Times New Roman"/>
        </w:rPr>
        <w:t>develop</w:t>
      </w:r>
      <w:r w:rsidR="00755A66" w:rsidRPr="00523556">
        <w:rPr>
          <w:rFonts w:ascii="Times New Roman" w:hAnsi="Times New Roman" w:cs="Times New Roman"/>
        </w:rPr>
        <w:t>ing</w:t>
      </w:r>
      <w:r w:rsidR="003353EB" w:rsidRPr="00523556">
        <w:rPr>
          <w:rFonts w:ascii="Times New Roman" w:hAnsi="Times New Roman" w:cs="Times New Roman"/>
        </w:rPr>
        <w:t xml:space="preserve"> efficient primary markets, diversifying the investor base, stimulating active secondary markets, and ensuring settlement systems are </w:t>
      </w:r>
      <w:r w:rsidR="0038626F" w:rsidRPr="00523556">
        <w:rPr>
          <w:rFonts w:ascii="Times New Roman" w:hAnsi="Times New Roman" w:cs="Times New Roman"/>
        </w:rPr>
        <w:t>sound and regulation robust</w:t>
      </w:r>
      <w:r w:rsidR="003353EB" w:rsidRPr="00523556">
        <w:rPr>
          <w:rFonts w:ascii="Times New Roman" w:hAnsi="Times New Roman" w:cs="Times New Roman"/>
        </w:rPr>
        <w:t>.</w:t>
      </w:r>
      <w:r w:rsidR="0038626F" w:rsidRPr="00523556">
        <w:rPr>
          <w:rStyle w:val="FootnoteReference"/>
          <w:rFonts w:ascii="Times New Roman" w:hAnsi="Times New Roman" w:cs="Times New Roman"/>
        </w:rPr>
        <w:footnoteReference w:id="100"/>
      </w:r>
      <w:r w:rsidR="003353EB" w:rsidRPr="00523556">
        <w:rPr>
          <w:rFonts w:ascii="Times New Roman" w:hAnsi="Times New Roman" w:cs="Times New Roman"/>
        </w:rPr>
        <w:t xml:space="preserve"> </w:t>
      </w:r>
      <w:r w:rsidR="002B4673" w:rsidRPr="00523556">
        <w:rPr>
          <w:rFonts w:ascii="Times New Roman" w:hAnsi="Times New Roman" w:cs="Times New Roman"/>
        </w:rPr>
        <w:t xml:space="preserve">As set out in Box 1 and Section 2.2.4, </w:t>
      </w:r>
      <w:r w:rsidR="00755A66" w:rsidRPr="00523556">
        <w:rPr>
          <w:rFonts w:ascii="Times New Roman" w:hAnsi="Times New Roman" w:cs="Times New Roman"/>
        </w:rPr>
        <w:t>Uganda has taken some significant steps already in this regard,</w:t>
      </w:r>
      <w:r w:rsidR="002B4673" w:rsidRPr="00523556">
        <w:rPr>
          <w:rFonts w:ascii="Times New Roman" w:hAnsi="Times New Roman" w:cs="Times New Roman"/>
        </w:rPr>
        <w:t xml:space="preserve"> scope for substantive further improvements remain, and </w:t>
      </w:r>
      <w:r w:rsidR="00887C39" w:rsidRPr="00523556">
        <w:rPr>
          <w:rFonts w:ascii="Times New Roman" w:hAnsi="Times New Roman" w:cs="Times New Roman"/>
        </w:rPr>
        <w:t xml:space="preserve">the </w:t>
      </w:r>
      <w:r w:rsidR="002B4673" w:rsidRPr="00523556">
        <w:rPr>
          <w:rFonts w:ascii="Times New Roman" w:hAnsi="Times New Roman" w:cs="Times New Roman"/>
        </w:rPr>
        <w:t xml:space="preserve">policy reform </w:t>
      </w:r>
      <w:r w:rsidR="00887C39" w:rsidRPr="00523556">
        <w:rPr>
          <w:rFonts w:ascii="Times New Roman" w:hAnsi="Times New Roman" w:cs="Times New Roman"/>
        </w:rPr>
        <w:t xml:space="preserve">process </w:t>
      </w:r>
      <w:r w:rsidR="002B4673" w:rsidRPr="00523556">
        <w:rPr>
          <w:rFonts w:ascii="Times New Roman" w:hAnsi="Times New Roman" w:cs="Times New Roman"/>
        </w:rPr>
        <w:t>is ongoing.</w:t>
      </w:r>
      <w:r w:rsidR="00755A66" w:rsidRPr="00523556">
        <w:rPr>
          <w:rFonts w:ascii="Times New Roman" w:hAnsi="Times New Roman" w:cs="Times New Roman"/>
          <w:highlight w:val="cyan"/>
        </w:rPr>
        <w:t xml:space="preserve"> </w:t>
      </w:r>
    </w:p>
    <w:p w:rsidR="009B3D57" w:rsidRPr="00523556" w:rsidRDefault="0091357B" w:rsidP="00642143">
      <w:pPr>
        <w:pStyle w:val="Heading3"/>
        <w:numPr>
          <w:ilvl w:val="2"/>
          <w:numId w:val="11"/>
        </w:numPr>
        <w:rPr>
          <w:rFonts w:ascii="Times New Roman" w:hAnsi="Times New Roman" w:cs="Times New Roman"/>
        </w:rPr>
      </w:pPr>
      <w:r w:rsidRPr="00523556">
        <w:rPr>
          <w:rFonts w:ascii="Times New Roman" w:hAnsi="Times New Roman" w:cs="Times New Roman"/>
        </w:rPr>
        <w:t xml:space="preserve">Additional </w:t>
      </w:r>
      <w:r w:rsidR="004B0A94" w:rsidRPr="00523556">
        <w:rPr>
          <w:rFonts w:ascii="Times New Roman" w:hAnsi="Times New Roman" w:cs="Times New Roman"/>
        </w:rPr>
        <w:t>considerations</w:t>
      </w:r>
    </w:p>
    <w:p w:rsidR="000A626D" w:rsidRPr="00523556" w:rsidRDefault="00642143" w:rsidP="00A6098F">
      <w:pPr>
        <w:jc w:val="both"/>
        <w:rPr>
          <w:rFonts w:ascii="Times New Roman" w:hAnsi="Times New Roman" w:cs="Times New Roman"/>
        </w:rPr>
      </w:pPr>
      <w:r w:rsidRPr="00523556">
        <w:rPr>
          <w:rFonts w:ascii="Times New Roman" w:hAnsi="Times New Roman" w:cs="Times New Roman"/>
        </w:rPr>
        <w:t>In addition to the government’s debt management objectives, determining a financing strat</w:t>
      </w:r>
      <w:r w:rsidR="00650965" w:rsidRPr="00523556">
        <w:rPr>
          <w:rFonts w:ascii="Times New Roman" w:hAnsi="Times New Roman" w:cs="Times New Roman"/>
        </w:rPr>
        <w:t>egy will also involve taking in</w:t>
      </w:r>
      <w:r w:rsidRPr="00523556">
        <w:rPr>
          <w:rFonts w:ascii="Times New Roman" w:hAnsi="Times New Roman" w:cs="Times New Roman"/>
        </w:rPr>
        <w:t>to account GoU’s wider macroeconomic and fiscal objectives – including supporting economic growth, and maintaining macroeconomic stability and debt sustainability</w:t>
      </w:r>
      <w:r w:rsidR="003A72E7" w:rsidRPr="00523556">
        <w:rPr>
          <w:rFonts w:ascii="Times New Roman" w:hAnsi="Times New Roman" w:cs="Times New Roman"/>
        </w:rPr>
        <w:t xml:space="preserve"> –</w:t>
      </w:r>
      <w:r w:rsidR="00650965" w:rsidRPr="00523556">
        <w:rPr>
          <w:rStyle w:val="FootnoteReference"/>
          <w:rFonts w:ascii="Times New Roman" w:hAnsi="Times New Roman" w:cs="Times New Roman"/>
        </w:rPr>
        <w:footnoteReference w:id="101"/>
      </w:r>
      <w:r w:rsidR="003A72E7" w:rsidRPr="00523556">
        <w:rPr>
          <w:rFonts w:ascii="Times New Roman" w:hAnsi="Times New Roman" w:cs="Times New Roman"/>
        </w:rPr>
        <w:t xml:space="preserve"> and the design and operation of the broader debt management institutional framework.</w:t>
      </w:r>
      <w:r w:rsidRPr="00523556">
        <w:rPr>
          <w:rFonts w:ascii="Times New Roman" w:hAnsi="Times New Roman" w:cs="Times New Roman"/>
        </w:rPr>
        <w:t xml:space="preserve"> </w:t>
      </w:r>
    </w:p>
    <w:p w:rsidR="000A626D" w:rsidRPr="00523556" w:rsidRDefault="00F82D76" w:rsidP="00A6098F">
      <w:pPr>
        <w:jc w:val="both"/>
        <w:rPr>
          <w:rFonts w:ascii="Times New Roman" w:hAnsi="Times New Roman" w:cs="Times New Roman"/>
        </w:rPr>
      </w:pPr>
      <w:r w:rsidRPr="00523556">
        <w:rPr>
          <w:rFonts w:ascii="Times New Roman" w:hAnsi="Times New Roman" w:cs="Times New Roman"/>
        </w:rPr>
        <w:t>Section 2</w:t>
      </w:r>
      <w:r w:rsidR="00996FA2" w:rsidRPr="00523556">
        <w:rPr>
          <w:rFonts w:ascii="Times New Roman" w:hAnsi="Times New Roman" w:cs="Times New Roman"/>
        </w:rPr>
        <w:t xml:space="preserve"> addressed</w:t>
      </w:r>
      <w:r w:rsidRPr="00523556">
        <w:rPr>
          <w:rFonts w:ascii="Times New Roman" w:hAnsi="Times New Roman" w:cs="Times New Roman"/>
        </w:rPr>
        <w:t xml:space="preserve"> many of these</w:t>
      </w:r>
      <w:r w:rsidR="00991314" w:rsidRPr="00523556">
        <w:rPr>
          <w:rFonts w:ascii="Times New Roman" w:hAnsi="Times New Roman" w:cs="Times New Roman"/>
        </w:rPr>
        <w:t xml:space="preserve"> additional</w:t>
      </w:r>
      <w:r w:rsidR="0091357B" w:rsidRPr="00523556">
        <w:rPr>
          <w:rFonts w:ascii="Times New Roman" w:hAnsi="Times New Roman" w:cs="Times New Roman"/>
        </w:rPr>
        <w:t xml:space="preserve"> </w:t>
      </w:r>
      <w:r w:rsidRPr="00523556">
        <w:rPr>
          <w:rFonts w:ascii="Times New Roman" w:hAnsi="Times New Roman" w:cs="Times New Roman"/>
        </w:rPr>
        <w:t>considerations in the context of individual financing options</w:t>
      </w:r>
      <w:r w:rsidR="000A626D" w:rsidRPr="00523556">
        <w:rPr>
          <w:rFonts w:ascii="Times New Roman" w:hAnsi="Times New Roman" w:cs="Times New Roman"/>
        </w:rPr>
        <w:t>, whilst</w:t>
      </w:r>
      <w:r w:rsidR="00932003" w:rsidRPr="00523556">
        <w:rPr>
          <w:rFonts w:ascii="Times New Roman" w:hAnsi="Times New Roman" w:cs="Times New Roman"/>
        </w:rPr>
        <w:t xml:space="preserve"> </w:t>
      </w:r>
      <w:r w:rsidR="0091357B" w:rsidRPr="00523556">
        <w:rPr>
          <w:rFonts w:ascii="Times New Roman" w:hAnsi="Times New Roman" w:cs="Times New Roman"/>
        </w:rPr>
        <w:t>MoFPED (2013c) (for Uganda specifically) and Adam and Bevan (2013) (for the general case)</w:t>
      </w:r>
      <w:r w:rsidR="00182889" w:rsidRPr="00523556">
        <w:rPr>
          <w:rStyle w:val="FootnoteReference"/>
          <w:rFonts w:ascii="Times New Roman" w:hAnsi="Times New Roman" w:cs="Times New Roman"/>
        </w:rPr>
        <w:footnoteReference w:id="102"/>
      </w:r>
      <w:r w:rsidR="0091357B" w:rsidRPr="00523556">
        <w:rPr>
          <w:rFonts w:ascii="Times New Roman" w:hAnsi="Times New Roman" w:cs="Times New Roman"/>
        </w:rPr>
        <w:t xml:space="preserve"> </w:t>
      </w:r>
      <w:r w:rsidR="00182889" w:rsidRPr="00523556">
        <w:rPr>
          <w:rFonts w:ascii="Times New Roman" w:hAnsi="Times New Roman" w:cs="Times New Roman"/>
        </w:rPr>
        <w:t xml:space="preserve">model </w:t>
      </w:r>
      <w:r w:rsidR="000A626D" w:rsidRPr="00523556">
        <w:rPr>
          <w:rFonts w:ascii="Times New Roman" w:hAnsi="Times New Roman" w:cs="Times New Roman"/>
        </w:rPr>
        <w:t xml:space="preserve">in detail the </w:t>
      </w:r>
      <w:r w:rsidR="00182889" w:rsidRPr="00523556">
        <w:rPr>
          <w:rFonts w:ascii="Times New Roman" w:hAnsi="Times New Roman" w:cs="Times New Roman"/>
        </w:rPr>
        <w:t xml:space="preserve">overarching </w:t>
      </w:r>
      <w:r w:rsidR="000A626D" w:rsidRPr="00523556">
        <w:rPr>
          <w:rFonts w:ascii="Times New Roman" w:hAnsi="Times New Roman" w:cs="Times New Roman"/>
        </w:rPr>
        <w:t xml:space="preserve">links between </w:t>
      </w:r>
      <w:r w:rsidR="00182889" w:rsidRPr="00523556">
        <w:rPr>
          <w:rFonts w:ascii="Times New Roman" w:hAnsi="Times New Roman" w:cs="Times New Roman"/>
        </w:rPr>
        <w:t>financing choices</w:t>
      </w:r>
      <w:r w:rsidR="000A626D" w:rsidRPr="00523556">
        <w:rPr>
          <w:rFonts w:ascii="Times New Roman" w:hAnsi="Times New Roman" w:cs="Times New Roman"/>
        </w:rPr>
        <w:t>, fiscal policy decisions</w:t>
      </w:r>
      <w:r w:rsidR="00182889" w:rsidRPr="00523556">
        <w:rPr>
          <w:rFonts w:ascii="Times New Roman" w:hAnsi="Times New Roman" w:cs="Times New Roman"/>
        </w:rPr>
        <w:t>, macroeconomic impacts</w:t>
      </w:r>
      <w:r w:rsidR="000A626D" w:rsidRPr="00523556">
        <w:rPr>
          <w:rFonts w:ascii="Times New Roman" w:hAnsi="Times New Roman" w:cs="Times New Roman"/>
        </w:rPr>
        <w:t xml:space="preserve"> and </w:t>
      </w:r>
      <w:r w:rsidR="00182889" w:rsidRPr="00523556">
        <w:rPr>
          <w:rFonts w:ascii="Times New Roman" w:hAnsi="Times New Roman" w:cs="Times New Roman"/>
        </w:rPr>
        <w:t xml:space="preserve">debt </w:t>
      </w:r>
      <w:r w:rsidR="000A626D" w:rsidRPr="00523556">
        <w:rPr>
          <w:rFonts w:ascii="Times New Roman" w:hAnsi="Times New Roman" w:cs="Times New Roman"/>
        </w:rPr>
        <w:t>sustai</w:t>
      </w:r>
      <w:r w:rsidR="00182889" w:rsidRPr="00523556">
        <w:rPr>
          <w:rFonts w:ascii="Times New Roman" w:hAnsi="Times New Roman" w:cs="Times New Roman"/>
        </w:rPr>
        <w:t>n</w:t>
      </w:r>
      <w:r w:rsidR="000A626D" w:rsidRPr="00523556">
        <w:rPr>
          <w:rFonts w:ascii="Times New Roman" w:hAnsi="Times New Roman" w:cs="Times New Roman"/>
        </w:rPr>
        <w:t>ability</w:t>
      </w:r>
      <w:r w:rsidR="00182889" w:rsidRPr="00523556">
        <w:rPr>
          <w:rFonts w:ascii="Times New Roman" w:hAnsi="Times New Roman" w:cs="Times New Roman"/>
        </w:rPr>
        <w:t>.</w:t>
      </w:r>
      <w:r w:rsidR="0091357B" w:rsidRPr="00523556">
        <w:rPr>
          <w:rFonts w:ascii="Times New Roman" w:hAnsi="Times New Roman" w:cs="Times New Roman"/>
        </w:rPr>
        <w:t xml:space="preserve"> </w:t>
      </w:r>
      <w:r w:rsidR="00182889" w:rsidRPr="00523556">
        <w:rPr>
          <w:rFonts w:ascii="Times New Roman" w:hAnsi="Times New Roman" w:cs="Times New Roman"/>
        </w:rPr>
        <w:t xml:space="preserve">One particularly important message that emerges from these discussions is the importance of the </w:t>
      </w:r>
      <w:r w:rsidR="00BB1618" w:rsidRPr="00523556">
        <w:rPr>
          <w:rFonts w:ascii="Times New Roman" w:hAnsi="Times New Roman" w:cs="Times New Roman"/>
        </w:rPr>
        <w:t>link between the use</w:t>
      </w:r>
      <w:r w:rsidR="00182889" w:rsidRPr="00523556">
        <w:rPr>
          <w:rFonts w:ascii="Times New Roman" w:hAnsi="Times New Roman" w:cs="Times New Roman"/>
        </w:rPr>
        <w:t xml:space="preserve"> to which debt proceeds will be put </w:t>
      </w:r>
      <w:r w:rsidR="00BB1618" w:rsidRPr="00523556">
        <w:rPr>
          <w:rFonts w:ascii="Times New Roman" w:hAnsi="Times New Roman" w:cs="Times New Roman"/>
        </w:rPr>
        <w:t xml:space="preserve">and </w:t>
      </w:r>
      <w:r w:rsidR="00182889" w:rsidRPr="00523556">
        <w:rPr>
          <w:rFonts w:ascii="Times New Roman" w:hAnsi="Times New Roman" w:cs="Times New Roman"/>
        </w:rPr>
        <w:t xml:space="preserve">the financing structure – and particularly the guiding principle that, to best support debt dynamics, any borrowing </w:t>
      </w:r>
      <w:r w:rsidR="00B73483" w:rsidRPr="00523556">
        <w:rPr>
          <w:rFonts w:ascii="Times New Roman" w:hAnsi="Times New Roman" w:cs="Times New Roman"/>
        </w:rPr>
        <w:t xml:space="preserve">raised </w:t>
      </w:r>
      <w:r w:rsidR="00182889" w:rsidRPr="00523556">
        <w:rPr>
          <w:rFonts w:ascii="Times New Roman" w:hAnsi="Times New Roman" w:cs="Times New Roman"/>
        </w:rPr>
        <w:t>on non-concessional terms should be matched by increasing expenditure that generates a substantial fiscal return for government.</w:t>
      </w:r>
    </w:p>
    <w:p w:rsidR="00182889" w:rsidRPr="00523556" w:rsidRDefault="00182889" w:rsidP="00A6098F">
      <w:pPr>
        <w:jc w:val="both"/>
        <w:rPr>
          <w:rFonts w:ascii="Times New Roman" w:hAnsi="Times New Roman" w:cs="Times New Roman"/>
        </w:rPr>
      </w:pPr>
      <w:r w:rsidRPr="00523556">
        <w:rPr>
          <w:rFonts w:ascii="Times New Roman" w:hAnsi="Times New Roman" w:cs="Times New Roman"/>
        </w:rPr>
        <w:t xml:space="preserve">The rest of this sub-section considers two further specific considerations: the balance between domestic and external borrowing, and the institutional framework for debt management. </w:t>
      </w:r>
    </w:p>
    <w:p w:rsidR="00A94144" w:rsidRPr="00523556" w:rsidRDefault="00182889" w:rsidP="00A94144">
      <w:pPr>
        <w:pStyle w:val="Heading4"/>
        <w:rPr>
          <w:rFonts w:ascii="Times New Roman" w:hAnsi="Times New Roman" w:cs="Times New Roman"/>
        </w:rPr>
      </w:pPr>
      <w:r w:rsidRPr="00523556">
        <w:rPr>
          <w:rFonts w:ascii="Times New Roman" w:hAnsi="Times New Roman" w:cs="Times New Roman"/>
        </w:rPr>
        <w:t>D</w:t>
      </w:r>
      <w:r w:rsidR="00A94144" w:rsidRPr="00523556">
        <w:rPr>
          <w:rFonts w:ascii="Times New Roman" w:hAnsi="Times New Roman" w:cs="Times New Roman"/>
        </w:rPr>
        <w:t>omestic versus external borrowing</w:t>
      </w:r>
    </w:p>
    <w:p w:rsidR="00B978D6" w:rsidRPr="00523556" w:rsidRDefault="00B73483" w:rsidP="00A6098F">
      <w:pPr>
        <w:jc w:val="both"/>
        <w:rPr>
          <w:rFonts w:ascii="Times New Roman" w:hAnsi="Times New Roman" w:cs="Times New Roman"/>
        </w:rPr>
      </w:pPr>
      <w:r w:rsidRPr="00523556">
        <w:rPr>
          <w:rFonts w:ascii="Times New Roman" w:hAnsi="Times New Roman" w:cs="Times New Roman"/>
        </w:rPr>
        <w:t xml:space="preserve">There are a variety of factors to consider in determining the appropriate balance between domestic and </w:t>
      </w:r>
      <w:r w:rsidR="00B978D6" w:rsidRPr="00523556">
        <w:rPr>
          <w:rFonts w:ascii="Times New Roman" w:hAnsi="Times New Roman" w:cs="Times New Roman"/>
        </w:rPr>
        <w:t xml:space="preserve">foreign currency </w:t>
      </w:r>
      <w:r w:rsidRPr="00523556">
        <w:rPr>
          <w:rFonts w:ascii="Times New Roman" w:hAnsi="Times New Roman" w:cs="Times New Roman"/>
        </w:rPr>
        <w:t>borrowing</w:t>
      </w:r>
      <w:r w:rsidR="00B978D6" w:rsidRPr="00523556">
        <w:rPr>
          <w:rFonts w:ascii="Times New Roman" w:hAnsi="Times New Roman" w:cs="Times New Roman"/>
        </w:rPr>
        <w:t xml:space="preserve">, beyond the </w:t>
      </w:r>
      <w:r w:rsidR="00EF5AD2" w:rsidRPr="00523556">
        <w:rPr>
          <w:rFonts w:ascii="Times New Roman" w:hAnsi="Times New Roman" w:cs="Times New Roman"/>
        </w:rPr>
        <w:t>core</w:t>
      </w:r>
      <w:r w:rsidR="00B978D6" w:rsidRPr="00523556">
        <w:rPr>
          <w:rFonts w:ascii="Times New Roman" w:hAnsi="Times New Roman" w:cs="Times New Roman"/>
        </w:rPr>
        <w:t xml:space="preserve"> cost and risk factors considered above</w:t>
      </w:r>
      <w:r w:rsidR="008710EA" w:rsidRPr="00523556">
        <w:rPr>
          <w:rFonts w:ascii="Times New Roman" w:hAnsi="Times New Roman" w:cs="Times New Roman"/>
        </w:rPr>
        <w:t>.</w:t>
      </w:r>
    </w:p>
    <w:p w:rsidR="00B70542" w:rsidRPr="00523556" w:rsidRDefault="00C42FA8" w:rsidP="00A6098F">
      <w:pPr>
        <w:jc w:val="both"/>
        <w:rPr>
          <w:rFonts w:ascii="Times New Roman" w:hAnsi="Times New Roman" w:cs="Times New Roman"/>
        </w:rPr>
      </w:pPr>
      <w:r w:rsidRPr="00523556">
        <w:rPr>
          <w:rFonts w:ascii="Times New Roman" w:hAnsi="Times New Roman" w:cs="Times New Roman"/>
        </w:rPr>
        <w:t xml:space="preserve">For example, if </w:t>
      </w:r>
      <w:r w:rsidR="008710EA" w:rsidRPr="00523556">
        <w:rPr>
          <w:rFonts w:ascii="Times New Roman" w:hAnsi="Times New Roman" w:cs="Times New Roman"/>
        </w:rPr>
        <w:t>GoU</w:t>
      </w:r>
      <w:r w:rsidRPr="00523556">
        <w:rPr>
          <w:rFonts w:ascii="Times New Roman" w:hAnsi="Times New Roman" w:cs="Times New Roman"/>
        </w:rPr>
        <w:t xml:space="preserve"> plans to </w:t>
      </w:r>
      <w:r w:rsidR="00857A68" w:rsidRPr="00523556">
        <w:rPr>
          <w:rFonts w:ascii="Times New Roman" w:hAnsi="Times New Roman" w:cs="Times New Roman"/>
        </w:rPr>
        <w:t>borrow to finance large foreign-</w:t>
      </w:r>
      <w:r w:rsidRPr="00523556">
        <w:rPr>
          <w:rFonts w:ascii="Times New Roman" w:hAnsi="Times New Roman" w:cs="Times New Roman"/>
        </w:rPr>
        <w:t>currency</w:t>
      </w:r>
      <w:r w:rsidR="00857A68" w:rsidRPr="00523556">
        <w:rPr>
          <w:rFonts w:ascii="Times New Roman" w:hAnsi="Times New Roman" w:cs="Times New Roman"/>
        </w:rPr>
        <w:t xml:space="preserve"> </w:t>
      </w:r>
      <w:r w:rsidRPr="00523556">
        <w:rPr>
          <w:rFonts w:ascii="Times New Roman" w:hAnsi="Times New Roman" w:cs="Times New Roman"/>
        </w:rPr>
        <w:t xml:space="preserve">denominated expenditures, it may wish to match this with </w:t>
      </w:r>
      <w:r w:rsidR="00961F03" w:rsidRPr="00523556">
        <w:rPr>
          <w:rFonts w:ascii="Times New Roman" w:hAnsi="Times New Roman" w:cs="Times New Roman"/>
        </w:rPr>
        <w:t xml:space="preserve">external </w:t>
      </w:r>
      <w:r w:rsidRPr="00523556">
        <w:rPr>
          <w:rFonts w:ascii="Times New Roman" w:hAnsi="Times New Roman" w:cs="Times New Roman"/>
        </w:rPr>
        <w:t>borrowing in order to mitigate the potential downward pres</w:t>
      </w:r>
      <w:r w:rsidR="00350844" w:rsidRPr="00523556">
        <w:rPr>
          <w:rFonts w:ascii="Times New Roman" w:hAnsi="Times New Roman" w:cs="Times New Roman"/>
        </w:rPr>
        <w:t>sure on the real exchange rate</w:t>
      </w:r>
      <w:r w:rsidR="00196AED" w:rsidRPr="00523556">
        <w:rPr>
          <w:rFonts w:ascii="Times New Roman" w:hAnsi="Times New Roman" w:cs="Times New Roman"/>
        </w:rPr>
        <w:t>;</w:t>
      </w:r>
      <w:r w:rsidR="00350844" w:rsidRPr="00523556">
        <w:rPr>
          <w:rFonts w:ascii="Times New Roman" w:hAnsi="Times New Roman" w:cs="Times New Roman"/>
        </w:rPr>
        <w:t xml:space="preserve"> </w:t>
      </w:r>
      <w:r w:rsidRPr="00523556">
        <w:rPr>
          <w:rFonts w:ascii="Times New Roman" w:hAnsi="Times New Roman" w:cs="Times New Roman"/>
        </w:rPr>
        <w:t xml:space="preserve">conversely, financing a significant increase in Shilling-denominated expenditure with increased external borrowing </w:t>
      </w:r>
      <w:r w:rsidR="003764E3" w:rsidRPr="00523556">
        <w:rPr>
          <w:rFonts w:ascii="Times New Roman" w:hAnsi="Times New Roman" w:cs="Times New Roman"/>
        </w:rPr>
        <w:t>should be avoided</w:t>
      </w:r>
      <w:r w:rsidR="00196AED" w:rsidRPr="00523556">
        <w:rPr>
          <w:rFonts w:ascii="Times New Roman" w:hAnsi="Times New Roman" w:cs="Times New Roman"/>
        </w:rPr>
        <w:t>,</w:t>
      </w:r>
      <w:r w:rsidR="003764E3" w:rsidRPr="00523556">
        <w:rPr>
          <w:rFonts w:ascii="Times New Roman" w:hAnsi="Times New Roman" w:cs="Times New Roman"/>
        </w:rPr>
        <w:t xml:space="preserve"> to prevent </w:t>
      </w:r>
      <w:r w:rsidR="002635A5" w:rsidRPr="00523556">
        <w:rPr>
          <w:rFonts w:ascii="Times New Roman" w:hAnsi="Times New Roman" w:cs="Times New Roman"/>
        </w:rPr>
        <w:t xml:space="preserve">additional </w:t>
      </w:r>
      <w:r w:rsidRPr="00523556">
        <w:rPr>
          <w:rFonts w:ascii="Times New Roman" w:hAnsi="Times New Roman" w:cs="Times New Roman"/>
        </w:rPr>
        <w:t>upward pressure on inflation and the real exchange rate</w:t>
      </w:r>
      <w:r w:rsidR="00350844" w:rsidRPr="00523556">
        <w:rPr>
          <w:rFonts w:ascii="Times New Roman" w:hAnsi="Times New Roman" w:cs="Times New Roman"/>
        </w:rPr>
        <w:t>.</w:t>
      </w:r>
      <w:r w:rsidR="003E22D2" w:rsidRPr="00523556">
        <w:rPr>
          <w:rStyle w:val="FootnoteReference"/>
          <w:rFonts w:ascii="Times New Roman" w:hAnsi="Times New Roman" w:cs="Times New Roman"/>
        </w:rPr>
        <w:footnoteReference w:id="103"/>
      </w:r>
      <w:r w:rsidRPr="00523556">
        <w:rPr>
          <w:rFonts w:ascii="Times New Roman" w:hAnsi="Times New Roman" w:cs="Times New Roman"/>
        </w:rPr>
        <w:t xml:space="preserve"> </w:t>
      </w:r>
      <w:r w:rsidR="003235B4" w:rsidRPr="00523556">
        <w:rPr>
          <w:rFonts w:ascii="Times New Roman" w:hAnsi="Times New Roman" w:cs="Times New Roman"/>
        </w:rPr>
        <w:t>However, t</w:t>
      </w:r>
      <w:r w:rsidR="00350844" w:rsidRPr="00523556">
        <w:rPr>
          <w:rFonts w:ascii="Times New Roman" w:hAnsi="Times New Roman" w:cs="Times New Roman"/>
        </w:rPr>
        <w:t xml:space="preserve">here are also potential currency-mismatches to be managed on the revenue and repayments side; if a public investment project </w:t>
      </w:r>
      <w:r w:rsidR="003235B4" w:rsidRPr="00523556">
        <w:rPr>
          <w:rFonts w:ascii="Times New Roman" w:hAnsi="Times New Roman" w:cs="Times New Roman"/>
        </w:rPr>
        <w:t>requires primarily dollar-finance</w:t>
      </w:r>
      <w:r w:rsidR="00A94144" w:rsidRPr="00523556">
        <w:rPr>
          <w:rFonts w:ascii="Times New Roman" w:hAnsi="Times New Roman" w:cs="Times New Roman"/>
        </w:rPr>
        <w:t>d</w:t>
      </w:r>
      <w:r w:rsidR="003235B4" w:rsidRPr="00523556">
        <w:rPr>
          <w:rFonts w:ascii="Times New Roman" w:hAnsi="Times New Roman" w:cs="Times New Roman"/>
        </w:rPr>
        <w:t xml:space="preserve"> </w:t>
      </w:r>
      <w:r w:rsidR="003235B4" w:rsidRPr="00523556">
        <w:rPr>
          <w:rFonts w:ascii="Times New Roman" w:hAnsi="Times New Roman" w:cs="Times New Roman"/>
        </w:rPr>
        <w:lastRenderedPageBreak/>
        <w:t xml:space="preserve">expenditures but </w:t>
      </w:r>
      <w:r w:rsidR="00A94144" w:rsidRPr="00523556">
        <w:rPr>
          <w:rFonts w:ascii="Times New Roman" w:hAnsi="Times New Roman" w:cs="Times New Roman"/>
        </w:rPr>
        <w:t xml:space="preserve">generates </w:t>
      </w:r>
      <w:r w:rsidR="003235B4" w:rsidRPr="00523556">
        <w:rPr>
          <w:rFonts w:ascii="Times New Roman" w:hAnsi="Times New Roman" w:cs="Times New Roman"/>
        </w:rPr>
        <w:t xml:space="preserve">revenues </w:t>
      </w:r>
      <w:r w:rsidR="00350844" w:rsidRPr="00523556">
        <w:rPr>
          <w:rFonts w:ascii="Times New Roman" w:hAnsi="Times New Roman" w:cs="Times New Roman"/>
        </w:rPr>
        <w:t>primarily in Shillings (either directly – such as through a toll road</w:t>
      </w:r>
      <w:r w:rsidR="003235B4" w:rsidRPr="00523556">
        <w:rPr>
          <w:rFonts w:ascii="Times New Roman" w:hAnsi="Times New Roman" w:cs="Times New Roman"/>
        </w:rPr>
        <w:t>, for example</w:t>
      </w:r>
      <w:r w:rsidR="00350844" w:rsidRPr="00523556">
        <w:rPr>
          <w:rFonts w:ascii="Times New Roman" w:hAnsi="Times New Roman" w:cs="Times New Roman"/>
        </w:rPr>
        <w:t xml:space="preserve"> – or through a general increase in taxes), then </w:t>
      </w:r>
      <w:r w:rsidR="003235B4" w:rsidRPr="00523556">
        <w:rPr>
          <w:rFonts w:ascii="Times New Roman" w:hAnsi="Times New Roman" w:cs="Times New Roman"/>
        </w:rPr>
        <w:t>it may be optimal to partially finance the project with domestic borrowing to help mitigate the exposure to exchange rate risk (</w:t>
      </w:r>
      <w:r w:rsidR="00B978D6" w:rsidRPr="00523556">
        <w:rPr>
          <w:rFonts w:ascii="Times New Roman" w:hAnsi="Times New Roman" w:cs="Times New Roman"/>
        </w:rPr>
        <w:t xml:space="preserve">as well as to the depreciation pressures that could result from </w:t>
      </w:r>
      <w:r w:rsidR="003235B4" w:rsidRPr="00523556">
        <w:rPr>
          <w:rFonts w:ascii="Times New Roman" w:hAnsi="Times New Roman" w:cs="Times New Roman"/>
        </w:rPr>
        <w:t xml:space="preserve">Shillings </w:t>
      </w:r>
      <w:r w:rsidR="00B978D6" w:rsidRPr="00523556">
        <w:rPr>
          <w:rFonts w:ascii="Times New Roman" w:hAnsi="Times New Roman" w:cs="Times New Roman"/>
        </w:rPr>
        <w:t xml:space="preserve">being </w:t>
      </w:r>
      <w:r w:rsidR="003235B4" w:rsidRPr="00523556">
        <w:rPr>
          <w:rFonts w:ascii="Times New Roman" w:hAnsi="Times New Roman" w:cs="Times New Roman"/>
        </w:rPr>
        <w:t xml:space="preserve">converted </w:t>
      </w:r>
      <w:r w:rsidR="00B978D6" w:rsidRPr="00523556">
        <w:rPr>
          <w:rFonts w:ascii="Times New Roman" w:hAnsi="Times New Roman" w:cs="Times New Roman"/>
        </w:rPr>
        <w:t>in</w:t>
      </w:r>
      <w:r w:rsidR="003235B4" w:rsidRPr="00523556">
        <w:rPr>
          <w:rFonts w:ascii="Times New Roman" w:hAnsi="Times New Roman" w:cs="Times New Roman"/>
        </w:rPr>
        <w:t>to dollars to service the debt)</w:t>
      </w:r>
      <w:r w:rsidR="00821AFF" w:rsidRPr="00523556">
        <w:rPr>
          <w:rStyle w:val="FootnoteReference"/>
          <w:rFonts w:ascii="Times New Roman" w:hAnsi="Times New Roman" w:cs="Times New Roman"/>
        </w:rPr>
        <w:footnoteReference w:id="104"/>
      </w:r>
      <w:r w:rsidR="003235B4" w:rsidRPr="00523556">
        <w:rPr>
          <w:rFonts w:ascii="Times New Roman" w:hAnsi="Times New Roman" w:cs="Times New Roman"/>
        </w:rPr>
        <w:t>.</w:t>
      </w:r>
      <w:r w:rsidR="00C21F73" w:rsidRPr="00523556">
        <w:rPr>
          <w:rStyle w:val="FootnoteReference"/>
          <w:rFonts w:ascii="Times New Roman" w:hAnsi="Times New Roman" w:cs="Times New Roman"/>
        </w:rPr>
        <w:footnoteReference w:id="105"/>
      </w:r>
      <w:r w:rsidR="003235B4" w:rsidRPr="00523556">
        <w:rPr>
          <w:rFonts w:ascii="Times New Roman" w:hAnsi="Times New Roman" w:cs="Times New Roman"/>
        </w:rPr>
        <w:t xml:space="preserve"> </w:t>
      </w:r>
    </w:p>
    <w:p w:rsidR="00C42FA8" w:rsidRPr="00523556" w:rsidRDefault="00C42FA8" w:rsidP="00A6098F">
      <w:pPr>
        <w:jc w:val="both"/>
        <w:rPr>
          <w:rFonts w:ascii="Times New Roman" w:hAnsi="Times New Roman" w:cs="Times New Roman"/>
        </w:rPr>
      </w:pPr>
      <w:r w:rsidRPr="00523556">
        <w:rPr>
          <w:rFonts w:ascii="Times New Roman" w:hAnsi="Times New Roman" w:cs="Times New Roman"/>
        </w:rPr>
        <w:t xml:space="preserve">Whilst </w:t>
      </w:r>
      <w:r w:rsidR="003235B4" w:rsidRPr="00523556">
        <w:rPr>
          <w:rFonts w:ascii="Times New Roman" w:hAnsi="Times New Roman" w:cs="Times New Roman"/>
        </w:rPr>
        <w:t>it is valuable to consider such factors on a project-by--project basis, it is the overall fiscal picture which is of most importance.</w:t>
      </w:r>
      <w:r w:rsidR="004657DE" w:rsidRPr="00523556">
        <w:rPr>
          <w:rStyle w:val="FootnoteReference"/>
          <w:rFonts w:ascii="Times New Roman" w:hAnsi="Times New Roman" w:cs="Times New Roman"/>
        </w:rPr>
        <w:footnoteReference w:id="106"/>
      </w:r>
      <w:r w:rsidR="003235B4" w:rsidRPr="00523556">
        <w:rPr>
          <w:rFonts w:ascii="Times New Roman" w:hAnsi="Times New Roman" w:cs="Times New Roman"/>
        </w:rPr>
        <w:t xml:space="preserve"> In particular, as government plans its financing strategy, it must consider not only the expenditure and revenue implications of the projects it plans to implement, but the currency composition of its existing debt redemption profile</w:t>
      </w:r>
      <w:r w:rsidR="004657DE" w:rsidRPr="00523556">
        <w:rPr>
          <w:rFonts w:ascii="Times New Roman" w:hAnsi="Times New Roman" w:cs="Times New Roman"/>
        </w:rPr>
        <w:t>, expenditures</w:t>
      </w:r>
      <w:r w:rsidR="003235B4" w:rsidRPr="00523556">
        <w:rPr>
          <w:rFonts w:ascii="Times New Roman" w:hAnsi="Times New Roman" w:cs="Times New Roman"/>
        </w:rPr>
        <w:t xml:space="preserve"> and revenues – and </w:t>
      </w:r>
      <w:r w:rsidR="004657DE" w:rsidRPr="00523556">
        <w:rPr>
          <w:rFonts w:ascii="Times New Roman" w:hAnsi="Times New Roman" w:cs="Times New Roman"/>
        </w:rPr>
        <w:t xml:space="preserve">alter </w:t>
      </w:r>
      <w:r w:rsidR="00E71DC2" w:rsidRPr="00523556">
        <w:rPr>
          <w:rFonts w:ascii="Times New Roman" w:hAnsi="Times New Roman" w:cs="Times New Roman"/>
        </w:rPr>
        <w:t>the optimal</w:t>
      </w:r>
      <w:r w:rsidR="003235B4" w:rsidRPr="00523556">
        <w:rPr>
          <w:rFonts w:ascii="Times New Roman" w:hAnsi="Times New Roman" w:cs="Times New Roman"/>
        </w:rPr>
        <w:t xml:space="preserve"> </w:t>
      </w:r>
      <w:r w:rsidR="00E71DC2" w:rsidRPr="00523556">
        <w:rPr>
          <w:rFonts w:ascii="Times New Roman" w:hAnsi="Times New Roman" w:cs="Times New Roman"/>
        </w:rPr>
        <w:t xml:space="preserve">financing </w:t>
      </w:r>
      <w:r w:rsidR="003235B4" w:rsidRPr="00523556">
        <w:rPr>
          <w:rFonts w:ascii="Times New Roman" w:hAnsi="Times New Roman" w:cs="Times New Roman"/>
        </w:rPr>
        <w:t>mix that would be determined by a sole</w:t>
      </w:r>
      <w:r w:rsidR="004657DE" w:rsidRPr="00523556">
        <w:rPr>
          <w:rFonts w:ascii="Times New Roman" w:hAnsi="Times New Roman" w:cs="Times New Roman"/>
        </w:rPr>
        <w:t>ly</w:t>
      </w:r>
      <w:r w:rsidR="003235B4" w:rsidRPr="00523556">
        <w:rPr>
          <w:rFonts w:ascii="Times New Roman" w:hAnsi="Times New Roman" w:cs="Times New Roman"/>
        </w:rPr>
        <w:t xml:space="preserve"> project-by-project approach accordingly.</w:t>
      </w:r>
      <w:r w:rsidR="006C44BB" w:rsidRPr="00523556">
        <w:rPr>
          <w:rFonts w:ascii="Times New Roman" w:hAnsi="Times New Roman" w:cs="Times New Roman"/>
        </w:rPr>
        <w:t xml:space="preserve"> </w:t>
      </w:r>
      <w:r w:rsidR="00E71DC2" w:rsidRPr="00523556">
        <w:rPr>
          <w:rFonts w:ascii="Times New Roman" w:hAnsi="Times New Roman" w:cs="Times New Roman"/>
        </w:rPr>
        <w:t>(Note that s</w:t>
      </w:r>
      <w:r w:rsidR="003235B4" w:rsidRPr="00523556">
        <w:rPr>
          <w:rFonts w:ascii="Times New Roman" w:hAnsi="Times New Roman" w:cs="Times New Roman"/>
        </w:rPr>
        <w:t>uch considerations are also important, beyond currency mismatches, for refinancing risk and the overall debt portfolio redemption profile; whilst matching the maturity of debt instruments to the projected profile of returns on a project-by-project basis is useful, it is the overall redemption profile of government’s total debt stock and of projected expenditures and revenues that is of fundamental importance</w:t>
      </w:r>
      <w:r w:rsidR="002332A0" w:rsidRPr="00523556">
        <w:rPr>
          <w:rFonts w:ascii="Times New Roman" w:hAnsi="Times New Roman" w:cs="Times New Roman"/>
        </w:rPr>
        <w:t xml:space="preserve">, with project-by-project implications needing to be </w:t>
      </w:r>
      <w:r w:rsidR="00470F65" w:rsidRPr="00523556">
        <w:rPr>
          <w:rFonts w:ascii="Times New Roman" w:hAnsi="Times New Roman" w:cs="Times New Roman"/>
        </w:rPr>
        <w:t>altered</w:t>
      </w:r>
      <w:r w:rsidR="002332A0" w:rsidRPr="00523556">
        <w:rPr>
          <w:rFonts w:ascii="Times New Roman" w:hAnsi="Times New Roman" w:cs="Times New Roman"/>
        </w:rPr>
        <w:t xml:space="preserve"> accordingly</w:t>
      </w:r>
      <w:r w:rsidR="00E71DC2" w:rsidRPr="00523556">
        <w:rPr>
          <w:rFonts w:ascii="Times New Roman" w:hAnsi="Times New Roman" w:cs="Times New Roman"/>
        </w:rPr>
        <w:t>.)</w:t>
      </w:r>
    </w:p>
    <w:p w:rsidR="00115C69" w:rsidRPr="00523556" w:rsidRDefault="005D54AE" w:rsidP="00115C69">
      <w:pPr>
        <w:jc w:val="both"/>
        <w:rPr>
          <w:rFonts w:ascii="Times New Roman" w:hAnsi="Times New Roman" w:cs="Times New Roman"/>
        </w:rPr>
      </w:pPr>
      <w:r w:rsidRPr="00523556">
        <w:rPr>
          <w:rFonts w:ascii="Times New Roman" w:hAnsi="Times New Roman" w:cs="Times New Roman"/>
        </w:rPr>
        <w:t xml:space="preserve">Finally, a number of recent papers highlight that whilst much attention has been given to recent Eurobond issuance by SSA sovereigns, emerging market economies </w:t>
      </w:r>
      <w:r w:rsidR="00D2525D" w:rsidRPr="00523556">
        <w:rPr>
          <w:rFonts w:ascii="Times New Roman" w:hAnsi="Times New Roman" w:cs="Times New Roman"/>
        </w:rPr>
        <w:t xml:space="preserve">(EMEs) </w:t>
      </w:r>
      <w:r w:rsidRPr="00523556">
        <w:rPr>
          <w:rFonts w:ascii="Times New Roman" w:hAnsi="Times New Roman" w:cs="Times New Roman"/>
        </w:rPr>
        <w:t>place significantly great</w:t>
      </w:r>
      <w:r w:rsidR="00D0601F" w:rsidRPr="00523556">
        <w:rPr>
          <w:rFonts w:ascii="Times New Roman" w:hAnsi="Times New Roman" w:cs="Times New Roman"/>
        </w:rPr>
        <w:t>er</w:t>
      </w:r>
      <w:r w:rsidRPr="00523556">
        <w:rPr>
          <w:rFonts w:ascii="Times New Roman" w:hAnsi="Times New Roman" w:cs="Times New Roman"/>
        </w:rPr>
        <w:t xml:space="preserve"> weight on domestic as opposed to external government financing; as of 2011, local currency government debt was eight time</w:t>
      </w:r>
      <w:r w:rsidR="00D0601F" w:rsidRPr="00523556">
        <w:rPr>
          <w:rFonts w:ascii="Times New Roman" w:hAnsi="Times New Roman" w:cs="Times New Roman"/>
        </w:rPr>
        <w:t>s</w:t>
      </w:r>
      <w:r w:rsidRPr="00523556">
        <w:rPr>
          <w:rFonts w:ascii="Times New Roman" w:hAnsi="Times New Roman" w:cs="Times New Roman"/>
        </w:rPr>
        <w:t xml:space="preserve"> the size of foreign-currency government debt in EM</w:t>
      </w:r>
      <w:r w:rsidR="00D2525D" w:rsidRPr="00523556">
        <w:rPr>
          <w:rFonts w:ascii="Times New Roman" w:hAnsi="Times New Roman" w:cs="Times New Roman"/>
        </w:rPr>
        <w:t>E</w:t>
      </w:r>
      <w:r w:rsidRPr="00523556">
        <w:rPr>
          <w:rFonts w:ascii="Times New Roman" w:hAnsi="Times New Roman" w:cs="Times New Roman"/>
        </w:rPr>
        <w:t>s</w:t>
      </w:r>
      <w:r w:rsidR="00E71DC2" w:rsidRPr="00523556">
        <w:rPr>
          <w:rFonts w:ascii="Times New Roman" w:hAnsi="Times New Roman" w:cs="Times New Roman"/>
        </w:rPr>
        <w:t>.</w:t>
      </w:r>
      <w:r w:rsidR="00E71DC2" w:rsidRPr="00523556">
        <w:rPr>
          <w:rStyle w:val="FootnoteReference"/>
          <w:rFonts w:ascii="Times New Roman" w:hAnsi="Times New Roman" w:cs="Times New Roman"/>
        </w:rPr>
        <w:footnoteReference w:id="107"/>
      </w:r>
      <w:r w:rsidRPr="00523556">
        <w:rPr>
          <w:rFonts w:ascii="Times New Roman" w:hAnsi="Times New Roman" w:cs="Times New Roman"/>
        </w:rPr>
        <w:t xml:space="preserve"> Mehl and Reynau</w:t>
      </w:r>
      <w:r w:rsidR="00D0601F" w:rsidRPr="00523556">
        <w:rPr>
          <w:rFonts w:ascii="Times New Roman" w:hAnsi="Times New Roman" w:cs="Times New Roman"/>
        </w:rPr>
        <w:t>d</w:t>
      </w:r>
      <w:r w:rsidRPr="00523556">
        <w:rPr>
          <w:rFonts w:ascii="Times New Roman" w:hAnsi="Times New Roman" w:cs="Times New Roman"/>
        </w:rPr>
        <w:t xml:space="preserve"> (2008) note that </w:t>
      </w:r>
      <w:r w:rsidR="00F81553" w:rsidRPr="00523556">
        <w:rPr>
          <w:rFonts w:ascii="Times New Roman" w:hAnsi="Times New Roman" w:cs="Times New Roman"/>
        </w:rPr>
        <w:t>since the turn of the last decade many EM</w:t>
      </w:r>
      <w:r w:rsidR="00D2525D" w:rsidRPr="00523556">
        <w:rPr>
          <w:rFonts w:ascii="Times New Roman" w:hAnsi="Times New Roman" w:cs="Times New Roman"/>
        </w:rPr>
        <w:t>Es</w:t>
      </w:r>
      <w:r w:rsidR="00F81553" w:rsidRPr="00523556">
        <w:rPr>
          <w:rFonts w:ascii="Times New Roman" w:hAnsi="Times New Roman" w:cs="Times New Roman"/>
        </w:rPr>
        <w:t xml:space="preserve"> have retired external debt and replaced it with domestic debt</w:t>
      </w:r>
      <w:r w:rsidR="00D913E3" w:rsidRPr="00523556">
        <w:rPr>
          <w:rFonts w:ascii="Times New Roman" w:hAnsi="Times New Roman" w:cs="Times New Roman"/>
        </w:rPr>
        <w:t>,</w:t>
      </w:r>
      <w:r w:rsidR="00F81553" w:rsidRPr="00523556">
        <w:rPr>
          <w:rFonts w:ascii="Times New Roman" w:hAnsi="Times New Roman" w:cs="Times New Roman"/>
        </w:rPr>
        <w:t xml:space="preserve"> to reduce currency mismatches</w:t>
      </w:r>
      <w:r w:rsidR="00D2525D" w:rsidRPr="00523556">
        <w:rPr>
          <w:rFonts w:ascii="Times New Roman" w:hAnsi="Times New Roman" w:cs="Times New Roman"/>
        </w:rPr>
        <w:t>,</w:t>
      </w:r>
      <w:r w:rsidR="007F3A63" w:rsidRPr="00523556">
        <w:rPr>
          <w:rFonts w:ascii="Times New Roman" w:hAnsi="Times New Roman" w:cs="Times New Roman"/>
        </w:rPr>
        <w:t xml:space="preserve"> and </w:t>
      </w:r>
      <w:r w:rsidR="00D45BA9" w:rsidRPr="00523556">
        <w:rPr>
          <w:rFonts w:ascii="Times New Roman" w:hAnsi="Times New Roman" w:cs="Times New Roman"/>
        </w:rPr>
        <w:t xml:space="preserve">to </w:t>
      </w:r>
      <w:r w:rsidR="00D913E3" w:rsidRPr="00523556">
        <w:rPr>
          <w:rFonts w:ascii="Times New Roman" w:hAnsi="Times New Roman" w:cs="Times New Roman"/>
        </w:rPr>
        <w:t xml:space="preserve">help soften the impact of </w:t>
      </w:r>
      <w:r w:rsidR="00D45BA9" w:rsidRPr="00523556">
        <w:rPr>
          <w:rFonts w:ascii="Times New Roman" w:hAnsi="Times New Roman" w:cs="Times New Roman"/>
        </w:rPr>
        <w:t xml:space="preserve">potential </w:t>
      </w:r>
      <w:r w:rsidR="00CD218E" w:rsidRPr="00523556">
        <w:rPr>
          <w:rFonts w:ascii="Times New Roman" w:hAnsi="Times New Roman" w:cs="Times New Roman"/>
        </w:rPr>
        <w:t>sharp reductions in capital inflows</w:t>
      </w:r>
      <w:r w:rsidR="00D913E3" w:rsidRPr="00523556">
        <w:rPr>
          <w:rFonts w:ascii="Times New Roman" w:hAnsi="Times New Roman" w:cs="Times New Roman"/>
        </w:rPr>
        <w:t xml:space="preserve"> (</w:t>
      </w:r>
      <w:r w:rsidR="007F3A63" w:rsidRPr="00523556">
        <w:rPr>
          <w:rFonts w:ascii="Times New Roman" w:hAnsi="Times New Roman" w:cs="Times New Roman"/>
        </w:rPr>
        <w:t>‘sudden</w:t>
      </w:r>
      <w:r w:rsidR="00F81553" w:rsidRPr="00523556">
        <w:rPr>
          <w:rFonts w:ascii="Times New Roman" w:hAnsi="Times New Roman" w:cs="Times New Roman"/>
        </w:rPr>
        <w:t xml:space="preserve"> stops</w:t>
      </w:r>
      <w:r w:rsidR="007F3A63" w:rsidRPr="00523556">
        <w:rPr>
          <w:rFonts w:ascii="Times New Roman" w:hAnsi="Times New Roman" w:cs="Times New Roman"/>
        </w:rPr>
        <w:t>’</w:t>
      </w:r>
      <w:r w:rsidR="00D913E3" w:rsidRPr="00523556">
        <w:rPr>
          <w:rFonts w:ascii="Times New Roman" w:hAnsi="Times New Roman" w:cs="Times New Roman"/>
        </w:rPr>
        <w:t>)</w:t>
      </w:r>
      <w:r w:rsidR="00F81553" w:rsidRPr="00523556">
        <w:rPr>
          <w:rFonts w:ascii="Times New Roman" w:hAnsi="Times New Roman" w:cs="Times New Roman"/>
        </w:rPr>
        <w:t xml:space="preserve">. </w:t>
      </w:r>
      <w:r w:rsidR="00115C69" w:rsidRPr="00523556">
        <w:rPr>
          <w:rFonts w:ascii="Times New Roman" w:hAnsi="Times New Roman" w:cs="Times New Roman"/>
        </w:rPr>
        <w:t xml:space="preserve">Of course this will </w:t>
      </w:r>
      <w:r w:rsidR="00D2525D" w:rsidRPr="00523556">
        <w:rPr>
          <w:rFonts w:ascii="Times New Roman" w:hAnsi="Times New Roman" w:cs="Times New Roman"/>
        </w:rPr>
        <w:t xml:space="preserve">in part </w:t>
      </w:r>
      <w:r w:rsidR="00115C69" w:rsidRPr="00523556">
        <w:rPr>
          <w:rFonts w:ascii="Times New Roman" w:hAnsi="Times New Roman" w:cs="Times New Roman"/>
        </w:rPr>
        <w:t>reflect a great</w:t>
      </w:r>
      <w:r w:rsidR="00D2525D" w:rsidRPr="00523556">
        <w:rPr>
          <w:rFonts w:ascii="Times New Roman" w:hAnsi="Times New Roman" w:cs="Times New Roman"/>
        </w:rPr>
        <w:t>er</w:t>
      </w:r>
      <w:r w:rsidR="00115C69" w:rsidRPr="00523556">
        <w:rPr>
          <w:rFonts w:ascii="Times New Roman" w:hAnsi="Times New Roman" w:cs="Times New Roman"/>
        </w:rPr>
        <w:t xml:space="preserve"> capacity for domestic issuance in EM</w:t>
      </w:r>
      <w:r w:rsidR="00D2525D" w:rsidRPr="00523556">
        <w:rPr>
          <w:rFonts w:ascii="Times New Roman" w:hAnsi="Times New Roman" w:cs="Times New Roman"/>
        </w:rPr>
        <w:t>E</w:t>
      </w:r>
      <w:r w:rsidR="00115C69" w:rsidRPr="00523556">
        <w:rPr>
          <w:rFonts w:ascii="Times New Roman" w:hAnsi="Times New Roman" w:cs="Times New Roman"/>
        </w:rPr>
        <w:t>s; but to the extent this reflects a revealed preference,</w:t>
      </w:r>
      <w:r w:rsidR="00115C69" w:rsidRPr="00523556">
        <w:rPr>
          <w:rStyle w:val="FootnoteReference"/>
          <w:rFonts w:ascii="Times New Roman" w:hAnsi="Times New Roman" w:cs="Times New Roman"/>
        </w:rPr>
        <w:footnoteReference w:id="108"/>
      </w:r>
      <w:r w:rsidR="00115C69" w:rsidRPr="00523556">
        <w:rPr>
          <w:rFonts w:ascii="Times New Roman" w:hAnsi="Times New Roman" w:cs="Times New Roman"/>
        </w:rPr>
        <w:t xml:space="preserve"> it at least highlight</w:t>
      </w:r>
      <w:r w:rsidR="00D2525D" w:rsidRPr="00523556">
        <w:rPr>
          <w:rFonts w:ascii="Times New Roman" w:hAnsi="Times New Roman" w:cs="Times New Roman"/>
        </w:rPr>
        <w:t>s</w:t>
      </w:r>
      <w:r w:rsidR="00115C69" w:rsidRPr="00523556">
        <w:rPr>
          <w:rFonts w:ascii="Times New Roman" w:hAnsi="Times New Roman" w:cs="Times New Roman"/>
        </w:rPr>
        <w:t xml:space="preserve"> the importance of considering to what extent Uganda should seek to rely on commercial external financing, and the need to help deepen capacity for domestic debt issuance. </w:t>
      </w:r>
    </w:p>
    <w:p w:rsidR="00115C69" w:rsidRPr="00523556" w:rsidRDefault="00115C69" w:rsidP="00115C69">
      <w:pPr>
        <w:pStyle w:val="Heading4"/>
        <w:rPr>
          <w:rFonts w:ascii="Times New Roman" w:hAnsi="Times New Roman" w:cs="Times New Roman"/>
        </w:rPr>
      </w:pPr>
      <w:r w:rsidRPr="00523556">
        <w:rPr>
          <w:rFonts w:ascii="Times New Roman" w:hAnsi="Times New Roman" w:cs="Times New Roman"/>
        </w:rPr>
        <w:t>Institutional framework for debt management</w:t>
      </w:r>
    </w:p>
    <w:p w:rsidR="00D7752B" w:rsidRPr="00523556" w:rsidRDefault="00D7752B" w:rsidP="009E2DE9">
      <w:pPr>
        <w:jc w:val="both"/>
        <w:rPr>
          <w:rFonts w:ascii="Times New Roman" w:hAnsi="Times New Roman" w:cs="Times New Roman"/>
          <w:lang w:eastAsia="en-GB"/>
        </w:rPr>
      </w:pPr>
      <w:r w:rsidRPr="00523556">
        <w:rPr>
          <w:rFonts w:ascii="Times New Roman" w:hAnsi="Times New Roman" w:cs="Times New Roman"/>
          <w:lang w:eastAsia="en-GB"/>
        </w:rPr>
        <w:lastRenderedPageBreak/>
        <w:t xml:space="preserve">As Uganda’s level of debt continues to increase from the lows reached in the mid 2000’s after debt relief, and as </w:t>
      </w:r>
      <w:r w:rsidR="007A6EFE" w:rsidRPr="00523556">
        <w:rPr>
          <w:rFonts w:ascii="Times New Roman" w:hAnsi="Times New Roman" w:cs="Times New Roman"/>
          <w:lang w:eastAsia="en-GB"/>
        </w:rPr>
        <w:t>availability of</w:t>
      </w:r>
      <w:r w:rsidRPr="00523556">
        <w:rPr>
          <w:rFonts w:ascii="Times New Roman" w:hAnsi="Times New Roman" w:cs="Times New Roman"/>
          <w:lang w:eastAsia="en-GB"/>
        </w:rPr>
        <w:t xml:space="preserve"> financing options expand</w:t>
      </w:r>
      <w:r w:rsidR="007A6EFE" w:rsidRPr="00523556">
        <w:rPr>
          <w:rFonts w:ascii="Times New Roman" w:hAnsi="Times New Roman" w:cs="Times New Roman"/>
          <w:lang w:eastAsia="en-GB"/>
        </w:rPr>
        <w:t>s</w:t>
      </w:r>
      <w:r w:rsidRPr="00523556">
        <w:rPr>
          <w:rFonts w:ascii="Times New Roman" w:hAnsi="Times New Roman" w:cs="Times New Roman"/>
          <w:lang w:eastAsia="en-GB"/>
        </w:rPr>
        <w:t xml:space="preserve"> in to areas with higher costs and risks, it becomes increasingly important for GoU to continue to develop its debt management capacity and improve the institutional framework within which debt management operations and decisions take place.</w:t>
      </w:r>
      <w:r w:rsidR="009E2DE9" w:rsidRPr="00523556">
        <w:rPr>
          <w:rFonts w:ascii="Times New Roman" w:hAnsi="Times New Roman" w:cs="Times New Roman"/>
          <w:lang w:eastAsia="en-GB"/>
        </w:rPr>
        <w:t xml:space="preserve"> Furthermore, </w:t>
      </w:r>
      <w:r w:rsidR="007A6EFE" w:rsidRPr="00523556">
        <w:rPr>
          <w:rFonts w:ascii="Times New Roman" w:hAnsi="Times New Roman" w:cs="Times New Roman"/>
          <w:lang w:eastAsia="en-GB"/>
        </w:rPr>
        <w:t>whatever</w:t>
      </w:r>
      <w:r w:rsidR="009E2DE9" w:rsidRPr="00523556">
        <w:rPr>
          <w:rFonts w:ascii="Times New Roman" w:hAnsi="Times New Roman" w:cs="Times New Roman"/>
          <w:lang w:eastAsia="en-GB"/>
        </w:rPr>
        <w:t xml:space="preserve"> the precise financing strategy chosen, better planning and implementation </w:t>
      </w:r>
      <w:r w:rsidR="007A6EFE" w:rsidRPr="00523556">
        <w:rPr>
          <w:rFonts w:ascii="Times New Roman" w:hAnsi="Times New Roman" w:cs="Times New Roman"/>
          <w:lang w:eastAsia="en-GB"/>
        </w:rPr>
        <w:t xml:space="preserve">capacity </w:t>
      </w:r>
      <w:r w:rsidR="009E2DE9" w:rsidRPr="00523556">
        <w:rPr>
          <w:rFonts w:ascii="Times New Roman" w:hAnsi="Times New Roman" w:cs="Times New Roman"/>
          <w:lang w:eastAsia="en-GB"/>
        </w:rPr>
        <w:t>should lower costs (for example, by improving the predictability for and credibility with market participants) and reduce risks (for example</w:t>
      </w:r>
      <w:r w:rsidR="007A6EFE" w:rsidRPr="00523556">
        <w:rPr>
          <w:rFonts w:ascii="Times New Roman" w:hAnsi="Times New Roman" w:cs="Times New Roman"/>
          <w:lang w:eastAsia="en-GB"/>
        </w:rPr>
        <w:t>,</w:t>
      </w:r>
      <w:r w:rsidR="009E2DE9" w:rsidRPr="00523556">
        <w:rPr>
          <w:rFonts w:ascii="Times New Roman" w:hAnsi="Times New Roman" w:cs="Times New Roman"/>
          <w:lang w:eastAsia="en-GB"/>
        </w:rPr>
        <w:t xml:space="preserve"> by being better able to plan for and manage refinancing risks) for any given level and composition of debt.</w:t>
      </w:r>
    </w:p>
    <w:p w:rsidR="00015C48" w:rsidRPr="00523556" w:rsidRDefault="009E2DE9" w:rsidP="009E2DE9">
      <w:pPr>
        <w:jc w:val="both"/>
        <w:rPr>
          <w:rFonts w:ascii="Times New Roman" w:hAnsi="Times New Roman" w:cs="Times New Roman"/>
          <w:lang w:eastAsia="en-GB"/>
        </w:rPr>
      </w:pPr>
      <w:r w:rsidRPr="00523556">
        <w:rPr>
          <w:rFonts w:ascii="Times New Roman" w:hAnsi="Times New Roman" w:cs="Times New Roman"/>
          <w:lang w:eastAsia="en-GB"/>
        </w:rPr>
        <w:t>Accelerating the creation of a Debt Management Office</w:t>
      </w:r>
      <w:r w:rsidR="007A6EFE" w:rsidRPr="00523556">
        <w:rPr>
          <w:rFonts w:ascii="Times New Roman" w:hAnsi="Times New Roman" w:cs="Times New Roman"/>
          <w:lang w:eastAsia="en-GB"/>
        </w:rPr>
        <w:t xml:space="preserve"> (DMO)</w:t>
      </w:r>
      <w:r w:rsidRPr="00523556">
        <w:rPr>
          <w:rFonts w:ascii="Times New Roman" w:hAnsi="Times New Roman" w:cs="Times New Roman"/>
          <w:lang w:eastAsia="en-GB"/>
        </w:rPr>
        <w:t>, or Unit within MoFPED, should be an important priority in this regard. Currently</w:t>
      </w:r>
      <w:r w:rsidR="007A6EFE" w:rsidRPr="00523556">
        <w:rPr>
          <w:rFonts w:ascii="Times New Roman" w:hAnsi="Times New Roman" w:cs="Times New Roman"/>
          <w:lang w:eastAsia="en-GB"/>
        </w:rPr>
        <w:t>,</w:t>
      </w:r>
      <w:r w:rsidRPr="00523556">
        <w:rPr>
          <w:rFonts w:ascii="Times New Roman" w:hAnsi="Times New Roman" w:cs="Times New Roman"/>
          <w:lang w:eastAsia="en-GB"/>
        </w:rPr>
        <w:t xml:space="preserve"> debt management responsibilities are fragmented across and within MoFPED and BoU, and in many cases lie with individuals who </w:t>
      </w:r>
      <w:r w:rsidR="007A6EFE" w:rsidRPr="00523556">
        <w:rPr>
          <w:rFonts w:ascii="Times New Roman" w:hAnsi="Times New Roman" w:cs="Times New Roman"/>
          <w:lang w:eastAsia="en-GB"/>
        </w:rPr>
        <w:t xml:space="preserve">also </w:t>
      </w:r>
      <w:r w:rsidRPr="00523556">
        <w:rPr>
          <w:rFonts w:ascii="Times New Roman" w:hAnsi="Times New Roman" w:cs="Times New Roman"/>
          <w:lang w:eastAsia="en-GB"/>
        </w:rPr>
        <w:t>have a variety of other responsibilities. By setting up a DMO, GoU would build a concentrated centre of expertise with</w:t>
      </w:r>
      <w:r w:rsidR="00D04F65" w:rsidRPr="00523556">
        <w:rPr>
          <w:rFonts w:ascii="Times New Roman" w:hAnsi="Times New Roman" w:cs="Times New Roman"/>
          <w:lang w:eastAsia="en-GB"/>
        </w:rPr>
        <w:t>in</w:t>
      </w:r>
      <w:r w:rsidRPr="00523556">
        <w:rPr>
          <w:rFonts w:ascii="Times New Roman" w:hAnsi="Times New Roman" w:cs="Times New Roman"/>
          <w:lang w:eastAsia="en-GB"/>
        </w:rPr>
        <w:t xml:space="preserve"> government, with clear responsibility for debt management issues; this should assist in both the formulation and successful execution of financing st</w:t>
      </w:r>
      <w:r w:rsidR="007A6EFE" w:rsidRPr="00523556">
        <w:rPr>
          <w:rFonts w:ascii="Times New Roman" w:hAnsi="Times New Roman" w:cs="Times New Roman"/>
          <w:lang w:eastAsia="en-GB"/>
        </w:rPr>
        <w:t>rategies</w:t>
      </w:r>
      <w:r w:rsidRPr="00523556">
        <w:rPr>
          <w:rFonts w:ascii="Times New Roman" w:hAnsi="Times New Roman" w:cs="Times New Roman"/>
          <w:lang w:eastAsia="en-GB"/>
        </w:rPr>
        <w:t>.</w:t>
      </w:r>
      <w:r w:rsidR="00015C48" w:rsidRPr="00523556">
        <w:rPr>
          <w:rFonts w:ascii="Times New Roman" w:hAnsi="Times New Roman" w:cs="Times New Roman"/>
          <w:lang w:eastAsia="en-GB"/>
        </w:rPr>
        <w:t xml:space="preserve"> Furthermore, continued improvement in the predictability and transparency of GoU’s market-based debt operations – such as through the proposed annual publications of a medium-term debt management strategy document and </w:t>
      </w:r>
      <w:r w:rsidR="007A6EFE" w:rsidRPr="00523556">
        <w:rPr>
          <w:rFonts w:ascii="Times New Roman" w:hAnsi="Times New Roman" w:cs="Times New Roman"/>
          <w:lang w:eastAsia="en-GB"/>
        </w:rPr>
        <w:t>a d</w:t>
      </w:r>
      <w:r w:rsidR="00015C48" w:rsidRPr="00523556">
        <w:rPr>
          <w:rFonts w:ascii="Times New Roman" w:hAnsi="Times New Roman" w:cs="Times New Roman"/>
          <w:lang w:eastAsia="en-GB"/>
        </w:rPr>
        <w:t xml:space="preserve">ebt </w:t>
      </w:r>
      <w:r w:rsidR="007A6EFE" w:rsidRPr="00523556">
        <w:rPr>
          <w:rFonts w:ascii="Times New Roman" w:hAnsi="Times New Roman" w:cs="Times New Roman"/>
          <w:lang w:eastAsia="en-GB"/>
        </w:rPr>
        <w:t>m</w:t>
      </w:r>
      <w:r w:rsidR="00015C48" w:rsidRPr="00523556">
        <w:rPr>
          <w:rFonts w:ascii="Times New Roman" w:hAnsi="Times New Roman" w:cs="Times New Roman"/>
          <w:lang w:eastAsia="en-GB"/>
        </w:rPr>
        <w:t xml:space="preserve">anagement </w:t>
      </w:r>
      <w:r w:rsidR="007A6EFE" w:rsidRPr="00523556">
        <w:rPr>
          <w:rFonts w:ascii="Times New Roman" w:hAnsi="Times New Roman" w:cs="Times New Roman"/>
          <w:lang w:eastAsia="en-GB"/>
        </w:rPr>
        <w:t>r</w:t>
      </w:r>
      <w:r w:rsidR="00015C48" w:rsidRPr="00523556">
        <w:rPr>
          <w:rFonts w:ascii="Times New Roman" w:hAnsi="Times New Roman" w:cs="Times New Roman"/>
          <w:lang w:eastAsia="en-GB"/>
        </w:rPr>
        <w:t>eport – should also help build market confidence, and ultimately help support demand</w:t>
      </w:r>
      <w:r w:rsidR="00891C7C" w:rsidRPr="00523556">
        <w:rPr>
          <w:rFonts w:ascii="Times New Roman" w:hAnsi="Times New Roman" w:cs="Times New Roman"/>
          <w:lang w:eastAsia="en-GB"/>
        </w:rPr>
        <w:t xml:space="preserve"> for </w:t>
      </w:r>
      <w:r w:rsidR="0040561D" w:rsidRPr="00523556">
        <w:rPr>
          <w:rFonts w:ascii="Times New Roman" w:hAnsi="Times New Roman" w:cs="Times New Roman"/>
          <w:lang w:eastAsia="en-GB"/>
        </w:rPr>
        <w:t xml:space="preserve">GoU’s </w:t>
      </w:r>
      <w:r w:rsidR="00891C7C" w:rsidRPr="00523556">
        <w:rPr>
          <w:rFonts w:ascii="Times New Roman" w:hAnsi="Times New Roman" w:cs="Times New Roman"/>
          <w:lang w:eastAsia="en-GB"/>
        </w:rPr>
        <w:t>commercial debt</w:t>
      </w:r>
      <w:r w:rsidR="0040561D" w:rsidRPr="00523556">
        <w:rPr>
          <w:rFonts w:ascii="Times New Roman" w:hAnsi="Times New Roman" w:cs="Times New Roman"/>
          <w:lang w:eastAsia="en-GB"/>
        </w:rPr>
        <w:t xml:space="preserve"> issuance</w:t>
      </w:r>
      <w:r w:rsidR="00015C48" w:rsidRPr="00523556">
        <w:rPr>
          <w:rFonts w:ascii="Times New Roman" w:hAnsi="Times New Roman" w:cs="Times New Roman"/>
          <w:lang w:eastAsia="en-GB"/>
        </w:rPr>
        <w:t>.</w:t>
      </w:r>
    </w:p>
    <w:p w:rsidR="00522E10" w:rsidRPr="00523556" w:rsidRDefault="00522E10" w:rsidP="00911279">
      <w:pPr>
        <w:pStyle w:val="Heading2"/>
        <w:rPr>
          <w:rFonts w:ascii="Times New Roman" w:hAnsi="Times New Roman" w:cs="Times New Roman"/>
        </w:rPr>
      </w:pPr>
      <w:bookmarkStart w:id="16" w:name="_Toc383757447"/>
      <w:r w:rsidRPr="00523556">
        <w:rPr>
          <w:rFonts w:ascii="Times New Roman" w:hAnsi="Times New Roman" w:cs="Times New Roman"/>
        </w:rPr>
        <w:t>3.</w:t>
      </w:r>
      <w:r w:rsidR="00F135F4" w:rsidRPr="00523556">
        <w:rPr>
          <w:rFonts w:ascii="Times New Roman" w:hAnsi="Times New Roman" w:cs="Times New Roman"/>
        </w:rPr>
        <w:t>3</w:t>
      </w:r>
      <w:r w:rsidRPr="00523556">
        <w:rPr>
          <w:rFonts w:ascii="Times New Roman" w:hAnsi="Times New Roman" w:cs="Times New Roman"/>
        </w:rPr>
        <w:t xml:space="preserve"> </w:t>
      </w:r>
      <w:r w:rsidR="00426217" w:rsidRPr="00523556">
        <w:rPr>
          <w:rFonts w:ascii="Times New Roman" w:hAnsi="Times New Roman" w:cs="Times New Roman"/>
        </w:rPr>
        <w:t>Potential</w:t>
      </w:r>
      <w:r w:rsidRPr="00523556">
        <w:rPr>
          <w:rFonts w:ascii="Times New Roman" w:hAnsi="Times New Roman" w:cs="Times New Roman"/>
        </w:rPr>
        <w:t xml:space="preserve"> medi</w:t>
      </w:r>
      <w:r w:rsidR="00426217" w:rsidRPr="00523556">
        <w:rPr>
          <w:rFonts w:ascii="Times New Roman" w:hAnsi="Times New Roman" w:cs="Times New Roman"/>
        </w:rPr>
        <w:t xml:space="preserve">um-term </w:t>
      </w:r>
      <w:r w:rsidR="005C385F" w:rsidRPr="00523556">
        <w:rPr>
          <w:rFonts w:ascii="Times New Roman" w:hAnsi="Times New Roman" w:cs="Times New Roman"/>
        </w:rPr>
        <w:t>financing</w:t>
      </w:r>
      <w:r w:rsidR="00426217" w:rsidRPr="00523556">
        <w:rPr>
          <w:rFonts w:ascii="Times New Roman" w:hAnsi="Times New Roman" w:cs="Times New Roman"/>
        </w:rPr>
        <w:t xml:space="preserve"> strategies</w:t>
      </w:r>
      <w:bookmarkEnd w:id="16"/>
    </w:p>
    <w:p w:rsidR="00693DC9" w:rsidRPr="00523556" w:rsidRDefault="00693DC9" w:rsidP="00693DC9">
      <w:pPr>
        <w:jc w:val="both"/>
        <w:rPr>
          <w:rFonts w:ascii="Times New Roman" w:hAnsi="Times New Roman" w:cs="Times New Roman"/>
        </w:rPr>
      </w:pPr>
      <w:r w:rsidRPr="00523556">
        <w:rPr>
          <w:rFonts w:ascii="Times New Roman" w:hAnsi="Times New Roman" w:cs="Times New Roman"/>
        </w:rPr>
        <w:t>This section moves on to consider what sort of financing strategy GoU could seek to adopt over the medium term</w:t>
      </w:r>
      <w:r w:rsidR="00650B55" w:rsidRPr="00523556">
        <w:rPr>
          <w:rFonts w:ascii="Times New Roman" w:hAnsi="Times New Roman" w:cs="Times New Roman"/>
        </w:rPr>
        <w:t xml:space="preserve"> – defined here as the period from FY14/15 to FY</w:t>
      </w:r>
      <w:r w:rsidR="00CF67F5" w:rsidRPr="00523556">
        <w:rPr>
          <w:rFonts w:ascii="Times New Roman" w:hAnsi="Times New Roman" w:cs="Times New Roman"/>
        </w:rPr>
        <w:t>19/20</w:t>
      </w:r>
      <w:r w:rsidR="00650B55" w:rsidRPr="00523556">
        <w:rPr>
          <w:rFonts w:ascii="Times New Roman" w:hAnsi="Times New Roman" w:cs="Times New Roman"/>
        </w:rPr>
        <w:t xml:space="preserve"> (the end of next National Development Plan period)</w:t>
      </w:r>
      <w:r w:rsidRPr="00523556">
        <w:rPr>
          <w:rFonts w:ascii="Times New Roman" w:hAnsi="Times New Roman" w:cs="Times New Roman"/>
        </w:rPr>
        <w:t xml:space="preserve">. </w:t>
      </w:r>
      <w:r w:rsidR="00386AF4" w:rsidRPr="00523556">
        <w:rPr>
          <w:rFonts w:ascii="Times New Roman" w:hAnsi="Times New Roman" w:cs="Times New Roman"/>
        </w:rPr>
        <w:t xml:space="preserve">An ‘illustrative’ medium-term </w:t>
      </w:r>
      <w:r w:rsidR="009E3960" w:rsidRPr="00523556">
        <w:rPr>
          <w:rFonts w:ascii="Times New Roman" w:hAnsi="Times New Roman" w:cs="Times New Roman"/>
        </w:rPr>
        <w:t xml:space="preserve">fiscal </w:t>
      </w:r>
      <w:r w:rsidR="00386AF4" w:rsidRPr="00523556">
        <w:rPr>
          <w:rFonts w:ascii="Times New Roman" w:hAnsi="Times New Roman" w:cs="Times New Roman"/>
        </w:rPr>
        <w:t xml:space="preserve">scenario is used for analysis, to </w:t>
      </w:r>
      <w:r w:rsidR="00A53399" w:rsidRPr="00523556">
        <w:rPr>
          <w:rFonts w:ascii="Times New Roman" w:hAnsi="Times New Roman" w:cs="Times New Roman"/>
        </w:rPr>
        <w:t xml:space="preserve">highlight some general </w:t>
      </w:r>
      <w:r w:rsidR="008D40A5" w:rsidRPr="00523556">
        <w:rPr>
          <w:rFonts w:ascii="Times New Roman" w:hAnsi="Times New Roman" w:cs="Times New Roman"/>
        </w:rPr>
        <w:t xml:space="preserve">considerations and </w:t>
      </w:r>
      <w:r w:rsidR="00A53399" w:rsidRPr="00523556">
        <w:rPr>
          <w:rFonts w:ascii="Times New Roman" w:hAnsi="Times New Roman" w:cs="Times New Roman"/>
        </w:rPr>
        <w:t>principles</w:t>
      </w:r>
      <w:r w:rsidR="008D40A5" w:rsidRPr="00523556">
        <w:rPr>
          <w:rFonts w:ascii="Times New Roman" w:hAnsi="Times New Roman" w:cs="Times New Roman"/>
        </w:rPr>
        <w:t xml:space="preserve"> that can help guide the choice of an appropriate financing strategy, within the </w:t>
      </w:r>
      <w:r w:rsidR="003A75F1" w:rsidRPr="00523556">
        <w:rPr>
          <w:rFonts w:ascii="Times New Roman" w:hAnsi="Times New Roman" w:cs="Times New Roman"/>
        </w:rPr>
        <w:t>set of possibilities</w:t>
      </w:r>
      <w:r w:rsidR="008D40A5" w:rsidRPr="00523556">
        <w:rPr>
          <w:rFonts w:ascii="Times New Roman" w:hAnsi="Times New Roman" w:cs="Times New Roman"/>
        </w:rPr>
        <w:t xml:space="preserve"> provided </w:t>
      </w:r>
      <w:r w:rsidR="003A75F1" w:rsidRPr="00523556">
        <w:rPr>
          <w:rFonts w:ascii="Times New Roman" w:hAnsi="Times New Roman" w:cs="Times New Roman"/>
        </w:rPr>
        <w:t xml:space="preserve">for </w:t>
      </w:r>
      <w:r w:rsidR="008D40A5" w:rsidRPr="00523556">
        <w:rPr>
          <w:rFonts w:ascii="Times New Roman" w:hAnsi="Times New Roman" w:cs="Times New Roman"/>
        </w:rPr>
        <w:t>by GoU’s draft PDPF</w:t>
      </w:r>
      <w:r w:rsidR="00A53399" w:rsidRPr="00523556">
        <w:rPr>
          <w:rFonts w:ascii="Times New Roman" w:hAnsi="Times New Roman" w:cs="Times New Roman"/>
        </w:rPr>
        <w:t>. The</w:t>
      </w:r>
      <w:r w:rsidR="009E3960" w:rsidRPr="00523556">
        <w:rPr>
          <w:rFonts w:ascii="Times New Roman" w:hAnsi="Times New Roman" w:cs="Times New Roman"/>
        </w:rPr>
        <w:t xml:space="preserve"> section</w:t>
      </w:r>
      <w:r w:rsidRPr="00523556">
        <w:rPr>
          <w:rFonts w:ascii="Times New Roman" w:hAnsi="Times New Roman" w:cs="Times New Roman"/>
        </w:rPr>
        <w:t xml:space="preserve"> first provides a brief overview of the </w:t>
      </w:r>
      <w:r w:rsidR="00650B55" w:rsidRPr="00523556">
        <w:rPr>
          <w:rFonts w:ascii="Times New Roman" w:hAnsi="Times New Roman" w:cs="Times New Roman"/>
        </w:rPr>
        <w:t xml:space="preserve">fiscal </w:t>
      </w:r>
      <w:r w:rsidR="00A53399" w:rsidRPr="00523556">
        <w:rPr>
          <w:rFonts w:ascii="Times New Roman" w:hAnsi="Times New Roman" w:cs="Times New Roman"/>
        </w:rPr>
        <w:t>scenario adopted</w:t>
      </w:r>
      <w:r w:rsidR="00650B55" w:rsidRPr="00523556">
        <w:rPr>
          <w:rFonts w:ascii="Times New Roman" w:hAnsi="Times New Roman" w:cs="Times New Roman"/>
        </w:rPr>
        <w:t>, before analysing alternative strategies</w:t>
      </w:r>
      <w:r w:rsidRPr="00523556">
        <w:rPr>
          <w:rFonts w:ascii="Times New Roman" w:hAnsi="Times New Roman" w:cs="Times New Roman"/>
        </w:rPr>
        <w:t xml:space="preserve"> </w:t>
      </w:r>
      <w:r w:rsidR="00F81575" w:rsidRPr="00523556">
        <w:rPr>
          <w:rFonts w:ascii="Times New Roman" w:hAnsi="Times New Roman" w:cs="Times New Roman"/>
        </w:rPr>
        <w:t>that could be adopted to meet</w:t>
      </w:r>
      <w:r w:rsidR="00650B55" w:rsidRPr="00523556">
        <w:rPr>
          <w:rFonts w:ascii="Times New Roman" w:hAnsi="Times New Roman" w:cs="Times New Roman"/>
        </w:rPr>
        <w:t xml:space="preserve"> </w:t>
      </w:r>
      <w:r w:rsidR="00386AF4" w:rsidRPr="00523556">
        <w:rPr>
          <w:rFonts w:ascii="Times New Roman" w:hAnsi="Times New Roman" w:cs="Times New Roman"/>
        </w:rPr>
        <w:t>the</w:t>
      </w:r>
      <w:r w:rsidR="009E3960" w:rsidRPr="00523556">
        <w:rPr>
          <w:rFonts w:ascii="Times New Roman" w:hAnsi="Times New Roman" w:cs="Times New Roman"/>
        </w:rPr>
        <w:t xml:space="preserve"> outlook for GoU’s financing</w:t>
      </w:r>
      <w:r w:rsidR="00650B55" w:rsidRPr="00523556">
        <w:rPr>
          <w:rFonts w:ascii="Times New Roman" w:hAnsi="Times New Roman" w:cs="Times New Roman"/>
        </w:rPr>
        <w:t xml:space="preserve"> requirements</w:t>
      </w:r>
      <w:r w:rsidR="00386AF4" w:rsidRPr="00523556">
        <w:rPr>
          <w:rFonts w:ascii="Times New Roman" w:hAnsi="Times New Roman" w:cs="Times New Roman"/>
        </w:rPr>
        <w:t xml:space="preserve"> that this would imply</w:t>
      </w:r>
      <w:r w:rsidR="00650B55" w:rsidRPr="00523556">
        <w:rPr>
          <w:rFonts w:ascii="Times New Roman" w:hAnsi="Times New Roman" w:cs="Times New Roman"/>
        </w:rPr>
        <w:t>.</w:t>
      </w:r>
    </w:p>
    <w:p w:rsidR="00693DC9" w:rsidRPr="00523556" w:rsidRDefault="00693DC9" w:rsidP="00693DC9">
      <w:pPr>
        <w:pStyle w:val="Heading3"/>
        <w:rPr>
          <w:rFonts w:ascii="Times New Roman" w:hAnsi="Times New Roman" w:cs="Times New Roman"/>
        </w:rPr>
      </w:pPr>
      <w:r w:rsidRPr="00523556">
        <w:rPr>
          <w:rFonts w:ascii="Times New Roman" w:hAnsi="Times New Roman" w:cs="Times New Roman"/>
        </w:rPr>
        <w:t xml:space="preserve">3.3.1 Background: </w:t>
      </w:r>
      <w:r w:rsidR="00386AF4" w:rsidRPr="00523556">
        <w:rPr>
          <w:rFonts w:ascii="Times New Roman" w:hAnsi="Times New Roman" w:cs="Times New Roman"/>
        </w:rPr>
        <w:t xml:space="preserve">illustrative </w:t>
      </w:r>
      <w:r w:rsidRPr="00523556">
        <w:rPr>
          <w:rFonts w:ascii="Times New Roman" w:hAnsi="Times New Roman" w:cs="Times New Roman"/>
        </w:rPr>
        <w:t xml:space="preserve">fiscal </w:t>
      </w:r>
      <w:r w:rsidR="00650B55" w:rsidRPr="00523556">
        <w:rPr>
          <w:rFonts w:ascii="Times New Roman" w:hAnsi="Times New Roman" w:cs="Times New Roman"/>
        </w:rPr>
        <w:t xml:space="preserve">projection </w:t>
      </w:r>
    </w:p>
    <w:p w:rsidR="005508B7" w:rsidRPr="00523556" w:rsidRDefault="00650B55" w:rsidP="00942E14">
      <w:pPr>
        <w:jc w:val="both"/>
        <w:rPr>
          <w:rFonts w:ascii="Times New Roman" w:hAnsi="Times New Roman" w:cs="Times New Roman"/>
        </w:rPr>
      </w:pPr>
      <w:r w:rsidRPr="00523556">
        <w:rPr>
          <w:rFonts w:ascii="Times New Roman" w:hAnsi="Times New Roman" w:cs="Times New Roman"/>
        </w:rPr>
        <w:t>T</w:t>
      </w:r>
      <w:r w:rsidR="00942E14" w:rsidRPr="00523556">
        <w:rPr>
          <w:rFonts w:ascii="Times New Roman" w:hAnsi="Times New Roman" w:cs="Times New Roman"/>
        </w:rPr>
        <w:t>he</w:t>
      </w:r>
      <w:r w:rsidR="00386AF4" w:rsidRPr="00523556">
        <w:rPr>
          <w:rFonts w:ascii="Times New Roman" w:hAnsi="Times New Roman" w:cs="Times New Roman"/>
        </w:rPr>
        <w:t xml:space="preserve"> illustrative</w:t>
      </w:r>
      <w:r w:rsidR="00942E14" w:rsidRPr="00523556">
        <w:rPr>
          <w:rFonts w:ascii="Times New Roman" w:hAnsi="Times New Roman" w:cs="Times New Roman"/>
        </w:rPr>
        <w:t xml:space="preserve"> </w:t>
      </w:r>
      <w:r w:rsidRPr="00523556">
        <w:rPr>
          <w:rFonts w:ascii="Times New Roman" w:hAnsi="Times New Roman" w:cs="Times New Roman"/>
        </w:rPr>
        <w:t>fiscal projection</w:t>
      </w:r>
      <w:r w:rsidR="00CF67F5" w:rsidRPr="00523556">
        <w:rPr>
          <w:rFonts w:ascii="Times New Roman" w:hAnsi="Times New Roman" w:cs="Times New Roman"/>
        </w:rPr>
        <w:t>s</w:t>
      </w:r>
      <w:r w:rsidRPr="00523556">
        <w:rPr>
          <w:rFonts w:ascii="Times New Roman" w:hAnsi="Times New Roman" w:cs="Times New Roman"/>
        </w:rPr>
        <w:t xml:space="preserve"> </w:t>
      </w:r>
      <w:r w:rsidR="00CF67F5" w:rsidRPr="00523556">
        <w:rPr>
          <w:rFonts w:ascii="Times New Roman" w:hAnsi="Times New Roman" w:cs="Times New Roman"/>
        </w:rPr>
        <w:t xml:space="preserve">that </w:t>
      </w:r>
      <w:r w:rsidR="00386AF4" w:rsidRPr="00523556">
        <w:rPr>
          <w:rFonts w:ascii="Times New Roman" w:hAnsi="Times New Roman" w:cs="Times New Roman"/>
        </w:rPr>
        <w:t>are used as a basis for analysing potential</w:t>
      </w:r>
      <w:r w:rsidR="00B15DD4" w:rsidRPr="00523556">
        <w:rPr>
          <w:rFonts w:ascii="Times New Roman" w:hAnsi="Times New Roman" w:cs="Times New Roman"/>
        </w:rPr>
        <w:t xml:space="preserve"> financing</w:t>
      </w:r>
      <w:r w:rsidR="00386AF4" w:rsidRPr="00523556">
        <w:rPr>
          <w:rFonts w:ascii="Times New Roman" w:hAnsi="Times New Roman" w:cs="Times New Roman"/>
        </w:rPr>
        <w:t xml:space="preserve"> strategies</w:t>
      </w:r>
      <w:r w:rsidR="00B15DD4" w:rsidRPr="00523556">
        <w:rPr>
          <w:rFonts w:ascii="Times New Roman" w:hAnsi="Times New Roman" w:cs="Times New Roman"/>
        </w:rPr>
        <w:t xml:space="preserve"> in this section </w:t>
      </w:r>
      <w:r w:rsidR="00CF67F5" w:rsidRPr="00523556">
        <w:rPr>
          <w:rFonts w:ascii="Times New Roman" w:hAnsi="Times New Roman" w:cs="Times New Roman"/>
        </w:rPr>
        <w:t xml:space="preserve">are </w:t>
      </w:r>
      <w:r w:rsidRPr="00523556">
        <w:rPr>
          <w:rFonts w:ascii="Times New Roman" w:hAnsi="Times New Roman" w:cs="Times New Roman"/>
        </w:rPr>
        <w:t xml:space="preserve">adopted </w:t>
      </w:r>
      <w:r w:rsidR="00B15DD4" w:rsidRPr="00523556">
        <w:rPr>
          <w:rFonts w:ascii="Times New Roman" w:hAnsi="Times New Roman" w:cs="Times New Roman"/>
        </w:rPr>
        <w:t xml:space="preserve">from </w:t>
      </w:r>
      <w:r w:rsidR="00C354E7" w:rsidRPr="00523556">
        <w:rPr>
          <w:rFonts w:ascii="Times New Roman" w:hAnsi="Times New Roman" w:cs="Times New Roman"/>
        </w:rPr>
        <w:t>MoFPED (2013c)</w:t>
      </w:r>
      <w:r w:rsidR="00B15DD4" w:rsidRPr="00523556">
        <w:rPr>
          <w:rFonts w:ascii="Times New Roman" w:hAnsi="Times New Roman" w:cs="Times New Roman"/>
        </w:rPr>
        <w:t>;</w:t>
      </w:r>
      <w:r w:rsidR="000F1F9E" w:rsidRPr="00523556">
        <w:rPr>
          <w:rFonts w:ascii="Times New Roman" w:hAnsi="Times New Roman" w:cs="Times New Roman"/>
        </w:rPr>
        <w:t xml:space="preserve"> the</w:t>
      </w:r>
      <w:r w:rsidR="005508B7" w:rsidRPr="00523556">
        <w:rPr>
          <w:rFonts w:ascii="Times New Roman" w:hAnsi="Times New Roman" w:cs="Times New Roman"/>
        </w:rPr>
        <w:t xml:space="preserve"> </w:t>
      </w:r>
      <w:r w:rsidR="000F1F9E" w:rsidRPr="00523556">
        <w:rPr>
          <w:rFonts w:ascii="Times New Roman" w:hAnsi="Times New Roman" w:cs="Times New Roman"/>
        </w:rPr>
        <w:t xml:space="preserve">key </w:t>
      </w:r>
      <w:r w:rsidR="005508B7" w:rsidRPr="00523556">
        <w:rPr>
          <w:rFonts w:ascii="Times New Roman" w:hAnsi="Times New Roman" w:cs="Times New Roman"/>
        </w:rPr>
        <w:t xml:space="preserve">components </w:t>
      </w:r>
      <w:r w:rsidR="000F1F9E" w:rsidRPr="00523556">
        <w:rPr>
          <w:rFonts w:ascii="Times New Roman" w:hAnsi="Times New Roman" w:cs="Times New Roman"/>
        </w:rPr>
        <w:t xml:space="preserve">are set out in </w:t>
      </w:r>
      <w:r w:rsidR="00E66FA5" w:rsidRPr="00523556">
        <w:rPr>
          <w:rFonts w:ascii="Times New Roman" w:hAnsi="Times New Roman" w:cs="Times New Roman"/>
        </w:rPr>
        <w:t>Fig</w:t>
      </w:r>
      <w:r w:rsidR="00C9088F" w:rsidRPr="00523556">
        <w:rPr>
          <w:rFonts w:ascii="Times New Roman" w:hAnsi="Times New Roman" w:cs="Times New Roman"/>
        </w:rPr>
        <w:t>ure</w:t>
      </w:r>
      <w:r w:rsidR="00E66FA5" w:rsidRPr="00523556">
        <w:rPr>
          <w:rFonts w:ascii="Times New Roman" w:hAnsi="Times New Roman" w:cs="Times New Roman"/>
        </w:rPr>
        <w:t xml:space="preserve"> </w:t>
      </w:r>
      <w:r w:rsidR="00C9088F" w:rsidRPr="00523556">
        <w:rPr>
          <w:rFonts w:ascii="Times New Roman" w:hAnsi="Times New Roman" w:cs="Times New Roman"/>
        </w:rPr>
        <w:t>3.1</w:t>
      </w:r>
      <w:r w:rsidR="00E66FA5" w:rsidRPr="00523556">
        <w:rPr>
          <w:rFonts w:ascii="Times New Roman" w:hAnsi="Times New Roman" w:cs="Times New Roman"/>
        </w:rPr>
        <w:t xml:space="preserve"> below</w:t>
      </w:r>
      <w:r w:rsidR="00C354E7" w:rsidRPr="00523556">
        <w:rPr>
          <w:rFonts w:ascii="Times New Roman" w:hAnsi="Times New Roman" w:cs="Times New Roman"/>
        </w:rPr>
        <w:t>.</w:t>
      </w:r>
      <w:r w:rsidR="00DB63E0" w:rsidRPr="00523556">
        <w:rPr>
          <w:rFonts w:ascii="Times New Roman" w:hAnsi="Times New Roman" w:cs="Times New Roman"/>
        </w:rPr>
        <w:t xml:space="preserve"> </w:t>
      </w:r>
      <w:r w:rsidR="00736E97" w:rsidRPr="00523556">
        <w:rPr>
          <w:rFonts w:ascii="Times New Roman" w:hAnsi="Times New Roman" w:cs="Times New Roman"/>
        </w:rPr>
        <w:t xml:space="preserve"> </w:t>
      </w:r>
    </w:p>
    <w:p w:rsidR="00386AF4" w:rsidRPr="00523556" w:rsidRDefault="00386AF4" w:rsidP="00386AF4">
      <w:pPr>
        <w:jc w:val="both"/>
        <w:rPr>
          <w:rFonts w:ascii="Times New Roman" w:hAnsi="Times New Roman" w:cs="Times New Roman"/>
        </w:rPr>
      </w:pPr>
      <w:r w:rsidRPr="00523556">
        <w:rPr>
          <w:rFonts w:ascii="Times New Roman" w:hAnsi="Times New Roman" w:cs="Times New Roman"/>
        </w:rPr>
        <w:t>On expenditure, the key assumption underpinning the projection is that public investment increases over the medium-term in order to deliver on the full extent of GoU’s infrastructure goals, as set out in the National Development Plan and GoU’s detailed sectoral infrastructure investment plans</w:t>
      </w:r>
      <w:r w:rsidRPr="00523556">
        <w:rPr>
          <w:rStyle w:val="FootnoteReference"/>
          <w:rFonts w:ascii="Times New Roman" w:hAnsi="Times New Roman" w:cs="Times New Roman"/>
        </w:rPr>
        <w:footnoteReference w:id="109"/>
      </w:r>
      <w:r w:rsidRPr="00523556">
        <w:rPr>
          <w:rFonts w:ascii="Times New Roman" w:hAnsi="Times New Roman" w:cs="Times New Roman"/>
        </w:rPr>
        <w:t xml:space="preserve"> – with infrastructure investment spending averaging approximately </w:t>
      </w:r>
      <w:r w:rsidRPr="00523556">
        <w:rPr>
          <w:rFonts w:ascii="Times New Roman" w:hAnsi="Times New Roman" w:cs="Times New Roman"/>
        </w:rPr>
        <w:lastRenderedPageBreak/>
        <w:t>$1½bn per year out to FY19/20 (or averaging around 6 per cent as a ratio to GDP). It is assumed that other non-interest spending remains broadly constant as a share of GDP over the projection period, meaning that the increase in primary expenditure is driven by public investment.</w:t>
      </w:r>
      <w:r w:rsidRPr="00523556">
        <w:rPr>
          <w:rStyle w:val="FootnoteReference"/>
          <w:rFonts w:ascii="Times New Roman" w:hAnsi="Times New Roman" w:cs="Times New Roman"/>
        </w:rPr>
        <w:footnoteReference w:id="110"/>
      </w:r>
      <w:r w:rsidRPr="00523556">
        <w:rPr>
          <w:rFonts w:ascii="Times New Roman" w:hAnsi="Times New Roman" w:cs="Times New Roman"/>
        </w:rPr>
        <w:t xml:space="preserve"> </w:t>
      </w:r>
    </w:p>
    <w:p w:rsidR="005508B7" w:rsidRPr="00523556" w:rsidRDefault="005508B7" w:rsidP="00942E14">
      <w:pPr>
        <w:jc w:val="both"/>
        <w:rPr>
          <w:rFonts w:ascii="Times New Roman" w:hAnsi="Times New Roman" w:cs="Times New Roman"/>
        </w:rPr>
      </w:pPr>
      <w:r w:rsidRPr="00523556">
        <w:rPr>
          <w:rFonts w:ascii="Times New Roman" w:hAnsi="Times New Roman" w:cs="Times New Roman"/>
        </w:rPr>
        <w:t xml:space="preserve">On </w:t>
      </w:r>
      <w:r w:rsidR="00386AF4" w:rsidRPr="00523556">
        <w:rPr>
          <w:rFonts w:ascii="Times New Roman" w:hAnsi="Times New Roman" w:cs="Times New Roman"/>
        </w:rPr>
        <w:t xml:space="preserve">the </w:t>
      </w:r>
      <w:r w:rsidRPr="00523556">
        <w:rPr>
          <w:rFonts w:ascii="Times New Roman" w:hAnsi="Times New Roman" w:cs="Times New Roman"/>
        </w:rPr>
        <w:t>revenue</w:t>
      </w:r>
      <w:r w:rsidR="00386AF4" w:rsidRPr="00523556">
        <w:rPr>
          <w:rFonts w:ascii="Times New Roman" w:hAnsi="Times New Roman" w:cs="Times New Roman"/>
        </w:rPr>
        <w:t xml:space="preserve"> side</w:t>
      </w:r>
      <w:r w:rsidRPr="00523556">
        <w:rPr>
          <w:rFonts w:ascii="Times New Roman" w:hAnsi="Times New Roman" w:cs="Times New Roman"/>
        </w:rPr>
        <w:t xml:space="preserve">, </w:t>
      </w:r>
      <w:r w:rsidR="00B15DD4" w:rsidRPr="00523556">
        <w:rPr>
          <w:rFonts w:ascii="Times New Roman" w:hAnsi="Times New Roman" w:cs="Times New Roman"/>
        </w:rPr>
        <w:t>the projection</w:t>
      </w:r>
      <w:r w:rsidR="00CF67F5" w:rsidRPr="00523556">
        <w:rPr>
          <w:rFonts w:ascii="Times New Roman" w:hAnsi="Times New Roman" w:cs="Times New Roman"/>
        </w:rPr>
        <w:t>s assume</w:t>
      </w:r>
      <w:r w:rsidRPr="00523556">
        <w:rPr>
          <w:rFonts w:ascii="Times New Roman" w:hAnsi="Times New Roman" w:cs="Times New Roman"/>
        </w:rPr>
        <w:t xml:space="preserve"> that </w:t>
      </w:r>
      <w:r w:rsidR="00466DC0" w:rsidRPr="00523556">
        <w:rPr>
          <w:rFonts w:ascii="Times New Roman" w:hAnsi="Times New Roman" w:cs="Times New Roman"/>
        </w:rPr>
        <w:t xml:space="preserve">GoU is successful in its efforts to significantly increase non-oil tax revenues over time, </w:t>
      </w:r>
      <w:r w:rsidR="00EC185F" w:rsidRPr="00523556">
        <w:rPr>
          <w:rFonts w:ascii="Times New Roman" w:hAnsi="Times New Roman" w:cs="Times New Roman"/>
        </w:rPr>
        <w:t xml:space="preserve">including </w:t>
      </w:r>
      <w:r w:rsidR="00466DC0" w:rsidRPr="00523556">
        <w:rPr>
          <w:rFonts w:ascii="Times New Roman" w:hAnsi="Times New Roman" w:cs="Times New Roman"/>
        </w:rPr>
        <w:t xml:space="preserve">through the reform of income tax and VAT exemptions – </w:t>
      </w:r>
      <w:r w:rsidR="00D91DE1" w:rsidRPr="00523556">
        <w:rPr>
          <w:rFonts w:ascii="Times New Roman" w:hAnsi="Times New Roman" w:cs="Times New Roman"/>
        </w:rPr>
        <w:t xml:space="preserve">resulting in </w:t>
      </w:r>
      <w:r w:rsidR="00466DC0" w:rsidRPr="00523556">
        <w:rPr>
          <w:rFonts w:ascii="Times New Roman" w:hAnsi="Times New Roman" w:cs="Times New Roman"/>
        </w:rPr>
        <w:t xml:space="preserve">a substantive increase in </w:t>
      </w:r>
      <w:r w:rsidR="00B15DD4" w:rsidRPr="00523556">
        <w:rPr>
          <w:rFonts w:ascii="Times New Roman" w:hAnsi="Times New Roman" w:cs="Times New Roman"/>
        </w:rPr>
        <w:t xml:space="preserve">the ratio of non-oil revenues to GDP in </w:t>
      </w:r>
      <w:r w:rsidR="00466DC0" w:rsidRPr="00523556">
        <w:rPr>
          <w:rFonts w:ascii="Times New Roman" w:hAnsi="Times New Roman" w:cs="Times New Roman"/>
        </w:rPr>
        <w:t xml:space="preserve">FY14/15, and </w:t>
      </w:r>
      <w:r w:rsidR="00B15DD4" w:rsidRPr="00523556">
        <w:rPr>
          <w:rFonts w:ascii="Times New Roman" w:hAnsi="Times New Roman" w:cs="Times New Roman"/>
        </w:rPr>
        <w:t xml:space="preserve">a </w:t>
      </w:r>
      <w:r w:rsidR="00466DC0" w:rsidRPr="00523556">
        <w:rPr>
          <w:rFonts w:ascii="Times New Roman" w:hAnsi="Times New Roman" w:cs="Times New Roman"/>
        </w:rPr>
        <w:t xml:space="preserve">continued gradual </w:t>
      </w:r>
      <w:r w:rsidR="00B15DD4" w:rsidRPr="00523556">
        <w:rPr>
          <w:rFonts w:ascii="Times New Roman" w:hAnsi="Times New Roman" w:cs="Times New Roman"/>
        </w:rPr>
        <w:t xml:space="preserve">rise </w:t>
      </w:r>
      <w:r w:rsidR="00466DC0" w:rsidRPr="00523556">
        <w:rPr>
          <w:rFonts w:ascii="Times New Roman" w:hAnsi="Times New Roman" w:cs="Times New Roman"/>
        </w:rPr>
        <w:t>thereafter.</w:t>
      </w:r>
      <w:r w:rsidR="00B15DD4" w:rsidRPr="00523556">
        <w:rPr>
          <w:rFonts w:ascii="Times New Roman" w:hAnsi="Times New Roman" w:cs="Times New Roman"/>
        </w:rPr>
        <w:t xml:space="preserve"> </w:t>
      </w:r>
      <w:r w:rsidR="00D91DE1" w:rsidRPr="00523556">
        <w:rPr>
          <w:rFonts w:ascii="Times New Roman" w:hAnsi="Times New Roman" w:cs="Times New Roman"/>
        </w:rPr>
        <w:t xml:space="preserve">Grants are </w:t>
      </w:r>
      <w:r w:rsidR="003D5D7B" w:rsidRPr="00523556">
        <w:rPr>
          <w:rFonts w:ascii="Times New Roman" w:hAnsi="Times New Roman" w:cs="Times New Roman"/>
        </w:rPr>
        <w:t xml:space="preserve">broadly </w:t>
      </w:r>
      <w:r w:rsidR="00D91DE1" w:rsidRPr="00523556">
        <w:rPr>
          <w:rFonts w:ascii="Times New Roman" w:hAnsi="Times New Roman" w:cs="Times New Roman"/>
        </w:rPr>
        <w:t xml:space="preserve">assumed to continue their trend decline as a ratio to GDP. </w:t>
      </w:r>
      <w:r w:rsidR="00A42EA3" w:rsidRPr="00523556">
        <w:rPr>
          <w:rFonts w:ascii="Times New Roman" w:hAnsi="Times New Roman" w:cs="Times New Roman"/>
        </w:rPr>
        <w:t xml:space="preserve">Oil production and associated GoU receipts are assumed to begin in FY18/19. </w:t>
      </w:r>
    </w:p>
    <w:p w:rsidR="00102789" w:rsidRPr="00523556" w:rsidRDefault="0076348E" w:rsidP="00942E14">
      <w:pPr>
        <w:jc w:val="both"/>
        <w:rPr>
          <w:rFonts w:ascii="Times New Roman" w:hAnsi="Times New Roman" w:cs="Times New Roman"/>
        </w:rPr>
      </w:pPr>
      <w:r w:rsidRPr="00523556">
        <w:rPr>
          <w:rFonts w:ascii="Times New Roman" w:hAnsi="Times New Roman" w:cs="Times New Roman"/>
        </w:rPr>
        <w:t xml:space="preserve">Reflecting these trends, the </w:t>
      </w:r>
      <w:r w:rsidR="00664888" w:rsidRPr="00523556">
        <w:rPr>
          <w:rFonts w:ascii="Times New Roman" w:hAnsi="Times New Roman" w:cs="Times New Roman"/>
        </w:rPr>
        <w:t>projections imply an average primary balance over the five years to FY17/18 of 4.1</w:t>
      </w:r>
      <w:r w:rsidR="00E557B8" w:rsidRPr="00523556">
        <w:rPr>
          <w:rFonts w:ascii="Times New Roman" w:hAnsi="Times New Roman" w:cs="Times New Roman"/>
        </w:rPr>
        <w:t xml:space="preserve"> per cent</w:t>
      </w:r>
      <w:r w:rsidR="0081583C" w:rsidRPr="00523556">
        <w:rPr>
          <w:rFonts w:ascii="Times New Roman" w:hAnsi="Times New Roman" w:cs="Times New Roman"/>
        </w:rPr>
        <w:t xml:space="preserve"> of GDP</w:t>
      </w:r>
      <w:r w:rsidR="006C6F7A" w:rsidRPr="00523556">
        <w:rPr>
          <w:rFonts w:ascii="Times New Roman" w:hAnsi="Times New Roman" w:cs="Times New Roman"/>
        </w:rPr>
        <w:t xml:space="preserve"> –</w:t>
      </w:r>
      <w:r w:rsidR="00664888" w:rsidRPr="00523556">
        <w:rPr>
          <w:rFonts w:ascii="Times New Roman" w:hAnsi="Times New Roman" w:cs="Times New Roman"/>
        </w:rPr>
        <w:t xml:space="preserve"> compared</w:t>
      </w:r>
      <w:r w:rsidR="006C6F7A" w:rsidRPr="00523556">
        <w:rPr>
          <w:rFonts w:ascii="Times New Roman" w:hAnsi="Times New Roman" w:cs="Times New Roman"/>
        </w:rPr>
        <w:t xml:space="preserve"> </w:t>
      </w:r>
      <w:r w:rsidR="00664888" w:rsidRPr="00523556">
        <w:rPr>
          <w:rFonts w:ascii="Times New Roman" w:hAnsi="Times New Roman" w:cs="Times New Roman"/>
        </w:rPr>
        <w:t>to an average of 2.5</w:t>
      </w:r>
      <w:r w:rsidR="00E557B8" w:rsidRPr="00523556">
        <w:rPr>
          <w:rFonts w:ascii="Times New Roman" w:hAnsi="Times New Roman" w:cs="Times New Roman"/>
        </w:rPr>
        <w:t xml:space="preserve"> per cent</w:t>
      </w:r>
      <w:r w:rsidR="00664888" w:rsidRPr="00523556">
        <w:rPr>
          <w:rFonts w:ascii="Times New Roman" w:hAnsi="Times New Roman" w:cs="Times New Roman"/>
        </w:rPr>
        <w:t xml:space="preserve"> </w:t>
      </w:r>
      <w:r w:rsidR="0081583C" w:rsidRPr="00523556">
        <w:rPr>
          <w:rFonts w:ascii="Times New Roman" w:hAnsi="Times New Roman" w:cs="Times New Roman"/>
        </w:rPr>
        <w:t xml:space="preserve">of GDP </w:t>
      </w:r>
      <w:r w:rsidR="00664888" w:rsidRPr="00523556">
        <w:rPr>
          <w:rFonts w:ascii="Times New Roman" w:hAnsi="Times New Roman" w:cs="Times New Roman"/>
        </w:rPr>
        <w:t>over the past five years, and 1.4</w:t>
      </w:r>
      <w:r w:rsidR="00E557B8" w:rsidRPr="00523556">
        <w:rPr>
          <w:rFonts w:ascii="Times New Roman" w:hAnsi="Times New Roman" w:cs="Times New Roman"/>
        </w:rPr>
        <w:t xml:space="preserve"> per cent</w:t>
      </w:r>
      <w:r w:rsidR="00664888" w:rsidRPr="00523556">
        <w:rPr>
          <w:rFonts w:ascii="Times New Roman" w:hAnsi="Times New Roman" w:cs="Times New Roman"/>
        </w:rPr>
        <w:t xml:space="preserve"> </w:t>
      </w:r>
      <w:r w:rsidR="0081583C" w:rsidRPr="00523556">
        <w:rPr>
          <w:rFonts w:ascii="Times New Roman" w:hAnsi="Times New Roman" w:cs="Times New Roman"/>
        </w:rPr>
        <w:t xml:space="preserve">of GDP </w:t>
      </w:r>
      <w:r w:rsidR="00664888" w:rsidRPr="00523556">
        <w:rPr>
          <w:rFonts w:ascii="Times New Roman" w:hAnsi="Times New Roman" w:cs="Times New Roman"/>
        </w:rPr>
        <w:t>over the past ten year</w:t>
      </w:r>
      <w:r w:rsidR="00684AEE" w:rsidRPr="00523556">
        <w:rPr>
          <w:rFonts w:ascii="Times New Roman" w:hAnsi="Times New Roman" w:cs="Times New Roman"/>
        </w:rPr>
        <w:t>s</w:t>
      </w:r>
      <w:r w:rsidR="00664888" w:rsidRPr="00523556">
        <w:rPr>
          <w:rFonts w:ascii="Times New Roman" w:hAnsi="Times New Roman" w:cs="Times New Roman"/>
        </w:rPr>
        <w:t xml:space="preserve">. </w:t>
      </w:r>
      <w:r w:rsidR="0081583C" w:rsidRPr="00523556">
        <w:rPr>
          <w:rFonts w:ascii="Times New Roman" w:hAnsi="Times New Roman" w:cs="Times New Roman"/>
        </w:rPr>
        <w:t>T</w:t>
      </w:r>
      <w:r w:rsidRPr="00523556">
        <w:rPr>
          <w:rFonts w:ascii="Times New Roman" w:hAnsi="Times New Roman" w:cs="Times New Roman"/>
        </w:rPr>
        <w:t xml:space="preserve">he </w:t>
      </w:r>
      <w:r w:rsidR="0081583C" w:rsidRPr="00523556">
        <w:rPr>
          <w:rFonts w:ascii="Times New Roman" w:hAnsi="Times New Roman" w:cs="Times New Roman"/>
        </w:rPr>
        <w:t xml:space="preserve">evolution of the </w:t>
      </w:r>
      <w:r w:rsidR="00EC185F" w:rsidRPr="00523556">
        <w:rPr>
          <w:rFonts w:ascii="Times New Roman" w:hAnsi="Times New Roman" w:cs="Times New Roman"/>
          <w:i/>
        </w:rPr>
        <w:t>total</w:t>
      </w:r>
      <w:r w:rsidRPr="00523556">
        <w:rPr>
          <w:rFonts w:ascii="Times New Roman" w:hAnsi="Times New Roman" w:cs="Times New Roman"/>
        </w:rPr>
        <w:t xml:space="preserve"> fiscal deficit </w:t>
      </w:r>
      <w:r w:rsidR="006C6F7A" w:rsidRPr="00523556">
        <w:rPr>
          <w:rFonts w:ascii="Times New Roman" w:hAnsi="Times New Roman" w:cs="Times New Roman"/>
        </w:rPr>
        <w:t xml:space="preserve">– and thus GoU’s net financing requirements – </w:t>
      </w:r>
      <w:r w:rsidRPr="00523556">
        <w:rPr>
          <w:rFonts w:ascii="Times New Roman" w:hAnsi="Times New Roman" w:cs="Times New Roman"/>
        </w:rPr>
        <w:t>will</w:t>
      </w:r>
      <w:r w:rsidR="006C6F7A" w:rsidRPr="00523556">
        <w:rPr>
          <w:rFonts w:ascii="Times New Roman" w:hAnsi="Times New Roman" w:cs="Times New Roman"/>
        </w:rPr>
        <w:t xml:space="preserve"> </w:t>
      </w:r>
      <w:r w:rsidRPr="00523556">
        <w:rPr>
          <w:rFonts w:ascii="Times New Roman" w:hAnsi="Times New Roman" w:cs="Times New Roman"/>
        </w:rPr>
        <w:t xml:space="preserve">depend on the </w:t>
      </w:r>
      <w:r w:rsidR="00C27D66" w:rsidRPr="00523556">
        <w:rPr>
          <w:rFonts w:ascii="Times New Roman" w:hAnsi="Times New Roman" w:cs="Times New Roman"/>
        </w:rPr>
        <w:t xml:space="preserve">precise </w:t>
      </w:r>
      <w:r w:rsidRPr="00523556">
        <w:rPr>
          <w:rFonts w:ascii="Times New Roman" w:hAnsi="Times New Roman" w:cs="Times New Roman"/>
        </w:rPr>
        <w:t xml:space="preserve">financing strategy </w:t>
      </w:r>
      <w:r w:rsidR="00C27D66" w:rsidRPr="00523556">
        <w:rPr>
          <w:rFonts w:ascii="Times New Roman" w:hAnsi="Times New Roman" w:cs="Times New Roman"/>
        </w:rPr>
        <w:t xml:space="preserve">chosen </w:t>
      </w:r>
      <w:r w:rsidR="00432C14" w:rsidRPr="00523556">
        <w:rPr>
          <w:rFonts w:ascii="Times New Roman" w:hAnsi="Times New Roman" w:cs="Times New Roman"/>
        </w:rPr>
        <w:t>and a</w:t>
      </w:r>
      <w:r w:rsidR="0081583C" w:rsidRPr="00523556">
        <w:rPr>
          <w:rFonts w:ascii="Times New Roman" w:hAnsi="Times New Roman" w:cs="Times New Roman"/>
        </w:rPr>
        <w:t>ccompanying debt interest costs;</w:t>
      </w:r>
      <w:r w:rsidR="00432C14" w:rsidRPr="00523556">
        <w:rPr>
          <w:rFonts w:ascii="Times New Roman" w:hAnsi="Times New Roman" w:cs="Times New Roman"/>
        </w:rPr>
        <w:t xml:space="preserve"> Fig</w:t>
      </w:r>
      <w:r w:rsidR="00C9088F" w:rsidRPr="00523556">
        <w:rPr>
          <w:rFonts w:ascii="Times New Roman" w:hAnsi="Times New Roman" w:cs="Times New Roman"/>
        </w:rPr>
        <w:t>ure</w:t>
      </w:r>
      <w:r w:rsidR="00432C14" w:rsidRPr="00523556">
        <w:rPr>
          <w:rFonts w:ascii="Times New Roman" w:hAnsi="Times New Roman" w:cs="Times New Roman"/>
        </w:rPr>
        <w:t xml:space="preserve"> </w:t>
      </w:r>
      <w:r w:rsidR="00C9088F" w:rsidRPr="00523556">
        <w:rPr>
          <w:rFonts w:ascii="Times New Roman" w:hAnsi="Times New Roman" w:cs="Times New Roman"/>
        </w:rPr>
        <w:t>3.1</w:t>
      </w:r>
      <w:r w:rsidR="00432C14" w:rsidRPr="00523556">
        <w:rPr>
          <w:rFonts w:ascii="Times New Roman" w:hAnsi="Times New Roman" w:cs="Times New Roman"/>
        </w:rPr>
        <w:t xml:space="preserve"> display</w:t>
      </w:r>
      <w:r w:rsidR="00664888" w:rsidRPr="00523556">
        <w:rPr>
          <w:rFonts w:ascii="Times New Roman" w:hAnsi="Times New Roman" w:cs="Times New Roman"/>
        </w:rPr>
        <w:t>s</w:t>
      </w:r>
      <w:r w:rsidR="00432C14" w:rsidRPr="00523556">
        <w:rPr>
          <w:rFonts w:ascii="Times New Roman" w:hAnsi="Times New Roman" w:cs="Times New Roman"/>
        </w:rPr>
        <w:t xml:space="preserve"> </w:t>
      </w:r>
      <w:r w:rsidR="0081583C" w:rsidRPr="00523556">
        <w:rPr>
          <w:rFonts w:ascii="Times New Roman" w:hAnsi="Times New Roman" w:cs="Times New Roman"/>
        </w:rPr>
        <w:t xml:space="preserve">one </w:t>
      </w:r>
      <w:r w:rsidR="00102789" w:rsidRPr="00523556">
        <w:rPr>
          <w:rFonts w:ascii="Times New Roman" w:hAnsi="Times New Roman" w:cs="Times New Roman"/>
        </w:rPr>
        <w:t xml:space="preserve">potential, </w:t>
      </w:r>
      <w:r w:rsidR="0081583C" w:rsidRPr="00523556">
        <w:rPr>
          <w:rFonts w:ascii="Times New Roman" w:hAnsi="Times New Roman" w:cs="Times New Roman"/>
        </w:rPr>
        <w:t xml:space="preserve">illustrative </w:t>
      </w:r>
      <w:r w:rsidR="00432C14" w:rsidRPr="00523556">
        <w:rPr>
          <w:rFonts w:ascii="Times New Roman" w:hAnsi="Times New Roman" w:cs="Times New Roman"/>
        </w:rPr>
        <w:t>path</w:t>
      </w:r>
      <w:r w:rsidR="0081583C" w:rsidRPr="00523556">
        <w:rPr>
          <w:rFonts w:ascii="Times New Roman" w:hAnsi="Times New Roman" w:cs="Times New Roman"/>
        </w:rPr>
        <w:t xml:space="preserve"> for interest costs</w:t>
      </w:r>
      <w:r w:rsidR="00C27D66" w:rsidRPr="00523556">
        <w:rPr>
          <w:rFonts w:ascii="Times New Roman" w:hAnsi="Times New Roman" w:cs="Times New Roman"/>
        </w:rPr>
        <w:t xml:space="preserve">, to give a sense of the </w:t>
      </w:r>
      <w:r w:rsidR="00952BEC" w:rsidRPr="00523556">
        <w:rPr>
          <w:rFonts w:ascii="Times New Roman" w:hAnsi="Times New Roman" w:cs="Times New Roman"/>
        </w:rPr>
        <w:t xml:space="preserve">general </w:t>
      </w:r>
      <w:r w:rsidR="00102789" w:rsidRPr="00523556">
        <w:rPr>
          <w:rFonts w:ascii="Times New Roman" w:hAnsi="Times New Roman" w:cs="Times New Roman"/>
        </w:rPr>
        <w:t xml:space="preserve">trend and </w:t>
      </w:r>
      <w:r w:rsidR="00C27D66" w:rsidRPr="00523556">
        <w:rPr>
          <w:rFonts w:ascii="Times New Roman" w:hAnsi="Times New Roman" w:cs="Times New Roman"/>
        </w:rPr>
        <w:t>order</w:t>
      </w:r>
      <w:r w:rsidR="00952BEC" w:rsidRPr="00523556">
        <w:rPr>
          <w:rFonts w:ascii="Times New Roman" w:hAnsi="Times New Roman" w:cs="Times New Roman"/>
        </w:rPr>
        <w:t xml:space="preserve">s </w:t>
      </w:r>
      <w:r w:rsidR="00C27D66" w:rsidRPr="00523556">
        <w:rPr>
          <w:rFonts w:ascii="Times New Roman" w:hAnsi="Times New Roman" w:cs="Times New Roman"/>
        </w:rPr>
        <w:t>of magnitude involved.</w:t>
      </w:r>
      <w:r w:rsidR="00C27D66" w:rsidRPr="00523556">
        <w:rPr>
          <w:rStyle w:val="FootnoteReference"/>
          <w:rFonts w:ascii="Times New Roman" w:hAnsi="Times New Roman" w:cs="Times New Roman"/>
        </w:rPr>
        <w:footnoteReference w:id="111"/>
      </w:r>
      <w:r w:rsidR="000561C4" w:rsidRPr="00523556">
        <w:rPr>
          <w:rFonts w:ascii="Times New Roman" w:hAnsi="Times New Roman" w:cs="Times New Roman"/>
        </w:rPr>
        <w:t xml:space="preserve"> </w:t>
      </w:r>
    </w:p>
    <w:p w:rsidR="005C385F" w:rsidRPr="00523556" w:rsidRDefault="005C385F" w:rsidP="005C385F">
      <w:pPr>
        <w:pStyle w:val="Figheader"/>
        <w:rPr>
          <w:rFonts w:ascii="Times New Roman" w:hAnsi="Times New Roman" w:cs="Times New Roman"/>
        </w:rPr>
      </w:pPr>
      <w:r w:rsidRPr="00523556">
        <w:rPr>
          <w:rFonts w:ascii="Times New Roman" w:hAnsi="Times New Roman" w:cs="Times New Roman"/>
        </w:rPr>
        <w:t>Fig</w:t>
      </w:r>
      <w:r w:rsidR="00C9088F" w:rsidRPr="00523556">
        <w:rPr>
          <w:rFonts w:ascii="Times New Roman" w:hAnsi="Times New Roman" w:cs="Times New Roman"/>
        </w:rPr>
        <w:t>ure</w:t>
      </w:r>
      <w:r w:rsidRPr="00523556">
        <w:rPr>
          <w:rFonts w:ascii="Times New Roman" w:hAnsi="Times New Roman" w:cs="Times New Roman"/>
        </w:rPr>
        <w:t xml:space="preserve"> </w:t>
      </w:r>
      <w:r w:rsidR="00C9088F" w:rsidRPr="00523556">
        <w:rPr>
          <w:rFonts w:ascii="Times New Roman" w:hAnsi="Times New Roman" w:cs="Times New Roman"/>
        </w:rPr>
        <w:t>3.1</w:t>
      </w:r>
      <w:r w:rsidRPr="00523556">
        <w:rPr>
          <w:rFonts w:ascii="Times New Roman" w:hAnsi="Times New Roman" w:cs="Times New Roman"/>
        </w:rPr>
        <w:t xml:space="preserve">: </w:t>
      </w:r>
      <w:r w:rsidR="00FC340B" w:rsidRPr="00523556">
        <w:rPr>
          <w:rFonts w:ascii="Times New Roman" w:hAnsi="Times New Roman" w:cs="Times New Roman"/>
        </w:rPr>
        <w:t>Illustrative fiscal projections</w:t>
      </w:r>
    </w:p>
    <w:p w:rsidR="005C385F" w:rsidRPr="00523556" w:rsidRDefault="004D2AB9" w:rsidP="005C385F">
      <w:pPr>
        <w:spacing w:after="0"/>
        <w:jc w:val="both"/>
        <w:rPr>
          <w:rFonts w:ascii="Times New Roman" w:hAnsi="Times New Roman" w:cs="Times New Roman"/>
        </w:rPr>
      </w:pPr>
      <w:r w:rsidRPr="00523556">
        <w:rPr>
          <w:rFonts w:ascii="Times New Roman" w:hAnsi="Times New Roman" w:cs="Times New Roman"/>
          <w:noProof/>
          <w:lang w:eastAsia="en-GB"/>
        </w:rPr>
        <w:drawing>
          <wp:inline distT="0" distB="0" distL="0" distR="0">
            <wp:extent cx="5731510" cy="1629990"/>
            <wp:effectExtent l="19050" t="0" r="254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731510" cy="1629990"/>
                    </a:xfrm>
                    <a:prstGeom prst="rect">
                      <a:avLst/>
                    </a:prstGeom>
                    <a:noFill/>
                    <a:ln w="9525">
                      <a:noFill/>
                      <a:miter lim="800000"/>
                      <a:headEnd/>
                      <a:tailEnd/>
                    </a:ln>
                  </pic:spPr>
                </pic:pic>
              </a:graphicData>
            </a:graphic>
          </wp:inline>
        </w:drawing>
      </w:r>
    </w:p>
    <w:p w:rsidR="00293777" w:rsidRPr="00523556" w:rsidRDefault="00293777" w:rsidP="00293777">
      <w:pPr>
        <w:pStyle w:val="Figfootnote"/>
        <w:rPr>
          <w:rFonts w:ascii="Times New Roman" w:hAnsi="Times New Roman" w:cs="Times New Roman"/>
          <w:sz w:val="24"/>
          <w:szCs w:val="24"/>
        </w:rPr>
      </w:pPr>
      <w:r w:rsidRPr="00523556">
        <w:rPr>
          <w:rFonts w:ascii="Times New Roman" w:hAnsi="Times New Roman" w:cs="Times New Roman"/>
          <w:sz w:val="24"/>
          <w:szCs w:val="24"/>
        </w:rPr>
        <w:t xml:space="preserve">Notes: FY13/14 figures are as per the Budget FY13/14 projections. All rows marked with a (*) will be directly altered by the interest payment implications of the precise deficit financing strategy chosen. </w:t>
      </w:r>
    </w:p>
    <w:p w:rsidR="006C6F7A" w:rsidRPr="00523556" w:rsidRDefault="005C385F" w:rsidP="005C385F">
      <w:pPr>
        <w:pStyle w:val="Figfootnote"/>
        <w:rPr>
          <w:rFonts w:ascii="Times New Roman" w:hAnsi="Times New Roman" w:cs="Times New Roman"/>
          <w:sz w:val="24"/>
          <w:szCs w:val="24"/>
        </w:rPr>
      </w:pPr>
      <w:r w:rsidRPr="00523556">
        <w:rPr>
          <w:rFonts w:ascii="Times New Roman" w:hAnsi="Times New Roman" w:cs="Times New Roman"/>
          <w:sz w:val="24"/>
          <w:szCs w:val="24"/>
        </w:rPr>
        <w:t xml:space="preserve">Source: MoFPED (2013c). </w:t>
      </w:r>
    </w:p>
    <w:p w:rsidR="00432C14" w:rsidRPr="00523556" w:rsidRDefault="00432C14" w:rsidP="00432C14">
      <w:pPr>
        <w:spacing w:after="0"/>
        <w:jc w:val="both"/>
        <w:rPr>
          <w:rFonts w:ascii="Times New Roman" w:hAnsi="Times New Roman" w:cs="Times New Roman"/>
        </w:rPr>
      </w:pPr>
    </w:p>
    <w:p w:rsidR="00432C14" w:rsidRPr="00523556" w:rsidRDefault="00520356" w:rsidP="00432C14">
      <w:pPr>
        <w:spacing w:after="0"/>
        <w:jc w:val="both"/>
        <w:rPr>
          <w:rFonts w:ascii="Times New Roman" w:hAnsi="Times New Roman" w:cs="Times New Roman"/>
        </w:rPr>
      </w:pPr>
      <w:r w:rsidRPr="00523556">
        <w:rPr>
          <w:rFonts w:ascii="Times New Roman" w:hAnsi="Times New Roman" w:cs="Times New Roman"/>
        </w:rPr>
        <w:lastRenderedPageBreak/>
        <w:t xml:space="preserve">These </w:t>
      </w:r>
      <w:r w:rsidR="00785EA8" w:rsidRPr="00523556">
        <w:rPr>
          <w:rFonts w:ascii="Times New Roman" w:hAnsi="Times New Roman" w:cs="Times New Roman"/>
        </w:rPr>
        <w:t xml:space="preserve">fiscal </w:t>
      </w:r>
      <w:r w:rsidRPr="00523556">
        <w:rPr>
          <w:rFonts w:ascii="Times New Roman" w:hAnsi="Times New Roman" w:cs="Times New Roman"/>
        </w:rPr>
        <w:t>projections</w:t>
      </w:r>
      <w:r w:rsidR="00432C14" w:rsidRPr="00523556">
        <w:rPr>
          <w:rFonts w:ascii="Times New Roman" w:hAnsi="Times New Roman" w:cs="Times New Roman"/>
        </w:rPr>
        <w:t xml:space="preserve"> and the</w:t>
      </w:r>
      <w:r w:rsidRPr="00523556">
        <w:rPr>
          <w:rFonts w:ascii="Times New Roman" w:hAnsi="Times New Roman" w:cs="Times New Roman"/>
        </w:rPr>
        <w:t>ir underlying assumptions</w:t>
      </w:r>
      <w:r w:rsidR="00432C14" w:rsidRPr="00523556">
        <w:rPr>
          <w:rFonts w:ascii="Times New Roman" w:hAnsi="Times New Roman" w:cs="Times New Roman"/>
        </w:rPr>
        <w:t xml:space="preserve"> should be viewed as </w:t>
      </w:r>
      <w:r w:rsidR="00785EA8" w:rsidRPr="00523556">
        <w:rPr>
          <w:rFonts w:ascii="Times New Roman" w:hAnsi="Times New Roman" w:cs="Times New Roman"/>
        </w:rPr>
        <w:t xml:space="preserve">simply </w:t>
      </w:r>
      <w:r w:rsidR="00432C14" w:rsidRPr="00523556">
        <w:rPr>
          <w:rFonts w:ascii="Times New Roman" w:hAnsi="Times New Roman" w:cs="Times New Roman"/>
        </w:rPr>
        <w:t>one of a wide array of possible scenarios</w:t>
      </w:r>
      <w:r w:rsidR="002C1196" w:rsidRPr="00523556">
        <w:rPr>
          <w:rFonts w:ascii="Times New Roman" w:hAnsi="Times New Roman" w:cs="Times New Roman"/>
        </w:rPr>
        <w:t>,</w:t>
      </w:r>
      <w:r w:rsidR="00432C14" w:rsidRPr="00523556">
        <w:rPr>
          <w:rFonts w:ascii="Times New Roman" w:hAnsi="Times New Roman" w:cs="Times New Roman"/>
        </w:rPr>
        <w:t xml:space="preserve"> and </w:t>
      </w:r>
      <w:r w:rsidR="00785EA8" w:rsidRPr="00523556">
        <w:rPr>
          <w:rFonts w:ascii="Times New Roman" w:hAnsi="Times New Roman" w:cs="Times New Roman"/>
        </w:rPr>
        <w:t xml:space="preserve">we acknowledge that </w:t>
      </w:r>
      <w:r w:rsidR="00432C14" w:rsidRPr="00523556">
        <w:rPr>
          <w:rFonts w:ascii="Times New Roman" w:hAnsi="Times New Roman" w:cs="Times New Roman"/>
        </w:rPr>
        <w:t xml:space="preserve">many of the key assumptions and other details </w:t>
      </w:r>
      <w:r w:rsidR="00785EA8" w:rsidRPr="00523556">
        <w:rPr>
          <w:rFonts w:ascii="Times New Roman" w:hAnsi="Times New Roman" w:cs="Times New Roman"/>
        </w:rPr>
        <w:t xml:space="preserve">could </w:t>
      </w:r>
      <w:r w:rsidR="00432C14" w:rsidRPr="00523556">
        <w:rPr>
          <w:rFonts w:ascii="Times New Roman" w:hAnsi="Times New Roman" w:cs="Times New Roman"/>
        </w:rPr>
        <w:t xml:space="preserve">be </w:t>
      </w:r>
      <w:r w:rsidR="00785EA8" w:rsidRPr="00523556">
        <w:rPr>
          <w:rFonts w:ascii="Times New Roman" w:hAnsi="Times New Roman" w:cs="Times New Roman"/>
        </w:rPr>
        <w:t xml:space="preserve">vigorously </w:t>
      </w:r>
      <w:r w:rsidR="00432C14" w:rsidRPr="00523556">
        <w:rPr>
          <w:rFonts w:ascii="Times New Roman" w:hAnsi="Times New Roman" w:cs="Times New Roman"/>
        </w:rPr>
        <w:t xml:space="preserve">contested. </w:t>
      </w:r>
      <w:r w:rsidR="00AA4097" w:rsidRPr="00523556">
        <w:rPr>
          <w:rFonts w:ascii="Times New Roman" w:hAnsi="Times New Roman" w:cs="Times New Roman"/>
        </w:rPr>
        <w:t>However, for the purposes of this paper, what is of importance is the</w:t>
      </w:r>
      <w:r w:rsidR="002C1196" w:rsidRPr="00523556">
        <w:rPr>
          <w:rFonts w:ascii="Times New Roman" w:hAnsi="Times New Roman" w:cs="Times New Roman"/>
        </w:rPr>
        <w:t xml:space="preserve"> </w:t>
      </w:r>
      <w:r w:rsidR="00FD5E13" w:rsidRPr="00523556">
        <w:rPr>
          <w:rFonts w:ascii="Times New Roman" w:hAnsi="Times New Roman" w:cs="Times New Roman"/>
        </w:rPr>
        <w:t xml:space="preserve">broad </w:t>
      </w:r>
      <w:r w:rsidR="002C1196" w:rsidRPr="00523556">
        <w:rPr>
          <w:rFonts w:ascii="Times New Roman" w:hAnsi="Times New Roman" w:cs="Times New Roman"/>
        </w:rPr>
        <w:t xml:space="preserve">overall </w:t>
      </w:r>
      <w:r w:rsidR="004D1764" w:rsidRPr="00523556">
        <w:rPr>
          <w:rFonts w:ascii="Times New Roman" w:hAnsi="Times New Roman" w:cs="Times New Roman"/>
        </w:rPr>
        <w:t>picture</w:t>
      </w:r>
      <w:r w:rsidR="00FD5E13" w:rsidRPr="00523556">
        <w:rPr>
          <w:rFonts w:ascii="Times New Roman" w:hAnsi="Times New Roman" w:cs="Times New Roman"/>
        </w:rPr>
        <w:t xml:space="preserve"> </w:t>
      </w:r>
      <w:r w:rsidR="00AA4097" w:rsidRPr="00523556">
        <w:rPr>
          <w:rFonts w:ascii="Times New Roman" w:hAnsi="Times New Roman" w:cs="Times New Roman"/>
        </w:rPr>
        <w:t xml:space="preserve">– of a sustained increase in public investment consistent with meeting the full scope of GoU’s infrastructure goals, which would drive an elevated series of fiscal deficits before oil revenues come on stream – and </w:t>
      </w:r>
      <w:r w:rsidR="00DE39E5" w:rsidRPr="00523556">
        <w:rPr>
          <w:rFonts w:ascii="Times New Roman" w:hAnsi="Times New Roman" w:cs="Times New Roman"/>
        </w:rPr>
        <w:t xml:space="preserve">in particular, </w:t>
      </w:r>
      <w:r w:rsidR="00AA4097" w:rsidRPr="00523556">
        <w:rPr>
          <w:rFonts w:ascii="Times New Roman" w:hAnsi="Times New Roman" w:cs="Times New Roman"/>
        </w:rPr>
        <w:t xml:space="preserve">the </w:t>
      </w:r>
      <w:r w:rsidR="00DE39E5" w:rsidRPr="00523556">
        <w:rPr>
          <w:rFonts w:ascii="Times New Roman" w:hAnsi="Times New Roman" w:cs="Times New Roman"/>
        </w:rPr>
        <w:t xml:space="preserve">feasible </w:t>
      </w:r>
      <w:r w:rsidR="002C1196" w:rsidRPr="00523556">
        <w:rPr>
          <w:rFonts w:ascii="Times New Roman" w:hAnsi="Times New Roman" w:cs="Times New Roman"/>
        </w:rPr>
        <w:t xml:space="preserve">broad </w:t>
      </w:r>
      <w:r w:rsidR="00AA4097" w:rsidRPr="00523556">
        <w:rPr>
          <w:rFonts w:ascii="Times New Roman" w:hAnsi="Times New Roman" w:cs="Times New Roman"/>
        </w:rPr>
        <w:t>outlook for the net financing requirement that would result.</w:t>
      </w:r>
      <w:r w:rsidR="00DE39E5" w:rsidRPr="00523556">
        <w:rPr>
          <w:rStyle w:val="FootnoteReference"/>
          <w:rFonts w:ascii="Times New Roman" w:hAnsi="Times New Roman" w:cs="Times New Roman"/>
        </w:rPr>
        <w:footnoteReference w:id="112"/>
      </w:r>
      <w:r w:rsidR="00690CEA" w:rsidRPr="00523556">
        <w:rPr>
          <w:rFonts w:ascii="Times New Roman" w:hAnsi="Times New Roman" w:cs="Times New Roman"/>
        </w:rPr>
        <w:t xml:space="preserve"> </w:t>
      </w:r>
      <w:r w:rsidR="002C1196" w:rsidRPr="00523556">
        <w:rPr>
          <w:rFonts w:ascii="Times New Roman" w:hAnsi="Times New Roman" w:cs="Times New Roman"/>
        </w:rPr>
        <w:t>Th</w:t>
      </w:r>
      <w:r w:rsidR="00DE39E5" w:rsidRPr="00523556">
        <w:rPr>
          <w:rFonts w:ascii="Times New Roman" w:hAnsi="Times New Roman" w:cs="Times New Roman"/>
        </w:rPr>
        <w:t xml:space="preserve">e sustained increase in GoU’s net financing requirement </w:t>
      </w:r>
      <w:r w:rsidR="000A09B1" w:rsidRPr="00523556">
        <w:rPr>
          <w:rFonts w:ascii="Times New Roman" w:hAnsi="Times New Roman" w:cs="Times New Roman"/>
        </w:rPr>
        <w:t>provides a</w:t>
      </w:r>
      <w:r w:rsidR="00386AF4" w:rsidRPr="00523556">
        <w:rPr>
          <w:rFonts w:ascii="Times New Roman" w:hAnsi="Times New Roman" w:cs="Times New Roman"/>
        </w:rPr>
        <w:t>n interesting</w:t>
      </w:r>
      <w:r w:rsidR="000A09B1" w:rsidRPr="00523556">
        <w:rPr>
          <w:rFonts w:ascii="Times New Roman" w:hAnsi="Times New Roman" w:cs="Times New Roman"/>
        </w:rPr>
        <w:t xml:space="preserve"> </w:t>
      </w:r>
      <w:r w:rsidR="00D851AC" w:rsidRPr="00523556">
        <w:rPr>
          <w:rFonts w:ascii="Times New Roman" w:hAnsi="Times New Roman" w:cs="Times New Roman"/>
        </w:rPr>
        <w:t xml:space="preserve">scenario </w:t>
      </w:r>
      <w:r w:rsidR="00DE39E5" w:rsidRPr="00523556">
        <w:rPr>
          <w:rFonts w:ascii="Times New Roman" w:hAnsi="Times New Roman" w:cs="Times New Roman"/>
        </w:rPr>
        <w:t>with which</w:t>
      </w:r>
      <w:r w:rsidR="00386AF4" w:rsidRPr="00523556">
        <w:rPr>
          <w:rFonts w:ascii="Times New Roman" w:hAnsi="Times New Roman" w:cs="Times New Roman"/>
        </w:rPr>
        <w:t xml:space="preserve"> to underpin the focus of this s</w:t>
      </w:r>
      <w:r w:rsidR="00DE39E5" w:rsidRPr="00523556">
        <w:rPr>
          <w:rFonts w:ascii="Times New Roman" w:hAnsi="Times New Roman" w:cs="Times New Roman"/>
        </w:rPr>
        <w:t>ection</w:t>
      </w:r>
      <w:r w:rsidR="00386AF4" w:rsidRPr="00523556">
        <w:rPr>
          <w:rFonts w:ascii="Times New Roman" w:hAnsi="Times New Roman" w:cs="Times New Roman"/>
        </w:rPr>
        <w:t>, which is</w:t>
      </w:r>
      <w:r w:rsidR="00DE39E5" w:rsidRPr="00523556">
        <w:rPr>
          <w:rFonts w:ascii="Times New Roman" w:hAnsi="Times New Roman" w:cs="Times New Roman"/>
        </w:rPr>
        <w:t xml:space="preserve">: what strategy might </w:t>
      </w:r>
      <w:r w:rsidR="000A09B1" w:rsidRPr="00523556">
        <w:rPr>
          <w:rFonts w:ascii="Times New Roman" w:hAnsi="Times New Roman" w:cs="Times New Roman"/>
        </w:rPr>
        <w:t xml:space="preserve">GoU </w:t>
      </w:r>
      <w:r w:rsidR="00055830" w:rsidRPr="00523556">
        <w:rPr>
          <w:rFonts w:ascii="Times New Roman" w:hAnsi="Times New Roman" w:cs="Times New Roman"/>
        </w:rPr>
        <w:t xml:space="preserve">adopt to </w:t>
      </w:r>
      <w:r w:rsidR="000A09B1" w:rsidRPr="00523556">
        <w:rPr>
          <w:rFonts w:ascii="Times New Roman" w:hAnsi="Times New Roman" w:cs="Times New Roman"/>
        </w:rPr>
        <w:t>meet</w:t>
      </w:r>
      <w:r w:rsidR="00055830" w:rsidRPr="00523556">
        <w:rPr>
          <w:rFonts w:ascii="Times New Roman" w:hAnsi="Times New Roman" w:cs="Times New Roman"/>
        </w:rPr>
        <w:t xml:space="preserve"> its</w:t>
      </w:r>
      <w:r w:rsidR="000A09B1" w:rsidRPr="00523556">
        <w:rPr>
          <w:rFonts w:ascii="Times New Roman" w:hAnsi="Times New Roman" w:cs="Times New Roman"/>
        </w:rPr>
        <w:t xml:space="preserve"> financing requirements over the medium term?</w:t>
      </w:r>
      <w:r w:rsidR="00731C01" w:rsidRPr="00523556">
        <w:rPr>
          <w:rFonts w:ascii="Times New Roman" w:hAnsi="Times New Roman" w:cs="Times New Roman"/>
        </w:rPr>
        <w:t xml:space="preserve">   </w:t>
      </w:r>
    </w:p>
    <w:p w:rsidR="005C385F" w:rsidRPr="00523556" w:rsidRDefault="005C385F" w:rsidP="00432C14">
      <w:pPr>
        <w:spacing w:after="0"/>
        <w:jc w:val="both"/>
        <w:rPr>
          <w:rFonts w:ascii="Times New Roman" w:hAnsi="Times New Roman" w:cs="Times New Roman"/>
        </w:rPr>
      </w:pPr>
    </w:p>
    <w:p w:rsidR="0066734C" w:rsidRPr="00523556" w:rsidRDefault="0066734C" w:rsidP="0066734C">
      <w:pPr>
        <w:pStyle w:val="Heading3"/>
        <w:rPr>
          <w:rFonts w:ascii="Times New Roman" w:hAnsi="Times New Roman" w:cs="Times New Roman"/>
        </w:rPr>
      </w:pPr>
      <w:r w:rsidRPr="00523556">
        <w:rPr>
          <w:rFonts w:ascii="Times New Roman" w:hAnsi="Times New Roman" w:cs="Times New Roman"/>
        </w:rPr>
        <w:t>3.3.</w:t>
      </w:r>
      <w:r w:rsidR="009709F1" w:rsidRPr="00523556">
        <w:rPr>
          <w:rFonts w:ascii="Times New Roman" w:hAnsi="Times New Roman" w:cs="Times New Roman"/>
        </w:rPr>
        <w:t>2 Possible financing strategies</w:t>
      </w:r>
    </w:p>
    <w:p w:rsidR="009709F1" w:rsidRPr="00523556" w:rsidRDefault="009709F1" w:rsidP="009709F1">
      <w:pPr>
        <w:pStyle w:val="Heading4"/>
        <w:rPr>
          <w:rFonts w:ascii="Times New Roman" w:hAnsi="Times New Roman" w:cs="Times New Roman"/>
        </w:rPr>
      </w:pPr>
      <w:r w:rsidRPr="00523556">
        <w:rPr>
          <w:rFonts w:ascii="Times New Roman" w:hAnsi="Times New Roman" w:cs="Times New Roman"/>
        </w:rPr>
        <w:t>Overview</w:t>
      </w:r>
    </w:p>
    <w:p w:rsidR="002A28D6" w:rsidRPr="00523556" w:rsidRDefault="00A85888" w:rsidP="00942E14">
      <w:pPr>
        <w:jc w:val="both"/>
        <w:rPr>
          <w:rFonts w:ascii="Times New Roman" w:hAnsi="Times New Roman" w:cs="Times New Roman"/>
        </w:rPr>
      </w:pPr>
      <w:r w:rsidRPr="00523556">
        <w:rPr>
          <w:rFonts w:ascii="Times New Roman" w:hAnsi="Times New Roman" w:cs="Times New Roman"/>
        </w:rPr>
        <w:t>Fig</w:t>
      </w:r>
      <w:r w:rsidR="00C9088F" w:rsidRPr="00523556">
        <w:rPr>
          <w:rFonts w:ascii="Times New Roman" w:hAnsi="Times New Roman" w:cs="Times New Roman"/>
        </w:rPr>
        <w:t>ure</w:t>
      </w:r>
      <w:r w:rsidRPr="00523556">
        <w:rPr>
          <w:rFonts w:ascii="Times New Roman" w:hAnsi="Times New Roman" w:cs="Times New Roman"/>
        </w:rPr>
        <w:t xml:space="preserve"> </w:t>
      </w:r>
      <w:r w:rsidR="00C9088F" w:rsidRPr="00523556">
        <w:rPr>
          <w:rFonts w:ascii="Times New Roman" w:hAnsi="Times New Roman" w:cs="Times New Roman"/>
        </w:rPr>
        <w:t>3.2</w:t>
      </w:r>
      <w:r w:rsidRPr="00523556">
        <w:rPr>
          <w:rFonts w:ascii="Times New Roman" w:hAnsi="Times New Roman" w:cs="Times New Roman"/>
        </w:rPr>
        <w:t xml:space="preserve"> </w:t>
      </w:r>
      <w:r w:rsidR="001161AB" w:rsidRPr="00523556">
        <w:rPr>
          <w:rFonts w:ascii="Times New Roman" w:hAnsi="Times New Roman" w:cs="Times New Roman"/>
        </w:rPr>
        <w:t xml:space="preserve">outlines </w:t>
      </w:r>
      <w:r w:rsidRPr="00523556">
        <w:rPr>
          <w:rFonts w:ascii="Times New Roman" w:hAnsi="Times New Roman" w:cs="Times New Roman"/>
        </w:rPr>
        <w:t xml:space="preserve">the net financing </w:t>
      </w:r>
      <w:r w:rsidR="00E70E19" w:rsidRPr="00523556">
        <w:rPr>
          <w:rFonts w:ascii="Times New Roman" w:hAnsi="Times New Roman" w:cs="Times New Roman"/>
        </w:rPr>
        <w:t xml:space="preserve">requirements </w:t>
      </w:r>
      <w:r w:rsidRPr="00523556">
        <w:rPr>
          <w:rFonts w:ascii="Times New Roman" w:hAnsi="Times New Roman" w:cs="Times New Roman"/>
        </w:rPr>
        <w:t xml:space="preserve">GoU </w:t>
      </w:r>
      <w:r w:rsidR="00E70E19" w:rsidRPr="00523556">
        <w:rPr>
          <w:rFonts w:ascii="Times New Roman" w:hAnsi="Times New Roman" w:cs="Times New Roman"/>
        </w:rPr>
        <w:t xml:space="preserve">would face over the medium term </w:t>
      </w:r>
      <w:r w:rsidRPr="00523556">
        <w:rPr>
          <w:rFonts w:ascii="Times New Roman" w:hAnsi="Times New Roman" w:cs="Times New Roman"/>
        </w:rPr>
        <w:t xml:space="preserve">under </w:t>
      </w:r>
      <w:r w:rsidR="00F81962" w:rsidRPr="00523556">
        <w:rPr>
          <w:rFonts w:ascii="Times New Roman" w:hAnsi="Times New Roman" w:cs="Times New Roman"/>
        </w:rPr>
        <w:t xml:space="preserve">the fiscal </w:t>
      </w:r>
      <w:r w:rsidRPr="00523556">
        <w:rPr>
          <w:rFonts w:ascii="Times New Roman" w:hAnsi="Times New Roman" w:cs="Times New Roman"/>
        </w:rPr>
        <w:t>scenario set out in Fig</w:t>
      </w:r>
      <w:r w:rsidR="00C9088F" w:rsidRPr="00523556">
        <w:rPr>
          <w:rFonts w:ascii="Times New Roman" w:hAnsi="Times New Roman" w:cs="Times New Roman"/>
        </w:rPr>
        <w:t>ure</w:t>
      </w:r>
      <w:r w:rsidRPr="00523556">
        <w:rPr>
          <w:rFonts w:ascii="Times New Roman" w:hAnsi="Times New Roman" w:cs="Times New Roman"/>
        </w:rPr>
        <w:t xml:space="preserve"> </w:t>
      </w:r>
      <w:r w:rsidR="00C9088F" w:rsidRPr="00523556">
        <w:rPr>
          <w:rFonts w:ascii="Times New Roman" w:hAnsi="Times New Roman" w:cs="Times New Roman"/>
        </w:rPr>
        <w:t>3.1</w:t>
      </w:r>
      <w:r w:rsidRPr="00523556">
        <w:rPr>
          <w:rFonts w:ascii="Times New Roman" w:hAnsi="Times New Roman" w:cs="Times New Roman"/>
        </w:rPr>
        <w:t xml:space="preserve">. Line 1 sets out </w:t>
      </w:r>
      <w:r w:rsidR="00E83A13" w:rsidRPr="00523556">
        <w:rPr>
          <w:rFonts w:ascii="Times New Roman" w:hAnsi="Times New Roman" w:cs="Times New Roman"/>
        </w:rPr>
        <w:t xml:space="preserve">a </w:t>
      </w:r>
      <w:r w:rsidRPr="00523556">
        <w:rPr>
          <w:rFonts w:ascii="Times New Roman" w:hAnsi="Times New Roman" w:cs="Times New Roman"/>
        </w:rPr>
        <w:t xml:space="preserve">series of net financing requirements </w:t>
      </w:r>
      <w:r w:rsidR="00504BC9" w:rsidRPr="00523556">
        <w:rPr>
          <w:rFonts w:ascii="Times New Roman" w:hAnsi="Times New Roman" w:cs="Times New Roman"/>
        </w:rPr>
        <w:t>over the projection period</w:t>
      </w:r>
      <w:r w:rsidRPr="00523556">
        <w:rPr>
          <w:rFonts w:ascii="Times New Roman" w:hAnsi="Times New Roman" w:cs="Times New Roman"/>
        </w:rPr>
        <w:t xml:space="preserve"> (as taken from Fig</w:t>
      </w:r>
      <w:r w:rsidR="00C9088F" w:rsidRPr="00523556">
        <w:rPr>
          <w:rFonts w:ascii="Times New Roman" w:hAnsi="Times New Roman" w:cs="Times New Roman"/>
        </w:rPr>
        <w:t>ure</w:t>
      </w:r>
      <w:r w:rsidRPr="00523556">
        <w:rPr>
          <w:rFonts w:ascii="Times New Roman" w:hAnsi="Times New Roman" w:cs="Times New Roman"/>
        </w:rPr>
        <w:t xml:space="preserve"> </w:t>
      </w:r>
      <w:r w:rsidR="00C9088F" w:rsidRPr="00523556">
        <w:rPr>
          <w:rFonts w:ascii="Times New Roman" w:hAnsi="Times New Roman" w:cs="Times New Roman"/>
        </w:rPr>
        <w:t>3.1</w:t>
      </w:r>
      <w:r w:rsidR="00504BC9" w:rsidRPr="00523556">
        <w:rPr>
          <w:rFonts w:ascii="Times New Roman" w:hAnsi="Times New Roman" w:cs="Times New Roman"/>
        </w:rPr>
        <w:t xml:space="preserve">; </w:t>
      </w:r>
      <w:r w:rsidR="00E83A13" w:rsidRPr="00523556">
        <w:rPr>
          <w:rFonts w:ascii="Times New Roman" w:hAnsi="Times New Roman" w:cs="Times New Roman"/>
        </w:rPr>
        <w:t xml:space="preserve">as discussed in the previous section this </w:t>
      </w:r>
      <w:r w:rsidR="00F81962" w:rsidRPr="00523556">
        <w:rPr>
          <w:rFonts w:ascii="Times New Roman" w:hAnsi="Times New Roman" w:cs="Times New Roman"/>
        </w:rPr>
        <w:t xml:space="preserve">is </w:t>
      </w:r>
      <w:r w:rsidR="00E83A13" w:rsidRPr="00523556">
        <w:rPr>
          <w:rFonts w:ascii="Times New Roman" w:hAnsi="Times New Roman" w:cs="Times New Roman"/>
        </w:rPr>
        <w:t xml:space="preserve">only </w:t>
      </w:r>
      <w:r w:rsidR="00F81962" w:rsidRPr="00523556">
        <w:rPr>
          <w:rFonts w:ascii="Times New Roman" w:hAnsi="Times New Roman" w:cs="Times New Roman"/>
        </w:rPr>
        <w:t>approximate</w:t>
      </w:r>
      <w:r w:rsidR="00E83A13" w:rsidRPr="00523556">
        <w:rPr>
          <w:rFonts w:ascii="Times New Roman" w:hAnsi="Times New Roman" w:cs="Times New Roman"/>
        </w:rPr>
        <w:t xml:space="preserve">, because </w:t>
      </w:r>
      <w:r w:rsidR="00504BC9" w:rsidRPr="00523556">
        <w:rPr>
          <w:rFonts w:ascii="Times New Roman" w:hAnsi="Times New Roman" w:cs="Times New Roman"/>
        </w:rPr>
        <w:t>the precise financing requirements will be endogenous to the chosen financing strategy</w:t>
      </w:r>
      <w:r w:rsidR="00B5443D" w:rsidRPr="00523556">
        <w:rPr>
          <w:rFonts w:ascii="Times New Roman" w:hAnsi="Times New Roman" w:cs="Times New Roman"/>
        </w:rPr>
        <w:t xml:space="preserve"> through the impact on interest expenditure</w:t>
      </w:r>
      <w:r w:rsidRPr="00523556">
        <w:rPr>
          <w:rFonts w:ascii="Times New Roman" w:hAnsi="Times New Roman" w:cs="Times New Roman"/>
        </w:rPr>
        <w:t xml:space="preserve">). </w:t>
      </w:r>
    </w:p>
    <w:p w:rsidR="00A82249" w:rsidRPr="00523556" w:rsidRDefault="003C69CB" w:rsidP="00942E14">
      <w:pPr>
        <w:jc w:val="both"/>
        <w:rPr>
          <w:rFonts w:ascii="Times New Roman" w:hAnsi="Times New Roman" w:cs="Times New Roman"/>
        </w:rPr>
      </w:pPr>
      <w:r w:rsidRPr="00523556">
        <w:rPr>
          <w:rFonts w:ascii="Times New Roman" w:hAnsi="Times New Roman" w:cs="Times New Roman"/>
        </w:rPr>
        <w:t>I</w:t>
      </w:r>
      <w:r w:rsidR="00A85888" w:rsidRPr="00523556">
        <w:rPr>
          <w:rFonts w:ascii="Times New Roman" w:hAnsi="Times New Roman" w:cs="Times New Roman"/>
        </w:rPr>
        <w:t>n considering how this</w:t>
      </w:r>
      <w:r w:rsidRPr="00523556">
        <w:rPr>
          <w:rFonts w:ascii="Times New Roman" w:hAnsi="Times New Roman" w:cs="Times New Roman"/>
        </w:rPr>
        <w:t xml:space="preserve"> series of </w:t>
      </w:r>
      <w:r w:rsidR="00A85888" w:rsidRPr="00523556">
        <w:rPr>
          <w:rFonts w:ascii="Times New Roman" w:hAnsi="Times New Roman" w:cs="Times New Roman"/>
        </w:rPr>
        <w:t xml:space="preserve">requirements </w:t>
      </w:r>
      <w:r w:rsidRPr="00523556">
        <w:rPr>
          <w:rFonts w:ascii="Times New Roman" w:hAnsi="Times New Roman" w:cs="Times New Roman"/>
        </w:rPr>
        <w:t xml:space="preserve">could be met, we take </w:t>
      </w:r>
      <w:r w:rsidR="002A28D6" w:rsidRPr="00523556">
        <w:rPr>
          <w:rFonts w:ascii="Times New Roman" w:hAnsi="Times New Roman" w:cs="Times New Roman"/>
        </w:rPr>
        <w:t xml:space="preserve">two sources </w:t>
      </w:r>
      <w:r w:rsidR="0038617D" w:rsidRPr="00523556">
        <w:rPr>
          <w:rFonts w:ascii="Times New Roman" w:hAnsi="Times New Roman" w:cs="Times New Roman"/>
        </w:rPr>
        <w:t>as given</w:t>
      </w:r>
      <w:r w:rsidR="002A28D6" w:rsidRPr="00523556">
        <w:rPr>
          <w:rFonts w:ascii="Times New Roman" w:hAnsi="Times New Roman" w:cs="Times New Roman"/>
        </w:rPr>
        <w:t xml:space="preserve">. Firstly, </w:t>
      </w:r>
      <w:r w:rsidR="005C1B50" w:rsidRPr="00523556">
        <w:rPr>
          <w:rFonts w:ascii="Times New Roman" w:hAnsi="Times New Roman" w:cs="Times New Roman"/>
        </w:rPr>
        <w:t xml:space="preserve">it is assumed </w:t>
      </w:r>
      <w:r w:rsidR="004D12F4" w:rsidRPr="00523556">
        <w:rPr>
          <w:rFonts w:ascii="Times New Roman" w:hAnsi="Times New Roman" w:cs="Times New Roman"/>
        </w:rPr>
        <w:t>that</w:t>
      </w:r>
      <w:r w:rsidR="00736E97" w:rsidRPr="00523556">
        <w:rPr>
          <w:rFonts w:ascii="Times New Roman" w:hAnsi="Times New Roman" w:cs="Times New Roman"/>
        </w:rPr>
        <w:t xml:space="preserve"> </w:t>
      </w:r>
      <w:r w:rsidR="00E83A13" w:rsidRPr="00523556">
        <w:rPr>
          <w:rFonts w:ascii="Times New Roman" w:hAnsi="Times New Roman" w:cs="Times New Roman"/>
        </w:rPr>
        <w:t xml:space="preserve">net </w:t>
      </w:r>
      <w:r w:rsidR="00B23231" w:rsidRPr="00523556">
        <w:rPr>
          <w:rFonts w:ascii="Times New Roman" w:hAnsi="Times New Roman" w:cs="Times New Roman"/>
        </w:rPr>
        <w:t xml:space="preserve">concessional financing is used to the maximum extent available, </w:t>
      </w:r>
      <w:r w:rsidR="005C1B50" w:rsidRPr="00523556">
        <w:rPr>
          <w:rFonts w:ascii="Times New Roman" w:hAnsi="Times New Roman" w:cs="Times New Roman"/>
        </w:rPr>
        <w:t>and that this availability follows a declining</w:t>
      </w:r>
      <w:r w:rsidR="00B23231" w:rsidRPr="00523556">
        <w:rPr>
          <w:rFonts w:ascii="Times New Roman" w:hAnsi="Times New Roman" w:cs="Times New Roman"/>
        </w:rPr>
        <w:t xml:space="preserve"> path as set out in line </w:t>
      </w:r>
      <w:r w:rsidR="005C1B50" w:rsidRPr="00523556">
        <w:rPr>
          <w:rFonts w:ascii="Times New Roman" w:hAnsi="Times New Roman" w:cs="Times New Roman"/>
        </w:rPr>
        <w:t>2</w:t>
      </w:r>
      <w:r w:rsidR="0038617D" w:rsidRPr="00523556">
        <w:rPr>
          <w:rFonts w:ascii="Times New Roman" w:hAnsi="Times New Roman" w:cs="Times New Roman"/>
        </w:rPr>
        <w:t xml:space="preserve">: </w:t>
      </w:r>
      <w:r w:rsidR="00E83A13" w:rsidRPr="00523556">
        <w:rPr>
          <w:rFonts w:ascii="Times New Roman" w:hAnsi="Times New Roman" w:cs="Times New Roman"/>
        </w:rPr>
        <w:t>fall</w:t>
      </w:r>
      <w:r w:rsidR="0038617D" w:rsidRPr="00523556">
        <w:rPr>
          <w:rFonts w:ascii="Times New Roman" w:hAnsi="Times New Roman" w:cs="Times New Roman"/>
        </w:rPr>
        <w:t>ing</w:t>
      </w:r>
      <w:r w:rsidR="00E83A13" w:rsidRPr="00523556">
        <w:rPr>
          <w:rFonts w:ascii="Times New Roman" w:hAnsi="Times New Roman" w:cs="Times New Roman"/>
        </w:rPr>
        <w:t xml:space="preserve"> from 2.4</w:t>
      </w:r>
      <w:r w:rsidR="00E557B8" w:rsidRPr="00523556">
        <w:rPr>
          <w:rFonts w:ascii="Times New Roman" w:hAnsi="Times New Roman" w:cs="Times New Roman"/>
        </w:rPr>
        <w:t xml:space="preserve"> per cent</w:t>
      </w:r>
      <w:r w:rsidR="00E83A13" w:rsidRPr="00523556">
        <w:rPr>
          <w:rFonts w:ascii="Times New Roman" w:hAnsi="Times New Roman" w:cs="Times New Roman"/>
        </w:rPr>
        <w:t xml:space="preserve"> of GDP in FY13/14 to 1.2</w:t>
      </w:r>
      <w:r w:rsidR="00E557B8" w:rsidRPr="00523556">
        <w:rPr>
          <w:rFonts w:ascii="Times New Roman" w:hAnsi="Times New Roman" w:cs="Times New Roman"/>
        </w:rPr>
        <w:t xml:space="preserve"> per cent</w:t>
      </w:r>
      <w:r w:rsidR="00E83A13" w:rsidRPr="00523556">
        <w:rPr>
          <w:rFonts w:ascii="Times New Roman" w:hAnsi="Times New Roman" w:cs="Times New Roman"/>
        </w:rPr>
        <w:t xml:space="preserve"> of GDP at the end of the projection period </w:t>
      </w:r>
      <w:r w:rsidR="0038617D" w:rsidRPr="00523556">
        <w:rPr>
          <w:rFonts w:ascii="Times New Roman" w:hAnsi="Times New Roman" w:cs="Times New Roman"/>
        </w:rPr>
        <w:t>(</w:t>
      </w:r>
      <w:r w:rsidR="00E83A13" w:rsidRPr="00523556">
        <w:rPr>
          <w:rFonts w:ascii="Times New Roman" w:hAnsi="Times New Roman" w:cs="Times New Roman"/>
        </w:rPr>
        <w:t>broadly in line with MoFPED (2013c) and recent IMF-WB debt sustainability analyses</w:t>
      </w:r>
      <w:r w:rsidR="0038617D" w:rsidRPr="00523556">
        <w:rPr>
          <w:rFonts w:ascii="Times New Roman" w:hAnsi="Times New Roman" w:cs="Times New Roman"/>
        </w:rPr>
        <w:t>)</w:t>
      </w:r>
      <w:r w:rsidR="005C1B50" w:rsidRPr="00523556">
        <w:rPr>
          <w:rFonts w:ascii="Times New Roman" w:hAnsi="Times New Roman" w:cs="Times New Roman"/>
        </w:rPr>
        <w:t>.</w:t>
      </w:r>
      <w:r w:rsidR="00E83A13" w:rsidRPr="00523556">
        <w:rPr>
          <w:rStyle w:val="FootnoteReference"/>
          <w:rFonts w:ascii="Times New Roman" w:hAnsi="Times New Roman" w:cs="Times New Roman"/>
        </w:rPr>
        <w:footnoteReference w:id="113"/>
      </w:r>
      <w:r w:rsidR="00B23231" w:rsidRPr="00523556">
        <w:rPr>
          <w:rFonts w:ascii="Times New Roman" w:hAnsi="Times New Roman" w:cs="Times New Roman"/>
        </w:rPr>
        <w:t xml:space="preserve"> </w:t>
      </w:r>
      <w:r w:rsidR="0038617D" w:rsidRPr="00523556">
        <w:rPr>
          <w:rFonts w:ascii="Times New Roman" w:hAnsi="Times New Roman" w:cs="Times New Roman"/>
        </w:rPr>
        <w:t>Secondly, it is assumed that</w:t>
      </w:r>
      <w:r w:rsidR="00B23231" w:rsidRPr="00523556">
        <w:rPr>
          <w:rFonts w:ascii="Times New Roman" w:hAnsi="Times New Roman" w:cs="Times New Roman"/>
        </w:rPr>
        <w:t xml:space="preserve"> </w:t>
      </w:r>
      <w:r w:rsidR="00736E97" w:rsidRPr="00523556">
        <w:rPr>
          <w:rFonts w:ascii="Times New Roman" w:hAnsi="Times New Roman" w:cs="Times New Roman"/>
        </w:rPr>
        <w:t>GoU will draw down its net savings with the Bo</w:t>
      </w:r>
      <w:r w:rsidRPr="00523556">
        <w:rPr>
          <w:rFonts w:ascii="Times New Roman" w:hAnsi="Times New Roman" w:cs="Times New Roman"/>
        </w:rPr>
        <w:t>U</w:t>
      </w:r>
      <w:r w:rsidR="00B23231" w:rsidRPr="00523556">
        <w:rPr>
          <w:rFonts w:ascii="Times New Roman" w:hAnsi="Times New Roman" w:cs="Times New Roman"/>
        </w:rPr>
        <w:t xml:space="preserve"> gradually</w:t>
      </w:r>
      <w:r w:rsidR="00D50B32" w:rsidRPr="00523556">
        <w:rPr>
          <w:rFonts w:ascii="Times New Roman" w:hAnsi="Times New Roman" w:cs="Times New Roman"/>
        </w:rPr>
        <w:t>,</w:t>
      </w:r>
      <w:r w:rsidR="00B23231" w:rsidRPr="00523556">
        <w:rPr>
          <w:rFonts w:ascii="Times New Roman" w:hAnsi="Times New Roman" w:cs="Times New Roman"/>
        </w:rPr>
        <w:t xml:space="preserve"> so as to avoid placing undue pressure on monetary policy</w:t>
      </w:r>
      <w:r w:rsidR="00D50B32" w:rsidRPr="00523556">
        <w:rPr>
          <w:rFonts w:ascii="Times New Roman" w:hAnsi="Times New Roman" w:cs="Times New Roman"/>
        </w:rPr>
        <w:t>, as set out in line 3: GoU’s planned net draw down for FY13/14 is 1.0</w:t>
      </w:r>
      <w:r w:rsidR="00E557B8" w:rsidRPr="00523556">
        <w:rPr>
          <w:rFonts w:ascii="Times New Roman" w:hAnsi="Times New Roman" w:cs="Times New Roman"/>
        </w:rPr>
        <w:t xml:space="preserve"> per cent</w:t>
      </w:r>
      <w:r w:rsidR="00D50B32" w:rsidRPr="00523556">
        <w:rPr>
          <w:rFonts w:ascii="Times New Roman" w:hAnsi="Times New Roman" w:cs="Times New Roman"/>
        </w:rPr>
        <w:t xml:space="preserve"> of GDP, and it is assumed this is maintained for the following three years, which would result in GoU’s net position being fully drawn-down by end-FY16/17.</w:t>
      </w:r>
      <w:r w:rsidR="00771855" w:rsidRPr="00523556">
        <w:rPr>
          <w:rFonts w:ascii="Times New Roman" w:hAnsi="Times New Roman" w:cs="Times New Roman"/>
        </w:rPr>
        <w:t xml:space="preserve"> </w:t>
      </w:r>
    </w:p>
    <w:p w:rsidR="00736E97" w:rsidRPr="00523556" w:rsidRDefault="006951F3" w:rsidP="00942E14">
      <w:pPr>
        <w:jc w:val="both"/>
        <w:rPr>
          <w:rFonts w:ascii="Times New Roman" w:hAnsi="Times New Roman" w:cs="Times New Roman"/>
        </w:rPr>
      </w:pPr>
      <w:r w:rsidRPr="00523556">
        <w:rPr>
          <w:rFonts w:ascii="Times New Roman" w:hAnsi="Times New Roman" w:cs="Times New Roman"/>
        </w:rPr>
        <w:t xml:space="preserve">The remaining net financing </w:t>
      </w:r>
      <w:r w:rsidR="00CA1171" w:rsidRPr="00523556">
        <w:rPr>
          <w:rFonts w:ascii="Times New Roman" w:hAnsi="Times New Roman" w:cs="Times New Roman"/>
        </w:rPr>
        <w:t>requirement</w:t>
      </w:r>
      <w:r w:rsidR="00A82249" w:rsidRPr="00523556">
        <w:rPr>
          <w:rFonts w:ascii="Times New Roman" w:hAnsi="Times New Roman" w:cs="Times New Roman"/>
        </w:rPr>
        <w:t xml:space="preserve"> –</w:t>
      </w:r>
      <w:r w:rsidR="00CA1171" w:rsidRPr="00523556">
        <w:rPr>
          <w:rFonts w:ascii="Times New Roman" w:hAnsi="Times New Roman" w:cs="Times New Roman"/>
        </w:rPr>
        <w:t xml:space="preserve"> given</w:t>
      </w:r>
      <w:r w:rsidR="00A82249" w:rsidRPr="00523556">
        <w:rPr>
          <w:rFonts w:ascii="Times New Roman" w:hAnsi="Times New Roman" w:cs="Times New Roman"/>
        </w:rPr>
        <w:t xml:space="preserve"> </w:t>
      </w:r>
      <w:r w:rsidR="00CA1171" w:rsidRPr="00523556">
        <w:rPr>
          <w:rFonts w:ascii="Times New Roman" w:hAnsi="Times New Roman" w:cs="Times New Roman"/>
        </w:rPr>
        <w:t>in line</w:t>
      </w:r>
      <w:r w:rsidR="00F81962" w:rsidRPr="00523556">
        <w:rPr>
          <w:rFonts w:ascii="Times New Roman" w:hAnsi="Times New Roman" w:cs="Times New Roman"/>
        </w:rPr>
        <w:t xml:space="preserve"> 4</w:t>
      </w:r>
      <w:r w:rsidR="00A82249" w:rsidRPr="00523556">
        <w:rPr>
          <w:rFonts w:ascii="Times New Roman" w:hAnsi="Times New Roman" w:cs="Times New Roman"/>
        </w:rPr>
        <w:t xml:space="preserve"> – needs to be met by </w:t>
      </w:r>
      <w:r w:rsidR="00B23231" w:rsidRPr="00523556">
        <w:rPr>
          <w:rFonts w:ascii="Times New Roman" w:hAnsi="Times New Roman" w:cs="Times New Roman"/>
        </w:rPr>
        <w:t xml:space="preserve">a combination of </w:t>
      </w:r>
      <w:r w:rsidR="00BD54AB" w:rsidRPr="00523556">
        <w:rPr>
          <w:rFonts w:ascii="Times New Roman" w:hAnsi="Times New Roman" w:cs="Times New Roman"/>
        </w:rPr>
        <w:t xml:space="preserve">domestic debt issuance, </w:t>
      </w:r>
      <w:r w:rsidR="00987EF8" w:rsidRPr="00523556">
        <w:rPr>
          <w:rFonts w:ascii="Times New Roman" w:hAnsi="Times New Roman" w:cs="Times New Roman"/>
        </w:rPr>
        <w:t>semi</w:t>
      </w:r>
      <w:r w:rsidR="00BD54AB" w:rsidRPr="00523556">
        <w:rPr>
          <w:rFonts w:ascii="Times New Roman" w:hAnsi="Times New Roman" w:cs="Times New Roman"/>
        </w:rPr>
        <w:t>-concessional lending and</w:t>
      </w:r>
      <w:r w:rsidR="00B23231" w:rsidRPr="00523556">
        <w:rPr>
          <w:rFonts w:ascii="Times New Roman" w:hAnsi="Times New Roman" w:cs="Times New Roman"/>
        </w:rPr>
        <w:t>/or</w:t>
      </w:r>
      <w:r w:rsidR="00BD54AB" w:rsidRPr="00523556">
        <w:rPr>
          <w:rFonts w:ascii="Times New Roman" w:hAnsi="Times New Roman" w:cs="Times New Roman"/>
        </w:rPr>
        <w:t xml:space="preserve"> Eurobond issuance.</w:t>
      </w:r>
      <w:r w:rsidRPr="00523556">
        <w:rPr>
          <w:rStyle w:val="FootnoteReference"/>
          <w:rFonts w:ascii="Times New Roman" w:hAnsi="Times New Roman" w:cs="Times New Roman"/>
        </w:rPr>
        <w:footnoteReference w:id="114"/>
      </w:r>
      <w:r w:rsidRPr="00523556">
        <w:rPr>
          <w:rFonts w:ascii="Times New Roman" w:hAnsi="Times New Roman" w:cs="Times New Roman"/>
        </w:rPr>
        <w:t xml:space="preserve"> </w:t>
      </w:r>
      <w:r w:rsidR="005A3E8D" w:rsidRPr="00523556">
        <w:rPr>
          <w:rFonts w:ascii="Times New Roman" w:hAnsi="Times New Roman" w:cs="Times New Roman"/>
        </w:rPr>
        <w:t>In line with the discussion in Section 2 of this paper, of these three we view</w:t>
      </w:r>
      <w:r w:rsidR="00BD54AB" w:rsidRPr="00523556">
        <w:rPr>
          <w:rFonts w:ascii="Times New Roman" w:hAnsi="Times New Roman" w:cs="Times New Roman"/>
        </w:rPr>
        <w:t xml:space="preserve"> the availability of </w:t>
      </w:r>
      <w:r w:rsidR="00987EF8" w:rsidRPr="00523556">
        <w:rPr>
          <w:rFonts w:ascii="Times New Roman" w:hAnsi="Times New Roman" w:cs="Times New Roman"/>
        </w:rPr>
        <w:t>semi</w:t>
      </w:r>
      <w:r w:rsidR="00BD54AB" w:rsidRPr="00523556">
        <w:rPr>
          <w:rFonts w:ascii="Times New Roman" w:hAnsi="Times New Roman" w:cs="Times New Roman"/>
        </w:rPr>
        <w:t xml:space="preserve">-concessional lending </w:t>
      </w:r>
      <w:r w:rsidR="005A3E8D" w:rsidRPr="00523556">
        <w:rPr>
          <w:rFonts w:ascii="Times New Roman" w:hAnsi="Times New Roman" w:cs="Times New Roman"/>
        </w:rPr>
        <w:t xml:space="preserve">as an area of particular </w:t>
      </w:r>
      <w:r w:rsidR="003F128D" w:rsidRPr="00523556">
        <w:rPr>
          <w:rFonts w:ascii="Times New Roman" w:hAnsi="Times New Roman" w:cs="Times New Roman"/>
        </w:rPr>
        <w:t>uncertainty</w:t>
      </w:r>
      <w:r w:rsidR="005A3E8D" w:rsidRPr="00523556">
        <w:rPr>
          <w:rFonts w:ascii="Times New Roman" w:hAnsi="Times New Roman" w:cs="Times New Roman"/>
        </w:rPr>
        <w:t xml:space="preserve"> –</w:t>
      </w:r>
      <w:r w:rsidR="003F128D" w:rsidRPr="00523556">
        <w:rPr>
          <w:rFonts w:ascii="Times New Roman" w:hAnsi="Times New Roman" w:cs="Times New Roman"/>
        </w:rPr>
        <w:t xml:space="preserve"> and</w:t>
      </w:r>
      <w:r w:rsidR="005A3E8D" w:rsidRPr="00523556">
        <w:rPr>
          <w:rFonts w:ascii="Times New Roman" w:hAnsi="Times New Roman" w:cs="Times New Roman"/>
        </w:rPr>
        <w:t xml:space="preserve"> </w:t>
      </w:r>
      <w:r w:rsidR="003F128D" w:rsidRPr="00523556">
        <w:rPr>
          <w:rFonts w:ascii="Times New Roman" w:hAnsi="Times New Roman" w:cs="Times New Roman"/>
        </w:rPr>
        <w:t>for the levels of financing implied by the projections in Fig</w:t>
      </w:r>
      <w:r w:rsidR="00C9088F" w:rsidRPr="00523556">
        <w:rPr>
          <w:rFonts w:ascii="Times New Roman" w:hAnsi="Times New Roman" w:cs="Times New Roman"/>
        </w:rPr>
        <w:t>ure</w:t>
      </w:r>
      <w:r w:rsidR="003F128D" w:rsidRPr="00523556">
        <w:rPr>
          <w:rFonts w:ascii="Times New Roman" w:hAnsi="Times New Roman" w:cs="Times New Roman"/>
        </w:rPr>
        <w:t xml:space="preserve"> </w:t>
      </w:r>
      <w:r w:rsidR="00C9088F" w:rsidRPr="00523556">
        <w:rPr>
          <w:rFonts w:ascii="Times New Roman" w:hAnsi="Times New Roman" w:cs="Times New Roman"/>
        </w:rPr>
        <w:t>3.2</w:t>
      </w:r>
      <w:r w:rsidR="003F128D" w:rsidRPr="00523556">
        <w:rPr>
          <w:rFonts w:ascii="Times New Roman" w:hAnsi="Times New Roman" w:cs="Times New Roman"/>
        </w:rPr>
        <w:t xml:space="preserve">, </w:t>
      </w:r>
      <w:r w:rsidR="005A3E8D" w:rsidRPr="00523556">
        <w:rPr>
          <w:rFonts w:ascii="Times New Roman" w:hAnsi="Times New Roman" w:cs="Times New Roman"/>
        </w:rPr>
        <w:t xml:space="preserve">it is </w:t>
      </w:r>
      <w:r w:rsidR="003F128D" w:rsidRPr="00523556">
        <w:rPr>
          <w:rFonts w:ascii="Times New Roman" w:hAnsi="Times New Roman" w:cs="Times New Roman"/>
        </w:rPr>
        <w:t xml:space="preserve">a significant driver for what freedom GoU would have in choosing its precise financing strategy. </w:t>
      </w:r>
      <w:r w:rsidR="007A6EEC" w:rsidRPr="00523556">
        <w:rPr>
          <w:rFonts w:ascii="Times New Roman" w:hAnsi="Times New Roman" w:cs="Times New Roman"/>
        </w:rPr>
        <w:t xml:space="preserve">The </w:t>
      </w:r>
      <w:r w:rsidR="00F95BB1" w:rsidRPr="00523556">
        <w:rPr>
          <w:rFonts w:ascii="Times New Roman" w:hAnsi="Times New Roman" w:cs="Times New Roman"/>
        </w:rPr>
        <w:t>quantit</w:t>
      </w:r>
      <w:r w:rsidR="00023D16" w:rsidRPr="00523556">
        <w:rPr>
          <w:rFonts w:ascii="Times New Roman" w:hAnsi="Times New Roman" w:cs="Times New Roman"/>
        </w:rPr>
        <w:t>ies</w:t>
      </w:r>
      <w:r w:rsidR="00F95BB1" w:rsidRPr="00523556">
        <w:rPr>
          <w:rFonts w:ascii="Times New Roman" w:hAnsi="Times New Roman" w:cs="Times New Roman"/>
        </w:rPr>
        <w:t xml:space="preserve"> of </w:t>
      </w:r>
      <w:r w:rsidR="007A6EEC" w:rsidRPr="00523556">
        <w:rPr>
          <w:rFonts w:ascii="Times New Roman" w:hAnsi="Times New Roman" w:cs="Times New Roman"/>
        </w:rPr>
        <w:t>semi-</w:t>
      </w:r>
      <w:r w:rsidR="007A6EEC" w:rsidRPr="00523556">
        <w:rPr>
          <w:rFonts w:ascii="Times New Roman" w:hAnsi="Times New Roman" w:cs="Times New Roman"/>
        </w:rPr>
        <w:lastRenderedPageBreak/>
        <w:t xml:space="preserve">concessional lending assumed in the </w:t>
      </w:r>
      <w:r w:rsidR="00F95BB1" w:rsidRPr="00523556">
        <w:rPr>
          <w:rFonts w:ascii="Times New Roman" w:hAnsi="Times New Roman" w:cs="Times New Roman"/>
        </w:rPr>
        <w:t xml:space="preserve">strategies with </w:t>
      </w:r>
      <w:r w:rsidR="007A6EEC" w:rsidRPr="00523556">
        <w:rPr>
          <w:rFonts w:ascii="Times New Roman" w:hAnsi="Times New Roman" w:cs="Times New Roman"/>
        </w:rPr>
        <w:t xml:space="preserve">‘moderate’ and ‘high’ </w:t>
      </w:r>
      <w:r w:rsidR="00F95BB1" w:rsidRPr="00523556">
        <w:rPr>
          <w:rFonts w:ascii="Times New Roman" w:hAnsi="Times New Roman" w:cs="Times New Roman"/>
        </w:rPr>
        <w:t xml:space="preserve">levels of </w:t>
      </w:r>
      <w:r w:rsidR="004A094F" w:rsidRPr="00523556">
        <w:rPr>
          <w:rFonts w:ascii="Times New Roman" w:hAnsi="Times New Roman" w:cs="Times New Roman"/>
        </w:rPr>
        <w:t xml:space="preserve">semi-concessional lending </w:t>
      </w:r>
      <w:r w:rsidR="007A6EEC" w:rsidRPr="00523556">
        <w:rPr>
          <w:rFonts w:ascii="Times New Roman" w:hAnsi="Times New Roman" w:cs="Times New Roman"/>
        </w:rPr>
        <w:t xml:space="preserve">below </w:t>
      </w:r>
      <w:r w:rsidR="005A5D66" w:rsidRPr="00523556">
        <w:rPr>
          <w:rFonts w:ascii="Times New Roman" w:hAnsi="Times New Roman" w:cs="Times New Roman"/>
        </w:rPr>
        <w:t xml:space="preserve">represent our </w:t>
      </w:r>
      <w:r w:rsidR="007A6EEC" w:rsidRPr="00523556">
        <w:rPr>
          <w:rFonts w:ascii="Times New Roman" w:hAnsi="Times New Roman" w:cs="Times New Roman"/>
        </w:rPr>
        <w:t>judgement</w:t>
      </w:r>
      <w:r w:rsidR="005A5D66" w:rsidRPr="00523556">
        <w:rPr>
          <w:rFonts w:ascii="Times New Roman" w:hAnsi="Times New Roman" w:cs="Times New Roman"/>
        </w:rPr>
        <w:t>,</w:t>
      </w:r>
      <w:r w:rsidR="009509EB" w:rsidRPr="00523556">
        <w:rPr>
          <w:rFonts w:ascii="Times New Roman" w:hAnsi="Times New Roman" w:cs="Times New Roman"/>
        </w:rPr>
        <w:t xml:space="preserve"> </w:t>
      </w:r>
      <w:r w:rsidR="007A6EEC" w:rsidRPr="00523556">
        <w:rPr>
          <w:rFonts w:ascii="Times New Roman" w:hAnsi="Times New Roman" w:cs="Times New Roman"/>
        </w:rPr>
        <w:t>based on the discussion in Section 2.5</w:t>
      </w:r>
      <w:r w:rsidR="00023D16" w:rsidRPr="00523556">
        <w:rPr>
          <w:rFonts w:ascii="Times New Roman" w:hAnsi="Times New Roman" w:cs="Times New Roman"/>
        </w:rPr>
        <w:t>; the terms assumed</w:t>
      </w:r>
      <w:r w:rsidR="003D45FF" w:rsidRPr="00523556">
        <w:rPr>
          <w:rStyle w:val="FootnoteReference"/>
          <w:rFonts w:ascii="Times New Roman" w:hAnsi="Times New Roman" w:cs="Times New Roman"/>
        </w:rPr>
        <w:footnoteReference w:id="115"/>
      </w:r>
      <w:r w:rsidR="00023D16" w:rsidRPr="00523556">
        <w:rPr>
          <w:rFonts w:ascii="Times New Roman" w:hAnsi="Times New Roman" w:cs="Times New Roman"/>
        </w:rPr>
        <w:t xml:space="preserve"> are equivalent to a grant element of around 17½</w:t>
      </w:r>
      <w:r w:rsidR="00E557B8" w:rsidRPr="00523556">
        <w:rPr>
          <w:rFonts w:ascii="Times New Roman" w:hAnsi="Times New Roman" w:cs="Times New Roman"/>
        </w:rPr>
        <w:t xml:space="preserve"> per cent</w:t>
      </w:r>
      <w:r w:rsidR="00023D16" w:rsidRPr="00523556">
        <w:rPr>
          <w:rFonts w:ascii="Times New Roman" w:hAnsi="Times New Roman" w:cs="Times New Roman"/>
        </w:rPr>
        <w:t xml:space="preserve"> - i.e. half the minimum grant element required for a loan to be classified as </w:t>
      </w:r>
      <w:r w:rsidR="00094394" w:rsidRPr="00523556">
        <w:rPr>
          <w:rFonts w:ascii="Times New Roman" w:hAnsi="Times New Roman" w:cs="Times New Roman"/>
        </w:rPr>
        <w:t xml:space="preserve">fully </w:t>
      </w:r>
      <w:r w:rsidR="00023D16" w:rsidRPr="00523556">
        <w:rPr>
          <w:rFonts w:ascii="Times New Roman" w:hAnsi="Times New Roman" w:cs="Times New Roman"/>
        </w:rPr>
        <w:t>concessional</w:t>
      </w:r>
      <w:r w:rsidR="007A6EEC" w:rsidRPr="00523556">
        <w:rPr>
          <w:rFonts w:ascii="Times New Roman" w:hAnsi="Times New Roman" w:cs="Times New Roman"/>
        </w:rPr>
        <w:t xml:space="preserve">. </w:t>
      </w:r>
    </w:p>
    <w:p w:rsidR="00A85888" w:rsidRPr="00523556" w:rsidRDefault="00A85888" w:rsidP="00A85888">
      <w:pPr>
        <w:pStyle w:val="Figheader"/>
        <w:rPr>
          <w:rFonts w:ascii="Times New Roman" w:hAnsi="Times New Roman" w:cs="Times New Roman"/>
        </w:rPr>
      </w:pPr>
      <w:r w:rsidRPr="00523556">
        <w:rPr>
          <w:rFonts w:ascii="Times New Roman" w:hAnsi="Times New Roman" w:cs="Times New Roman"/>
        </w:rPr>
        <w:t>Fig</w:t>
      </w:r>
      <w:r w:rsidR="00C9088F" w:rsidRPr="00523556">
        <w:rPr>
          <w:rFonts w:ascii="Times New Roman" w:hAnsi="Times New Roman" w:cs="Times New Roman"/>
        </w:rPr>
        <w:t>ure 3.2</w:t>
      </w:r>
      <w:r w:rsidRPr="00523556">
        <w:rPr>
          <w:rFonts w:ascii="Times New Roman" w:hAnsi="Times New Roman" w:cs="Times New Roman"/>
        </w:rPr>
        <w:t>: Illustrative net financing projections</w:t>
      </w:r>
    </w:p>
    <w:p w:rsidR="00A85888" w:rsidRPr="00523556" w:rsidRDefault="00551A35" w:rsidP="00551A35">
      <w:pPr>
        <w:spacing w:after="0"/>
        <w:jc w:val="both"/>
        <w:rPr>
          <w:rFonts w:ascii="Times New Roman" w:hAnsi="Times New Roman" w:cs="Times New Roman"/>
        </w:rPr>
      </w:pPr>
      <w:r w:rsidRPr="00523556">
        <w:rPr>
          <w:rFonts w:ascii="Times New Roman" w:hAnsi="Times New Roman" w:cs="Times New Roman"/>
          <w:noProof/>
          <w:lang w:eastAsia="en-GB"/>
        </w:rPr>
        <w:drawing>
          <wp:inline distT="0" distB="0" distL="0" distR="0">
            <wp:extent cx="5731510" cy="1041457"/>
            <wp:effectExtent l="19050" t="0" r="254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5731510" cy="1041457"/>
                    </a:xfrm>
                    <a:prstGeom prst="rect">
                      <a:avLst/>
                    </a:prstGeom>
                    <a:noFill/>
                    <a:ln w="9525">
                      <a:noFill/>
                      <a:miter lim="800000"/>
                      <a:headEnd/>
                      <a:tailEnd/>
                    </a:ln>
                  </pic:spPr>
                </pic:pic>
              </a:graphicData>
            </a:graphic>
          </wp:inline>
        </w:drawing>
      </w:r>
    </w:p>
    <w:p w:rsidR="00551A35" w:rsidRPr="00523556" w:rsidRDefault="00551A35" w:rsidP="00551A35">
      <w:pPr>
        <w:pStyle w:val="Figfootnote"/>
        <w:rPr>
          <w:rFonts w:ascii="Times New Roman" w:hAnsi="Times New Roman" w:cs="Times New Roman"/>
          <w:sz w:val="24"/>
          <w:szCs w:val="24"/>
        </w:rPr>
      </w:pPr>
      <w:r w:rsidRPr="00523556">
        <w:rPr>
          <w:rFonts w:ascii="Times New Roman" w:hAnsi="Times New Roman" w:cs="Times New Roman"/>
          <w:sz w:val="24"/>
          <w:szCs w:val="24"/>
        </w:rPr>
        <w:t xml:space="preserve">Notes: FY13/14 figures are as per the Budget FY13/14 projections. All rows marked with a (*) </w:t>
      </w:r>
      <w:r w:rsidR="0085542D" w:rsidRPr="00523556">
        <w:rPr>
          <w:rFonts w:ascii="Times New Roman" w:hAnsi="Times New Roman" w:cs="Times New Roman"/>
          <w:sz w:val="24"/>
          <w:szCs w:val="24"/>
        </w:rPr>
        <w:t xml:space="preserve">are illustrative, as they </w:t>
      </w:r>
      <w:r w:rsidRPr="00523556">
        <w:rPr>
          <w:rFonts w:ascii="Times New Roman" w:hAnsi="Times New Roman" w:cs="Times New Roman"/>
          <w:sz w:val="24"/>
          <w:szCs w:val="24"/>
        </w:rPr>
        <w:t xml:space="preserve">will </w:t>
      </w:r>
      <w:r w:rsidR="0085542D" w:rsidRPr="00523556">
        <w:rPr>
          <w:rFonts w:ascii="Times New Roman" w:hAnsi="Times New Roman" w:cs="Times New Roman"/>
          <w:sz w:val="24"/>
          <w:szCs w:val="24"/>
        </w:rPr>
        <w:t xml:space="preserve">alter depending on the precise financing strategy chosen and associated debt </w:t>
      </w:r>
      <w:r w:rsidRPr="00523556">
        <w:rPr>
          <w:rFonts w:ascii="Times New Roman" w:hAnsi="Times New Roman" w:cs="Times New Roman"/>
          <w:sz w:val="24"/>
          <w:szCs w:val="24"/>
        </w:rPr>
        <w:t>interest implications</w:t>
      </w:r>
      <w:r w:rsidR="0085542D" w:rsidRPr="00523556">
        <w:rPr>
          <w:rFonts w:ascii="Times New Roman" w:hAnsi="Times New Roman" w:cs="Times New Roman"/>
          <w:sz w:val="24"/>
          <w:szCs w:val="24"/>
        </w:rPr>
        <w:t>.</w:t>
      </w:r>
      <w:r w:rsidRPr="00523556">
        <w:rPr>
          <w:rFonts w:ascii="Times New Roman" w:hAnsi="Times New Roman" w:cs="Times New Roman"/>
          <w:sz w:val="24"/>
          <w:szCs w:val="24"/>
        </w:rPr>
        <w:t xml:space="preserve"> </w:t>
      </w:r>
    </w:p>
    <w:p w:rsidR="00B23231" w:rsidRPr="00523556" w:rsidRDefault="00B23231" w:rsidP="00B23231">
      <w:pPr>
        <w:spacing w:after="0"/>
        <w:jc w:val="both"/>
        <w:rPr>
          <w:rFonts w:ascii="Times New Roman" w:hAnsi="Times New Roman" w:cs="Times New Roman"/>
        </w:rPr>
      </w:pPr>
    </w:p>
    <w:p w:rsidR="00BD54AB" w:rsidRPr="00523556" w:rsidRDefault="00F572E2" w:rsidP="003F128D">
      <w:pPr>
        <w:jc w:val="both"/>
        <w:rPr>
          <w:rFonts w:ascii="Times New Roman" w:hAnsi="Times New Roman" w:cs="Times New Roman"/>
        </w:rPr>
      </w:pPr>
      <w:r w:rsidRPr="00523556">
        <w:rPr>
          <w:rFonts w:ascii="Times New Roman" w:hAnsi="Times New Roman" w:cs="Times New Roman"/>
        </w:rPr>
        <w:t>We</w:t>
      </w:r>
      <w:r w:rsidR="005A3E8D" w:rsidRPr="00523556">
        <w:rPr>
          <w:rFonts w:ascii="Times New Roman" w:hAnsi="Times New Roman" w:cs="Times New Roman"/>
        </w:rPr>
        <w:t xml:space="preserve"> consider four different financing strategies</w:t>
      </w:r>
      <w:r w:rsidR="008467B8" w:rsidRPr="00523556">
        <w:rPr>
          <w:rFonts w:ascii="Times New Roman" w:hAnsi="Times New Roman" w:cs="Times New Roman"/>
        </w:rPr>
        <w:t>.</w:t>
      </w:r>
      <w:r w:rsidR="006138EF" w:rsidRPr="00523556">
        <w:rPr>
          <w:rStyle w:val="FootnoteReference"/>
          <w:rFonts w:ascii="Times New Roman" w:hAnsi="Times New Roman" w:cs="Times New Roman"/>
        </w:rPr>
        <w:footnoteReference w:id="116"/>
      </w:r>
      <w:r w:rsidR="005A3E8D" w:rsidRPr="00523556">
        <w:rPr>
          <w:rFonts w:ascii="Times New Roman" w:hAnsi="Times New Roman" w:cs="Times New Roman"/>
        </w:rPr>
        <w:t xml:space="preserve"> </w:t>
      </w:r>
      <w:r w:rsidR="005D7E50" w:rsidRPr="00523556">
        <w:rPr>
          <w:rFonts w:ascii="Times New Roman" w:hAnsi="Times New Roman" w:cs="Times New Roman"/>
          <w:b/>
          <w:u w:val="single"/>
        </w:rPr>
        <w:t xml:space="preserve">Strategy </w:t>
      </w:r>
      <w:r w:rsidR="00BD54AB" w:rsidRPr="00523556">
        <w:rPr>
          <w:rFonts w:ascii="Times New Roman" w:hAnsi="Times New Roman" w:cs="Times New Roman"/>
          <w:b/>
          <w:u w:val="single"/>
        </w:rPr>
        <w:t>1 (S1)</w:t>
      </w:r>
      <w:r w:rsidR="004A1A14" w:rsidRPr="00523556">
        <w:rPr>
          <w:rFonts w:ascii="Times New Roman" w:hAnsi="Times New Roman" w:cs="Times New Roman"/>
          <w:b/>
        </w:rPr>
        <w:t xml:space="preserve"> is a no </w:t>
      </w:r>
      <w:r w:rsidR="00987EF8" w:rsidRPr="00523556">
        <w:rPr>
          <w:rFonts w:ascii="Times New Roman" w:hAnsi="Times New Roman" w:cs="Times New Roman"/>
          <w:b/>
        </w:rPr>
        <w:t>semi</w:t>
      </w:r>
      <w:r w:rsidR="004A1A14" w:rsidRPr="00523556">
        <w:rPr>
          <w:rFonts w:ascii="Times New Roman" w:hAnsi="Times New Roman" w:cs="Times New Roman"/>
          <w:b/>
        </w:rPr>
        <w:t>-concessional lending scenario option</w:t>
      </w:r>
      <w:r w:rsidR="004A1A14" w:rsidRPr="00523556">
        <w:rPr>
          <w:rFonts w:ascii="Times New Roman" w:hAnsi="Times New Roman" w:cs="Times New Roman"/>
        </w:rPr>
        <w:t>;</w:t>
      </w:r>
      <w:r w:rsidR="00BD54AB" w:rsidRPr="00523556">
        <w:rPr>
          <w:rFonts w:ascii="Times New Roman" w:hAnsi="Times New Roman" w:cs="Times New Roman"/>
        </w:rPr>
        <w:t xml:space="preserve"> </w:t>
      </w:r>
      <w:r w:rsidR="004A1A14" w:rsidRPr="00523556">
        <w:rPr>
          <w:rFonts w:ascii="Times New Roman" w:hAnsi="Times New Roman" w:cs="Times New Roman"/>
        </w:rPr>
        <w:t xml:space="preserve">in this scenario, </w:t>
      </w:r>
      <w:r w:rsidR="005A3E8D" w:rsidRPr="00523556">
        <w:rPr>
          <w:rFonts w:ascii="Times New Roman" w:hAnsi="Times New Roman" w:cs="Times New Roman"/>
        </w:rPr>
        <w:t>which provides</w:t>
      </w:r>
      <w:r w:rsidR="003F128D" w:rsidRPr="00523556">
        <w:rPr>
          <w:rFonts w:ascii="Times New Roman" w:hAnsi="Times New Roman" w:cs="Times New Roman"/>
        </w:rPr>
        <w:t xml:space="preserve"> a lower-bound benchmark, we assume that there is no non-concessional financing available throughout the 7-year period to FY19/20. </w:t>
      </w:r>
      <w:r w:rsidR="00E40F5E" w:rsidRPr="00523556">
        <w:rPr>
          <w:rFonts w:ascii="Times New Roman" w:hAnsi="Times New Roman" w:cs="Times New Roman"/>
        </w:rPr>
        <w:t xml:space="preserve">In this instance, GoU </w:t>
      </w:r>
      <w:r w:rsidR="004A1A14" w:rsidRPr="00523556">
        <w:rPr>
          <w:rFonts w:ascii="Times New Roman" w:hAnsi="Times New Roman" w:cs="Times New Roman"/>
        </w:rPr>
        <w:t xml:space="preserve">would have </w:t>
      </w:r>
      <w:r w:rsidR="00E40F5E" w:rsidRPr="00523556">
        <w:rPr>
          <w:rFonts w:ascii="Times New Roman" w:hAnsi="Times New Roman" w:cs="Times New Roman"/>
        </w:rPr>
        <w:t xml:space="preserve">little room for choice. After net savings and concessional financing are exhausted, the financing ‘gap’ that remains would need to be met via a combination of domestic debt </w:t>
      </w:r>
      <w:r w:rsidR="00CA2A30" w:rsidRPr="00523556">
        <w:rPr>
          <w:rFonts w:ascii="Times New Roman" w:hAnsi="Times New Roman" w:cs="Times New Roman"/>
        </w:rPr>
        <w:t xml:space="preserve">(DD) </w:t>
      </w:r>
      <w:r w:rsidR="00E40F5E" w:rsidRPr="00523556">
        <w:rPr>
          <w:rFonts w:ascii="Times New Roman" w:hAnsi="Times New Roman" w:cs="Times New Roman"/>
        </w:rPr>
        <w:t>issuance and Eurobond issuance</w:t>
      </w:r>
      <w:r w:rsidR="004A1A14" w:rsidRPr="00523556">
        <w:rPr>
          <w:rFonts w:ascii="Times New Roman" w:hAnsi="Times New Roman" w:cs="Times New Roman"/>
        </w:rPr>
        <w:t xml:space="preserve"> alone</w:t>
      </w:r>
      <w:r w:rsidR="00CA2A30" w:rsidRPr="00523556">
        <w:rPr>
          <w:rFonts w:ascii="Times New Roman" w:hAnsi="Times New Roman" w:cs="Times New Roman"/>
        </w:rPr>
        <w:t xml:space="preserve">. </w:t>
      </w:r>
      <w:r w:rsidR="002754AE" w:rsidRPr="00523556">
        <w:rPr>
          <w:rFonts w:ascii="Times New Roman" w:hAnsi="Times New Roman" w:cs="Times New Roman"/>
        </w:rPr>
        <w:t xml:space="preserve">It is assumed that </w:t>
      </w:r>
      <w:r w:rsidR="002754AE" w:rsidRPr="00523556">
        <w:rPr>
          <w:rFonts w:ascii="Times New Roman" w:hAnsi="Times New Roman" w:cs="Times New Roman"/>
          <w:b/>
        </w:rPr>
        <w:t>n</w:t>
      </w:r>
      <w:r w:rsidR="006138EF" w:rsidRPr="00523556">
        <w:rPr>
          <w:rFonts w:ascii="Times New Roman" w:hAnsi="Times New Roman" w:cs="Times New Roman"/>
          <w:b/>
        </w:rPr>
        <w:t>et DD issuance would average 2.</w:t>
      </w:r>
      <w:r w:rsidR="008F0524" w:rsidRPr="00523556">
        <w:rPr>
          <w:rFonts w:ascii="Times New Roman" w:hAnsi="Times New Roman" w:cs="Times New Roman"/>
          <w:b/>
        </w:rPr>
        <w:t>1</w:t>
      </w:r>
      <w:r w:rsidR="006138EF" w:rsidRPr="00523556">
        <w:rPr>
          <w:rFonts w:ascii="Times New Roman" w:hAnsi="Times New Roman" w:cs="Times New Roman"/>
          <w:b/>
        </w:rPr>
        <w:t xml:space="preserve"> per cent of GDP </w:t>
      </w:r>
      <w:r w:rsidR="00A64A28" w:rsidRPr="00523556">
        <w:rPr>
          <w:rFonts w:ascii="Times New Roman" w:hAnsi="Times New Roman" w:cs="Times New Roman"/>
          <w:b/>
        </w:rPr>
        <w:t>per</w:t>
      </w:r>
      <w:r w:rsidR="006138EF" w:rsidRPr="00523556">
        <w:rPr>
          <w:rFonts w:ascii="Times New Roman" w:hAnsi="Times New Roman" w:cs="Times New Roman"/>
          <w:b/>
        </w:rPr>
        <w:t xml:space="preserve"> year </w:t>
      </w:r>
      <w:r w:rsidR="008F0524" w:rsidRPr="00523556">
        <w:rPr>
          <w:rFonts w:ascii="Times New Roman" w:hAnsi="Times New Roman" w:cs="Times New Roman"/>
        </w:rPr>
        <w:t xml:space="preserve">up to </w:t>
      </w:r>
      <w:r w:rsidR="006138EF" w:rsidRPr="00523556">
        <w:rPr>
          <w:rFonts w:ascii="Times New Roman" w:hAnsi="Times New Roman" w:cs="Times New Roman"/>
        </w:rPr>
        <w:t>FY18/19</w:t>
      </w:r>
      <w:r w:rsidR="002754AE" w:rsidRPr="00523556">
        <w:rPr>
          <w:rFonts w:ascii="Times New Roman" w:hAnsi="Times New Roman" w:cs="Times New Roman"/>
        </w:rPr>
        <w:t xml:space="preserve">, consistent with the </w:t>
      </w:r>
      <w:r w:rsidR="008D1DA3" w:rsidRPr="00523556">
        <w:rPr>
          <w:rFonts w:ascii="Times New Roman" w:hAnsi="Times New Roman" w:cs="Times New Roman"/>
        </w:rPr>
        <w:t xml:space="preserve">stock of </w:t>
      </w:r>
      <w:r w:rsidR="002754AE" w:rsidRPr="00523556">
        <w:rPr>
          <w:rFonts w:ascii="Times New Roman" w:hAnsi="Times New Roman" w:cs="Times New Roman"/>
        </w:rPr>
        <w:t xml:space="preserve">DD peaking </w:t>
      </w:r>
      <w:r w:rsidR="00B7226B" w:rsidRPr="00523556">
        <w:rPr>
          <w:rFonts w:ascii="Times New Roman" w:hAnsi="Times New Roman" w:cs="Times New Roman"/>
        </w:rPr>
        <w:t xml:space="preserve">in that year </w:t>
      </w:r>
      <w:r w:rsidR="002754AE" w:rsidRPr="00523556">
        <w:rPr>
          <w:rFonts w:ascii="Times New Roman" w:hAnsi="Times New Roman" w:cs="Times New Roman"/>
        </w:rPr>
        <w:t>at the 15.0 per cent</w:t>
      </w:r>
      <w:r w:rsidR="006138EF" w:rsidRPr="00523556">
        <w:rPr>
          <w:rFonts w:ascii="Times New Roman" w:hAnsi="Times New Roman" w:cs="Times New Roman"/>
        </w:rPr>
        <w:t xml:space="preserve"> </w:t>
      </w:r>
      <w:r w:rsidR="008D1DA3" w:rsidRPr="00523556">
        <w:rPr>
          <w:rFonts w:ascii="Times New Roman" w:hAnsi="Times New Roman" w:cs="Times New Roman"/>
        </w:rPr>
        <w:t xml:space="preserve">of GDP </w:t>
      </w:r>
      <w:r w:rsidR="002754AE" w:rsidRPr="00523556">
        <w:rPr>
          <w:rFonts w:ascii="Times New Roman" w:hAnsi="Times New Roman" w:cs="Times New Roman"/>
        </w:rPr>
        <w:t xml:space="preserve">limit allowed under GoU’s draft PDPF (before both net issuance and the DD-to-GDP ratio fall in </w:t>
      </w:r>
      <w:r w:rsidR="006138EF" w:rsidRPr="00523556">
        <w:rPr>
          <w:rFonts w:ascii="Times New Roman" w:hAnsi="Times New Roman" w:cs="Times New Roman"/>
        </w:rPr>
        <w:t>FY19/20</w:t>
      </w:r>
      <w:r w:rsidR="00B7226B" w:rsidRPr="00523556">
        <w:rPr>
          <w:rFonts w:ascii="Times New Roman" w:hAnsi="Times New Roman" w:cs="Times New Roman"/>
        </w:rPr>
        <w:t>,</w:t>
      </w:r>
      <w:r w:rsidR="002754AE" w:rsidRPr="00523556">
        <w:rPr>
          <w:rFonts w:ascii="Times New Roman" w:hAnsi="Times New Roman" w:cs="Times New Roman"/>
        </w:rPr>
        <w:t xml:space="preserve"> as</w:t>
      </w:r>
      <w:r w:rsidR="00B7226B" w:rsidRPr="00523556">
        <w:rPr>
          <w:rFonts w:ascii="Times New Roman" w:hAnsi="Times New Roman" w:cs="Times New Roman"/>
        </w:rPr>
        <w:t xml:space="preserve"> accelerating</w:t>
      </w:r>
      <w:r w:rsidR="002754AE" w:rsidRPr="00523556">
        <w:rPr>
          <w:rFonts w:ascii="Times New Roman" w:hAnsi="Times New Roman" w:cs="Times New Roman"/>
        </w:rPr>
        <w:t xml:space="preserve"> oil revenue eliminate</w:t>
      </w:r>
      <w:r w:rsidR="00B7226B" w:rsidRPr="00523556">
        <w:rPr>
          <w:rFonts w:ascii="Times New Roman" w:hAnsi="Times New Roman" w:cs="Times New Roman"/>
        </w:rPr>
        <w:t>s</w:t>
      </w:r>
      <w:r w:rsidR="002754AE" w:rsidRPr="00523556">
        <w:rPr>
          <w:rFonts w:ascii="Times New Roman" w:hAnsi="Times New Roman" w:cs="Times New Roman"/>
        </w:rPr>
        <w:t xml:space="preserve"> the need for commercial external borrowing and reduce</w:t>
      </w:r>
      <w:r w:rsidR="00B7226B" w:rsidRPr="00523556">
        <w:rPr>
          <w:rFonts w:ascii="Times New Roman" w:hAnsi="Times New Roman" w:cs="Times New Roman"/>
        </w:rPr>
        <w:t>s</w:t>
      </w:r>
      <w:r w:rsidR="002754AE" w:rsidRPr="00523556">
        <w:rPr>
          <w:rFonts w:ascii="Times New Roman" w:hAnsi="Times New Roman" w:cs="Times New Roman"/>
        </w:rPr>
        <w:t xml:space="preserve"> the need for DD issuance)</w:t>
      </w:r>
      <w:r w:rsidR="004A1A14" w:rsidRPr="00523556">
        <w:rPr>
          <w:rFonts w:ascii="Times New Roman" w:hAnsi="Times New Roman" w:cs="Times New Roman"/>
        </w:rPr>
        <w:t>. The remainder of the net financing requirement would be met by Eurobond issuance</w:t>
      </w:r>
      <w:r w:rsidR="00677FBF" w:rsidRPr="00523556">
        <w:rPr>
          <w:rFonts w:ascii="Times New Roman" w:hAnsi="Times New Roman" w:cs="Times New Roman"/>
        </w:rPr>
        <w:t>;</w:t>
      </w:r>
      <w:r w:rsidR="00321AB2" w:rsidRPr="00523556">
        <w:rPr>
          <w:rStyle w:val="FootnoteReference"/>
          <w:rFonts w:ascii="Times New Roman" w:hAnsi="Times New Roman" w:cs="Times New Roman"/>
        </w:rPr>
        <w:footnoteReference w:id="117"/>
      </w:r>
      <w:r w:rsidR="006322A3" w:rsidRPr="00523556">
        <w:rPr>
          <w:rFonts w:ascii="Times New Roman" w:hAnsi="Times New Roman" w:cs="Times New Roman"/>
        </w:rPr>
        <w:t xml:space="preserve"> </w:t>
      </w:r>
      <w:r w:rsidR="00677FBF" w:rsidRPr="00523556">
        <w:rPr>
          <w:rFonts w:ascii="Times New Roman" w:hAnsi="Times New Roman" w:cs="Times New Roman"/>
        </w:rPr>
        <w:t xml:space="preserve">under this scenario, </w:t>
      </w:r>
      <w:r w:rsidR="002149B4" w:rsidRPr="00523556">
        <w:rPr>
          <w:rFonts w:ascii="Times New Roman" w:hAnsi="Times New Roman" w:cs="Times New Roman"/>
        </w:rPr>
        <w:t xml:space="preserve">total </w:t>
      </w:r>
      <w:r w:rsidR="00677FBF" w:rsidRPr="00523556">
        <w:rPr>
          <w:rFonts w:ascii="Times New Roman" w:hAnsi="Times New Roman" w:cs="Times New Roman"/>
          <w:b/>
        </w:rPr>
        <w:t>Eurobond issuance</w:t>
      </w:r>
      <w:r w:rsidR="004A1A14" w:rsidRPr="00523556">
        <w:rPr>
          <w:rFonts w:ascii="Times New Roman" w:hAnsi="Times New Roman" w:cs="Times New Roman"/>
          <w:b/>
        </w:rPr>
        <w:t xml:space="preserve"> </w:t>
      </w:r>
      <w:r w:rsidR="002149B4" w:rsidRPr="00523556">
        <w:rPr>
          <w:rFonts w:ascii="Times New Roman" w:hAnsi="Times New Roman" w:cs="Times New Roman"/>
          <w:b/>
        </w:rPr>
        <w:t xml:space="preserve">over the projection period would need to </w:t>
      </w:r>
      <w:r w:rsidR="004A1A14" w:rsidRPr="00523556">
        <w:rPr>
          <w:rFonts w:ascii="Times New Roman" w:hAnsi="Times New Roman" w:cs="Times New Roman"/>
          <w:b/>
        </w:rPr>
        <w:t xml:space="preserve">reach </w:t>
      </w:r>
      <w:r w:rsidR="005465A4" w:rsidRPr="00523556">
        <w:rPr>
          <w:rFonts w:ascii="Times New Roman" w:hAnsi="Times New Roman" w:cs="Times New Roman"/>
          <w:b/>
        </w:rPr>
        <w:t xml:space="preserve">almost </w:t>
      </w:r>
      <w:r w:rsidR="004A1A14" w:rsidRPr="00523556">
        <w:rPr>
          <w:rFonts w:ascii="Times New Roman" w:hAnsi="Times New Roman" w:cs="Times New Roman"/>
          <w:b/>
        </w:rPr>
        <w:t>$</w:t>
      </w:r>
      <w:r w:rsidR="005465A4" w:rsidRPr="00523556">
        <w:rPr>
          <w:rFonts w:ascii="Times New Roman" w:hAnsi="Times New Roman" w:cs="Times New Roman"/>
          <w:b/>
        </w:rPr>
        <w:t>2</w:t>
      </w:r>
      <w:r w:rsidR="0048320A" w:rsidRPr="00523556">
        <w:rPr>
          <w:rFonts w:ascii="Times New Roman" w:hAnsi="Times New Roman" w:cs="Times New Roman"/>
          <w:b/>
        </w:rPr>
        <w:t>bn</w:t>
      </w:r>
      <w:r w:rsidR="001A3A32" w:rsidRPr="00523556">
        <w:rPr>
          <w:rFonts w:ascii="Times New Roman" w:hAnsi="Times New Roman" w:cs="Times New Roman"/>
          <w:b/>
        </w:rPr>
        <w:t xml:space="preserve"> </w:t>
      </w:r>
      <w:r w:rsidR="001A3A32" w:rsidRPr="00523556">
        <w:rPr>
          <w:rFonts w:ascii="Times New Roman" w:hAnsi="Times New Roman" w:cs="Times New Roman"/>
        </w:rPr>
        <w:t>(spread over FY15/16 to FY18/19)</w:t>
      </w:r>
      <w:r w:rsidR="002149B4" w:rsidRPr="00523556">
        <w:rPr>
          <w:rFonts w:ascii="Times New Roman" w:hAnsi="Times New Roman" w:cs="Times New Roman"/>
        </w:rPr>
        <w:t>.</w:t>
      </w:r>
      <w:r w:rsidR="003F128D" w:rsidRPr="00523556">
        <w:rPr>
          <w:rFonts w:ascii="Times New Roman" w:hAnsi="Times New Roman" w:cs="Times New Roman"/>
        </w:rPr>
        <w:t xml:space="preserve"> </w:t>
      </w:r>
    </w:p>
    <w:p w:rsidR="00BD54AB" w:rsidRPr="00523556" w:rsidRDefault="005D7E50" w:rsidP="003F128D">
      <w:pPr>
        <w:jc w:val="both"/>
        <w:rPr>
          <w:rFonts w:ascii="Times New Roman" w:hAnsi="Times New Roman" w:cs="Times New Roman"/>
        </w:rPr>
      </w:pPr>
      <w:r w:rsidRPr="00523556">
        <w:rPr>
          <w:rFonts w:ascii="Times New Roman" w:hAnsi="Times New Roman" w:cs="Times New Roman"/>
          <w:b/>
          <w:u w:val="single"/>
        </w:rPr>
        <w:t xml:space="preserve">Strategy </w:t>
      </w:r>
      <w:r w:rsidR="004A1A14" w:rsidRPr="00523556">
        <w:rPr>
          <w:rFonts w:ascii="Times New Roman" w:hAnsi="Times New Roman" w:cs="Times New Roman"/>
          <w:b/>
          <w:u w:val="single"/>
        </w:rPr>
        <w:t>2 (S2)</w:t>
      </w:r>
      <w:r w:rsidR="004A1A14" w:rsidRPr="00523556">
        <w:rPr>
          <w:rFonts w:ascii="Times New Roman" w:hAnsi="Times New Roman" w:cs="Times New Roman"/>
          <w:b/>
        </w:rPr>
        <w:t xml:space="preserve"> </w:t>
      </w:r>
      <w:r w:rsidRPr="00523556">
        <w:rPr>
          <w:rFonts w:ascii="Times New Roman" w:hAnsi="Times New Roman" w:cs="Times New Roman"/>
          <w:b/>
        </w:rPr>
        <w:t xml:space="preserve">incorporates </w:t>
      </w:r>
      <w:r w:rsidR="004A1A14" w:rsidRPr="00523556">
        <w:rPr>
          <w:rFonts w:ascii="Times New Roman" w:hAnsi="Times New Roman" w:cs="Times New Roman"/>
          <w:b/>
        </w:rPr>
        <w:t xml:space="preserve">a ‘moderate’ level of </w:t>
      </w:r>
      <w:r w:rsidR="00987EF8" w:rsidRPr="00523556">
        <w:rPr>
          <w:rFonts w:ascii="Times New Roman" w:hAnsi="Times New Roman" w:cs="Times New Roman"/>
          <w:b/>
        </w:rPr>
        <w:t>semi</w:t>
      </w:r>
      <w:r w:rsidR="004A1A14" w:rsidRPr="00523556">
        <w:rPr>
          <w:rFonts w:ascii="Times New Roman" w:hAnsi="Times New Roman" w:cs="Times New Roman"/>
          <w:b/>
        </w:rPr>
        <w:t>-concessional lending</w:t>
      </w:r>
      <w:r w:rsidR="004A1A14" w:rsidRPr="00523556">
        <w:rPr>
          <w:rFonts w:ascii="Times New Roman" w:hAnsi="Times New Roman" w:cs="Times New Roman"/>
        </w:rPr>
        <w:t xml:space="preserve">, averaging </w:t>
      </w:r>
      <w:r w:rsidR="008B0897" w:rsidRPr="00523556">
        <w:rPr>
          <w:rFonts w:ascii="Times New Roman" w:hAnsi="Times New Roman" w:cs="Times New Roman"/>
        </w:rPr>
        <w:t xml:space="preserve">around </w:t>
      </w:r>
      <w:r w:rsidR="004A1A14" w:rsidRPr="00523556">
        <w:rPr>
          <w:rFonts w:ascii="Times New Roman" w:hAnsi="Times New Roman" w:cs="Times New Roman"/>
          <w:b/>
        </w:rPr>
        <w:t>$</w:t>
      </w:r>
      <w:r w:rsidR="00BB728B" w:rsidRPr="00523556">
        <w:rPr>
          <w:rFonts w:ascii="Times New Roman" w:hAnsi="Times New Roman" w:cs="Times New Roman"/>
          <w:b/>
        </w:rPr>
        <w:t>250</w:t>
      </w:r>
      <w:r w:rsidR="004A1A14" w:rsidRPr="00523556">
        <w:rPr>
          <w:rFonts w:ascii="Times New Roman" w:hAnsi="Times New Roman" w:cs="Times New Roman"/>
          <w:b/>
        </w:rPr>
        <w:t xml:space="preserve">m </w:t>
      </w:r>
      <w:r w:rsidR="00F65C88" w:rsidRPr="00523556">
        <w:rPr>
          <w:rFonts w:ascii="Times New Roman" w:hAnsi="Times New Roman" w:cs="Times New Roman"/>
          <w:b/>
        </w:rPr>
        <w:t>(</w:t>
      </w:r>
      <w:r w:rsidR="00354BFA" w:rsidRPr="00523556">
        <w:rPr>
          <w:rFonts w:ascii="Times New Roman" w:hAnsi="Times New Roman" w:cs="Times New Roman"/>
          <w:b/>
        </w:rPr>
        <w:t>or c.</w:t>
      </w:r>
      <w:r w:rsidR="00C14BBC" w:rsidRPr="00523556">
        <w:rPr>
          <w:rFonts w:ascii="Times New Roman" w:hAnsi="Times New Roman" w:cs="Times New Roman"/>
          <w:b/>
        </w:rPr>
        <w:t>0.8</w:t>
      </w:r>
      <w:r w:rsidR="00E557B8" w:rsidRPr="00523556">
        <w:rPr>
          <w:rFonts w:ascii="Times New Roman" w:hAnsi="Times New Roman" w:cs="Times New Roman"/>
          <w:b/>
        </w:rPr>
        <w:t xml:space="preserve"> per cent</w:t>
      </w:r>
      <w:r w:rsidR="004A1A14" w:rsidRPr="00523556">
        <w:rPr>
          <w:rFonts w:ascii="Times New Roman" w:hAnsi="Times New Roman" w:cs="Times New Roman"/>
          <w:b/>
        </w:rPr>
        <w:t xml:space="preserve"> of GDP</w:t>
      </w:r>
      <w:r w:rsidR="00F65C88" w:rsidRPr="00523556">
        <w:rPr>
          <w:rFonts w:ascii="Times New Roman" w:hAnsi="Times New Roman" w:cs="Times New Roman"/>
          <w:b/>
        </w:rPr>
        <w:t>)</w:t>
      </w:r>
      <w:r w:rsidR="004A1A14" w:rsidRPr="00523556">
        <w:rPr>
          <w:rFonts w:ascii="Times New Roman" w:hAnsi="Times New Roman" w:cs="Times New Roman"/>
          <w:b/>
        </w:rPr>
        <w:t xml:space="preserve"> </w:t>
      </w:r>
      <w:r w:rsidR="00434466" w:rsidRPr="00523556">
        <w:rPr>
          <w:rFonts w:ascii="Times New Roman" w:hAnsi="Times New Roman" w:cs="Times New Roman"/>
          <w:b/>
        </w:rPr>
        <w:t>per</w:t>
      </w:r>
      <w:r w:rsidR="004A1A14" w:rsidRPr="00523556">
        <w:rPr>
          <w:rFonts w:ascii="Times New Roman" w:hAnsi="Times New Roman" w:cs="Times New Roman"/>
          <w:b/>
        </w:rPr>
        <w:t xml:space="preserve"> year</w:t>
      </w:r>
      <w:r w:rsidR="00E7526E" w:rsidRPr="00523556">
        <w:rPr>
          <w:rFonts w:ascii="Times New Roman" w:hAnsi="Times New Roman" w:cs="Times New Roman"/>
        </w:rPr>
        <w:t>.</w:t>
      </w:r>
      <w:r w:rsidR="007E0CA8" w:rsidRPr="00523556">
        <w:rPr>
          <w:rFonts w:ascii="Times New Roman" w:hAnsi="Times New Roman" w:cs="Times New Roman"/>
        </w:rPr>
        <w:t xml:space="preserve"> </w:t>
      </w:r>
      <w:r w:rsidR="004A1A14" w:rsidRPr="00523556">
        <w:rPr>
          <w:rFonts w:ascii="Times New Roman" w:hAnsi="Times New Roman" w:cs="Times New Roman"/>
        </w:rPr>
        <w:t xml:space="preserve">It is assumed </w:t>
      </w:r>
      <w:r w:rsidR="00354BFA" w:rsidRPr="00523556">
        <w:rPr>
          <w:rFonts w:ascii="Times New Roman" w:hAnsi="Times New Roman" w:cs="Times New Roman"/>
        </w:rPr>
        <w:t xml:space="preserve">the remainder of GoU’s financing requirements would be met by </w:t>
      </w:r>
      <w:r w:rsidR="009D7FDD" w:rsidRPr="00523556">
        <w:rPr>
          <w:rFonts w:ascii="Times New Roman" w:hAnsi="Times New Roman" w:cs="Times New Roman"/>
        </w:rPr>
        <w:t>expand</w:t>
      </w:r>
      <w:r w:rsidR="00354BFA" w:rsidRPr="00523556">
        <w:rPr>
          <w:rFonts w:ascii="Times New Roman" w:hAnsi="Times New Roman" w:cs="Times New Roman"/>
        </w:rPr>
        <w:t>ing</w:t>
      </w:r>
      <w:r w:rsidR="009D7FDD" w:rsidRPr="00523556">
        <w:rPr>
          <w:rFonts w:ascii="Times New Roman" w:hAnsi="Times New Roman" w:cs="Times New Roman"/>
        </w:rPr>
        <w:t xml:space="preserve"> DD issuance close </w:t>
      </w:r>
      <w:r w:rsidR="004A1A14" w:rsidRPr="00523556">
        <w:rPr>
          <w:rFonts w:ascii="Times New Roman" w:hAnsi="Times New Roman" w:cs="Times New Roman"/>
        </w:rPr>
        <w:t xml:space="preserve">to the maximum extent allowed under </w:t>
      </w:r>
      <w:r w:rsidR="005A070F" w:rsidRPr="00523556">
        <w:rPr>
          <w:rFonts w:ascii="Times New Roman" w:hAnsi="Times New Roman" w:cs="Times New Roman"/>
        </w:rPr>
        <w:t>the draft PDPF</w:t>
      </w:r>
      <w:r w:rsidR="00354BFA" w:rsidRPr="00523556">
        <w:rPr>
          <w:rFonts w:ascii="Times New Roman" w:hAnsi="Times New Roman" w:cs="Times New Roman"/>
        </w:rPr>
        <w:t xml:space="preserve"> –</w:t>
      </w:r>
      <w:r w:rsidR="00F65C88" w:rsidRPr="00523556">
        <w:rPr>
          <w:rFonts w:ascii="Times New Roman" w:hAnsi="Times New Roman" w:cs="Times New Roman"/>
        </w:rPr>
        <w:t xml:space="preserve"> with</w:t>
      </w:r>
      <w:r w:rsidR="00354BFA" w:rsidRPr="00523556">
        <w:rPr>
          <w:rFonts w:ascii="Times New Roman" w:hAnsi="Times New Roman" w:cs="Times New Roman"/>
        </w:rPr>
        <w:t xml:space="preserve"> </w:t>
      </w:r>
      <w:r w:rsidR="00F65C88" w:rsidRPr="00523556">
        <w:rPr>
          <w:rFonts w:ascii="Times New Roman" w:hAnsi="Times New Roman" w:cs="Times New Roman"/>
          <w:b/>
        </w:rPr>
        <w:t>net DD issuance averaging around 2.1</w:t>
      </w:r>
      <w:r w:rsidR="00E557B8" w:rsidRPr="00523556">
        <w:rPr>
          <w:rFonts w:ascii="Times New Roman" w:hAnsi="Times New Roman" w:cs="Times New Roman"/>
          <w:b/>
        </w:rPr>
        <w:t xml:space="preserve"> per cent</w:t>
      </w:r>
      <w:r w:rsidR="00F65C88" w:rsidRPr="00523556">
        <w:rPr>
          <w:rFonts w:ascii="Times New Roman" w:hAnsi="Times New Roman" w:cs="Times New Roman"/>
          <w:b/>
        </w:rPr>
        <w:t xml:space="preserve"> </w:t>
      </w:r>
      <w:r w:rsidR="00F65C88" w:rsidRPr="00523556">
        <w:rPr>
          <w:rFonts w:ascii="Times New Roman" w:hAnsi="Times New Roman" w:cs="Times New Roman"/>
        </w:rPr>
        <w:t xml:space="preserve">of GDP each year </w:t>
      </w:r>
      <w:r w:rsidR="00A64A28" w:rsidRPr="00523556">
        <w:rPr>
          <w:rFonts w:ascii="Times New Roman" w:hAnsi="Times New Roman" w:cs="Times New Roman"/>
        </w:rPr>
        <w:t>up to</w:t>
      </w:r>
      <w:r w:rsidR="008F0524" w:rsidRPr="00523556">
        <w:rPr>
          <w:rFonts w:ascii="Times New Roman" w:hAnsi="Times New Roman" w:cs="Times New Roman"/>
        </w:rPr>
        <w:t xml:space="preserve"> </w:t>
      </w:r>
      <w:r w:rsidR="00F65C88" w:rsidRPr="00523556">
        <w:rPr>
          <w:rFonts w:ascii="Times New Roman" w:hAnsi="Times New Roman" w:cs="Times New Roman"/>
        </w:rPr>
        <w:t>FY18/19</w:t>
      </w:r>
      <w:r w:rsidR="00DD617C" w:rsidRPr="00523556">
        <w:rPr>
          <w:rFonts w:ascii="Times New Roman" w:hAnsi="Times New Roman" w:cs="Times New Roman"/>
        </w:rPr>
        <w:t xml:space="preserve">, such that the DD-to-GDP ratio </w:t>
      </w:r>
      <w:r w:rsidR="003532DE" w:rsidRPr="00523556">
        <w:rPr>
          <w:rFonts w:ascii="Times New Roman" w:hAnsi="Times New Roman" w:cs="Times New Roman"/>
        </w:rPr>
        <w:t>peaks at</w:t>
      </w:r>
      <w:r w:rsidR="00DD617C" w:rsidRPr="00523556">
        <w:rPr>
          <w:rFonts w:ascii="Times New Roman" w:hAnsi="Times New Roman" w:cs="Times New Roman"/>
        </w:rPr>
        <w:t xml:space="preserve"> 14.9 per cent in that year (before net issuance and the DD-to-GDP ratio fall in FY19/20, for the same reason as in S1</w:t>
      </w:r>
      <w:r w:rsidR="007A665C" w:rsidRPr="00523556">
        <w:rPr>
          <w:rFonts w:ascii="Times New Roman" w:hAnsi="Times New Roman" w:cs="Times New Roman"/>
        </w:rPr>
        <w:t xml:space="preserve"> – although both fall faster in FY19/20 than in S1, as the continuing availability of </w:t>
      </w:r>
      <w:r w:rsidR="007A665C" w:rsidRPr="00523556">
        <w:rPr>
          <w:rFonts w:ascii="Times New Roman" w:hAnsi="Times New Roman" w:cs="Times New Roman"/>
        </w:rPr>
        <w:lastRenderedPageBreak/>
        <w:t>semi-concessional lending means the need for net DD issuance in that year is lower</w:t>
      </w:r>
      <w:r w:rsidR="00DD617C" w:rsidRPr="00523556">
        <w:rPr>
          <w:rFonts w:ascii="Times New Roman" w:hAnsi="Times New Roman" w:cs="Times New Roman"/>
        </w:rPr>
        <w:t>)</w:t>
      </w:r>
      <w:r w:rsidR="00354BFA" w:rsidRPr="00523556">
        <w:rPr>
          <w:rFonts w:ascii="Times New Roman" w:hAnsi="Times New Roman" w:cs="Times New Roman"/>
        </w:rPr>
        <w:t xml:space="preserve"> –</w:t>
      </w:r>
      <w:r w:rsidR="004A1A14" w:rsidRPr="00523556">
        <w:rPr>
          <w:rFonts w:ascii="Times New Roman" w:hAnsi="Times New Roman" w:cs="Times New Roman"/>
        </w:rPr>
        <w:t xml:space="preserve"> </w:t>
      </w:r>
      <w:r w:rsidR="00354BFA" w:rsidRPr="00523556">
        <w:rPr>
          <w:rFonts w:ascii="Times New Roman" w:hAnsi="Times New Roman" w:cs="Times New Roman"/>
        </w:rPr>
        <w:t xml:space="preserve">and a </w:t>
      </w:r>
      <w:r w:rsidR="00354BFA" w:rsidRPr="00523556">
        <w:rPr>
          <w:rFonts w:ascii="Times New Roman" w:hAnsi="Times New Roman" w:cs="Times New Roman"/>
          <w:b/>
        </w:rPr>
        <w:t>Eurobond issue</w:t>
      </w:r>
      <w:r w:rsidR="00434466" w:rsidRPr="00523556">
        <w:rPr>
          <w:rFonts w:ascii="Times New Roman" w:hAnsi="Times New Roman" w:cs="Times New Roman"/>
          <w:b/>
        </w:rPr>
        <w:t xml:space="preserve"> of $</w:t>
      </w:r>
      <w:r w:rsidR="0074617E" w:rsidRPr="00523556">
        <w:rPr>
          <w:rFonts w:ascii="Times New Roman" w:hAnsi="Times New Roman" w:cs="Times New Roman"/>
          <w:b/>
        </w:rPr>
        <w:t>40</w:t>
      </w:r>
      <w:r w:rsidR="00434466" w:rsidRPr="00523556">
        <w:rPr>
          <w:rFonts w:ascii="Times New Roman" w:hAnsi="Times New Roman" w:cs="Times New Roman"/>
          <w:b/>
        </w:rPr>
        <w:t>0m</w:t>
      </w:r>
      <w:r w:rsidR="00354BFA" w:rsidRPr="00523556">
        <w:rPr>
          <w:rFonts w:ascii="Times New Roman" w:hAnsi="Times New Roman" w:cs="Times New Roman"/>
          <w:b/>
        </w:rPr>
        <w:t>.</w:t>
      </w:r>
      <w:r w:rsidR="00B765F7" w:rsidRPr="00523556">
        <w:rPr>
          <w:rStyle w:val="FootnoteReference"/>
          <w:rFonts w:ascii="Times New Roman" w:hAnsi="Times New Roman" w:cs="Times New Roman"/>
          <w:b/>
        </w:rPr>
        <w:footnoteReference w:id="118"/>
      </w:r>
    </w:p>
    <w:p w:rsidR="00434466" w:rsidRPr="00523556" w:rsidRDefault="00434466" w:rsidP="003F128D">
      <w:pPr>
        <w:jc w:val="both"/>
        <w:rPr>
          <w:rFonts w:ascii="Times New Roman" w:hAnsi="Times New Roman" w:cs="Times New Roman"/>
        </w:rPr>
      </w:pPr>
      <w:r w:rsidRPr="00523556">
        <w:rPr>
          <w:rFonts w:ascii="Times New Roman" w:hAnsi="Times New Roman" w:cs="Times New Roman"/>
        </w:rPr>
        <w:t xml:space="preserve">In </w:t>
      </w:r>
      <w:r w:rsidR="005D7E50" w:rsidRPr="00523556">
        <w:rPr>
          <w:rFonts w:ascii="Times New Roman" w:hAnsi="Times New Roman" w:cs="Times New Roman"/>
          <w:b/>
          <w:u w:val="single"/>
        </w:rPr>
        <w:t xml:space="preserve">Strategies </w:t>
      </w:r>
      <w:r w:rsidRPr="00523556">
        <w:rPr>
          <w:rFonts w:ascii="Times New Roman" w:hAnsi="Times New Roman" w:cs="Times New Roman"/>
          <w:b/>
          <w:u w:val="single"/>
        </w:rPr>
        <w:t>3 and 4 (S3 and S4)</w:t>
      </w:r>
      <w:r w:rsidRPr="00523556">
        <w:rPr>
          <w:rFonts w:ascii="Times New Roman" w:hAnsi="Times New Roman" w:cs="Times New Roman"/>
          <w:b/>
        </w:rPr>
        <w:t xml:space="preserve">, it is assumed that Uganda has access to a higher level of </w:t>
      </w:r>
      <w:r w:rsidR="00987EF8" w:rsidRPr="00523556">
        <w:rPr>
          <w:rFonts w:ascii="Times New Roman" w:hAnsi="Times New Roman" w:cs="Times New Roman"/>
          <w:b/>
        </w:rPr>
        <w:t>semi</w:t>
      </w:r>
      <w:r w:rsidRPr="00523556">
        <w:rPr>
          <w:rFonts w:ascii="Times New Roman" w:hAnsi="Times New Roman" w:cs="Times New Roman"/>
          <w:b/>
        </w:rPr>
        <w:t>-concessional lending</w:t>
      </w:r>
      <w:r w:rsidRPr="00523556">
        <w:rPr>
          <w:rFonts w:ascii="Times New Roman" w:hAnsi="Times New Roman" w:cs="Times New Roman"/>
        </w:rPr>
        <w:t>, averaging around</w:t>
      </w:r>
      <w:r w:rsidRPr="00523556">
        <w:rPr>
          <w:rFonts w:ascii="Times New Roman" w:hAnsi="Times New Roman" w:cs="Times New Roman"/>
          <w:b/>
        </w:rPr>
        <w:t xml:space="preserve"> $500m </w:t>
      </w:r>
      <w:r w:rsidR="00354BFA" w:rsidRPr="00523556">
        <w:rPr>
          <w:rFonts w:ascii="Times New Roman" w:hAnsi="Times New Roman" w:cs="Times New Roman"/>
          <w:b/>
        </w:rPr>
        <w:t>(or c.</w:t>
      </w:r>
      <w:r w:rsidRPr="00523556">
        <w:rPr>
          <w:rFonts w:ascii="Times New Roman" w:hAnsi="Times New Roman" w:cs="Times New Roman"/>
          <w:b/>
        </w:rPr>
        <w:t>1.6</w:t>
      </w:r>
      <w:r w:rsidR="00E557B8" w:rsidRPr="00523556">
        <w:rPr>
          <w:rFonts w:ascii="Times New Roman" w:hAnsi="Times New Roman" w:cs="Times New Roman"/>
          <w:b/>
        </w:rPr>
        <w:t xml:space="preserve"> per cent</w:t>
      </w:r>
      <w:r w:rsidRPr="00523556">
        <w:rPr>
          <w:rFonts w:ascii="Times New Roman" w:hAnsi="Times New Roman" w:cs="Times New Roman"/>
          <w:b/>
        </w:rPr>
        <w:t xml:space="preserve"> of GDP</w:t>
      </w:r>
      <w:r w:rsidR="00354BFA" w:rsidRPr="00523556">
        <w:rPr>
          <w:rFonts w:ascii="Times New Roman" w:hAnsi="Times New Roman" w:cs="Times New Roman"/>
          <w:b/>
        </w:rPr>
        <w:t>)</w:t>
      </w:r>
      <w:r w:rsidRPr="00523556">
        <w:rPr>
          <w:rFonts w:ascii="Times New Roman" w:hAnsi="Times New Roman" w:cs="Times New Roman"/>
          <w:b/>
        </w:rPr>
        <w:t xml:space="preserve"> per year</w:t>
      </w:r>
      <w:r w:rsidRPr="00523556">
        <w:rPr>
          <w:rFonts w:ascii="Times New Roman" w:hAnsi="Times New Roman" w:cs="Times New Roman"/>
        </w:rPr>
        <w:t xml:space="preserve">. </w:t>
      </w:r>
      <w:r w:rsidR="00F12132" w:rsidRPr="00523556">
        <w:rPr>
          <w:rFonts w:ascii="Times New Roman" w:hAnsi="Times New Roman" w:cs="Times New Roman"/>
        </w:rPr>
        <w:t>In this case</w:t>
      </w:r>
      <w:r w:rsidR="004170F0" w:rsidRPr="00523556">
        <w:rPr>
          <w:rFonts w:ascii="Times New Roman" w:hAnsi="Times New Roman" w:cs="Times New Roman"/>
        </w:rPr>
        <w:t xml:space="preserve">, GoU would have a </w:t>
      </w:r>
      <w:r w:rsidR="00F12132" w:rsidRPr="00523556">
        <w:rPr>
          <w:rFonts w:ascii="Times New Roman" w:hAnsi="Times New Roman" w:cs="Times New Roman"/>
        </w:rPr>
        <w:t xml:space="preserve">much </w:t>
      </w:r>
      <w:r w:rsidR="004170F0" w:rsidRPr="00523556">
        <w:rPr>
          <w:rFonts w:ascii="Times New Roman" w:hAnsi="Times New Roman" w:cs="Times New Roman"/>
        </w:rPr>
        <w:t>greater degree of freedom in determin</w:t>
      </w:r>
      <w:r w:rsidR="00911050" w:rsidRPr="00523556">
        <w:rPr>
          <w:rFonts w:ascii="Times New Roman" w:hAnsi="Times New Roman" w:cs="Times New Roman"/>
        </w:rPr>
        <w:t>in</w:t>
      </w:r>
      <w:r w:rsidR="004170F0" w:rsidRPr="00523556">
        <w:rPr>
          <w:rFonts w:ascii="Times New Roman" w:hAnsi="Times New Roman" w:cs="Times New Roman"/>
        </w:rPr>
        <w:t xml:space="preserve">g </w:t>
      </w:r>
      <w:r w:rsidR="00911050" w:rsidRPr="00523556">
        <w:rPr>
          <w:rFonts w:ascii="Times New Roman" w:hAnsi="Times New Roman" w:cs="Times New Roman"/>
        </w:rPr>
        <w:t xml:space="preserve">its </w:t>
      </w:r>
      <w:r w:rsidR="004170F0" w:rsidRPr="00523556">
        <w:rPr>
          <w:rFonts w:ascii="Times New Roman" w:hAnsi="Times New Roman" w:cs="Times New Roman"/>
        </w:rPr>
        <w:t>financing strategy</w:t>
      </w:r>
      <w:r w:rsidR="009709F1" w:rsidRPr="00523556">
        <w:rPr>
          <w:rFonts w:ascii="Times New Roman" w:hAnsi="Times New Roman" w:cs="Times New Roman"/>
        </w:rPr>
        <w:t>.</w:t>
      </w:r>
      <w:r w:rsidR="00FF6D5B" w:rsidRPr="00523556">
        <w:rPr>
          <w:rFonts w:ascii="Times New Roman" w:hAnsi="Times New Roman" w:cs="Times New Roman"/>
        </w:rPr>
        <w:t xml:space="preserve"> </w:t>
      </w:r>
      <w:r w:rsidR="009709F1" w:rsidRPr="00523556">
        <w:rPr>
          <w:rFonts w:ascii="Times New Roman" w:hAnsi="Times New Roman" w:cs="Times New Roman"/>
        </w:rPr>
        <w:t>F</w:t>
      </w:r>
      <w:r w:rsidR="0032346B" w:rsidRPr="00523556">
        <w:rPr>
          <w:rFonts w:ascii="Times New Roman" w:hAnsi="Times New Roman" w:cs="Times New Roman"/>
        </w:rPr>
        <w:t xml:space="preserve">or example, either </w:t>
      </w:r>
      <w:r w:rsidR="003C3AE3" w:rsidRPr="00523556">
        <w:rPr>
          <w:rFonts w:ascii="Times New Roman" w:hAnsi="Times New Roman" w:cs="Times New Roman"/>
          <w:b/>
        </w:rPr>
        <w:t xml:space="preserve">(S3) </w:t>
      </w:r>
      <w:r w:rsidR="00FF6D5B" w:rsidRPr="00523556">
        <w:rPr>
          <w:rFonts w:ascii="Times New Roman" w:hAnsi="Times New Roman" w:cs="Times New Roman"/>
          <w:b/>
        </w:rPr>
        <w:t xml:space="preserve">the </w:t>
      </w:r>
      <w:r w:rsidR="00354BFA" w:rsidRPr="00523556">
        <w:rPr>
          <w:rFonts w:ascii="Times New Roman" w:hAnsi="Times New Roman" w:cs="Times New Roman"/>
          <w:b/>
        </w:rPr>
        <w:t xml:space="preserve">remaining financing requirement </w:t>
      </w:r>
      <w:r w:rsidR="00FF6D5B" w:rsidRPr="00523556">
        <w:rPr>
          <w:rFonts w:ascii="Times New Roman" w:hAnsi="Times New Roman" w:cs="Times New Roman"/>
          <w:b/>
        </w:rPr>
        <w:t>could be met by domestic debt issuance alone</w:t>
      </w:r>
      <w:r w:rsidR="003C3AE3" w:rsidRPr="00523556">
        <w:rPr>
          <w:rFonts w:ascii="Times New Roman" w:hAnsi="Times New Roman" w:cs="Times New Roman"/>
          <w:b/>
        </w:rPr>
        <w:t xml:space="preserve"> </w:t>
      </w:r>
      <w:r w:rsidR="008778E2" w:rsidRPr="00523556">
        <w:rPr>
          <w:rFonts w:ascii="Times New Roman" w:hAnsi="Times New Roman" w:cs="Times New Roman"/>
        </w:rPr>
        <w:t xml:space="preserve">– </w:t>
      </w:r>
      <w:r w:rsidR="00F2191C" w:rsidRPr="00523556">
        <w:rPr>
          <w:rFonts w:ascii="Times New Roman" w:hAnsi="Times New Roman" w:cs="Times New Roman"/>
        </w:rPr>
        <w:t>implying</w:t>
      </w:r>
      <w:r w:rsidR="008778E2" w:rsidRPr="00523556">
        <w:rPr>
          <w:rFonts w:ascii="Times New Roman" w:hAnsi="Times New Roman" w:cs="Times New Roman"/>
        </w:rPr>
        <w:t xml:space="preserve"> </w:t>
      </w:r>
      <w:r w:rsidR="00354BFA" w:rsidRPr="00523556">
        <w:rPr>
          <w:rFonts w:ascii="Times New Roman" w:hAnsi="Times New Roman" w:cs="Times New Roman"/>
          <w:b/>
        </w:rPr>
        <w:t xml:space="preserve">net DD issuance of </w:t>
      </w:r>
      <w:r w:rsidR="00FF6D5B" w:rsidRPr="00523556">
        <w:rPr>
          <w:rFonts w:ascii="Times New Roman" w:hAnsi="Times New Roman" w:cs="Times New Roman"/>
          <w:b/>
        </w:rPr>
        <w:t>around 1.</w:t>
      </w:r>
      <w:r w:rsidR="00354BFA" w:rsidRPr="00523556">
        <w:rPr>
          <w:rFonts w:ascii="Times New Roman" w:hAnsi="Times New Roman" w:cs="Times New Roman"/>
          <w:b/>
        </w:rPr>
        <w:t>5</w:t>
      </w:r>
      <w:r w:rsidR="00E557B8" w:rsidRPr="00523556">
        <w:rPr>
          <w:rFonts w:ascii="Times New Roman" w:hAnsi="Times New Roman" w:cs="Times New Roman"/>
          <w:b/>
        </w:rPr>
        <w:t xml:space="preserve"> per cent</w:t>
      </w:r>
      <w:r w:rsidR="00FF6D5B" w:rsidRPr="00523556">
        <w:rPr>
          <w:rFonts w:ascii="Times New Roman" w:hAnsi="Times New Roman" w:cs="Times New Roman"/>
          <w:b/>
        </w:rPr>
        <w:t xml:space="preserve"> of GDP</w:t>
      </w:r>
      <w:r w:rsidR="00FF6D5B" w:rsidRPr="00523556">
        <w:rPr>
          <w:rFonts w:ascii="Times New Roman" w:hAnsi="Times New Roman" w:cs="Times New Roman"/>
        </w:rPr>
        <w:t xml:space="preserve"> on average per year up to FY18/19</w:t>
      </w:r>
      <w:r w:rsidR="008778E2" w:rsidRPr="00523556">
        <w:rPr>
          <w:rFonts w:ascii="Times New Roman" w:hAnsi="Times New Roman" w:cs="Times New Roman"/>
        </w:rPr>
        <w:t xml:space="preserve"> (</w:t>
      </w:r>
      <w:r w:rsidR="00C514C3" w:rsidRPr="00523556">
        <w:rPr>
          <w:rFonts w:ascii="Times New Roman" w:hAnsi="Times New Roman" w:cs="Times New Roman"/>
        </w:rPr>
        <w:t xml:space="preserve">and a peak in </w:t>
      </w:r>
      <w:r w:rsidR="008778E2" w:rsidRPr="00523556">
        <w:rPr>
          <w:rFonts w:ascii="Times New Roman" w:hAnsi="Times New Roman" w:cs="Times New Roman"/>
        </w:rPr>
        <w:t>the DD-to-GDP ratio at 12.9 per cent in FY17/18</w:t>
      </w:r>
      <w:r w:rsidR="00FF6D5B" w:rsidRPr="00523556">
        <w:rPr>
          <w:rFonts w:ascii="Times New Roman" w:hAnsi="Times New Roman" w:cs="Times New Roman"/>
        </w:rPr>
        <w:t>)</w:t>
      </w:r>
      <w:r w:rsidR="008778E2" w:rsidRPr="00523556">
        <w:rPr>
          <w:rFonts w:ascii="Times New Roman" w:hAnsi="Times New Roman" w:cs="Times New Roman"/>
        </w:rPr>
        <w:t xml:space="preserve"> –</w:t>
      </w:r>
      <w:r w:rsidR="0032346B" w:rsidRPr="00523556">
        <w:rPr>
          <w:rFonts w:ascii="Times New Roman" w:hAnsi="Times New Roman" w:cs="Times New Roman"/>
        </w:rPr>
        <w:t xml:space="preserve"> </w:t>
      </w:r>
      <w:r w:rsidR="00FF6D5B" w:rsidRPr="00523556">
        <w:rPr>
          <w:rFonts w:ascii="Times New Roman" w:hAnsi="Times New Roman" w:cs="Times New Roman"/>
        </w:rPr>
        <w:t>or</w:t>
      </w:r>
      <w:r w:rsidR="008778E2" w:rsidRPr="00523556">
        <w:rPr>
          <w:rFonts w:ascii="Times New Roman" w:hAnsi="Times New Roman" w:cs="Times New Roman"/>
        </w:rPr>
        <w:t xml:space="preserve"> </w:t>
      </w:r>
      <w:r w:rsidR="00FF6D5B" w:rsidRPr="00523556">
        <w:rPr>
          <w:rFonts w:ascii="Times New Roman" w:hAnsi="Times New Roman" w:cs="Times New Roman"/>
        </w:rPr>
        <w:t xml:space="preserve">by </w:t>
      </w:r>
      <w:r w:rsidR="0032346B" w:rsidRPr="00523556">
        <w:rPr>
          <w:rFonts w:ascii="Times New Roman" w:hAnsi="Times New Roman" w:cs="Times New Roman"/>
          <w:b/>
        </w:rPr>
        <w:t>(S4) a combination of a $500m Eurobond issue</w:t>
      </w:r>
      <w:r w:rsidR="00557DEF" w:rsidRPr="00523556">
        <w:rPr>
          <w:rStyle w:val="FootnoteReference"/>
          <w:rFonts w:ascii="Times New Roman" w:hAnsi="Times New Roman" w:cs="Times New Roman"/>
          <w:b/>
        </w:rPr>
        <w:footnoteReference w:id="119"/>
      </w:r>
      <w:r w:rsidR="0032346B" w:rsidRPr="00523556">
        <w:rPr>
          <w:rFonts w:ascii="Times New Roman" w:hAnsi="Times New Roman" w:cs="Times New Roman"/>
          <w:b/>
        </w:rPr>
        <w:t xml:space="preserve"> and domestic debt issuance</w:t>
      </w:r>
      <w:r w:rsidR="008778E2" w:rsidRPr="00523556">
        <w:rPr>
          <w:rFonts w:ascii="Times New Roman" w:hAnsi="Times New Roman" w:cs="Times New Roman"/>
          <w:b/>
        </w:rPr>
        <w:t>,</w:t>
      </w:r>
      <w:r w:rsidR="0032346B" w:rsidRPr="00523556">
        <w:rPr>
          <w:rFonts w:ascii="Times New Roman" w:hAnsi="Times New Roman" w:cs="Times New Roman"/>
        </w:rPr>
        <w:t xml:space="preserve"> </w:t>
      </w:r>
      <w:r w:rsidR="008778E2" w:rsidRPr="00523556">
        <w:rPr>
          <w:rFonts w:ascii="Times New Roman" w:hAnsi="Times New Roman" w:cs="Times New Roman"/>
        </w:rPr>
        <w:t xml:space="preserve">with </w:t>
      </w:r>
      <w:r w:rsidR="008778E2" w:rsidRPr="00523556">
        <w:rPr>
          <w:rFonts w:ascii="Times New Roman" w:hAnsi="Times New Roman" w:cs="Times New Roman"/>
          <w:b/>
        </w:rPr>
        <w:t xml:space="preserve">net DD issuance </w:t>
      </w:r>
      <w:r w:rsidR="0032346B" w:rsidRPr="00523556">
        <w:rPr>
          <w:rFonts w:ascii="Times New Roman" w:hAnsi="Times New Roman" w:cs="Times New Roman"/>
          <w:b/>
        </w:rPr>
        <w:t>averaging around 1</w:t>
      </w:r>
      <w:r w:rsidR="00F2191C" w:rsidRPr="00523556">
        <w:rPr>
          <w:rFonts w:ascii="Times New Roman" w:hAnsi="Times New Roman" w:cs="Times New Roman"/>
          <w:b/>
        </w:rPr>
        <w:t>.</w:t>
      </w:r>
      <w:r w:rsidR="00D47C25" w:rsidRPr="00523556">
        <w:rPr>
          <w:rFonts w:ascii="Times New Roman" w:hAnsi="Times New Roman" w:cs="Times New Roman"/>
          <w:b/>
        </w:rPr>
        <w:t>2</w:t>
      </w:r>
      <w:r w:rsidR="00E557B8" w:rsidRPr="00523556">
        <w:rPr>
          <w:rFonts w:ascii="Times New Roman" w:hAnsi="Times New Roman" w:cs="Times New Roman"/>
          <w:b/>
        </w:rPr>
        <w:t xml:space="preserve"> per cent</w:t>
      </w:r>
      <w:r w:rsidR="0032346B" w:rsidRPr="00523556">
        <w:rPr>
          <w:rFonts w:ascii="Times New Roman" w:hAnsi="Times New Roman" w:cs="Times New Roman"/>
          <w:b/>
        </w:rPr>
        <w:t xml:space="preserve"> of GDP</w:t>
      </w:r>
      <w:r w:rsidR="0032346B" w:rsidRPr="00523556">
        <w:rPr>
          <w:rFonts w:ascii="Times New Roman" w:hAnsi="Times New Roman" w:cs="Times New Roman"/>
        </w:rPr>
        <w:t xml:space="preserve"> to FY18/19</w:t>
      </w:r>
      <w:r w:rsidR="00440DF2" w:rsidRPr="00523556">
        <w:rPr>
          <w:rFonts w:ascii="Times New Roman" w:hAnsi="Times New Roman" w:cs="Times New Roman"/>
        </w:rPr>
        <w:t xml:space="preserve"> (and </w:t>
      </w:r>
      <w:r w:rsidR="00C514C3" w:rsidRPr="00523556">
        <w:rPr>
          <w:rFonts w:ascii="Times New Roman" w:hAnsi="Times New Roman" w:cs="Times New Roman"/>
        </w:rPr>
        <w:t xml:space="preserve">a peak in </w:t>
      </w:r>
      <w:r w:rsidR="00440DF2" w:rsidRPr="00523556">
        <w:rPr>
          <w:rFonts w:ascii="Times New Roman" w:hAnsi="Times New Roman" w:cs="Times New Roman"/>
        </w:rPr>
        <w:t>the DD-to-GDP ratio at 12.2%, in FY17/18)</w:t>
      </w:r>
      <w:r w:rsidR="0032346B" w:rsidRPr="00523556">
        <w:rPr>
          <w:rFonts w:ascii="Times New Roman" w:hAnsi="Times New Roman" w:cs="Times New Roman"/>
        </w:rPr>
        <w:t>.</w:t>
      </w:r>
      <w:r w:rsidR="00FF6D5B" w:rsidRPr="00523556">
        <w:rPr>
          <w:rFonts w:ascii="Times New Roman" w:hAnsi="Times New Roman" w:cs="Times New Roman"/>
        </w:rPr>
        <w:t xml:space="preserve"> </w:t>
      </w:r>
    </w:p>
    <w:p w:rsidR="009709F1" w:rsidRPr="00523556" w:rsidRDefault="008B0897" w:rsidP="008E6195">
      <w:pPr>
        <w:jc w:val="both"/>
        <w:rPr>
          <w:rFonts w:ascii="Times New Roman" w:hAnsi="Times New Roman" w:cs="Times New Roman"/>
        </w:rPr>
      </w:pPr>
      <w:r w:rsidRPr="00523556">
        <w:rPr>
          <w:rFonts w:ascii="Times New Roman" w:hAnsi="Times New Roman" w:cs="Times New Roman"/>
        </w:rPr>
        <w:t>Overall, the</w:t>
      </w:r>
      <w:r w:rsidR="00F471DD" w:rsidRPr="00523556">
        <w:rPr>
          <w:rFonts w:ascii="Times New Roman" w:hAnsi="Times New Roman" w:cs="Times New Roman"/>
        </w:rPr>
        <w:t>se</w:t>
      </w:r>
      <w:r w:rsidRPr="00523556">
        <w:rPr>
          <w:rFonts w:ascii="Times New Roman" w:hAnsi="Times New Roman" w:cs="Times New Roman"/>
        </w:rPr>
        <w:t xml:space="preserve"> four </w:t>
      </w:r>
      <w:r w:rsidR="00F471DD" w:rsidRPr="00523556">
        <w:rPr>
          <w:rFonts w:ascii="Times New Roman" w:hAnsi="Times New Roman" w:cs="Times New Roman"/>
        </w:rPr>
        <w:t xml:space="preserve">possible financing </w:t>
      </w:r>
      <w:r w:rsidRPr="00523556">
        <w:rPr>
          <w:rFonts w:ascii="Times New Roman" w:hAnsi="Times New Roman" w:cs="Times New Roman"/>
        </w:rPr>
        <w:t xml:space="preserve">strategies </w:t>
      </w:r>
      <w:r w:rsidR="00F471DD" w:rsidRPr="00523556">
        <w:rPr>
          <w:rFonts w:ascii="Times New Roman" w:hAnsi="Times New Roman" w:cs="Times New Roman"/>
        </w:rPr>
        <w:t xml:space="preserve">for the period to FY19/20 </w:t>
      </w:r>
      <w:r w:rsidRPr="00523556">
        <w:rPr>
          <w:rFonts w:ascii="Times New Roman" w:hAnsi="Times New Roman" w:cs="Times New Roman"/>
        </w:rPr>
        <w:t>can be summarised as follows:</w:t>
      </w:r>
    </w:p>
    <w:p w:rsidR="008B0897" w:rsidRPr="00523556" w:rsidRDefault="008B0897" w:rsidP="008B0897">
      <w:pPr>
        <w:pStyle w:val="ListParagraph"/>
        <w:numPr>
          <w:ilvl w:val="0"/>
          <w:numId w:val="24"/>
        </w:numPr>
        <w:jc w:val="both"/>
        <w:rPr>
          <w:rFonts w:ascii="Times New Roman" w:hAnsi="Times New Roman" w:cs="Times New Roman"/>
        </w:rPr>
      </w:pPr>
      <w:r w:rsidRPr="00523556">
        <w:rPr>
          <w:rFonts w:ascii="Times New Roman" w:hAnsi="Times New Roman" w:cs="Times New Roman"/>
        </w:rPr>
        <w:t xml:space="preserve">S1: No semi-concessional borrowing, ‘maximum’ DD issuance, $2bn </w:t>
      </w:r>
      <w:r w:rsidR="00A219DA" w:rsidRPr="00523556">
        <w:rPr>
          <w:rFonts w:ascii="Times New Roman" w:hAnsi="Times New Roman" w:cs="Times New Roman"/>
        </w:rPr>
        <w:t xml:space="preserve">of </w:t>
      </w:r>
      <w:r w:rsidRPr="00523556">
        <w:rPr>
          <w:rFonts w:ascii="Times New Roman" w:hAnsi="Times New Roman" w:cs="Times New Roman"/>
        </w:rPr>
        <w:t>Eurobonds.</w:t>
      </w:r>
    </w:p>
    <w:p w:rsidR="008B0897" w:rsidRPr="00523556" w:rsidRDefault="008B0897" w:rsidP="00E83CFF">
      <w:pPr>
        <w:pStyle w:val="ListParagraph"/>
        <w:numPr>
          <w:ilvl w:val="0"/>
          <w:numId w:val="24"/>
        </w:numPr>
        <w:rPr>
          <w:rFonts w:ascii="Times New Roman" w:hAnsi="Times New Roman" w:cs="Times New Roman"/>
        </w:rPr>
      </w:pPr>
      <w:r w:rsidRPr="00523556">
        <w:rPr>
          <w:rFonts w:ascii="Times New Roman" w:hAnsi="Times New Roman" w:cs="Times New Roman"/>
        </w:rPr>
        <w:t>S2: Semi-concessional borrowing c.$250m/year, ‘maximum’ DD issuance, $400m Eurobond.</w:t>
      </w:r>
    </w:p>
    <w:p w:rsidR="008B0897" w:rsidRPr="00523556" w:rsidRDefault="008B0897" w:rsidP="008B0897">
      <w:pPr>
        <w:pStyle w:val="ListParagraph"/>
        <w:numPr>
          <w:ilvl w:val="0"/>
          <w:numId w:val="24"/>
        </w:numPr>
        <w:jc w:val="both"/>
        <w:rPr>
          <w:rFonts w:ascii="Times New Roman" w:hAnsi="Times New Roman" w:cs="Times New Roman"/>
        </w:rPr>
      </w:pPr>
      <w:r w:rsidRPr="00523556">
        <w:rPr>
          <w:rFonts w:ascii="Times New Roman" w:hAnsi="Times New Roman" w:cs="Times New Roman"/>
        </w:rPr>
        <w:t>S3: Semi-concessional borrowing c.$500m/year, ‘moderate’ DD issuance, no Eurobonds.</w:t>
      </w:r>
    </w:p>
    <w:p w:rsidR="008B0897" w:rsidRPr="00523556" w:rsidRDefault="008B0897" w:rsidP="008B0897">
      <w:pPr>
        <w:pStyle w:val="ListParagraph"/>
        <w:numPr>
          <w:ilvl w:val="0"/>
          <w:numId w:val="24"/>
        </w:numPr>
        <w:jc w:val="both"/>
        <w:rPr>
          <w:rFonts w:ascii="Times New Roman" w:hAnsi="Times New Roman" w:cs="Times New Roman"/>
        </w:rPr>
      </w:pPr>
      <w:r w:rsidRPr="00523556">
        <w:rPr>
          <w:rFonts w:ascii="Times New Roman" w:hAnsi="Times New Roman" w:cs="Times New Roman"/>
        </w:rPr>
        <w:t>S4: Semi-concessional borrowing c.$500m/year, ‘low’ DD issuance, $500m Eurobond.</w:t>
      </w:r>
    </w:p>
    <w:p w:rsidR="00CB7C27" w:rsidRPr="00523556" w:rsidRDefault="00CB7C27" w:rsidP="008B0897">
      <w:pPr>
        <w:pStyle w:val="Heading4"/>
        <w:rPr>
          <w:rFonts w:ascii="Times New Roman" w:hAnsi="Times New Roman" w:cs="Times New Roman"/>
        </w:rPr>
      </w:pPr>
    </w:p>
    <w:p w:rsidR="00CB7C27" w:rsidRPr="00523556" w:rsidRDefault="00CB7C27" w:rsidP="008B0897">
      <w:pPr>
        <w:pStyle w:val="Heading4"/>
        <w:rPr>
          <w:rFonts w:ascii="Times New Roman" w:hAnsi="Times New Roman" w:cs="Times New Roman"/>
        </w:rPr>
      </w:pPr>
    </w:p>
    <w:p w:rsidR="00CB7C27" w:rsidRPr="00523556" w:rsidRDefault="00CB7C27" w:rsidP="008B0897">
      <w:pPr>
        <w:pStyle w:val="Heading4"/>
        <w:rPr>
          <w:rFonts w:ascii="Times New Roman" w:hAnsi="Times New Roman" w:cs="Times New Roman"/>
        </w:rPr>
      </w:pPr>
    </w:p>
    <w:p w:rsidR="009709F1" w:rsidRPr="00523556" w:rsidRDefault="008B0897" w:rsidP="008B0897">
      <w:pPr>
        <w:pStyle w:val="Heading4"/>
        <w:rPr>
          <w:rFonts w:ascii="Times New Roman" w:hAnsi="Times New Roman" w:cs="Times New Roman"/>
        </w:rPr>
      </w:pPr>
      <w:r w:rsidRPr="00523556">
        <w:rPr>
          <w:rFonts w:ascii="Times New Roman" w:hAnsi="Times New Roman" w:cs="Times New Roman"/>
        </w:rPr>
        <w:t>Analysis and discussion</w:t>
      </w:r>
    </w:p>
    <w:p w:rsidR="00A908F9" w:rsidRPr="00523556" w:rsidRDefault="00A908F9" w:rsidP="0032346B">
      <w:pPr>
        <w:jc w:val="both"/>
        <w:rPr>
          <w:rFonts w:ascii="Times New Roman" w:hAnsi="Times New Roman" w:cs="Times New Roman"/>
        </w:rPr>
      </w:pPr>
      <w:r w:rsidRPr="00523556">
        <w:rPr>
          <w:rFonts w:ascii="Times New Roman" w:hAnsi="Times New Roman" w:cs="Times New Roman"/>
        </w:rPr>
        <w:t>I</w:t>
      </w:r>
      <w:r w:rsidR="008A0ED2" w:rsidRPr="00523556">
        <w:rPr>
          <w:rFonts w:ascii="Times New Roman" w:hAnsi="Times New Roman" w:cs="Times New Roman"/>
        </w:rPr>
        <w:t xml:space="preserve">n line with international best practice, Uganda has </w:t>
      </w:r>
      <w:r w:rsidR="00877E6C" w:rsidRPr="00523556">
        <w:rPr>
          <w:rFonts w:ascii="Times New Roman" w:hAnsi="Times New Roman" w:cs="Times New Roman"/>
        </w:rPr>
        <w:t>recently</w:t>
      </w:r>
      <w:r w:rsidR="008A0ED2" w:rsidRPr="00523556">
        <w:rPr>
          <w:rFonts w:ascii="Times New Roman" w:hAnsi="Times New Roman" w:cs="Times New Roman"/>
        </w:rPr>
        <w:t xml:space="preserve"> </w:t>
      </w:r>
      <w:r w:rsidRPr="00523556">
        <w:rPr>
          <w:rFonts w:ascii="Times New Roman" w:hAnsi="Times New Roman" w:cs="Times New Roman"/>
        </w:rPr>
        <w:t>begun to use the IMF-WB Medium-Term Debt Management Strategy</w:t>
      </w:r>
      <w:r w:rsidRPr="00523556">
        <w:rPr>
          <w:rStyle w:val="FootnoteReference"/>
          <w:rFonts w:ascii="Times New Roman" w:hAnsi="Times New Roman" w:cs="Times New Roman"/>
        </w:rPr>
        <w:footnoteReference w:id="120"/>
      </w:r>
      <w:r w:rsidRPr="00523556">
        <w:rPr>
          <w:rFonts w:ascii="Times New Roman" w:hAnsi="Times New Roman" w:cs="Times New Roman"/>
        </w:rPr>
        <w:t xml:space="preserve"> (MTDS) tool, </w:t>
      </w:r>
      <w:r w:rsidR="0005438D" w:rsidRPr="00523556">
        <w:rPr>
          <w:rFonts w:ascii="Times New Roman" w:hAnsi="Times New Roman" w:cs="Times New Roman"/>
        </w:rPr>
        <w:t>to formulate an annual medium-term debt management strategy</w:t>
      </w:r>
      <w:r w:rsidRPr="00523556">
        <w:rPr>
          <w:rFonts w:ascii="Times New Roman" w:hAnsi="Times New Roman" w:cs="Times New Roman"/>
        </w:rPr>
        <w:t>. This</w:t>
      </w:r>
      <w:r w:rsidR="0005438D" w:rsidRPr="00523556">
        <w:rPr>
          <w:rFonts w:ascii="Times New Roman" w:hAnsi="Times New Roman" w:cs="Times New Roman"/>
        </w:rPr>
        <w:t xml:space="preserve"> </w:t>
      </w:r>
      <w:r w:rsidRPr="00523556">
        <w:rPr>
          <w:rFonts w:ascii="Times New Roman" w:hAnsi="Times New Roman" w:cs="Times New Roman"/>
        </w:rPr>
        <w:t xml:space="preserve">tool is used in this section, </w:t>
      </w:r>
      <w:r w:rsidR="0032346B" w:rsidRPr="00523556">
        <w:rPr>
          <w:rFonts w:ascii="Times New Roman" w:hAnsi="Times New Roman" w:cs="Times New Roman"/>
        </w:rPr>
        <w:t xml:space="preserve">to produce a preliminary comparison of the different </w:t>
      </w:r>
      <w:r w:rsidR="00124384" w:rsidRPr="00523556">
        <w:rPr>
          <w:rFonts w:ascii="Times New Roman" w:hAnsi="Times New Roman" w:cs="Times New Roman"/>
        </w:rPr>
        <w:t xml:space="preserve">debt management </w:t>
      </w:r>
      <w:r w:rsidR="0032346B" w:rsidRPr="00523556">
        <w:rPr>
          <w:rFonts w:ascii="Times New Roman" w:hAnsi="Times New Roman" w:cs="Times New Roman"/>
        </w:rPr>
        <w:t>cost a</w:t>
      </w:r>
      <w:r w:rsidRPr="00523556">
        <w:rPr>
          <w:rFonts w:ascii="Times New Roman" w:hAnsi="Times New Roman" w:cs="Times New Roman"/>
        </w:rPr>
        <w:t>nd risk characteristics of the</w:t>
      </w:r>
      <w:r w:rsidR="0032346B" w:rsidRPr="00523556">
        <w:rPr>
          <w:rFonts w:ascii="Times New Roman" w:hAnsi="Times New Roman" w:cs="Times New Roman"/>
        </w:rPr>
        <w:t xml:space="preserve"> financing scenarios</w:t>
      </w:r>
      <w:r w:rsidRPr="00523556">
        <w:rPr>
          <w:rFonts w:ascii="Times New Roman" w:hAnsi="Times New Roman" w:cs="Times New Roman"/>
        </w:rPr>
        <w:t xml:space="preserve"> set out above</w:t>
      </w:r>
      <w:r w:rsidR="0032346B" w:rsidRPr="00523556">
        <w:rPr>
          <w:rFonts w:ascii="Times New Roman" w:hAnsi="Times New Roman" w:cs="Times New Roman"/>
        </w:rPr>
        <w:t>.</w:t>
      </w:r>
      <w:r w:rsidR="0005438D" w:rsidRPr="00523556">
        <w:rPr>
          <w:rFonts w:ascii="Times New Roman" w:hAnsi="Times New Roman" w:cs="Times New Roman"/>
        </w:rPr>
        <w:t xml:space="preserve"> </w:t>
      </w:r>
    </w:p>
    <w:p w:rsidR="00A51CD9" w:rsidRPr="00523556" w:rsidRDefault="0005438D" w:rsidP="0032346B">
      <w:pPr>
        <w:jc w:val="both"/>
        <w:rPr>
          <w:rFonts w:ascii="Times New Roman" w:hAnsi="Times New Roman" w:cs="Times New Roman"/>
        </w:rPr>
      </w:pPr>
      <w:r w:rsidRPr="00523556">
        <w:rPr>
          <w:rFonts w:ascii="Times New Roman" w:hAnsi="Times New Roman" w:cs="Times New Roman"/>
        </w:rPr>
        <w:t>The MTDS tool is very simple in its construction</w:t>
      </w:r>
      <w:r w:rsidR="00CF25AC" w:rsidRPr="00523556">
        <w:rPr>
          <w:rFonts w:ascii="Times New Roman" w:hAnsi="Times New Roman" w:cs="Times New Roman"/>
        </w:rPr>
        <w:t>:</w:t>
      </w:r>
      <w:r w:rsidRPr="00523556">
        <w:rPr>
          <w:rFonts w:ascii="Times New Roman" w:hAnsi="Times New Roman" w:cs="Times New Roman"/>
        </w:rPr>
        <w:t xml:space="preserve"> it maintains identical projections for the primary deficit and key macroeconomic variables</w:t>
      </w:r>
      <w:r w:rsidR="00CF25AC" w:rsidRPr="00523556">
        <w:rPr>
          <w:rFonts w:ascii="Times New Roman" w:hAnsi="Times New Roman" w:cs="Times New Roman"/>
        </w:rPr>
        <w:t xml:space="preserve"> as input by the user</w:t>
      </w:r>
      <w:r w:rsidRPr="00523556">
        <w:rPr>
          <w:rFonts w:ascii="Times New Roman" w:hAnsi="Times New Roman" w:cs="Times New Roman"/>
        </w:rPr>
        <w:t>,</w:t>
      </w:r>
      <w:r w:rsidR="00877E6C" w:rsidRPr="00523556">
        <w:rPr>
          <w:rStyle w:val="FootnoteReference"/>
          <w:rFonts w:ascii="Times New Roman" w:hAnsi="Times New Roman" w:cs="Times New Roman"/>
        </w:rPr>
        <w:footnoteReference w:id="121"/>
      </w:r>
      <w:r w:rsidRPr="00523556">
        <w:rPr>
          <w:rFonts w:ascii="Times New Roman" w:hAnsi="Times New Roman" w:cs="Times New Roman"/>
        </w:rPr>
        <w:t xml:space="preserve"> providing instead a </w:t>
      </w:r>
      <w:r w:rsidRPr="00523556">
        <w:rPr>
          <w:rFonts w:ascii="Times New Roman" w:hAnsi="Times New Roman" w:cs="Times New Roman"/>
        </w:rPr>
        <w:lastRenderedPageBreak/>
        <w:t>pure focus on the</w:t>
      </w:r>
      <w:r w:rsidR="00877E6C" w:rsidRPr="00523556">
        <w:rPr>
          <w:rFonts w:ascii="Times New Roman" w:hAnsi="Times New Roman" w:cs="Times New Roman"/>
        </w:rPr>
        <w:t xml:space="preserve"> direct</w:t>
      </w:r>
      <w:r w:rsidR="00A908F9" w:rsidRPr="00523556">
        <w:rPr>
          <w:rFonts w:ascii="Times New Roman" w:hAnsi="Times New Roman" w:cs="Times New Roman"/>
        </w:rPr>
        <w:t xml:space="preserve"> debt management cost and risk</w:t>
      </w:r>
      <w:r w:rsidRPr="00523556">
        <w:rPr>
          <w:rFonts w:ascii="Times New Roman" w:hAnsi="Times New Roman" w:cs="Times New Roman"/>
        </w:rPr>
        <w:t xml:space="preserve"> implications of alternative debt management strategies. As discussed </w:t>
      </w:r>
      <w:r w:rsidR="000F32CB" w:rsidRPr="00523556">
        <w:rPr>
          <w:rFonts w:ascii="Times New Roman" w:hAnsi="Times New Roman" w:cs="Times New Roman"/>
        </w:rPr>
        <w:t>above</w:t>
      </w:r>
      <w:r w:rsidRPr="00523556">
        <w:rPr>
          <w:rFonts w:ascii="Times New Roman" w:hAnsi="Times New Roman" w:cs="Times New Roman"/>
        </w:rPr>
        <w:t xml:space="preserve">, </w:t>
      </w:r>
      <w:r w:rsidR="00124384" w:rsidRPr="00523556">
        <w:rPr>
          <w:rFonts w:ascii="Times New Roman" w:hAnsi="Times New Roman" w:cs="Times New Roman"/>
        </w:rPr>
        <w:t xml:space="preserve">in reality </w:t>
      </w:r>
      <w:r w:rsidR="00887010" w:rsidRPr="00523556">
        <w:rPr>
          <w:rFonts w:ascii="Times New Roman" w:hAnsi="Times New Roman" w:cs="Times New Roman"/>
        </w:rPr>
        <w:t xml:space="preserve">alternative financing strategies </w:t>
      </w:r>
      <w:r w:rsidR="0096679C" w:rsidRPr="00523556">
        <w:rPr>
          <w:rFonts w:ascii="Times New Roman" w:hAnsi="Times New Roman" w:cs="Times New Roman"/>
        </w:rPr>
        <w:t xml:space="preserve">will </w:t>
      </w:r>
      <w:r w:rsidR="00887010" w:rsidRPr="00523556">
        <w:rPr>
          <w:rFonts w:ascii="Times New Roman" w:hAnsi="Times New Roman" w:cs="Times New Roman"/>
        </w:rPr>
        <w:t>have different macroeconomic impacts</w:t>
      </w:r>
      <w:r w:rsidR="00966723" w:rsidRPr="00523556">
        <w:rPr>
          <w:rFonts w:ascii="Times New Roman" w:hAnsi="Times New Roman" w:cs="Times New Roman"/>
        </w:rPr>
        <w:t xml:space="preserve"> (as considered</w:t>
      </w:r>
      <w:r w:rsidR="00A908F9" w:rsidRPr="00523556">
        <w:rPr>
          <w:rFonts w:ascii="Times New Roman" w:hAnsi="Times New Roman" w:cs="Times New Roman"/>
        </w:rPr>
        <w:t xml:space="preserve"> </w:t>
      </w:r>
      <w:r w:rsidR="00127796" w:rsidRPr="00523556">
        <w:rPr>
          <w:rFonts w:ascii="Times New Roman" w:hAnsi="Times New Roman" w:cs="Times New Roman"/>
        </w:rPr>
        <w:t>in detail</w:t>
      </w:r>
      <w:r w:rsidR="00966723" w:rsidRPr="00523556">
        <w:rPr>
          <w:rFonts w:ascii="Times New Roman" w:hAnsi="Times New Roman" w:cs="Times New Roman"/>
        </w:rPr>
        <w:t>, for example, in Adam and Bevan 2013)</w:t>
      </w:r>
      <w:r w:rsidR="00887010" w:rsidRPr="00523556">
        <w:rPr>
          <w:rFonts w:ascii="Times New Roman" w:hAnsi="Times New Roman" w:cs="Times New Roman"/>
        </w:rPr>
        <w:t xml:space="preserve">, and </w:t>
      </w:r>
      <w:r w:rsidRPr="00523556">
        <w:rPr>
          <w:rFonts w:ascii="Times New Roman" w:hAnsi="Times New Roman" w:cs="Times New Roman"/>
        </w:rPr>
        <w:t xml:space="preserve">there are a variety of </w:t>
      </w:r>
      <w:r w:rsidR="00887010" w:rsidRPr="00523556">
        <w:rPr>
          <w:rFonts w:ascii="Times New Roman" w:hAnsi="Times New Roman" w:cs="Times New Roman"/>
        </w:rPr>
        <w:t xml:space="preserve">broader </w:t>
      </w:r>
      <w:r w:rsidRPr="00523556">
        <w:rPr>
          <w:rFonts w:ascii="Times New Roman" w:hAnsi="Times New Roman" w:cs="Times New Roman"/>
        </w:rPr>
        <w:t xml:space="preserve">considerations that must </w:t>
      </w:r>
      <w:r w:rsidR="00124384" w:rsidRPr="00523556">
        <w:rPr>
          <w:rFonts w:ascii="Times New Roman" w:hAnsi="Times New Roman" w:cs="Times New Roman"/>
        </w:rPr>
        <w:t>also be taken in</w:t>
      </w:r>
      <w:r w:rsidR="00887010" w:rsidRPr="00523556">
        <w:rPr>
          <w:rFonts w:ascii="Times New Roman" w:hAnsi="Times New Roman" w:cs="Times New Roman"/>
        </w:rPr>
        <w:t xml:space="preserve">to account when choosing between them. </w:t>
      </w:r>
      <w:r w:rsidR="00877E6C" w:rsidRPr="00523556">
        <w:rPr>
          <w:rFonts w:ascii="Times New Roman" w:hAnsi="Times New Roman" w:cs="Times New Roman"/>
        </w:rPr>
        <w:t xml:space="preserve">The </w:t>
      </w:r>
      <w:r w:rsidR="00B10A72" w:rsidRPr="00523556">
        <w:rPr>
          <w:rFonts w:ascii="Times New Roman" w:hAnsi="Times New Roman" w:cs="Times New Roman"/>
        </w:rPr>
        <w:t xml:space="preserve">MTDS </w:t>
      </w:r>
      <w:r w:rsidR="00877E6C" w:rsidRPr="00523556">
        <w:rPr>
          <w:rFonts w:ascii="Times New Roman" w:hAnsi="Times New Roman" w:cs="Times New Roman"/>
        </w:rPr>
        <w:t>tool therefore</w:t>
      </w:r>
      <w:r w:rsidR="00B10A72" w:rsidRPr="00523556">
        <w:rPr>
          <w:rFonts w:ascii="Times New Roman" w:hAnsi="Times New Roman" w:cs="Times New Roman"/>
        </w:rPr>
        <w:t xml:space="preserve"> </w:t>
      </w:r>
      <w:r w:rsidR="0096679C" w:rsidRPr="00523556">
        <w:rPr>
          <w:rFonts w:ascii="Times New Roman" w:hAnsi="Times New Roman" w:cs="Times New Roman"/>
        </w:rPr>
        <w:t xml:space="preserve">must </w:t>
      </w:r>
      <w:r w:rsidR="00877E6C" w:rsidRPr="00523556">
        <w:rPr>
          <w:rFonts w:ascii="Times New Roman" w:hAnsi="Times New Roman" w:cs="Times New Roman"/>
        </w:rPr>
        <w:t xml:space="preserve">be </w:t>
      </w:r>
      <w:r w:rsidR="00887010" w:rsidRPr="00523556">
        <w:rPr>
          <w:rFonts w:ascii="Times New Roman" w:hAnsi="Times New Roman" w:cs="Times New Roman"/>
        </w:rPr>
        <w:t>applied with such broader considerations in mind</w:t>
      </w:r>
      <w:r w:rsidR="0096679C" w:rsidRPr="00523556">
        <w:rPr>
          <w:rFonts w:ascii="Times New Roman" w:hAnsi="Times New Roman" w:cs="Times New Roman"/>
        </w:rPr>
        <w:t>;</w:t>
      </w:r>
      <w:r w:rsidR="00C66633" w:rsidRPr="00523556">
        <w:rPr>
          <w:rStyle w:val="FootnoteReference"/>
          <w:rFonts w:ascii="Times New Roman" w:hAnsi="Times New Roman" w:cs="Times New Roman"/>
        </w:rPr>
        <w:footnoteReference w:id="122"/>
      </w:r>
      <w:r w:rsidR="00877E6C" w:rsidRPr="00523556">
        <w:rPr>
          <w:rFonts w:ascii="Times New Roman" w:hAnsi="Times New Roman" w:cs="Times New Roman"/>
        </w:rPr>
        <w:t xml:space="preserve"> however, it </w:t>
      </w:r>
      <w:r w:rsidR="00A908F9" w:rsidRPr="00523556">
        <w:rPr>
          <w:rFonts w:ascii="Times New Roman" w:hAnsi="Times New Roman" w:cs="Times New Roman"/>
        </w:rPr>
        <w:t xml:space="preserve">does provide a simple, </w:t>
      </w:r>
      <w:r w:rsidR="00877E6C" w:rsidRPr="00523556">
        <w:rPr>
          <w:rFonts w:ascii="Times New Roman" w:hAnsi="Times New Roman" w:cs="Times New Roman"/>
        </w:rPr>
        <w:t xml:space="preserve">effective means </w:t>
      </w:r>
      <w:r w:rsidR="00A908F9" w:rsidRPr="00523556">
        <w:rPr>
          <w:rFonts w:ascii="Times New Roman" w:hAnsi="Times New Roman" w:cs="Times New Roman"/>
        </w:rPr>
        <w:t xml:space="preserve">with which </w:t>
      </w:r>
      <w:r w:rsidR="00877E6C" w:rsidRPr="00523556">
        <w:rPr>
          <w:rFonts w:ascii="Times New Roman" w:hAnsi="Times New Roman" w:cs="Times New Roman"/>
        </w:rPr>
        <w:t xml:space="preserve">to make </w:t>
      </w:r>
      <w:r w:rsidR="00124384" w:rsidRPr="00523556">
        <w:rPr>
          <w:rFonts w:ascii="Times New Roman" w:hAnsi="Times New Roman" w:cs="Times New Roman"/>
        </w:rPr>
        <w:t xml:space="preserve">initial </w:t>
      </w:r>
      <w:r w:rsidR="00877E6C" w:rsidRPr="00523556">
        <w:rPr>
          <w:rFonts w:ascii="Times New Roman" w:hAnsi="Times New Roman" w:cs="Times New Roman"/>
        </w:rPr>
        <w:t>comparisons</w:t>
      </w:r>
      <w:r w:rsidR="000F32CB" w:rsidRPr="00523556">
        <w:rPr>
          <w:rFonts w:ascii="Times New Roman" w:hAnsi="Times New Roman" w:cs="Times New Roman"/>
        </w:rPr>
        <w:t xml:space="preserve"> </w:t>
      </w:r>
      <w:r w:rsidR="00A51CD9" w:rsidRPr="00523556">
        <w:rPr>
          <w:rFonts w:ascii="Times New Roman" w:hAnsi="Times New Roman" w:cs="Times New Roman"/>
        </w:rPr>
        <w:t>–</w:t>
      </w:r>
      <w:r w:rsidR="000F32CB" w:rsidRPr="00523556">
        <w:rPr>
          <w:rFonts w:ascii="Times New Roman" w:hAnsi="Times New Roman" w:cs="Times New Roman"/>
        </w:rPr>
        <w:t xml:space="preserve"> on</w:t>
      </w:r>
      <w:r w:rsidR="00A51CD9" w:rsidRPr="00523556">
        <w:rPr>
          <w:rFonts w:ascii="Times New Roman" w:hAnsi="Times New Roman" w:cs="Times New Roman"/>
        </w:rPr>
        <w:t xml:space="preserve"> </w:t>
      </w:r>
      <w:r w:rsidR="000F32CB" w:rsidRPr="00523556">
        <w:rPr>
          <w:rFonts w:ascii="Times New Roman" w:hAnsi="Times New Roman" w:cs="Times New Roman"/>
        </w:rPr>
        <w:t>the basis of a set of fundamental debt management cost and risk indicators</w:t>
      </w:r>
      <w:r w:rsidR="00A51CD9" w:rsidRPr="00523556">
        <w:rPr>
          <w:rFonts w:ascii="Times New Roman" w:hAnsi="Times New Roman" w:cs="Times New Roman"/>
        </w:rPr>
        <w:t xml:space="preserve"> –</w:t>
      </w:r>
      <w:r w:rsidR="000F32CB" w:rsidRPr="00523556">
        <w:rPr>
          <w:rFonts w:ascii="Times New Roman" w:hAnsi="Times New Roman" w:cs="Times New Roman"/>
        </w:rPr>
        <w:t xml:space="preserve"> of the relative merits of alternative financing strategies</w:t>
      </w:r>
      <w:r w:rsidRPr="00523556">
        <w:rPr>
          <w:rFonts w:ascii="Times New Roman" w:hAnsi="Times New Roman" w:cs="Times New Roman"/>
        </w:rPr>
        <w:t>.</w:t>
      </w:r>
      <w:r w:rsidR="00A51CD9" w:rsidRPr="00523556">
        <w:rPr>
          <w:rFonts w:ascii="Times New Roman" w:hAnsi="Times New Roman" w:cs="Times New Roman"/>
        </w:rPr>
        <w:t xml:space="preserve"> </w:t>
      </w:r>
    </w:p>
    <w:p w:rsidR="00A51CD9" w:rsidRPr="00523556" w:rsidRDefault="00A51CD9" w:rsidP="0032346B">
      <w:pPr>
        <w:jc w:val="both"/>
        <w:rPr>
          <w:rFonts w:ascii="Times New Roman" w:hAnsi="Times New Roman" w:cs="Times New Roman"/>
        </w:rPr>
      </w:pPr>
      <w:r w:rsidRPr="00523556">
        <w:rPr>
          <w:rFonts w:ascii="Times New Roman" w:hAnsi="Times New Roman" w:cs="Times New Roman"/>
        </w:rPr>
        <w:t xml:space="preserve">For the fiscal projections and strategies set out above, </w:t>
      </w:r>
      <w:r w:rsidR="00877E6C" w:rsidRPr="00523556">
        <w:rPr>
          <w:rFonts w:ascii="Times New Roman" w:hAnsi="Times New Roman" w:cs="Times New Roman"/>
        </w:rPr>
        <w:t>Fig</w:t>
      </w:r>
      <w:r w:rsidR="00C9088F" w:rsidRPr="00523556">
        <w:rPr>
          <w:rFonts w:ascii="Times New Roman" w:hAnsi="Times New Roman" w:cs="Times New Roman"/>
        </w:rPr>
        <w:t>ure</w:t>
      </w:r>
      <w:r w:rsidR="00877E6C" w:rsidRPr="00523556">
        <w:rPr>
          <w:rFonts w:ascii="Times New Roman" w:hAnsi="Times New Roman" w:cs="Times New Roman"/>
        </w:rPr>
        <w:t xml:space="preserve"> </w:t>
      </w:r>
      <w:r w:rsidR="00C9088F" w:rsidRPr="00523556">
        <w:rPr>
          <w:rFonts w:ascii="Times New Roman" w:hAnsi="Times New Roman" w:cs="Times New Roman"/>
        </w:rPr>
        <w:t>3.3</w:t>
      </w:r>
      <w:r w:rsidR="00877E6C" w:rsidRPr="00523556">
        <w:rPr>
          <w:rFonts w:ascii="Times New Roman" w:hAnsi="Times New Roman" w:cs="Times New Roman"/>
        </w:rPr>
        <w:t xml:space="preserve"> illustrates the projected values for various </w:t>
      </w:r>
      <w:r w:rsidR="00321AB2" w:rsidRPr="00523556">
        <w:rPr>
          <w:rFonts w:ascii="Times New Roman" w:hAnsi="Times New Roman" w:cs="Times New Roman"/>
        </w:rPr>
        <w:t xml:space="preserve">debt portfolio indicators </w:t>
      </w:r>
      <w:r w:rsidR="00877E6C" w:rsidRPr="00523556">
        <w:rPr>
          <w:rFonts w:ascii="Times New Roman" w:hAnsi="Times New Roman" w:cs="Times New Roman"/>
        </w:rPr>
        <w:t xml:space="preserve">as </w:t>
      </w:r>
      <w:r w:rsidR="00A219DA" w:rsidRPr="00523556">
        <w:rPr>
          <w:rFonts w:ascii="Times New Roman" w:hAnsi="Times New Roman" w:cs="Times New Roman"/>
        </w:rPr>
        <w:t>at</w:t>
      </w:r>
      <w:r w:rsidR="00877E6C" w:rsidRPr="00523556">
        <w:rPr>
          <w:rFonts w:ascii="Times New Roman" w:hAnsi="Times New Roman" w:cs="Times New Roman"/>
        </w:rPr>
        <w:t xml:space="preserve"> end-FY19/20</w:t>
      </w:r>
      <w:r w:rsidR="00321AB2" w:rsidRPr="00523556">
        <w:rPr>
          <w:rFonts w:ascii="Times New Roman" w:hAnsi="Times New Roman" w:cs="Times New Roman"/>
        </w:rPr>
        <w:t xml:space="preserve"> under </w:t>
      </w:r>
      <w:r w:rsidRPr="00523556">
        <w:rPr>
          <w:rFonts w:ascii="Times New Roman" w:hAnsi="Times New Roman" w:cs="Times New Roman"/>
        </w:rPr>
        <w:t>each strategy</w:t>
      </w:r>
      <w:r w:rsidR="000F32CB" w:rsidRPr="00523556">
        <w:rPr>
          <w:rFonts w:ascii="Times New Roman" w:hAnsi="Times New Roman" w:cs="Times New Roman"/>
        </w:rPr>
        <w:t>;</w:t>
      </w:r>
      <w:r w:rsidR="00321AB2" w:rsidRPr="00523556">
        <w:rPr>
          <w:rFonts w:ascii="Times New Roman" w:hAnsi="Times New Roman" w:cs="Times New Roman"/>
        </w:rPr>
        <w:t xml:space="preserve"> Fig</w:t>
      </w:r>
      <w:r w:rsidR="00C9088F" w:rsidRPr="00523556">
        <w:rPr>
          <w:rFonts w:ascii="Times New Roman" w:hAnsi="Times New Roman" w:cs="Times New Roman"/>
        </w:rPr>
        <w:t>ure</w:t>
      </w:r>
      <w:r w:rsidR="00321AB2" w:rsidRPr="00523556">
        <w:rPr>
          <w:rFonts w:ascii="Times New Roman" w:hAnsi="Times New Roman" w:cs="Times New Roman"/>
        </w:rPr>
        <w:t xml:space="preserve"> </w:t>
      </w:r>
      <w:r w:rsidR="00C9088F" w:rsidRPr="00523556">
        <w:rPr>
          <w:rFonts w:ascii="Times New Roman" w:hAnsi="Times New Roman" w:cs="Times New Roman"/>
        </w:rPr>
        <w:t>3.4</w:t>
      </w:r>
      <w:r w:rsidR="00321AB2" w:rsidRPr="00523556">
        <w:rPr>
          <w:rFonts w:ascii="Times New Roman" w:hAnsi="Times New Roman" w:cs="Times New Roman"/>
        </w:rPr>
        <w:t xml:space="preserve"> plots, for two </w:t>
      </w:r>
      <w:r w:rsidR="00E10FAA" w:rsidRPr="00523556">
        <w:rPr>
          <w:rFonts w:ascii="Times New Roman" w:hAnsi="Times New Roman" w:cs="Times New Roman"/>
        </w:rPr>
        <w:t xml:space="preserve">illustrative </w:t>
      </w:r>
      <w:r w:rsidR="00321AB2" w:rsidRPr="00523556">
        <w:rPr>
          <w:rFonts w:ascii="Times New Roman" w:hAnsi="Times New Roman" w:cs="Times New Roman"/>
        </w:rPr>
        <w:t xml:space="preserve">indicators, the </w:t>
      </w:r>
      <w:r w:rsidR="006755B6" w:rsidRPr="00523556">
        <w:rPr>
          <w:rFonts w:ascii="Times New Roman" w:hAnsi="Times New Roman" w:cs="Times New Roman"/>
        </w:rPr>
        <w:t xml:space="preserve">central projected </w:t>
      </w:r>
      <w:r w:rsidR="00321AB2" w:rsidRPr="00523556">
        <w:rPr>
          <w:rFonts w:ascii="Times New Roman" w:hAnsi="Times New Roman" w:cs="Times New Roman"/>
        </w:rPr>
        <w:t xml:space="preserve">value </w:t>
      </w:r>
      <w:r w:rsidR="006755B6" w:rsidRPr="00523556">
        <w:rPr>
          <w:rFonts w:ascii="Times New Roman" w:hAnsi="Times New Roman" w:cs="Times New Roman"/>
        </w:rPr>
        <w:t xml:space="preserve">for </w:t>
      </w:r>
      <w:r w:rsidR="00321AB2" w:rsidRPr="00523556">
        <w:rPr>
          <w:rFonts w:ascii="Times New Roman" w:hAnsi="Times New Roman" w:cs="Times New Roman"/>
        </w:rPr>
        <w:t>that indicator (termed ‘cost’) and a simple measure of risk</w:t>
      </w:r>
      <w:r w:rsidR="005B5D39" w:rsidRPr="00523556">
        <w:rPr>
          <w:rFonts w:ascii="Times New Roman" w:hAnsi="Times New Roman" w:cs="Times New Roman"/>
        </w:rPr>
        <w:t>.</w:t>
      </w:r>
      <w:r w:rsidR="005B5D39" w:rsidRPr="00523556">
        <w:rPr>
          <w:rStyle w:val="FootnoteReference"/>
          <w:rFonts w:ascii="Times New Roman" w:hAnsi="Times New Roman" w:cs="Times New Roman"/>
        </w:rPr>
        <w:t xml:space="preserve"> </w:t>
      </w:r>
      <w:r w:rsidR="005B5D39" w:rsidRPr="00523556">
        <w:rPr>
          <w:rStyle w:val="FootnoteReference"/>
          <w:rFonts w:ascii="Times New Roman" w:hAnsi="Times New Roman" w:cs="Times New Roman"/>
        </w:rPr>
        <w:footnoteReference w:id="123"/>
      </w:r>
      <w:r w:rsidR="005B5D39" w:rsidRPr="00523556">
        <w:rPr>
          <w:rFonts w:ascii="Times New Roman" w:hAnsi="Times New Roman" w:cs="Times New Roman"/>
        </w:rPr>
        <w:t xml:space="preserve"> </w:t>
      </w:r>
      <w:r w:rsidR="00293777" w:rsidRPr="00523556">
        <w:rPr>
          <w:rStyle w:val="FootnoteReference"/>
          <w:rFonts w:ascii="Times New Roman" w:hAnsi="Times New Roman" w:cs="Times New Roman"/>
        </w:rPr>
        <w:footnoteReference w:id="124"/>
      </w:r>
    </w:p>
    <w:p w:rsidR="00CB7C27" w:rsidRPr="00523556" w:rsidRDefault="00CB7C27" w:rsidP="000615F3">
      <w:pPr>
        <w:pStyle w:val="Figheader"/>
        <w:rPr>
          <w:rFonts w:ascii="Times New Roman" w:hAnsi="Times New Roman" w:cs="Times New Roman"/>
        </w:rPr>
      </w:pPr>
    </w:p>
    <w:p w:rsidR="00CB7C27" w:rsidRPr="00523556" w:rsidRDefault="00CB7C27" w:rsidP="000615F3">
      <w:pPr>
        <w:pStyle w:val="Figheader"/>
        <w:rPr>
          <w:rFonts w:ascii="Times New Roman" w:hAnsi="Times New Roman" w:cs="Times New Roman"/>
        </w:rPr>
      </w:pPr>
    </w:p>
    <w:p w:rsidR="00CB7C27" w:rsidRPr="00523556" w:rsidRDefault="00CB7C27" w:rsidP="000615F3">
      <w:pPr>
        <w:pStyle w:val="Figheader"/>
        <w:rPr>
          <w:rFonts w:ascii="Times New Roman" w:hAnsi="Times New Roman" w:cs="Times New Roman"/>
        </w:rPr>
      </w:pPr>
    </w:p>
    <w:p w:rsidR="00CB7C27" w:rsidRPr="00523556" w:rsidRDefault="00CB7C27" w:rsidP="000615F3">
      <w:pPr>
        <w:pStyle w:val="Figheader"/>
        <w:rPr>
          <w:rFonts w:ascii="Times New Roman" w:hAnsi="Times New Roman" w:cs="Times New Roman"/>
        </w:rPr>
      </w:pPr>
    </w:p>
    <w:p w:rsidR="000615F3" w:rsidRPr="00523556" w:rsidRDefault="000615F3" w:rsidP="000615F3">
      <w:pPr>
        <w:pStyle w:val="Figheader"/>
        <w:rPr>
          <w:rFonts w:ascii="Times New Roman" w:hAnsi="Times New Roman" w:cs="Times New Roman"/>
        </w:rPr>
      </w:pPr>
      <w:r w:rsidRPr="00523556">
        <w:rPr>
          <w:rFonts w:ascii="Times New Roman" w:hAnsi="Times New Roman" w:cs="Times New Roman"/>
        </w:rPr>
        <w:t>Figure 3.3: Cost and risk indicators for alternative financing strategies (I)</w:t>
      </w:r>
    </w:p>
    <w:p w:rsidR="000615F3" w:rsidRPr="00523556" w:rsidRDefault="000615F3" w:rsidP="000615F3">
      <w:pPr>
        <w:spacing w:after="0"/>
        <w:jc w:val="center"/>
        <w:rPr>
          <w:rFonts w:ascii="Times New Roman" w:hAnsi="Times New Roman" w:cs="Times New Roman"/>
        </w:rPr>
      </w:pPr>
      <w:r w:rsidRPr="00523556">
        <w:rPr>
          <w:rFonts w:ascii="Times New Roman" w:hAnsi="Times New Roman" w:cs="Times New Roman"/>
          <w:noProof/>
          <w:lang w:eastAsia="en-GB"/>
        </w:rPr>
        <w:drawing>
          <wp:inline distT="0" distB="0" distL="0" distR="0">
            <wp:extent cx="5034915" cy="19475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34915" cy="1947545"/>
                    </a:xfrm>
                    <a:prstGeom prst="rect">
                      <a:avLst/>
                    </a:prstGeom>
                    <a:noFill/>
                    <a:ln>
                      <a:noFill/>
                    </a:ln>
                  </pic:spPr>
                </pic:pic>
              </a:graphicData>
            </a:graphic>
          </wp:inline>
        </w:drawing>
      </w:r>
    </w:p>
    <w:p w:rsidR="000615F3" w:rsidRPr="00523556" w:rsidRDefault="000615F3" w:rsidP="000615F3">
      <w:pPr>
        <w:pStyle w:val="Figfootnote"/>
        <w:rPr>
          <w:rFonts w:ascii="Times New Roman" w:hAnsi="Times New Roman" w:cs="Times New Roman"/>
          <w:sz w:val="24"/>
          <w:szCs w:val="24"/>
        </w:rPr>
      </w:pPr>
      <w:r w:rsidRPr="00523556">
        <w:rPr>
          <w:rFonts w:ascii="Times New Roman" w:hAnsi="Times New Roman" w:cs="Times New Roman"/>
          <w:sz w:val="24"/>
          <w:szCs w:val="24"/>
        </w:rPr>
        <w:t xml:space="preserve">Note: DD is comfortably below 15% of GDP at end-FY19/20 in both S1 and S2, despite reaching around 15% under both these strategies in FY18/19; DD falls in FY19/20 under all strategies – reflecting the acceleration of oil revenues, which facilitates a level of net </w:t>
      </w:r>
      <w:r w:rsidR="004823CF" w:rsidRPr="00523556">
        <w:rPr>
          <w:rFonts w:ascii="Times New Roman" w:hAnsi="Times New Roman" w:cs="Times New Roman"/>
          <w:sz w:val="24"/>
          <w:szCs w:val="24"/>
        </w:rPr>
        <w:t xml:space="preserve">DD </w:t>
      </w:r>
      <w:r w:rsidRPr="00523556">
        <w:rPr>
          <w:rFonts w:ascii="Times New Roman" w:hAnsi="Times New Roman" w:cs="Times New Roman"/>
          <w:sz w:val="24"/>
          <w:szCs w:val="24"/>
        </w:rPr>
        <w:t xml:space="preserve">issuance consistent with a falling DD-to-GDP ratio. </w:t>
      </w:r>
      <w:r w:rsidR="004823CF" w:rsidRPr="00523556">
        <w:rPr>
          <w:rFonts w:ascii="Times New Roman" w:hAnsi="Times New Roman" w:cs="Times New Roman"/>
          <w:sz w:val="24"/>
          <w:szCs w:val="24"/>
        </w:rPr>
        <w:t>‘</w:t>
      </w:r>
      <w:r w:rsidRPr="00523556">
        <w:rPr>
          <w:rFonts w:ascii="Times New Roman" w:hAnsi="Times New Roman" w:cs="Times New Roman"/>
          <w:sz w:val="24"/>
          <w:szCs w:val="24"/>
        </w:rPr>
        <w:t>FX</w:t>
      </w:r>
      <w:r w:rsidR="004823CF" w:rsidRPr="00523556">
        <w:rPr>
          <w:rFonts w:ascii="Times New Roman" w:hAnsi="Times New Roman" w:cs="Times New Roman"/>
          <w:sz w:val="24"/>
          <w:szCs w:val="24"/>
        </w:rPr>
        <w:t>’</w:t>
      </w:r>
      <w:r w:rsidRPr="00523556">
        <w:rPr>
          <w:rFonts w:ascii="Times New Roman" w:hAnsi="Times New Roman" w:cs="Times New Roman"/>
          <w:sz w:val="24"/>
          <w:szCs w:val="24"/>
        </w:rPr>
        <w:t xml:space="preserve"> refers to foreign currency.</w:t>
      </w:r>
    </w:p>
    <w:p w:rsidR="000615F3" w:rsidRPr="00523556" w:rsidRDefault="000615F3" w:rsidP="000615F3">
      <w:pPr>
        <w:pStyle w:val="Figheader"/>
        <w:rPr>
          <w:rFonts w:ascii="Times New Roman" w:hAnsi="Times New Roman" w:cs="Times New Roman"/>
        </w:rPr>
      </w:pPr>
    </w:p>
    <w:p w:rsidR="000615F3" w:rsidRPr="00523556" w:rsidRDefault="000615F3" w:rsidP="000615F3">
      <w:pPr>
        <w:pStyle w:val="Figheader"/>
        <w:rPr>
          <w:rFonts w:ascii="Times New Roman" w:hAnsi="Times New Roman" w:cs="Times New Roman"/>
        </w:rPr>
      </w:pPr>
      <w:r w:rsidRPr="00523556">
        <w:rPr>
          <w:rFonts w:ascii="Times New Roman" w:hAnsi="Times New Roman" w:cs="Times New Roman"/>
        </w:rPr>
        <w:lastRenderedPageBreak/>
        <w:t>Figure 3.4: Cost and risk indicators for alternative financing strategies (II)</w:t>
      </w:r>
    </w:p>
    <w:p w:rsidR="000615F3" w:rsidRPr="00523556" w:rsidRDefault="009107AF" w:rsidP="000615F3">
      <w:pPr>
        <w:spacing w:after="0"/>
        <w:jc w:val="center"/>
        <w:rPr>
          <w:rFonts w:ascii="Times New Roman" w:hAnsi="Times New Roman" w:cs="Times New Roman"/>
        </w:rPr>
      </w:pPr>
      <w:r w:rsidRPr="00523556">
        <w:rPr>
          <w:rFonts w:ascii="Times New Roman" w:hAnsi="Times New Roman" w:cs="Times New Roman"/>
          <w:noProof/>
          <w:lang w:eastAsia="en-GB"/>
        </w:rPr>
        <w:drawing>
          <wp:inline distT="0" distB="0" distL="0" distR="0">
            <wp:extent cx="2434590" cy="22917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4590" cy="2291715"/>
                    </a:xfrm>
                    <a:prstGeom prst="rect">
                      <a:avLst/>
                    </a:prstGeom>
                    <a:noFill/>
                    <a:ln>
                      <a:noFill/>
                    </a:ln>
                  </pic:spPr>
                </pic:pic>
              </a:graphicData>
            </a:graphic>
          </wp:inline>
        </w:drawing>
      </w:r>
      <w:r w:rsidRPr="00523556">
        <w:rPr>
          <w:rFonts w:ascii="Times New Roman" w:hAnsi="Times New Roman" w:cs="Times New Roman"/>
        </w:rPr>
        <w:t xml:space="preserve"> </w:t>
      </w:r>
      <w:r w:rsidR="005B5D39" w:rsidRPr="00523556">
        <w:rPr>
          <w:rFonts w:ascii="Times New Roman" w:hAnsi="Times New Roman" w:cs="Times New Roman"/>
          <w:noProof/>
          <w:lang w:eastAsia="en-GB"/>
        </w:rPr>
        <w:drawing>
          <wp:inline distT="0" distB="0" distL="0" distR="0">
            <wp:extent cx="2458085" cy="22917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58085" cy="2291715"/>
                    </a:xfrm>
                    <a:prstGeom prst="rect">
                      <a:avLst/>
                    </a:prstGeom>
                    <a:noFill/>
                    <a:ln>
                      <a:noFill/>
                    </a:ln>
                  </pic:spPr>
                </pic:pic>
              </a:graphicData>
            </a:graphic>
          </wp:inline>
        </w:drawing>
      </w:r>
    </w:p>
    <w:p w:rsidR="000615F3" w:rsidRPr="00523556" w:rsidRDefault="000615F3" w:rsidP="000615F3">
      <w:pPr>
        <w:pStyle w:val="Figfootnote"/>
        <w:rPr>
          <w:rFonts w:ascii="Times New Roman" w:hAnsi="Times New Roman" w:cs="Times New Roman"/>
          <w:sz w:val="24"/>
          <w:szCs w:val="24"/>
        </w:rPr>
      </w:pPr>
      <w:r w:rsidRPr="00523556">
        <w:rPr>
          <w:rFonts w:ascii="Times New Roman" w:hAnsi="Times New Roman" w:cs="Times New Roman"/>
          <w:sz w:val="24"/>
          <w:szCs w:val="24"/>
        </w:rPr>
        <w:t xml:space="preserve">Note: ‘Cost’ is the central projected value for the indicator for each strategy. ‘Risk’ is defined as the difference between that central cost, and the highest cost </w:t>
      </w:r>
      <w:r w:rsidR="009107AF" w:rsidRPr="00523556">
        <w:rPr>
          <w:rFonts w:ascii="Times New Roman" w:hAnsi="Times New Roman" w:cs="Times New Roman"/>
          <w:sz w:val="24"/>
          <w:szCs w:val="24"/>
        </w:rPr>
        <w:t xml:space="preserve">that results from </w:t>
      </w:r>
      <w:r w:rsidRPr="00523556">
        <w:rPr>
          <w:rFonts w:ascii="Times New Roman" w:hAnsi="Times New Roman" w:cs="Times New Roman"/>
          <w:sz w:val="24"/>
          <w:szCs w:val="24"/>
        </w:rPr>
        <w:t>the four shock scenarios outlined in</w:t>
      </w:r>
      <w:r w:rsidR="00A0690B" w:rsidRPr="00523556">
        <w:rPr>
          <w:rFonts w:ascii="Times New Roman" w:hAnsi="Times New Roman" w:cs="Times New Roman"/>
          <w:sz w:val="24"/>
          <w:szCs w:val="24"/>
        </w:rPr>
        <w:t xml:space="preserve"> the footnote below.</w:t>
      </w:r>
    </w:p>
    <w:p w:rsidR="000615F3" w:rsidRPr="00523556" w:rsidRDefault="000615F3" w:rsidP="000615F3">
      <w:pPr>
        <w:spacing w:after="0"/>
        <w:jc w:val="both"/>
        <w:rPr>
          <w:rFonts w:ascii="Times New Roman" w:hAnsi="Times New Roman" w:cs="Times New Roman"/>
        </w:rPr>
      </w:pPr>
    </w:p>
    <w:p w:rsidR="00BC2D23" w:rsidRPr="00523556" w:rsidRDefault="00A51CD9" w:rsidP="0032346B">
      <w:pPr>
        <w:jc w:val="both"/>
        <w:rPr>
          <w:rFonts w:ascii="Times New Roman" w:hAnsi="Times New Roman" w:cs="Times New Roman"/>
        </w:rPr>
      </w:pPr>
      <w:r w:rsidRPr="00523556">
        <w:rPr>
          <w:rFonts w:ascii="Times New Roman" w:hAnsi="Times New Roman" w:cs="Times New Roman"/>
        </w:rPr>
        <w:t xml:space="preserve">A key message that emerges is that strategies </w:t>
      </w:r>
      <w:r w:rsidR="00124384" w:rsidRPr="00523556">
        <w:rPr>
          <w:rFonts w:ascii="Times New Roman" w:hAnsi="Times New Roman" w:cs="Times New Roman"/>
        </w:rPr>
        <w:t>which</w:t>
      </w:r>
      <w:r w:rsidRPr="00523556">
        <w:rPr>
          <w:rFonts w:ascii="Times New Roman" w:hAnsi="Times New Roman" w:cs="Times New Roman"/>
        </w:rPr>
        <w:t xml:space="preserve"> incorporate higher semi-concessional external borrowing are preferable to those where instead there is a greater</w:t>
      </w:r>
      <w:r w:rsidR="00B97C3C" w:rsidRPr="00523556">
        <w:rPr>
          <w:rFonts w:ascii="Times New Roman" w:hAnsi="Times New Roman" w:cs="Times New Roman"/>
        </w:rPr>
        <w:t xml:space="preserve"> reliance on market-based issuance</w:t>
      </w:r>
      <w:r w:rsidR="00CE34B1" w:rsidRPr="00523556">
        <w:rPr>
          <w:rFonts w:ascii="Times New Roman" w:hAnsi="Times New Roman" w:cs="Times New Roman"/>
        </w:rPr>
        <w:t>, whether domestic or external</w:t>
      </w:r>
      <w:r w:rsidR="002F7AB4" w:rsidRPr="00523556">
        <w:rPr>
          <w:rFonts w:ascii="Times New Roman" w:hAnsi="Times New Roman" w:cs="Times New Roman"/>
        </w:rPr>
        <w:t xml:space="preserve"> –</w:t>
      </w:r>
      <w:r w:rsidRPr="00523556">
        <w:rPr>
          <w:rFonts w:ascii="Times New Roman" w:hAnsi="Times New Roman" w:cs="Times New Roman"/>
        </w:rPr>
        <w:t xml:space="preserve"> with</w:t>
      </w:r>
      <w:r w:rsidR="002F7AB4" w:rsidRPr="00523556">
        <w:rPr>
          <w:rFonts w:ascii="Times New Roman" w:hAnsi="Times New Roman" w:cs="Times New Roman"/>
        </w:rPr>
        <w:t xml:space="preserve"> </w:t>
      </w:r>
      <w:r w:rsidRPr="00523556">
        <w:rPr>
          <w:rFonts w:ascii="Times New Roman" w:hAnsi="Times New Roman" w:cs="Times New Roman"/>
        </w:rPr>
        <w:t xml:space="preserve">both cost and risk </w:t>
      </w:r>
      <w:r w:rsidR="00597DE2" w:rsidRPr="00523556">
        <w:rPr>
          <w:rFonts w:ascii="Times New Roman" w:hAnsi="Times New Roman" w:cs="Times New Roman"/>
        </w:rPr>
        <w:t xml:space="preserve">measures </w:t>
      </w:r>
      <w:r w:rsidRPr="00523556">
        <w:rPr>
          <w:rFonts w:ascii="Times New Roman" w:hAnsi="Times New Roman" w:cs="Times New Roman"/>
        </w:rPr>
        <w:t>being lower when semi-co</w:t>
      </w:r>
      <w:r w:rsidR="00597DE2" w:rsidRPr="00523556">
        <w:rPr>
          <w:rFonts w:ascii="Times New Roman" w:hAnsi="Times New Roman" w:cs="Times New Roman"/>
        </w:rPr>
        <w:t>ncessional borrowing is greater</w:t>
      </w:r>
      <w:r w:rsidRPr="00523556">
        <w:rPr>
          <w:rFonts w:ascii="Times New Roman" w:hAnsi="Times New Roman" w:cs="Times New Roman"/>
        </w:rPr>
        <w:t>.</w:t>
      </w:r>
      <w:r w:rsidRPr="00523556">
        <w:rPr>
          <w:rStyle w:val="FootnoteReference"/>
          <w:rFonts w:ascii="Times New Roman" w:hAnsi="Times New Roman" w:cs="Times New Roman"/>
        </w:rPr>
        <w:footnoteReference w:id="125"/>
      </w:r>
      <w:r w:rsidRPr="00523556">
        <w:rPr>
          <w:rFonts w:ascii="Times New Roman" w:hAnsi="Times New Roman" w:cs="Times New Roman"/>
        </w:rPr>
        <w:t xml:space="preserve"> For example, the debt-to-GDP ratio and the interest burden indicators are greatest under S1 (no semi-concessional borrowing), and second-highest under S2 (moderate levels of semi-concessional borrowing). </w:t>
      </w:r>
    </w:p>
    <w:p w:rsidR="00A51CD9" w:rsidRPr="00523556" w:rsidRDefault="00CE34B1" w:rsidP="0032346B">
      <w:pPr>
        <w:jc w:val="both"/>
        <w:rPr>
          <w:rFonts w:ascii="Times New Roman" w:hAnsi="Times New Roman" w:cs="Times New Roman"/>
        </w:rPr>
      </w:pPr>
      <w:r w:rsidRPr="00523556">
        <w:rPr>
          <w:rFonts w:ascii="Times New Roman" w:hAnsi="Times New Roman" w:cs="Times New Roman"/>
        </w:rPr>
        <w:t xml:space="preserve">Given that semi-concessional financing </w:t>
      </w:r>
      <w:r w:rsidR="008A355E" w:rsidRPr="00523556">
        <w:rPr>
          <w:rFonts w:ascii="Times New Roman" w:hAnsi="Times New Roman" w:cs="Times New Roman"/>
        </w:rPr>
        <w:t>is</w:t>
      </w:r>
      <w:r w:rsidRPr="00523556">
        <w:rPr>
          <w:rFonts w:ascii="Times New Roman" w:hAnsi="Times New Roman" w:cs="Times New Roman"/>
        </w:rPr>
        <w:t xml:space="preserve"> </w:t>
      </w:r>
      <w:r w:rsidR="008A355E" w:rsidRPr="00523556">
        <w:rPr>
          <w:rFonts w:ascii="Times New Roman" w:hAnsi="Times New Roman" w:cs="Times New Roman"/>
        </w:rPr>
        <w:t>inherently</w:t>
      </w:r>
      <w:r w:rsidRPr="00523556">
        <w:rPr>
          <w:rFonts w:ascii="Times New Roman" w:hAnsi="Times New Roman" w:cs="Times New Roman"/>
        </w:rPr>
        <w:t xml:space="preserve"> (all else equal) preferable to commercial external financing, the most noteworthy comparison in this regard is between strategies S2 and S4</w:t>
      </w:r>
      <w:r w:rsidR="008A355E" w:rsidRPr="00523556">
        <w:rPr>
          <w:rFonts w:ascii="Times New Roman" w:hAnsi="Times New Roman" w:cs="Times New Roman"/>
        </w:rPr>
        <w:t xml:space="preserve">: aside from a </w:t>
      </w:r>
      <w:r w:rsidR="00AF1E39" w:rsidRPr="00523556">
        <w:rPr>
          <w:rFonts w:ascii="Times New Roman" w:hAnsi="Times New Roman" w:cs="Times New Roman"/>
        </w:rPr>
        <w:t>$100m</w:t>
      </w:r>
      <w:r w:rsidR="008A355E" w:rsidRPr="00523556">
        <w:rPr>
          <w:rFonts w:ascii="Times New Roman" w:hAnsi="Times New Roman" w:cs="Times New Roman"/>
        </w:rPr>
        <w:t xml:space="preserve"> difference in Eurobond issuance, </w:t>
      </w:r>
      <w:r w:rsidRPr="00523556">
        <w:rPr>
          <w:rFonts w:ascii="Times New Roman" w:hAnsi="Times New Roman" w:cs="Times New Roman"/>
        </w:rPr>
        <w:t xml:space="preserve">the </w:t>
      </w:r>
      <w:r w:rsidR="008A355E" w:rsidRPr="00523556">
        <w:rPr>
          <w:rFonts w:ascii="Times New Roman" w:hAnsi="Times New Roman" w:cs="Times New Roman"/>
        </w:rPr>
        <w:t xml:space="preserve">primary </w:t>
      </w:r>
      <w:r w:rsidRPr="00523556">
        <w:rPr>
          <w:rFonts w:ascii="Times New Roman" w:hAnsi="Times New Roman" w:cs="Times New Roman"/>
        </w:rPr>
        <w:t xml:space="preserve">difference between the two </w:t>
      </w:r>
      <w:r w:rsidR="00EF3655" w:rsidRPr="00523556">
        <w:rPr>
          <w:rFonts w:ascii="Times New Roman" w:hAnsi="Times New Roman" w:cs="Times New Roman"/>
        </w:rPr>
        <w:t xml:space="preserve">is </w:t>
      </w:r>
      <w:r w:rsidRPr="00523556">
        <w:rPr>
          <w:rFonts w:ascii="Times New Roman" w:hAnsi="Times New Roman" w:cs="Times New Roman"/>
        </w:rPr>
        <w:t xml:space="preserve">higher domestic debt issuance and lower semi-concessional </w:t>
      </w:r>
      <w:r w:rsidR="00E149E8" w:rsidRPr="00523556">
        <w:rPr>
          <w:rFonts w:ascii="Times New Roman" w:hAnsi="Times New Roman" w:cs="Times New Roman"/>
        </w:rPr>
        <w:t xml:space="preserve">external </w:t>
      </w:r>
      <w:r w:rsidRPr="00523556">
        <w:rPr>
          <w:rFonts w:ascii="Times New Roman" w:hAnsi="Times New Roman" w:cs="Times New Roman"/>
        </w:rPr>
        <w:t>financing in S2</w:t>
      </w:r>
      <w:r w:rsidR="00E149E8" w:rsidRPr="00523556">
        <w:rPr>
          <w:rFonts w:ascii="Times New Roman" w:hAnsi="Times New Roman" w:cs="Times New Roman"/>
        </w:rPr>
        <w:t xml:space="preserve"> compared to S4</w:t>
      </w:r>
      <w:r w:rsidRPr="00523556">
        <w:rPr>
          <w:rFonts w:ascii="Times New Roman" w:hAnsi="Times New Roman" w:cs="Times New Roman"/>
        </w:rPr>
        <w:t xml:space="preserve">. </w:t>
      </w:r>
      <w:r w:rsidR="007D7993" w:rsidRPr="00523556">
        <w:rPr>
          <w:rFonts w:ascii="Times New Roman" w:hAnsi="Times New Roman" w:cs="Times New Roman"/>
        </w:rPr>
        <w:t>In these simulations, t</w:t>
      </w:r>
      <w:r w:rsidRPr="00523556">
        <w:rPr>
          <w:rFonts w:ascii="Times New Roman" w:hAnsi="Times New Roman" w:cs="Times New Roman"/>
        </w:rPr>
        <w:t xml:space="preserve">he greater exposure to exchange rate risk in S4 is </w:t>
      </w:r>
      <w:r w:rsidR="00E149E8" w:rsidRPr="00523556">
        <w:rPr>
          <w:rFonts w:ascii="Times New Roman" w:hAnsi="Times New Roman" w:cs="Times New Roman"/>
        </w:rPr>
        <w:t>comfortabl</w:t>
      </w:r>
      <w:r w:rsidR="008A355E" w:rsidRPr="00523556">
        <w:rPr>
          <w:rFonts w:ascii="Times New Roman" w:hAnsi="Times New Roman" w:cs="Times New Roman"/>
        </w:rPr>
        <w:t>y</w:t>
      </w:r>
      <w:r w:rsidRPr="00523556">
        <w:rPr>
          <w:rFonts w:ascii="Times New Roman" w:hAnsi="Times New Roman" w:cs="Times New Roman"/>
        </w:rPr>
        <w:t xml:space="preserve"> outweighed by the </w:t>
      </w:r>
      <w:r w:rsidR="00E149E8" w:rsidRPr="00523556">
        <w:rPr>
          <w:rFonts w:ascii="Times New Roman" w:hAnsi="Times New Roman" w:cs="Times New Roman"/>
        </w:rPr>
        <w:t xml:space="preserve">lower exposure to domestic market risks and </w:t>
      </w:r>
      <w:r w:rsidR="007D7993" w:rsidRPr="00523556">
        <w:rPr>
          <w:rFonts w:ascii="Times New Roman" w:hAnsi="Times New Roman" w:cs="Times New Roman"/>
        </w:rPr>
        <w:t xml:space="preserve">the </w:t>
      </w:r>
      <w:r w:rsidR="00E149E8" w:rsidRPr="00523556">
        <w:rPr>
          <w:rFonts w:ascii="Times New Roman" w:hAnsi="Times New Roman" w:cs="Times New Roman"/>
        </w:rPr>
        <w:t>higher level of concessionality of financing</w:t>
      </w:r>
      <w:r w:rsidR="007D7993" w:rsidRPr="00523556">
        <w:rPr>
          <w:rFonts w:ascii="Times New Roman" w:hAnsi="Times New Roman" w:cs="Times New Roman"/>
        </w:rPr>
        <w:t xml:space="preserve"> – with a clear policy implication being that GoU should seek to expand its access to semi-concessional external financing. However, it is important to bear in mind the caveats set out in Section 2.</w:t>
      </w:r>
      <w:r w:rsidR="00277E88" w:rsidRPr="00523556">
        <w:rPr>
          <w:rFonts w:ascii="Times New Roman" w:hAnsi="Times New Roman" w:cs="Times New Roman"/>
        </w:rPr>
        <w:t>5</w:t>
      </w:r>
      <w:r w:rsidR="007D7993" w:rsidRPr="00523556">
        <w:rPr>
          <w:rFonts w:ascii="Times New Roman" w:hAnsi="Times New Roman" w:cs="Times New Roman"/>
        </w:rPr>
        <w:t xml:space="preserve"> (particularly the potential for semi-concessional financing to come with </w:t>
      </w:r>
      <w:r w:rsidR="00277E88" w:rsidRPr="00523556">
        <w:rPr>
          <w:rFonts w:ascii="Times New Roman" w:hAnsi="Times New Roman" w:cs="Times New Roman"/>
        </w:rPr>
        <w:t xml:space="preserve">conditions </w:t>
      </w:r>
      <w:r w:rsidR="007D7993" w:rsidRPr="00523556">
        <w:rPr>
          <w:rFonts w:ascii="Times New Roman" w:hAnsi="Times New Roman" w:cs="Times New Roman"/>
        </w:rPr>
        <w:t xml:space="preserve">attached that make it difficult to assess the true level of concessionality), and that the comparison with domestic financing will become less clear-cut the lower the grant element in the semi-concessional financing being contracted. </w:t>
      </w:r>
    </w:p>
    <w:p w:rsidR="001E15BE" w:rsidRPr="00523556" w:rsidRDefault="00B01C75" w:rsidP="0032346B">
      <w:pPr>
        <w:jc w:val="both"/>
        <w:rPr>
          <w:rFonts w:ascii="Times New Roman" w:hAnsi="Times New Roman" w:cs="Times New Roman"/>
        </w:rPr>
      </w:pPr>
      <w:r w:rsidRPr="00523556">
        <w:rPr>
          <w:rFonts w:ascii="Times New Roman" w:hAnsi="Times New Roman" w:cs="Times New Roman"/>
        </w:rPr>
        <w:t>T</w:t>
      </w:r>
      <w:r w:rsidR="00F72CBF" w:rsidRPr="00523556">
        <w:rPr>
          <w:rFonts w:ascii="Times New Roman" w:hAnsi="Times New Roman" w:cs="Times New Roman"/>
        </w:rPr>
        <w:t xml:space="preserve">he two ‘high’ </w:t>
      </w:r>
      <w:r w:rsidR="00987EF8" w:rsidRPr="00523556">
        <w:rPr>
          <w:rFonts w:ascii="Times New Roman" w:hAnsi="Times New Roman" w:cs="Times New Roman"/>
        </w:rPr>
        <w:t>semi</w:t>
      </w:r>
      <w:r w:rsidR="00F72CBF" w:rsidRPr="00523556">
        <w:rPr>
          <w:rFonts w:ascii="Times New Roman" w:hAnsi="Times New Roman" w:cs="Times New Roman"/>
        </w:rPr>
        <w:t xml:space="preserve">-concessional borrowing strategies </w:t>
      </w:r>
      <w:r w:rsidR="00E10FAA" w:rsidRPr="00523556">
        <w:rPr>
          <w:rFonts w:ascii="Times New Roman" w:hAnsi="Times New Roman" w:cs="Times New Roman"/>
        </w:rPr>
        <w:t>S3 and S</w:t>
      </w:r>
      <w:r w:rsidR="005D7E50" w:rsidRPr="00523556">
        <w:rPr>
          <w:rFonts w:ascii="Times New Roman" w:hAnsi="Times New Roman" w:cs="Times New Roman"/>
        </w:rPr>
        <w:t>4</w:t>
      </w:r>
      <w:r w:rsidR="00E10FAA" w:rsidRPr="00523556">
        <w:rPr>
          <w:rFonts w:ascii="Times New Roman" w:hAnsi="Times New Roman" w:cs="Times New Roman"/>
        </w:rPr>
        <w:t xml:space="preserve"> </w:t>
      </w:r>
      <w:r w:rsidR="00BC2D23" w:rsidRPr="00523556">
        <w:rPr>
          <w:rFonts w:ascii="Times New Roman" w:hAnsi="Times New Roman" w:cs="Times New Roman"/>
        </w:rPr>
        <w:t xml:space="preserve">provide the basis for a comparison of the merits of Eurobond issuance with domestic debt – </w:t>
      </w:r>
      <w:r w:rsidR="00A51CD9" w:rsidRPr="00523556">
        <w:rPr>
          <w:rFonts w:ascii="Times New Roman" w:hAnsi="Times New Roman" w:cs="Times New Roman"/>
        </w:rPr>
        <w:t>with</w:t>
      </w:r>
      <w:r w:rsidR="00BC2D23" w:rsidRPr="00523556">
        <w:rPr>
          <w:rFonts w:ascii="Times New Roman" w:hAnsi="Times New Roman" w:cs="Times New Roman"/>
        </w:rPr>
        <w:t xml:space="preserve"> </w:t>
      </w:r>
      <w:r w:rsidR="00A51CD9" w:rsidRPr="00523556">
        <w:rPr>
          <w:rFonts w:ascii="Times New Roman" w:hAnsi="Times New Roman" w:cs="Times New Roman"/>
        </w:rPr>
        <w:t>S3</w:t>
      </w:r>
      <w:r w:rsidR="007B09B4" w:rsidRPr="00523556">
        <w:rPr>
          <w:rFonts w:ascii="Times New Roman" w:hAnsi="Times New Roman" w:cs="Times New Roman"/>
        </w:rPr>
        <w:t xml:space="preserve"> relying more heavily on domestic debt, </w:t>
      </w:r>
      <w:r w:rsidR="00F72CBF" w:rsidRPr="00523556">
        <w:rPr>
          <w:rFonts w:ascii="Times New Roman" w:hAnsi="Times New Roman" w:cs="Times New Roman"/>
        </w:rPr>
        <w:t xml:space="preserve">and </w:t>
      </w:r>
      <w:r w:rsidR="00A51CD9" w:rsidRPr="00523556">
        <w:rPr>
          <w:rFonts w:ascii="Times New Roman" w:hAnsi="Times New Roman" w:cs="Times New Roman"/>
        </w:rPr>
        <w:t xml:space="preserve">S4 </w:t>
      </w:r>
      <w:r w:rsidR="00F72CBF" w:rsidRPr="00523556">
        <w:rPr>
          <w:rFonts w:ascii="Times New Roman" w:hAnsi="Times New Roman" w:cs="Times New Roman"/>
        </w:rPr>
        <w:t>incorporating</w:t>
      </w:r>
      <w:r w:rsidR="007B09B4" w:rsidRPr="00523556">
        <w:rPr>
          <w:rFonts w:ascii="Times New Roman" w:hAnsi="Times New Roman" w:cs="Times New Roman"/>
        </w:rPr>
        <w:t xml:space="preserve"> </w:t>
      </w:r>
      <w:r w:rsidR="006E5E5C" w:rsidRPr="00523556">
        <w:rPr>
          <w:rFonts w:ascii="Times New Roman" w:hAnsi="Times New Roman" w:cs="Times New Roman"/>
        </w:rPr>
        <w:t xml:space="preserve">the issuance of </w:t>
      </w:r>
      <w:r w:rsidR="007B09B4" w:rsidRPr="00523556">
        <w:rPr>
          <w:rFonts w:ascii="Times New Roman" w:hAnsi="Times New Roman" w:cs="Times New Roman"/>
        </w:rPr>
        <w:t>a $500m</w:t>
      </w:r>
      <w:r w:rsidR="006E5E5C" w:rsidRPr="00523556">
        <w:rPr>
          <w:rFonts w:ascii="Times New Roman" w:hAnsi="Times New Roman" w:cs="Times New Roman"/>
        </w:rPr>
        <w:t>,</w:t>
      </w:r>
      <w:r w:rsidR="007B09B4" w:rsidRPr="00523556">
        <w:rPr>
          <w:rFonts w:ascii="Times New Roman" w:hAnsi="Times New Roman" w:cs="Times New Roman"/>
        </w:rPr>
        <w:t xml:space="preserve"> </w:t>
      </w:r>
      <w:r w:rsidR="006E5E5C" w:rsidRPr="00523556">
        <w:rPr>
          <w:rFonts w:ascii="Times New Roman" w:hAnsi="Times New Roman" w:cs="Times New Roman"/>
        </w:rPr>
        <w:t xml:space="preserve">10-year </w:t>
      </w:r>
      <w:r w:rsidR="007B09B4" w:rsidRPr="00523556">
        <w:rPr>
          <w:rFonts w:ascii="Times New Roman" w:hAnsi="Times New Roman" w:cs="Times New Roman"/>
        </w:rPr>
        <w:t>Eurobond</w:t>
      </w:r>
      <w:r w:rsidR="00BC2D23" w:rsidRPr="00523556">
        <w:rPr>
          <w:rFonts w:ascii="Times New Roman" w:hAnsi="Times New Roman" w:cs="Times New Roman"/>
        </w:rPr>
        <w:t xml:space="preserve">. It is interesting to note that, on the basis of the simulations here, </w:t>
      </w:r>
      <w:r w:rsidR="00547067" w:rsidRPr="00523556">
        <w:rPr>
          <w:rFonts w:ascii="Times New Roman" w:hAnsi="Times New Roman" w:cs="Times New Roman"/>
        </w:rPr>
        <w:t xml:space="preserve">the implied debt management costs and risks of </w:t>
      </w:r>
      <w:r w:rsidR="00BC2D23" w:rsidRPr="00523556">
        <w:rPr>
          <w:rFonts w:ascii="Times New Roman" w:hAnsi="Times New Roman" w:cs="Times New Roman"/>
        </w:rPr>
        <w:t xml:space="preserve">these two strategies </w:t>
      </w:r>
      <w:r w:rsidR="00E10FAA" w:rsidRPr="00523556">
        <w:rPr>
          <w:rFonts w:ascii="Times New Roman" w:hAnsi="Times New Roman" w:cs="Times New Roman"/>
        </w:rPr>
        <w:t>are</w:t>
      </w:r>
      <w:r w:rsidR="00F72CBF" w:rsidRPr="00523556">
        <w:rPr>
          <w:rFonts w:ascii="Times New Roman" w:hAnsi="Times New Roman" w:cs="Times New Roman"/>
        </w:rPr>
        <w:t xml:space="preserve"> </w:t>
      </w:r>
      <w:r w:rsidR="00E10FAA" w:rsidRPr="00523556">
        <w:rPr>
          <w:rFonts w:ascii="Times New Roman" w:hAnsi="Times New Roman" w:cs="Times New Roman"/>
        </w:rPr>
        <w:t>very similar</w:t>
      </w:r>
      <w:r w:rsidR="00A51CD9" w:rsidRPr="00523556">
        <w:rPr>
          <w:rFonts w:ascii="Times New Roman" w:hAnsi="Times New Roman" w:cs="Times New Roman"/>
        </w:rPr>
        <w:t>, with</w:t>
      </w:r>
      <w:r w:rsidR="00DA7B32" w:rsidRPr="00523556">
        <w:rPr>
          <w:rFonts w:ascii="Times New Roman" w:hAnsi="Times New Roman" w:cs="Times New Roman"/>
        </w:rPr>
        <w:t xml:space="preserve"> only negligible </w:t>
      </w:r>
      <w:r w:rsidR="00DA7B32" w:rsidRPr="00523556">
        <w:rPr>
          <w:rFonts w:ascii="Times New Roman" w:hAnsi="Times New Roman" w:cs="Times New Roman"/>
        </w:rPr>
        <w:lastRenderedPageBreak/>
        <w:t>differences between</w:t>
      </w:r>
      <w:r w:rsidR="00E10FAA" w:rsidRPr="00523556">
        <w:rPr>
          <w:rFonts w:ascii="Times New Roman" w:hAnsi="Times New Roman" w:cs="Times New Roman"/>
        </w:rPr>
        <w:t xml:space="preserve"> debt </w:t>
      </w:r>
      <w:r w:rsidR="00A51CD9" w:rsidRPr="00523556">
        <w:rPr>
          <w:rFonts w:ascii="Times New Roman" w:hAnsi="Times New Roman" w:cs="Times New Roman"/>
        </w:rPr>
        <w:t>stock and interest cost indicators</w:t>
      </w:r>
      <w:r w:rsidR="004A2586" w:rsidRPr="00523556">
        <w:rPr>
          <w:rFonts w:ascii="Times New Roman" w:hAnsi="Times New Roman" w:cs="Times New Roman"/>
        </w:rPr>
        <w:t>.</w:t>
      </w:r>
      <w:r w:rsidR="00CB6F33" w:rsidRPr="00523556">
        <w:rPr>
          <w:rFonts w:ascii="Times New Roman" w:hAnsi="Times New Roman" w:cs="Times New Roman"/>
        </w:rPr>
        <w:t xml:space="preserve"> However,</w:t>
      </w:r>
      <w:r w:rsidRPr="00523556">
        <w:rPr>
          <w:rFonts w:ascii="Times New Roman" w:hAnsi="Times New Roman" w:cs="Times New Roman"/>
        </w:rPr>
        <w:t xml:space="preserve"> </w:t>
      </w:r>
      <w:r w:rsidR="00CB6F33" w:rsidRPr="00523556">
        <w:rPr>
          <w:rFonts w:ascii="Times New Roman" w:hAnsi="Times New Roman" w:cs="Times New Roman"/>
        </w:rPr>
        <w:t>a</w:t>
      </w:r>
      <w:r w:rsidR="00E37838" w:rsidRPr="00523556">
        <w:rPr>
          <w:rFonts w:ascii="Times New Roman" w:hAnsi="Times New Roman" w:cs="Times New Roman"/>
        </w:rPr>
        <w:t xml:space="preserve"> crucial</w:t>
      </w:r>
      <w:r w:rsidR="00CB6F33" w:rsidRPr="00523556">
        <w:rPr>
          <w:rFonts w:ascii="Times New Roman" w:hAnsi="Times New Roman" w:cs="Times New Roman"/>
        </w:rPr>
        <w:t xml:space="preserve"> factor to note is</w:t>
      </w:r>
      <w:r w:rsidRPr="00523556">
        <w:rPr>
          <w:rFonts w:ascii="Times New Roman" w:hAnsi="Times New Roman" w:cs="Times New Roman"/>
        </w:rPr>
        <w:t xml:space="preserve"> that refinancing risks associated with the Eurobond are not captured </w:t>
      </w:r>
      <w:r w:rsidR="00CB6F33" w:rsidRPr="00523556">
        <w:rPr>
          <w:rFonts w:ascii="Times New Roman" w:hAnsi="Times New Roman" w:cs="Times New Roman"/>
        </w:rPr>
        <w:t>here</w:t>
      </w:r>
      <w:r w:rsidR="00C328EB" w:rsidRPr="00523556">
        <w:rPr>
          <w:rFonts w:ascii="Times New Roman" w:hAnsi="Times New Roman" w:cs="Times New Roman"/>
        </w:rPr>
        <w:t xml:space="preserve"> –</w:t>
      </w:r>
      <w:r w:rsidRPr="00523556">
        <w:rPr>
          <w:rFonts w:ascii="Times New Roman" w:hAnsi="Times New Roman" w:cs="Times New Roman"/>
        </w:rPr>
        <w:t xml:space="preserve"> as</w:t>
      </w:r>
      <w:r w:rsidR="00C328EB" w:rsidRPr="00523556">
        <w:rPr>
          <w:rFonts w:ascii="Times New Roman" w:hAnsi="Times New Roman" w:cs="Times New Roman"/>
        </w:rPr>
        <w:t xml:space="preserve"> </w:t>
      </w:r>
      <w:r w:rsidRPr="00523556">
        <w:rPr>
          <w:rFonts w:ascii="Times New Roman" w:hAnsi="Times New Roman" w:cs="Times New Roman"/>
        </w:rPr>
        <w:t>the redemption date lies beyond the end of the projection period</w:t>
      </w:r>
      <w:r w:rsidR="00F72CBF" w:rsidRPr="00523556">
        <w:rPr>
          <w:rFonts w:ascii="Times New Roman" w:hAnsi="Times New Roman" w:cs="Times New Roman"/>
        </w:rPr>
        <w:t>.</w:t>
      </w:r>
      <w:r w:rsidR="00DA7B32" w:rsidRPr="00523556">
        <w:rPr>
          <w:rFonts w:ascii="Times New Roman" w:hAnsi="Times New Roman" w:cs="Times New Roman"/>
        </w:rPr>
        <w:t xml:space="preserve"> </w:t>
      </w:r>
      <w:r w:rsidR="00C328EB" w:rsidRPr="00523556">
        <w:rPr>
          <w:rFonts w:ascii="Times New Roman" w:hAnsi="Times New Roman" w:cs="Times New Roman"/>
        </w:rPr>
        <w:t>T</w:t>
      </w:r>
      <w:r w:rsidR="00DA7B32" w:rsidRPr="00523556">
        <w:rPr>
          <w:rFonts w:ascii="Times New Roman" w:hAnsi="Times New Roman" w:cs="Times New Roman"/>
        </w:rPr>
        <w:t xml:space="preserve">he comparison will </w:t>
      </w:r>
      <w:r w:rsidR="00C328EB" w:rsidRPr="00523556">
        <w:rPr>
          <w:rFonts w:ascii="Times New Roman" w:hAnsi="Times New Roman" w:cs="Times New Roman"/>
        </w:rPr>
        <w:t xml:space="preserve">also </w:t>
      </w:r>
      <w:r w:rsidR="00DA7B32" w:rsidRPr="00523556">
        <w:rPr>
          <w:rFonts w:ascii="Times New Roman" w:hAnsi="Times New Roman" w:cs="Times New Roman"/>
        </w:rPr>
        <w:t xml:space="preserve">be sensitive to </w:t>
      </w:r>
      <w:r w:rsidR="00C328EB" w:rsidRPr="00523556">
        <w:rPr>
          <w:rFonts w:ascii="Times New Roman" w:hAnsi="Times New Roman" w:cs="Times New Roman"/>
        </w:rPr>
        <w:t xml:space="preserve">some extent to </w:t>
      </w:r>
      <w:r w:rsidR="00AF1E39" w:rsidRPr="00523556">
        <w:rPr>
          <w:rFonts w:ascii="Times New Roman" w:hAnsi="Times New Roman" w:cs="Times New Roman"/>
        </w:rPr>
        <w:t xml:space="preserve">the assumptions used for </w:t>
      </w:r>
      <w:r w:rsidR="00DA7B32" w:rsidRPr="00523556">
        <w:rPr>
          <w:rFonts w:ascii="Times New Roman" w:hAnsi="Times New Roman" w:cs="Times New Roman"/>
        </w:rPr>
        <w:t xml:space="preserve">domestic and international market conditions, and </w:t>
      </w:r>
      <w:r w:rsidR="00AF1E39" w:rsidRPr="00523556">
        <w:rPr>
          <w:rFonts w:ascii="Times New Roman" w:hAnsi="Times New Roman" w:cs="Times New Roman"/>
        </w:rPr>
        <w:t>the precise shock scenarios used to gene</w:t>
      </w:r>
      <w:r w:rsidR="00CB7C27" w:rsidRPr="00523556">
        <w:rPr>
          <w:rFonts w:ascii="Times New Roman" w:hAnsi="Times New Roman" w:cs="Times New Roman"/>
        </w:rPr>
        <w:t>rate the simple measure of risk</w:t>
      </w:r>
      <w:r w:rsidR="006C6B5C" w:rsidRPr="00523556">
        <w:rPr>
          <w:rFonts w:ascii="Times New Roman" w:hAnsi="Times New Roman" w:cs="Times New Roman"/>
        </w:rPr>
        <w:t>.</w:t>
      </w:r>
    </w:p>
    <w:p w:rsidR="002B663B" w:rsidRPr="00523556" w:rsidRDefault="001562AD" w:rsidP="0032346B">
      <w:pPr>
        <w:jc w:val="both"/>
        <w:rPr>
          <w:rFonts w:ascii="Times New Roman" w:hAnsi="Times New Roman" w:cs="Times New Roman"/>
        </w:rPr>
      </w:pPr>
      <w:r w:rsidRPr="00523556">
        <w:rPr>
          <w:rFonts w:ascii="Times New Roman" w:hAnsi="Times New Roman" w:cs="Times New Roman"/>
        </w:rPr>
        <w:t xml:space="preserve">As discussed in Sections 2.2, 2.3 and 3.2.4, there are a variety of other factors to take into consideration in determining the appropriate balance between domestic and external commercial borrowing – </w:t>
      </w:r>
      <w:r w:rsidR="001613E3" w:rsidRPr="00523556">
        <w:rPr>
          <w:rFonts w:ascii="Times New Roman" w:hAnsi="Times New Roman" w:cs="Times New Roman"/>
        </w:rPr>
        <w:t>most</w:t>
      </w:r>
      <w:r w:rsidRPr="00523556">
        <w:rPr>
          <w:rFonts w:ascii="Times New Roman" w:hAnsi="Times New Roman" w:cs="Times New Roman"/>
        </w:rPr>
        <w:t xml:space="preserve"> of which are beyond the scope of the model </w:t>
      </w:r>
      <w:r w:rsidR="001613E3" w:rsidRPr="00523556">
        <w:rPr>
          <w:rFonts w:ascii="Times New Roman" w:hAnsi="Times New Roman" w:cs="Times New Roman"/>
        </w:rPr>
        <w:t xml:space="preserve">use </w:t>
      </w:r>
      <w:r w:rsidRPr="00523556">
        <w:rPr>
          <w:rFonts w:ascii="Times New Roman" w:hAnsi="Times New Roman" w:cs="Times New Roman"/>
        </w:rPr>
        <w:t>here. However, some simple further assumptions</w:t>
      </w:r>
      <w:r w:rsidR="0015270A" w:rsidRPr="00523556">
        <w:rPr>
          <w:rFonts w:ascii="Times New Roman" w:hAnsi="Times New Roman" w:cs="Times New Roman"/>
        </w:rPr>
        <w:t xml:space="preserve"> do allow</w:t>
      </w:r>
      <w:r w:rsidRPr="00523556">
        <w:rPr>
          <w:rFonts w:ascii="Times New Roman" w:hAnsi="Times New Roman" w:cs="Times New Roman"/>
        </w:rPr>
        <w:t xml:space="preserve"> </w:t>
      </w:r>
      <w:r w:rsidR="0015270A" w:rsidRPr="00523556">
        <w:rPr>
          <w:rFonts w:ascii="Times New Roman" w:hAnsi="Times New Roman" w:cs="Times New Roman"/>
        </w:rPr>
        <w:t xml:space="preserve">some quantitative consideration of </w:t>
      </w:r>
      <w:r w:rsidRPr="00523556">
        <w:rPr>
          <w:rFonts w:ascii="Times New Roman" w:hAnsi="Times New Roman" w:cs="Times New Roman"/>
        </w:rPr>
        <w:t>one key aspect</w:t>
      </w:r>
      <w:r w:rsidR="00C95BAD" w:rsidRPr="00523556">
        <w:rPr>
          <w:rFonts w:ascii="Times New Roman" w:hAnsi="Times New Roman" w:cs="Times New Roman"/>
        </w:rPr>
        <w:t>:</w:t>
      </w:r>
      <w:r w:rsidRPr="00523556">
        <w:rPr>
          <w:rFonts w:ascii="Times New Roman" w:hAnsi="Times New Roman" w:cs="Times New Roman"/>
        </w:rPr>
        <w:t xml:space="preserve"> the extent to which Eurobond issuance may be desired to relieve potential crowding out due to DD issuance. Figures 3.5A and B</w:t>
      </w:r>
      <w:r w:rsidR="0015270A" w:rsidRPr="00523556">
        <w:rPr>
          <w:rFonts w:ascii="Times New Roman" w:hAnsi="Times New Roman" w:cs="Times New Roman"/>
        </w:rPr>
        <w:t xml:space="preserve"> illustrate the path of two </w:t>
      </w:r>
      <w:r w:rsidR="00A67057" w:rsidRPr="00523556">
        <w:rPr>
          <w:rFonts w:ascii="Times New Roman" w:hAnsi="Times New Roman" w:cs="Times New Roman"/>
        </w:rPr>
        <w:t xml:space="preserve">simple </w:t>
      </w:r>
      <w:r w:rsidR="0015270A" w:rsidRPr="00523556">
        <w:rPr>
          <w:rFonts w:ascii="Times New Roman" w:hAnsi="Times New Roman" w:cs="Times New Roman"/>
        </w:rPr>
        <w:t xml:space="preserve">indicators </w:t>
      </w:r>
      <w:r w:rsidR="00A67057" w:rsidRPr="00523556">
        <w:rPr>
          <w:rFonts w:ascii="Times New Roman" w:hAnsi="Times New Roman" w:cs="Times New Roman"/>
        </w:rPr>
        <w:t xml:space="preserve">that can be used to get a feel for the extent </w:t>
      </w:r>
      <w:r w:rsidR="0015270A" w:rsidRPr="00523556">
        <w:rPr>
          <w:rFonts w:ascii="Times New Roman" w:hAnsi="Times New Roman" w:cs="Times New Roman"/>
        </w:rPr>
        <w:t xml:space="preserve">of </w:t>
      </w:r>
      <w:r w:rsidR="009033F0" w:rsidRPr="00523556">
        <w:rPr>
          <w:rFonts w:ascii="Times New Roman" w:hAnsi="Times New Roman" w:cs="Times New Roman"/>
        </w:rPr>
        <w:t xml:space="preserve">potential </w:t>
      </w:r>
      <w:r w:rsidR="0015270A" w:rsidRPr="00523556">
        <w:rPr>
          <w:rFonts w:ascii="Times New Roman" w:hAnsi="Times New Roman" w:cs="Times New Roman"/>
        </w:rPr>
        <w:t>crowding</w:t>
      </w:r>
      <w:r w:rsidR="00A67057" w:rsidRPr="00523556">
        <w:rPr>
          <w:rFonts w:ascii="Times New Roman" w:hAnsi="Times New Roman" w:cs="Times New Roman"/>
        </w:rPr>
        <w:t xml:space="preserve"> out: the ratio of the DD stock to the stock of private sector credit</w:t>
      </w:r>
      <w:r w:rsidR="009033F0" w:rsidRPr="00523556">
        <w:rPr>
          <w:rFonts w:ascii="Times New Roman" w:hAnsi="Times New Roman" w:cs="Times New Roman"/>
        </w:rPr>
        <w:t xml:space="preserve"> (PSC)</w:t>
      </w:r>
      <w:r w:rsidR="00A67057" w:rsidRPr="00523556">
        <w:rPr>
          <w:rFonts w:ascii="Times New Roman" w:hAnsi="Times New Roman" w:cs="Times New Roman"/>
        </w:rPr>
        <w:t>, and the ratio of commercial bank holdings of DD to deposits</w:t>
      </w:r>
      <w:r w:rsidR="009033F0" w:rsidRPr="00523556">
        <w:rPr>
          <w:rFonts w:ascii="Times New Roman" w:hAnsi="Times New Roman" w:cs="Times New Roman"/>
        </w:rPr>
        <w:t xml:space="preserve">. The </w:t>
      </w:r>
      <w:r w:rsidR="002B663B" w:rsidRPr="00523556">
        <w:rPr>
          <w:rFonts w:ascii="Times New Roman" w:hAnsi="Times New Roman" w:cs="Times New Roman"/>
        </w:rPr>
        <w:t xml:space="preserve">former measures </w:t>
      </w:r>
      <w:r w:rsidR="009033F0" w:rsidRPr="00523556">
        <w:rPr>
          <w:rFonts w:ascii="Times New Roman" w:hAnsi="Times New Roman" w:cs="Times New Roman"/>
        </w:rPr>
        <w:t>is a</w:t>
      </w:r>
      <w:r w:rsidR="00703541" w:rsidRPr="00523556">
        <w:rPr>
          <w:rFonts w:ascii="Times New Roman" w:hAnsi="Times New Roman" w:cs="Times New Roman"/>
        </w:rPr>
        <w:t>dopted by GoU in the draft PDPF – which proposes</w:t>
      </w:r>
      <w:r w:rsidR="009033F0" w:rsidRPr="00523556">
        <w:rPr>
          <w:rFonts w:ascii="Times New Roman" w:hAnsi="Times New Roman" w:cs="Times New Roman"/>
        </w:rPr>
        <w:t xml:space="preserve"> </w:t>
      </w:r>
      <w:r w:rsidR="00703541" w:rsidRPr="00523556">
        <w:rPr>
          <w:rFonts w:ascii="Times New Roman" w:hAnsi="Times New Roman" w:cs="Times New Roman"/>
        </w:rPr>
        <w:t xml:space="preserve">a limit </w:t>
      </w:r>
      <w:r w:rsidR="009033F0" w:rsidRPr="00523556">
        <w:rPr>
          <w:rFonts w:ascii="Times New Roman" w:hAnsi="Times New Roman" w:cs="Times New Roman"/>
        </w:rPr>
        <w:t>of 75</w:t>
      </w:r>
      <w:r w:rsidR="00476A1C" w:rsidRPr="00523556">
        <w:rPr>
          <w:rFonts w:ascii="Times New Roman" w:hAnsi="Times New Roman" w:cs="Times New Roman"/>
        </w:rPr>
        <w:t xml:space="preserve"> per cent</w:t>
      </w:r>
      <w:r w:rsidR="002B663B" w:rsidRPr="00523556">
        <w:rPr>
          <w:rFonts w:ascii="Times New Roman" w:hAnsi="Times New Roman" w:cs="Times New Roman"/>
        </w:rPr>
        <w:t xml:space="preserve">; </w:t>
      </w:r>
      <w:r w:rsidR="009033F0" w:rsidRPr="00523556">
        <w:rPr>
          <w:rFonts w:ascii="Times New Roman" w:hAnsi="Times New Roman" w:cs="Times New Roman"/>
        </w:rPr>
        <w:t>the latter is the metric used in Abbas and Christensen (2010) (as discussed in Section 2.2)</w:t>
      </w:r>
      <w:r w:rsidR="00703541" w:rsidRPr="00523556">
        <w:rPr>
          <w:rFonts w:ascii="Times New Roman" w:hAnsi="Times New Roman" w:cs="Times New Roman"/>
        </w:rPr>
        <w:t xml:space="preserve">, </w:t>
      </w:r>
      <w:r w:rsidR="007C0D73" w:rsidRPr="00523556">
        <w:rPr>
          <w:rFonts w:ascii="Times New Roman" w:hAnsi="Times New Roman" w:cs="Times New Roman"/>
        </w:rPr>
        <w:t xml:space="preserve">who find some </w:t>
      </w:r>
      <w:r w:rsidR="002B663B" w:rsidRPr="00523556">
        <w:rPr>
          <w:rFonts w:ascii="Times New Roman" w:hAnsi="Times New Roman" w:cs="Times New Roman"/>
        </w:rPr>
        <w:t xml:space="preserve">evidence </w:t>
      </w:r>
      <w:r w:rsidR="007C0D73" w:rsidRPr="00523556">
        <w:rPr>
          <w:rFonts w:ascii="Times New Roman" w:hAnsi="Times New Roman" w:cs="Times New Roman"/>
        </w:rPr>
        <w:t xml:space="preserve">to suggest that a reasonable limit for </w:t>
      </w:r>
      <w:r w:rsidR="002B663B" w:rsidRPr="00523556">
        <w:rPr>
          <w:rFonts w:ascii="Times New Roman" w:hAnsi="Times New Roman" w:cs="Times New Roman"/>
        </w:rPr>
        <w:t xml:space="preserve">this </w:t>
      </w:r>
      <w:r w:rsidR="007C0D73" w:rsidRPr="00523556">
        <w:rPr>
          <w:rFonts w:ascii="Times New Roman" w:hAnsi="Times New Roman" w:cs="Times New Roman"/>
        </w:rPr>
        <w:t>indicator may be around 35 per cent.</w:t>
      </w:r>
      <w:r w:rsidR="002B663B" w:rsidRPr="00523556">
        <w:rPr>
          <w:rFonts w:ascii="Times New Roman" w:hAnsi="Times New Roman" w:cs="Times New Roman"/>
        </w:rPr>
        <w:t xml:space="preserve"> </w:t>
      </w:r>
    </w:p>
    <w:p w:rsidR="00551165" w:rsidRPr="00523556" w:rsidRDefault="00B72A09" w:rsidP="0032346B">
      <w:pPr>
        <w:jc w:val="both"/>
        <w:rPr>
          <w:rFonts w:ascii="Times New Roman" w:hAnsi="Times New Roman" w:cs="Times New Roman"/>
        </w:rPr>
      </w:pPr>
      <w:r w:rsidRPr="00523556">
        <w:rPr>
          <w:rFonts w:ascii="Times New Roman" w:hAnsi="Times New Roman" w:cs="Times New Roman"/>
        </w:rPr>
        <w:t xml:space="preserve">The projections </w:t>
      </w:r>
      <w:r w:rsidR="002B663B" w:rsidRPr="00523556">
        <w:rPr>
          <w:rFonts w:ascii="Times New Roman" w:hAnsi="Times New Roman" w:cs="Times New Roman"/>
        </w:rPr>
        <w:t xml:space="preserve">in Figure 3.5A suggest that DD issuance </w:t>
      </w:r>
      <w:r w:rsidR="00FC615D" w:rsidRPr="00523556">
        <w:rPr>
          <w:rFonts w:ascii="Times New Roman" w:hAnsi="Times New Roman" w:cs="Times New Roman"/>
        </w:rPr>
        <w:t xml:space="preserve">under each of the four strategies </w:t>
      </w:r>
      <w:r w:rsidR="002B663B" w:rsidRPr="00523556">
        <w:rPr>
          <w:rFonts w:ascii="Times New Roman" w:hAnsi="Times New Roman" w:cs="Times New Roman"/>
        </w:rPr>
        <w:t xml:space="preserve">would </w:t>
      </w:r>
      <w:r w:rsidR="00551165" w:rsidRPr="00523556">
        <w:rPr>
          <w:rFonts w:ascii="Times New Roman" w:hAnsi="Times New Roman" w:cs="Times New Roman"/>
        </w:rPr>
        <w:t>maintain</w:t>
      </w:r>
      <w:r w:rsidR="002B663B" w:rsidRPr="00523556">
        <w:rPr>
          <w:rFonts w:ascii="Times New Roman" w:hAnsi="Times New Roman" w:cs="Times New Roman"/>
        </w:rPr>
        <w:t xml:space="preserve"> </w:t>
      </w:r>
      <w:r w:rsidRPr="00523556">
        <w:rPr>
          <w:rFonts w:ascii="Times New Roman" w:hAnsi="Times New Roman" w:cs="Times New Roman"/>
        </w:rPr>
        <w:t xml:space="preserve">the DD-to-PSC ratio </w:t>
      </w:r>
      <w:r w:rsidR="00EA6EA5" w:rsidRPr="00523556">
        <w:rPr>
          <w:rFonts w:ascii="Times New Roman" w:hAnsi="Times New Roman" w:cs="Times New Roman"/>
        </w:rPr>
        <w:t xml:space="preserve">at levels </w:t>
      </w:r>
      <w:r w:rsidR="002B663B" w:rsidRPr="00523556">
        <w:rPr>
          <w:rFonts w:ascii="Times New Roman" w:hAnsi="Times New Roman" w:cs="Times New Roman"/>
        </w:rPr>
        <w:t xml:space="preserve">around or below </w:t>
      </w:r>
      <w:r w:rsidR="00EA6EA5" w:rsidRPr="00523556">
        <w:rPr>
          <w:rFonts w:ascii="Times New Roman" w:hAnsi="Times New Roman" w:cs="Times New Roman"/>
        </w:rPr>
        <w:t xml:space="preserve">the level at </w:t>
      </w:r>
      <w:r w:rsidR="002B663B" w:rsidRPr="00523556">
        <w:rPr>
          <w:rFonts w:ascii="Times New Roman" w:hAnsi="Times New Roman" w:cs="Times New Roman"/>
        </w:rPr>
        <w:t>end FY-12/13 (of 76.1 per cent)</w:t>
      </w:r>
      <w:r w:rsidR="00EC2859" w:rsidRPr="00523556">
        <w:rPr>
          <w:rFonts w:ascii="Times New Roman" w:hAnsi="Times New Roman" w:cs="Times New Roman"/>
        </w:rPr>
        <w:t>,</w:t>
      </w:r>
      <w:r w:rsidR="002B663B" w:rsidRPr="00523556">
        <w:rPr>
          <w:rFonts w:ascii="Times New Roman" w:hAnsi="Times New Roman" w:cs="Times New Roman"/>
        </w:rPr>
        <w:t xml:space="preserve"> and the 75 per cent limit proposed in the draft PDPF. </w:t>
      </w:r>
      <w:r w:rsidR="00FC615D" w:rsidRPr="00523556">
        <w:rPr>
          <w:rFonts w:ascii="Times New Roman" w:hAnsi="Times New Roman" w:cs="Times New Roman"/>
        </w:rPr>
        <w:t>In contrast, t</w:t>
      </w:r>
      <w:r w:rsidR="002B663B" w:rsidRPr="00523556">
        <w:rPr>
          <w:rFonts w:ascii="Times New Roman" w:hAnsi="Times New Roman" w:cs="Times New Roman"/>
        </w:rPr>
        <w:t xml:space="preserve">he projections </w:t>
      </w:r>
      <w:r w:rsidR="00FC615D" w:rsidRPr="00523556">
        <w:rPr>
          <w:rFonts w:ascii="Times New Roman" w:hAnsi="Times New Roman" w:cs="Times New Roman"/>
        </w:rPr>
        <w:t xml:space="preserve">in Figure 3.5B </w:t>
      </w:r>
      <w:r w:rsidR="002B663B" w:rsidRPr="00523556">
        <w:rPr>
          <w:rFonts w:ascii="Times New Roman" w:hAnsi="Times New Roman" w:cs="Times New Roman"/>
        </w:rPr>
        <w:t xml:space="preserve">for the </w:t>
      </w:r>
      <w:r w:rsidR="00FC615D" w:rsidRPr="00523556">
        <w:rPr>
          <w:rFonts w:ascii="Times New Roman" w:hAnsi="Times New Roman" w:cs="Times New Roman"/>
        </w:rPr>
        <w:t xml:space="preserve">ratio of </w:t>
      </w:r>
      <w:r w:rsidR="002B663B" w:rsidRPr="00523556">
        <w:rPr>
          <w:rFonts w:ascii="Times New Roman" w:hAnsi="Times New Roman" w:cs="Times New Roman"/>
        </w:rPr>
        <w:t>commercial bank DD holding</w:t>
      </w:r>
      <w:r w:rsidR="00493A0F" w:rsidRPr="00523556">
        <w:rPr>
          <w:rFonts w:ascii="Times New Roman" w:hAnsi="Times New Roman" w:cs="Times New Roman"/>
        </w:rPr>
        <w:t>s</w:t>
      </w:r>
      <w:r w:rsidR="002B663B" w:rsidRPr="00523556">
        <w:rPr>
          <w:rFonts w:ascii="Times New Roman" w:hAnsi="Times New Roman" w:cs="Times New Roman"/>
        </w:rPr>
        <w:t xml:space="preserve"> to deposits provide a more </w:t>
      </w:r>
      <w:r w:rsidR="00551165" w:rsidRPr="00523556">
        <w:rPr>
          <w:rFonts w:ascii="Times New Roman" w:hAnsi="Times New Roman" w:cs="Times New Roman"/>
        </w:rPr>
        <w:t xml:space="preserve">complex </w:t>
      </w:r>
      <w:r w:rsidR="002B663B" w:rsidRPr="00523556">
        <w:rPr>
          <w:rFonts w:ascii="Times New Roman" w:hAnsi="Times New Roman" w:cs="Times New Roman"/>
        </w:rPr>
        <w:t xml:space="preserve">story. </w:t>
      </w:r>
      <w:r w:rsidR="00493A0F" w:rsidRPr="00523556">
        <w:rPr>
          <w:rFonts w:ascii="Times New Roman" w:hAnsi="Times New Roman" w:cs="Times New Roman"/>
        </w:rPr>
        <w:t xml:space="preserve">In both of the ‘high’ semi-concessional financing strategies S3 and S4, the levels of DD issuance are consistent with maintaining this ratio around or below the end-FY12/13 </w:t>
      </w:r>
      <w:r w:rsidR="00FC615D" w:rsidRPr="00523556">
        <w:rPr>
          <w:rFonts w:ascii="Times New Roman" w:hAnsi="Times New Roman" w:cs="Times New Roman"/>
        </w:rPr>
        <w:t xml:space="preserve">level </w:t>
      </w:r>
      <w:r w:rsidR="00493A0F" w:rsidRPr="00523556">
        <w:rPr>
          <w:rFonts w:ascii="Times New Roman" w:hAnsi="Times New Roman" w:cs="Times New Roman"/>
        </w:rPr>
        <w:t xml:space="preserve">(of 33.0 per cent) and the 35.0 per cent figure of note </w:t>
      </w:r>
      <w:r w:rsidR="00FC615D" w:rsidRPr="00523556">
        <w:rPr>
          <w:rFonts w:ascii="Times New Roman" w:hAnsi="Times New Roman" w:cs="Times New Roman"/>
        </w:rPr>
        <w:t xml:space="preserve">that </w:t>
      </w:r>
      <w:r w:rsidR="00493A0F" w:rsidRPr="00523556">
        <w:rPr>
          <w:rFonts w:ascii="Times New Roman" w:hAnsi="Times New Roman" w:cs="Times New Roman"/>
        </w:rPr>
        <w:t>emerges from Abbas and Christensen (2010)</w:t>
      </w:r>
      <w:r w:rsidR="00FC615D" w:rsidRPr="00523556">
        <w:rPr>
          <w:rFonts w:ascii="Times New Roman" w:hAnsi="Times New Roman" w:cs="Times New Roman"/>
        </w:rPr>
        <w:t>; this implies</w:t>
      </w:r>
      <w:r w:rsidR="00493A0F" w:rsidRPr="00523556">
        <w:rPr>
          <w:rFonts w:ascii="Times New Roman" w:hAnsi="Times New Roman" w:cs="Times New Roman"/>
        </w:rPr>
        <w:t xml:space="preserve"> there would not be a </w:t>
      </w:r>
      <w:r w:rsidR="00FC615D" w:rsidRPr="00523556">
        <w:rPr>
          <w:rFonts w:ascii="Times New Roman" w:hAnsi="Times New Roman" w:cs="Times New Roman"/>
        </w:rPr>
        <w:t xml:space="preserve">strong </w:t>
      </w:r>
      <w:r w:rsidR="00493A0F" w:rsidRPr="00523556">
        <w:rPr>
          <w:rFonts w:ascii="Times New Roman" w:hAnsi="Times New Roman" w:cs="Times New Roman"/>
        </w:rPr>
        <w:t xml:space="preserve">argument </w:t>
      </w:r>
      <w:r w:rsidR="00FC615D" w:rsidRPr="00523556">
        <w:rPr>
          <w:rFonts w:ascii="Times New Roman" w:hAnsi="Times New Roman" w:cs="Times New Roman"/>
        </w:rPr>
        <w:t xml:space="preserve">on the grounds of crowding out </w:t>
      </w:r>
      <w:r w:rsidR="00493A0F" w:rsidRPr="00523556">
        <w:rPr>
          <w:rFonts w:ascii="Times New Roman" w:hAnsi="Times New Roman" w:cs="Times New Roman"/>
        </w:rPr>
        <w:t xml:space="preserve">in favour of a Eurobond issuance (S4) over fuller reliance on DD issuance (S3). </w:t>
      </w:r>
    </w:p>
    <w:p w:rsidR="00CB7C27" w:rsidRPr="00523556" w:rsidRDefault="00CB7C27" w:rsidP="00CB7C27">
      <w:pPr>
        <w:pStyle w:val="Figheader"/>
        <w:rPr>
          <w:rFonts w:ascii="Times New Roman" w:hAnsi="Times New Roman" w:cs="Times New Roman"/>
        </w:rPr>
      </w:pPr>
      <w:r w:rsidRPr="00523556">
        <w:rPr>
          <w:rFonts w:ascii="Times New Roman" w:hAnsi="Times New Roman" w:cs="Times New Roman"/>
        </w:rPr>
        <w:t>Figures 3.5A and B: Indicators of crowding out</w:t>
      </w:r>
    </w:p>
    <w:p w:rsidR="00CB7C27" w:rsidRPr="00523556" w:rsidRDefault="00CB7C27" w:rsidP="00CB7C27">
      <w:pPr>
        <w:spacing w:after="0"/>
        <w:jc w:val="center"/>
        <w:rPr>
          <w:rFonts w:ascii="Times New Roman" w:hAnsi="Times New Roman" w:cs="Times New Roman"/>
        </w:rPr>
      </w:pPr>
      <w:r w:rsidRPr="00523556">
        <w:rPr>
          <w:rFonts w:ascii="Times New Roman" w:hAnsi="Times New Roman" w:cs="Times New Roman"/>
          <w:noProof/>
          <w:lang w:eastAsia="en-GB"/>
        </w:rPr>
        <w:drawing>
          <wp:inline distT="0" distB="0" distL="0" distR="0">
            <wp:extent cx="2789130" cy="2778826"/>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2791529" cy="2781216"/>
                    </a:xfrm>
                    <a:prstGeom prst="rect">
                      <a:avLst/>
                    </a:prstGeom>
                    <a:noFill/>
                    <a:ln w="9525">
                      <a:noFill/>
                      <a:miter lim="800000"/>
                      <a:headEnd/>
                      <a:tailEnd/>
                    </a:ln>
                  </pic:spPr>
                </pic:pic>
              </a:graphicData>
            </a:graphic>
          </wp:inline>
        </w:drawing>
      </w:r>
      <w:r w:rsidRPr="00523556">
        <w:rPr>
          <w:rFonts w:ascii="Times New Roman" w:hAnsi="Times New Roman" w:cs="Times New Roman"/>
          <w:noProof/>
          <w:lang w:eastAsia="en-GB"/>
        </w:rPr>
        <w:drawing>
          <wp:inline distT="0" distB="0" distL="0" distR="0">
            <wp:extent cx="2756768" cy="2766951"/>
            <wp:effectExtent l="19050" t="0" r="5482"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2759284" cy="2769476"/>
                    </a:xfrm>
                    <a:prstGeom prst="rect">
                      <a:avLst/>
                    </a:prstGeom>
                    <a:noFill/>
                    <a:ln w="9525">
                      <a:noFill/>
                      <a:miter lim="800000"/>
                      <a:headEnd/>
                      <a:tailEnd/>
                    </a:ln>
                  </pic:spPr>
                </pic:pic>
              </a:graphicData>
            </a:graphic>
          </wp:inline>
        </w:drawing>
      </w:r>
    </w:p>
    <w:p w:rsidR="00CB7C27" w:rsidRPr="00523556" w:rsidRDefault="00CB7C27" w:rsidP="00CB7C27">
      <w:pPr>
        <w:pStyle w:val="Figfootnote"/>
        <w:rPr>
          <w:rFonts w:ascii="Times New Roman" w:hAnsi="Times New Roman" w:cs="Times New Roman"/>
          <w:sz w:val="24"/>
          <w:szCs w:val="24"/>
        </w:rPr>
      </w:pPr>
      <w:r w:rsidRPr="00523556">
        <w:rPr>
          <w:rFonts w:ascii="Times New Roman" w:hAnsi="Times New Roman" w:cs="Times New Roman"/>
          <w:sz w:val="24"/>
          <w:szCs w:val="24"/>
        </w:rPr>
        <w:lastRenderedPageBreak/>
        <w:t>Note: In Figure 3.5A it is assumed that PSC grows at an average of 20 per cent per year in nominal terms – reflecting average annual real growth of around 15 per cent over the past decade, and assumed inflation of 5 per cent. in Figure 3.5B it is assumed that the proportion of commercial bank holdings of the total DD stock remains constant through the projection period at the same level as at end-FY12/13 (just over half), and that deposits with commercial banks grow at 15% each year in nominal terms – reflecting average annual real growth of around 10% over the past decade, and assumed inflation of 5%.</w:t>
      </w:r>
    </w:p>
    <w:p w:rsidR="00CB7C27" w:rsidRPr="00523556" w:rsidRDefault="00CB7C27" w:rsidP="00CB7C27">
      <w:pPr>
        <w:spacing w:after="0"/>
        <w:jc w:val="both"/>
        <w:rPr>
          <w:rFonts w:ascii="Times New Roman" w:hAnsi="Times New Roman" w:cs="Times New Roman"/>
        </w:rPr>
      </w:pPr>
    </w:p>
    <w:p w:rsidR="009033F0" w:rsidRPr="00523556" w:rsidRDefault="00FC615D" w:rsidP="0032346B">
      <w:pPr>
        <w:jc w:val="both"/>
        <w:rPr>
          <w:rFonts w:ascii="Times New Roman" w:hAnsi="Times New Roman" w:cs="Times New Roman"/>
        </w:rPr>
      </w:pPr>
      <w:r w:rsidRPr="00523556">
        <w:rPr>
          <w:rFonts w:ascii="Times New Roman" w:hAnsi="Times New Roman" w:cs="Times New Roman"/>
        </w:rPr>
        <w:t>In S1 and S2</w:t>
      </w:r>
      <w:r w:rsidR="00EC2859" w:rsidRPr="00523556">
        <w:rPr>
          <w:rFonts w:ascii="Times New Roman" w:hAnsi="Times New Roman" w:cs="Times New Roman"/>
        </w:rPr>
        <w:t xml:space="preserve"> however</w:t>
      </w:r>
      <w:r w:rsidRPr="00523556">
        <w:rPr>
          <w:rFonts w:ascii="Times New Roman" w:hAnsi="Times New Roman" w:cs="Times New Roman"/>
        </w:rPr>
        <w:t xml:space="preserve">, </w:t>
      </w:r>
      <w:r w:rsidR="00B95756" w:rsidRPr="00523556">
        <w:rPr>
          <w:rFonts w:ascii="Times New Roman" w:hAnsi="Times New Roman" w:cs="Times New Roman"/>
        </w:rPr>
        <w:t xml:space="preserve">DD issuance would </w:t>
      </w:r>
      <w:r w:rsidRPr="00523556">
        <w:rPr>
          <w:rFonts w:ascii="Times New Roman" w:hAnsi="Times New Roman" w:cs="Times New Roman"/>
        </w:rPr>
        <w:t xml:space="preserve">push the ratio of commercial bank DD holdings to deposits up towards 40 per cent. </w:t>
      </w:r>
      <w:r w:rsidR="00EC2859" w:rsidRPr="00523556">
        <w:rPr>
          <w:rFonts w:ascii="Times New Roman" w:hAnsi="Times New Roman" w:cs="Times New Roman"/>
        </w:rPr>
        <w:t xml:space="preserve">At the least, this </w:t>
      </w:r>
      <w:r w:rsidR="00551165" w:rsidRPr="00523556">
        <w:rPr>
          <w:rFonts w:ascii="Times New Roman" w:hAnsi="Times New Roman" w:cs="Times New Roman"/>
        </w:rPr>
        <w:t>would imply</w:t>
      </w:r>
      <w:r w:rsidR="00EA6EA5" w:rsidRPr="00523556">
        <w:rPr>
          <w:rFonts w:ascii="Times New Roman" w:hAnsi="Times New Roman" w:cs="Times New Roman"/>
        </w:rPr>
        <w:t xml:space="preserve"> a </w:t>
      </w:r>
      <w:r w:rsidR="00EC2859" w:rsidRPr="00523556">
        <w:rPr>
          <w:rFonts w:ascii="Times New Roman" w:hAnsi="Times New Roman" w:cs="Times New Roman"/>
        </w:rPr>
        <w:t>heighten</w:t>
      </w:r>
      <w:r w:rsidR="00EA6EA5" w:rsidRPr="00523556">
        <w:rPr>
          <w:rFonts w:ascii="Times New Roman" w:hAnsi="Times New Roman" w:cs="Times New Roman"/>
        </w:rPr>
        <w:t>ed</w:t>
      </w:r>
      <w:r w:rsidR="00EC2859" w:rsidRPr="00523556">
        <w:rPr>
          <w:rFonts w:ascii="Times New Roman" w:hAnsi="Times New Roman" w:cs="Times New Roman"/>
        </w:rPr>
        <w:t xml:space="preserve"> need to pursue reforms </w:t>
      </w:r>
      <w:r w:rsidR="00EA6EA5" w:rsidRPr="00523556">
        <w:rPr>
          <w:rFonts w:ascii="Times New Roman" w:hAnsi="Times New Roman" w:cs="Times New Roman"/>
        </w:rPr>
        <w:t xml:space="preserve">that would </w:t>
      </w:r>
      <w:r w:rsidR="00EC2859" w:rsidRPr="00523556">
        <w:rPr>
          <w:rFonts w:ascii="Times New Roman" w:hAnsi="Times New Roman" w:cs="Times New Roman"/>
        </w:rPr>
        <w:t>support the expansion of the DD investor base (thus decreas</w:t>
      </w:r>
      <w:r w:rsidR="00EA6EA5" w:rsidRPr="00523556">
        <w:rPr>
          <w:rFonts w:ascii="Times New Roman" w:hAnsi="Times New Roman" w:cs="Times New Roman"/>
        </w:rPr>
        <w:t>ing</w:t>
      </w:r>
      <w:r w:rsidR="00EC2859" w:rsidRPr="00523556">
        <w:rPr>
          <w:rFonts w:ascii="Times New Roman" w:hAnsi="Times New Roman" w:cs="Times New Roman"/>
        </w:rPr>
        <w:t xml:space="preserve"> commercial banks’ share of </w:t>
      </w:r>
      <w:r w:rsidR="00EA6EA5" w:rsidRPr="00523556">
        <w:rPr>
          <w:rFonts w:ascii="Times New Roman" w:hAnsi="Times New Roman" w:cs="Times New Roman"/>
        </w:rPr>
        <w:t xml:space="preserve">total </w:t>
      </w:r>
      <w:r w:rsidR="00EC2859" w:rsidRPr="00523556">
        <w:rPr>
          <w:rFonts w:ascii="Times New Roman" w:hAnsi="Times New Roman" w:cs="Times New Roman"/>
        </w:rPr>
        <w:t>DD holdings) and accelerating deposit growth</w:t>
      </w:r>
      <w:r w:rsidR="00450C9A" w:rsidRPr="00523556">
        <w:rPr>
          <w:rFonts w:ascii="Times New Roman" w:hAnsi="Times New Roman" w:cs="Times New Roman"/>
        </w:rPr>
        <w:t xml:space="preserve"> – to help </w:t>
      </w:r>
      <w:r w:rsidR="00551165" w:rsidRPr="00523556">
        <w:rPr>
          <w:rFonts w:ascii="Times New Roman" w:hAnsi="Times New Roman" w:cs="Times New Roman"/>
        </w:rPr>
        <w:t xml:space="preserve">mitigate </w:t>
      </w:r>
      <w:r w:rsidR="00450C9A" w:rsidRPr="00523556">
        <w:rPr>
          <w:rFonts w:ascii="Times New Roman" w:hAnsi="Times New Roman" w:cs="Times New Roman"/>
        </w:rPr>
        <w:t xml:space="preserve">as far as possible </w:t>
      </w:r>
      <w:r w:rsidR="00551165" w:rsidRPr="00523556">
        <w:rPr>
          <w:rFonts w:ascii="Times New Roman" w:hAnsi="Times New Roman" w:cs="Times New Roman"/>
        </w:rPr>
        <w:t xml:space="preserve">such a </w:t>
      </w:r>
      <w:r w:rsidR="00EC2859" w:rsidRPr="00523556">
        <w:rPr>
          <w:rFonts w:ascii="Times New Roman" w:hAnsi="Times New Roman" w:cs="Times New Roman"/>
        </w:rPr>
        <w:t xml:space="preserve">rise. </w:t>
      </w:r>
      <w:r w:rsidR="00450C9A" w:rsidRPr="00523556">
        <w:rPr>
          <w:rFonts w:ascii="Times New Roman" w:hAnsi="Times New Roman" w:cs="Times New Roman"/>
        </w:rPr>
        <w:t xml:space="preserve">Beyond </w:t>
      </w:r>
      <w:r w:rsidR="00551165" w:rsidRPr="00523556">
        <w:rPr>
          <w:rFonts w:ascii="Times New Roman" w:hAnsi="Times New Roman" w:cs="Times New Roman"/>
        </w:rPr>
        <w:t xml:space="preserve">conducting </w:t>
      </w:r>
      <w:r w:rsidR="00450C9A" w:rsidRPr="00523556">
        <w:rPr>
          <w:rFonts w:ascii="Times New Roman" w:hAnsi="Times New Roman" w:cs="Times New Roman"/>
        </w:rPr>
        <w:t xml:space="preserve">such reforms, where the outlook for semi-concessional financing is ‘moderate’ GoU may wish to analyse </w:t>
      </w:r>
      <w:r w:rsidR="00003554" w:rsidRPr="00523556">
        <w:rPr>
          <w:rFonts w:ascii="Times New Roman" w:hAnsi="Times New Roman" w:cs="Times New Roman"/>
        </w:rPr>
        <w:t xml:space="preserve">the merits of variations on S2 </w:t>
      </w:r>
      <w:r w:rsidR="00450C9A" w:rsidRPr="00523556">
        <w:rPr>
          <w:rFonts w:ascii="Times New Roman" w:hAnsi="Times New Roman" w:cs="Times New Roman"/>
        </w:rPr>
        <w:t xml:space="preserve">that incorporate some additional Eurobond issuance. </w:t>
      </w:r>
      <w:r w:rsidR="00003554" w:rsidRPr="00523556">
        <w:rPr>
          <w:rFonts w:ascii="Times New Roman" w:hAnsi="Times New Roman" w:cs="Times New Roman"/>
        </w:rPr>
        <w:t xml:space="preserve">In S1, total Eurobond issuance is already very high compared to that conducted to date by regional peers; in a situation where </w:t>
      </w:r>
      <w:r w:rsidR="00450C9A" w:rsidRPr="00523556">
        <w:rPr>
          <w:rFonts w:ascii="Times New Roman" w:hAnsi="Times New Roman" w:cs="Times New Roman"/>
        </w:rPr>
        <w:t xml:space="preserve">the outlook for semi-concessional financing </w:t>
      </w:r>
      <w:r w:rsidR="00003554" w:rsidRPr="00523556">
        <w:rPr>
          <w:rFonts w:ascii="Times New Roman" w:hAnsi="Times New Roman" w:cs="Times New Roman"/>
        </w:rPr>
        <w:t>were indeed at or close to zero</w:t>
      </w:r>
      <w:r w:rsidR="00450C9A" w:rsidRPr="00523556">
        <w:rPr>
          <w:rFonts w:ascii="Times New Roman" w:hAnsi="Times New Roman" w:cs="Times New Roman"/>
        </w:rPr>
        <w:t xml:space="preserve">, </w:t>
      </w:r>
      <w:r w:rsidR="00003554" w:rsidRPr="00523556">
        <w:rPr>
          <w:rFonts w:ascii="Times New Roman" w:hAnsi="Times New Roman" w:cs="Times New Roman"/>
        </w:rPr>
        <w:t xml:space="preserve">crowding out concerns may </w:t>
      </w:r>
      <w:r w:rsidR="00551165" w:rsidRPr="00523556">
        <w:rPr>
          <w:rFonts w:ascii="Times New Roman" w:hAnsi="Times New Roman" w:cs="Times New Roman"/>
        </w:rPr>
        <w:t xml:space="preserve">instead </w:t>
      </w:r>
      <w:r w:rsidR="00003554" w:rsidRPr="00523556">
        <w:rPr>
          <w:rFonts w:ascii="Times New Roman" w:hAnsi="Times New Roman" w:cs="Times New Roman"/>
        </w:rPr>
        <w:t>argue for GoU to moderate its public investment ambitions</w:t>
      </w:r>
      <w:r w:rsidR="00551165" w:rsidRPr="00523556">
        <w:rPr>
          <w:rFonts w:ascii="Times New Roman" w:hAnsi="Times New Roman" w:cs="Times New Roman"/>
        </w:rPr>
        <w:t xml:space="preserve"> and deficit financing requirements</w:t>
      </w:r>
      <w:r w:rsidR="00B95756" w:rsidRPr="00523556">
        <w:rPr>
          <w:rFonts w:ascii="Times New Roman" w:hAnsi="Times New Roman" w:cs="Times New Roman"/>
        </w:rPr>
        <w:t xml:space="preserve">. </w:t>
      </w:r>
    </w:p>
    <w:p w:rsidR="00C8001F" w:rsidRPr="00523556" w:rsidRDefault="001F0DBD" w:rsidP="001C5ECF">
      <w:pPr>
        <w:jc w:val="both"/>
        <w:rPr>
          <w:rFonts w:ascii="Times New Roman" w:hAnsi="Times New Roman" w:cs="Times New Roman"/>
        </w:rPr>
      </w:pPr>
      <w:r w:rsidRPr="00523556">
        <w:rPr>
          <w:rFonts w:ascii="Times New Roman" w:hAnsi="Times New Roman" w:cs="Times New Roman"/>
        </w:rPr>
        <w:t>Finally, i</w:t>
      </w:r>
      <w:r w:rsidR="00F00245" w:rsidRPr="00523556">
        <w:rPr>
          <w:rFonts w:ascii="Times New Roman" w:hAnsi="Times New Roman" w:cs="Times New Roman"/>
        </w:rPr>
        <w:t xml:space="preserve">t is </w:t>
      </w:r>
      <w:r w:rsidR="004A2586" w:rsidRPr="00523556">
        <w:rPr>
          <w:rFonts w:ascii="Times New Roman" w:hAnsi="Times New Roman" w:cs="Times New Roman"/>
        </w:rPr>
        <w:t>interesting to note</w:t>
      </w:r>
      <w:r w:rsidR="00F00245" w:rsidRPr="00523556">
        <w:rPr>
          <w:rFonts w:ascii="Times New Roman" w:hAnsi="Times New Roman" w:cs="Times New Roman"/>
        </w:rPr>
        <w:t xml:space="preserve"> that the difference </w:t>
      </w:r>
      <w:r w:rsidR="00895C4B" w:rsidRPr="00523556">
        <w:rPr>
          <w:rFonts w:ascii="Times New Roman" w:hAnsi="Times New Roman" w:cs="Times New Roman"/>
        </w:rPr>
        <w:t xml:space="preserve">in the </w:t>
      </w:r>
      <w:r w:rsidR="00425855" w:rsidRPr="00523556">
        <w:rPr>
          <w:rFonts w:ascii="Times New Roman" w:hAnsi="Times New Roman" w:cs="Times New Roman"/>
        </w:rPr>
        <w:t xml:space="preserve">overall </w:t>
      </w:r>
      <w:r w:rsidR="00895C4B" w:rsidRPr="00523556">
        <w:rPr>
          <w:rFonts w:ascii="Times New Roman" w:hAnsi="Times New Roman" w:cs="Times New Roman"/>
        </w:rPr>
        <w:t xml:space="preserve">nominal debt-to-GDP ratio </w:t>
      </w:r>
      <w:r w:rsidR="004A2586" w:rsidRPr="00523556">
        <w:rPr>
          <w:rFonts w:ascii="Times New Roman" w:hAnsi="Times New Roman" w:cs="Times New Roman"/>
        </w:rPr>
        <w:t xml:space="preserve">between the ‘most expensive’ and ‘least expensive’ strategies </w:t>
      </w:r>
      <w:r w:rsidR="00895C4B" w:rsidRPr="00523556">
        <w:rPr>
          <w:rFonts w:ascii="Times New Roman" w:hAnsi="Times New Roman" w:cs="Times New Roman"/>
        </w:rPr>
        <w:t xml:space="preserve">(S1 and S4) </w:t>
      </w:r>
      <w:r w:rsidR="004A2586" w:rsidRPr="00523556">
        <w:rPr>
          <w:rFonts w:ascii="Times New Roman" w:hAnsi="Times New Roman" w:cs="Times New Roman"/>
        </w:rPr>
        <w:t xml:space="preserve">by the end of FY19/20 </w:t>
      </w:r>
      <w:r w:rsidR="00F00245" w:rsidRPr="00523556">
        <w:rPr>
          <w:rFonts w:ascii="Times New Roman" w:hAnsi="Times New Roman" w:cs="Times New Roman"/>
        </w:rPr>
        <w:t xml:space="preserve">is </w:t>
      </w:r>
      <w:r w:rsidR="004A2586" w:rsidRPr="00523556">
        <w:rPr>
          <w:rFonts w:ascii="Times New Roman" w:hAnsi="Times New Roman" w:cs="Times New Roman"/>
        </w:rPr>
        <w:t xml:space="preserve">just </w:t>
      </w:r>
      <w:r w:rsidR="00F00245" w:rsidRPr="00523556">
        <w:rPr>
          <w:rFonts w:ascii="Times New Roman" w:hAnsi="Times New Roman" w:cs="Times New Roman"/>
        </w:rPr>
        <w:t>1.</w:t>
      </w:r>
      <w:r w:rsidR="00F51BBB" w:rsidRPr="00523556">
        <w:rPr>
          <w:rFonts w:ascii="Times New Roman" w:hAnsi="Times New Roman" w:cs="Times New Roman"/>
        </w:rPr>
        <w:t>3</w:t>
      </w:r>
      <w:r w:rsidR="00E557B8" w:rsidRPr="00523556">
        <w:rPr>
          <w:rFonts w:ascii="Times New Roman" w:hAnsi="Times New Roman" w:cs="Times New Roman"/>
        </w:rPr>
        <w:t xml:space="preserve"> percentage point</w:t>
      </w:r>
      <w:r w:rsidR="00895C4B" w:rsidRPr="00523556">
        <w:rPr>
          <w:rFonts w:ascii="Times New Roman" w:hAnsi="Times New Roman" w:cs="Times New Roman"/>
        </w:rPr>
        <w:t>s</w:t>
      </w:r>
      <w:r w:rsidR="00F51BBB" w:rsidRPr="00523556">
        <w:rPr>
          <w:rFonts w:ascii="Times New Roman" w:hAnsi="Times New Roman" w:cs="Times New Roman"/>
        </w:rPr>
        <w:t>.</w:t>
      </w:r>
      <w:r w:rsidR="00F00245" w:rsidRPr="00523556">
        <w:rPr>
          <w:rFonts w:ascii="Times New Roman" w:hAnsi="Times New Roman" w:cs="Times New Roman"/>
        </w:rPr>
        <w:t xml:space="preserve"> </w:t>
      </w:r>
      <w:r w:rsidR="00F51BBB" w:rsidRPr="00523556">
        <w:rPr>
          <w:rFonts w:ascii="Times New Roman" w:hAnsi="Times New Roman" w:cs="Times New Roman"/>
        </w:rPr>
        <w:t>W</w:t>
      </w:r>
      <w:r w:rsidR="00F00245" w:rsidRPr="00523556">
        <w:rPr>
          <w:rFonts w:ascii="Times New Roman" w:hAnsi="Times New Roman" w:cs="Times New Roman"/>
        </w:rPr>
        <w:t>hilst this is not negligible, it is not so large as to significantly alter the outlook for the sustain</w:t>
      </w:r>
      <w:r w:rsidR="009C7754" w:rsidRPr="00523556">
        <w:rPr>
          <w:rFonts w:ascii="Times New Roman" w:hAnsi="Times New Roman" w:cs="Times New Roman"/>
        </w:rPr>
        <w:t>ability of the public finances; this illustrates</w:t>
      </w:r>
      <w:r w:rsidR="00F00245" w:rsidRPr="00523556">
        <w:rPr>
          <w:rFonts w:ascii="Times New Roman" w:hAnsi="Times New Roman" w:cs="Times New Roman"/>
        </w:rPr>
        <w:t xml:space="preserve"> that</w:t>
      </w:r>
      <w:r w:rsidR="009C7754" w:rsidRPr="00523556">
        <w:rPr>
          <w:rFonts w:ascii="Times New Roman" w:hAnsi="Times New Roman" w:cs="Times New Roman"/>
        </w:rPr>
        <w:t xml:space="preserve"> –</w:t>
      </w:r>
      <w:r w:rsidR="00F00245" w:rsidRPr="00523556">
        <w:rPr>
          <w:rFonts w:ascii="Times New Roman" w:hAnsi="Times New Roman" w:cs="Times New Roman"/>
        </w:rPr>
        <w:t xml:space="preserve"> whilst</w:t>
      </w:r>
      <w:r w:rsidR="009C7754" w:rsidRPr="00523556">
        <w:rPr>
          <w:rFonts w:ascii="Times New Roman" w:hAnsi="Times New Roman" w:cs="Times New Roman"/>
        </w:rPr>
        <w:t xml:space="preserve"> </w:t>
      </w:r>
      <w:r w:rsidR="00F00245" w:rsidRPr="00523556">
        <w:rPr>
          <w:rFonts w:ascii="Times New Roman" w:hAnsi="Times New Roman" w:cs="Times New Roman"/>
        </w:rPr>
        <w:t xml:space="preserve">effective debt management is </w:t>
      </w:r>
      <w:r w:rsidR="00FC3ECB" w:rsidRPr="00523556">
        <w:rPr>
          <w:rFonts w:ascii="Times New Roman" w:hAnsi="Times New Roman" w:cs="Times New Roman"/>
        </w:rPr>
        <w:t>crucial</w:t>
      </w:r>
      <w:r w:rsidR="00F00245" w:rsidRPr="00523556">
        <w:rPr>
          <w:rFonts w:ascii="Times New Roman" w:hAnsi="Times New Roman" w:cs="Times New Roman"/>
        </w:rPr>
        <w:t xml:space="preserve"> for minimising what can potentially be substantial costs and risks</w:t>
      </w:r>
      <w:r w:rsidR="009C7754" w:rsidRPr="00523556">
        <w:rPr>
          <w:rFonts w:ascii="Times New Roman" w:hAnsi="Times New Roman" w:cs="Times New Roman"/>
        </w:rPr>
        <w:t xml:space="preserve"> –</w:t>
      </w:r>
      <w:r w:rsidR="00F00245" w:rsidRPr="00523556">
        <w:rPr>
          <w:rFonts w:ascii="Times New Roman" w:hAnsi="Times New Roman" w:cs="Times New Roman"/>
        </w:rPr>
        <w:t xml:space="preserve"> it</w:t>
      </w:r>
      <w:r w:rsidR="009C7754" w:rsidRPr="00523556">
        <w:rPr>
          <w:rFonts w:ascii="Times New Roman" w:hAnsi="Times New Roman" w:cs="Times New Roman"/>
        </w:rPr>
        <w:t xml:space="preserve"> </w:t>
      </w:r>
      <w:r w:rsidR="00F00245" w:rsidRPr="00523556">
        <w:rPr>
          <w:rFonts w:ascii="Times New Roman" w:hAnsi="Times New Roman" w:cs="Times New Roman"/>
        </w:rPr>
        <w:t>is fiscal policy and the chosen path for the fiscal deficit that is of first-order importance when it comes to safeguarding debt sustainability.</w:t>
      </w:r>
      <w:r w:rsidR="009C7754" w:rsidRPr="00523556">
        <w:rPr>
          <w:rFonts w:ascii="Times New Roman" w:hAnsi="Times New Roman" w:cs="Times New Roman"/>
        </w:rPr>
        <w:t xml:space="preserve"> T</w:t>
      </w:r>
      <w:r w:rsidR="00895C4B" w:rsidRPr="00523556">
        <w:rPr>
          <w:rFonts w:ascii="Times New Roman" w:hAnsi="Times New Roman" w:cs="Times New Roman"/>
        </w:rPr>
        <w:t>he influence of the choice of financing strategy on the interest burden on the budget is more substantive: the difference between the highest and lowest projections for the ratio of interest payments to revenues (excluding grants) is 3.6</w:t>
      </w:r>
      <w:r w:rsidR="00E557B8" w:rsidRPr="00523556">
        <w:rPr>
          <w:rFonts w:ascii="Times New Roman" w:hAnsi="Times New Roman" w:cs="Times New Roman"/>
        </w:rPr>
        <w:t xml:space="preserve"> percentage point</w:t>
      </w:r>
      <w:r w:rsidR="00BA5A39" w:rsidRPr="00523556">
        <w:rPr>
          <w:rFonts w:ascii="Times New Roman" w:hAnsi="Times New Roman" w:cs="Times New Roman"/>
        </w:rPr>
        <w:t>s –</w:t>
      </w:r>
      <w:r w:rsidR="00895C4B" w:rsidRPr="00523556">
        <w:rPr>
          <w:rFonts w:ascii="Times New Roman" w:hAnsi="Times New Roman" w:cs="Times New Roman"/>
        </w:rPr>
        <w:t xml:space="preserve"> indicating</w:t>
      </w:r>
      <w:r w:rsidR="00BA5A39" w:rsidRPr="00523556">
        <w:rPr>
          <w:rFonts w:ascii="Times New Roman" w:hAnsi="Times New Roman" w:cs="Times New Roman"/>
        </w:rPr>
        <w:t xml:space="preserve"> </w:t>
      </w:r>
      <w:r w:rsidR="00895C4B" w:rsidRPr="00523556">
        <w:rPr>
          <w:rFonts w:ascii="Times New Roman" w:hAnsi="Times New Roman" w:cs="Times New Roman"/>
        </w:rPr>
        <w:t>that strategies involving more commercial borrowing can put substantively greater pressure on non-interest expenditures.</w:t>
      </w:r>
      <w:r w:rsidR="00C8001F" w:rsidRPr="00523556">
        <w:rPr>
          <w:rFonts w:ascii="Times New Roman" w:hAnsi="Times New Roman" w:cs="Times New Roman"/>
        </w:rPr>
        <w:br w:type="page"/>
      </w:r>
    </w:p>
    <w:p w:rsidR="00E6119D" w:rsidRPr="00523556" w:rsidRDefault="00EC06C0" w:rsidP="00E6119D">
      <w:pPr>
        <w:pStyle w:val="Heading1"/>
        <w:rPr>
          <w:rFonts w:ascii="Times New Roman" w:hAnsi="Times New Roman" w:cs="Times New Roman"/>
        </w:rPr>
      </w:pPr>
      <w:bookmarkStart w:id="17" w:name="_Toc383757448"/>
      <w:r w:rsidRPr="00523556">
        <w:rPr>
          <w:rFonts w:ascii="Times New Roman" w:hAnsi="Times New Roman" w:cs="Times New Roman"/>
        </w:rPr>
        <w:lastRenderedPageBreak/>
        <w:t>4</w:t>
      </w:r>
      <w:r w:rsidR="00E6119D" w:rsidRPr="00523556">
        <w:rPr>
          <w:rFonts w:ascii="Times New Roman" w:hAnsi="Times New Roman" w:cs="Times New Roman"/>
        </w:rPr>
        <w:t>. Conclusion</w:t>
      </w:r>
      <w:bookmarkEnd w:id="17"/>
      <w:r w:rsidR="00E6119D" w:rsidRPr="00523556">
        <w:rPr>
          <w:rFonts w:ascii="Times New Roman" w:hAnsi="Times New Roman" w:cs="Times New Roman"/>
        </w:rPr>
        <w:t xml:space="preserve"> </w:t>
      </w:r>
    </w:p>
    <w:p w:rsidR="00912F0C" w:rsidRPr="00523556" w:rsidRDefault="00B86A1A" w:rsidP="00EA2C85">
      <w:pPr>
        <w:jc w:val="both"/>
        <w:rPr>
          <w:rFonts w:ascii="Times New Roman" w:hAnsi="Times New Roman" w:cs="Times New Roman"/>
        </w:rPr>
      </w:pPr>
      <w:r w:rsidRPr="00523556">
        <w:rPr>
          <w:rFonts w:ascii="Times New Roman" w:hAnsi="Times New Roman" w:cs="Times New Roman"/>
        </w:rPr>
        <w:t xml:space="preserve">This paper has provided an overview of </w:t>
      </w:r>
      <w:r w:rsidR="00EA2C85" w:rsidRPr="00523556">
        <w:rPr>
          <w:rFonts w:ascii="Times New Roman" w:hAnsi="Times New Roman" w:cs="Times New Roman"/>
        </w:rPr>
        <w:t xml:space="preserve">the </w:t>
      </w:r>
      <w:r w:rsidRPr="00523556">
        <w:rPr>
          <w:rFonts w:ascii="Times New Roman" w:hAnsi="Times New Roman" w:cs="Times New Roman"/>
        </w:rPr>
        <w:t xml:space="preserve">key considerations associated </w:t>
      </w:r>
      <w:r w:rsidR="00EA2C85" w:rsidRPr="00523556">
        <w:rPr>
          <w:rFonts w:ascii="Times New Roman" w:hAnsi="Times New Roman" w:cs="Times New Roman"/>
        </w:rPr>
        <w:t xml:space="preserve">with the individual </w:t>
      </w:r>
      <w:r w:rsidRPr="00523556">
        <w:rPr>
          <w:rFonts w:ascii="Times New Roman" w:hAnsi="Times New Roman" w:cs="Times New Roman"/>
        </w:rPr>
        <w:t>deficit financing options</w:t>
      </w:r>
      <w:r w:rsidR="00EA2C85" w:rsidRPr="00523556">
        <w:rPr>
          <w:rFonts w:ascii="Times New Roman" w:hAnsi="Times New Roman" w:cs="Times New Roman"/>
        </w:rPr>
        <w:t xml:space="preserve"> available to Uganda</w:t>
      </w:r>
      <w:r w:rsidRPr="00523556">
        <w:rPr>
          <w:rFonts w:ascii="Times New Roman" w:hAnsi="Times New Roman" w:cs="Times New Roman"/>
        </w:rPr>
        <w:t xml:space="preserve">, and </w:t>
      </w:r>
      <w:r w:rsidR="00EA2C85" w:rsidRPr="00523556">
        <w:rPr>
          <w:rFonts w:ascii="Times New Roman" w:hAnsi="Times New Roman" w:cs="Times New Roman"/>
        </w:rPr>
        <w:t xml:space="preserve">with determining the </w:t>
      </w:r>
      <w:r w:rsidRPr="00523556">
        <w:rPr>
          <w:rFonts w:ascii="Times New Roman" w:hAnsi="Times New Roman" w:cs="Times New Roman"/>
        </w:rPr>
        <w:t xml:space="preserve">balance between them. </w:t>
      </w:r>
      <w:r w:rsidR="00B809DA" w:rsidRPr="00523556">
        <w:rPr>
          <w:rFonts w:ascii="Times New Roman" w:hAnsi="Times New Roman" w:cs="Times New Roman"/>
        </w:rPr>
        <w:t xml:space="preserve">There are many </w:t>
      </w:r>
      <w:r w:rsidR="00912F0C" w:rsidRPr="00523556">
        <w:rPr>
          <w:rFonts w:ascii="Times New Roman" w:hAnsi="Times New Roman" w:cs="Times New Roman"/>
        </w:rPr>
        <w:t>knowledge gaps in this area</w:t>
      </w:r>
      <w:r w:rsidR="00B809DA" w:rsidRPr="00523556">
        <w:rPr>
          <w:rFonts w:ascii="Times New Roman" w:hAnsi="Times New Roman" w:cs="Times New Roman"/>
        </w:rPr>
        <w:t>, and considerable further research is needed</w:t>
      </w:r>
      <w:r w:rsidR="00912F0C" w:rsidRPr="00523556">
        <w:rPr>
          <w:rFonts w:ascii="Times New Roman" w:hAnsi="Times New Roman" w:cs="Times New Roman"/>
        </w:rPr>
        <w:t xml:space="preserve"> to help developing countries identify ‘optimal’ financing strategies</w:t>
      </w:r>
      <w:r w:rsidR="005C1628" w:rsidRPr="00523556">
        <w:rPr>
          <w:rFonts w:ascii="Times New Roman" w:hAnsi="Times New Roman" w:cs="Times New Roman"/>
        </w:rPr>
        <w:t xml:space="preserve"> – including by integrating macroeconomic feedbacks in to assessments of borrowing decisions</w:t>
      </w:r>
      <w:r w:rsidR="00B809DA" w:rsidRPr="00523556">
        <w:rPr>
          <w:rFonts w:ascii="Times New Roman" w:hAnsi="Times New Roman" w:cs="Times New Roman"/>
        </w:rPr>
        <w:t xml:space="preserve">. However, </w:t>
      </w:r>
      <w:r w:rsidR="00912F0C" w:rsidRPr="00523556">
        <w:rPr>
          <w:rFonts w:ascii="Times New Roman" w:hAnsi="Times New Roman" w:cs="Times New Roman"/>
        </w:rPr>
        <w:t xml:space="preserve">insights from some simple cost-risk analysis, combined with </w:t>
      </w:r>
      <w:r w:rsidR="00B809DA" w:rsidRPr="00523556">
        <w:rPr>
          <w:rFonts w:ascii="Times New Roman" w:hAnsi="Times New Roman" w:cs="Times New Roman"/>
        </w:rPr>
        <w:t xml:space="preserve">some recent research findings and </w:t>
      </w:r>
      <w:r w:rsidR="00912F0C" w:rsidRPr="00523556">
        <w:rPr>
          <w:rFonts w:ascii="Times New Roman" w:hAnsi="Times New Roman" w:cs="Times New Roman"/>
        </w:rPr>
        <w:t xml:space="preserve">broader theoretical and practical </w:t>
      </w:r>
      <w:r w:rsidR="00B809DA" w:rsidRPr="00523556">
        <w:rPr>
          <w:rFonts w:ascii="Times New Roman" w:hAnsi="Times New Roman" w:cs="Times New Roman"/>
        </w:rPr>
        <w:t>considerations</w:t>
      </w:r>
      <w:r w:rsidR="00912F0C" w:rsidRPr="00523556">
        <w:rPr>
          <w:rFonts w:ascii="Times New Roman" w:hAnsi="Times New Roman" w:cs="Times New Roman"/>
        </w:rPr>
        <w:t>,</w:t>
      </w:r>
      <w:r w:rsidR="00B809DA" w:rsidRPr="00523556">
        <w:rPr>
          <w:rFonts w:ascii="Times New Roman" w:hAnsi="Times New Roman" w:cs="Times New Roman"/>
        </w:rPr>
        <w:t xml:space="preserve"> can be used to provide some valuable</w:t>
      </w:r>
      <w:r w:rsidR="00912F0C" w:rsidRPr="00523556">
        <w:rPr>
          <w:rFonts w:ascii="Times New Roman" w:hAnsi="Times New Roman" w:cs="Times New Roman"/>
        </w:rPr>
        <w:t xml:space="preserve"> practical guidance for the authorities’ decisions.</w:t>
      </w:r>
    </w:p>
    <w:p w:rsidR="004354AC" w:rsidRPr="00523556" w:rsidRDefault="00B809DA" w:rsidP="00B809DA">
      <w:pPr>
        <w:jc w:val="both"/>
        <w:rPr>
          <w:rFonts w:ascii="Times New Roman" w:hAnsi="Times New Roman" w:cs="Times New Roman"/>
        </w:rPr>
      </w:pPr>
      <w:r w:rsidRPr="00523556">
        <w:rPr>
          <w:rFonts w:ascii="Times New Roman" w:hAnsi="Times New Roman" w:cs="Times New Roman"/>
        </w:rPr>
        <w:t>One clear guiding principle in forming an overall financing strategy is that GoU should continue to maximise the use of concessional external debt</w:t>
      </w:r>
      <w:r w:rsidR="00DF52AD" w:rsidRPr="00523556">
        <w:rPr>
          <w:rFonts w:ascii="Times New Roman" w:hAnsi="Times New Roman" w:cs="Times New Roman"/>
        </w:rPr>
        <w:t xml:space="preserve"> as far as is possible</w:t>
      </w:r>
      <w:r w:rsidRPr="00523556">
        <w:rPr>
          <w:rFonts w:ascii="Times New Roman" w:hAnsi="Times New Roman" w:cs="Times New Roman"/>
        </w:rPr>
        <w:t>. GoU should also draw down on its net savings with the BoU as rapidly as the liquidity implications for monetary policy allow.</w:t>
      </w:r>
      <w:r w:rsidR="00B474D6" w:rsidRPr="00523556">
        <w:rPr>
          <w:rFonts w:ascii="Times New Roman" w:hAnsi="Times New Roman" w:cs="Times New Roman"/>
        </w:rPr>
        <w:t xml:space="preserve"> However, since FY09/10 these sources have been insufficient to fully-meet GoU’s financing needs</w:t>
      </w:r>
      <w:r w:rsidR="006E74F0" w:rsidRPr="00523556">
        <w:rPr>
          <w:rFonts w:ascii="Times New Roman" w:hAnsi="Times New Roman" w:cs="Times New Roman"/>
        </w:rPr>
        <w:t>;</w:t>
      </w:r>
      <w:r w:rsidR="00B474D6" w:rsidRPr="00523556">
        <w:rPr>
          <w:rFonts w:ascii="Times New Roman" w:hAnsi="Times New Roman" w:cs="Times New Roman"/>
        </w:rPr>
        <w:t xml:space="preserve"> </w:t>
      </w:r>
      <w:r w:rsidR="006E74F0" w:rsidRPr="00523556">
        <w:rPr>
          <w:rFonts w:ascii="Times New Roman" w:hAnsi="Times New Roman" w:cs="Times New Roman"/>
        </w:rPr>
        <w:t xml:space="preserve">this </w:t>
      </w:r>
      <w:r w:rsidR="00B474D6" w:rsidRPr="00523556">
        <w:rPr>
          <w:rFonts w:ascii="Times New Roman" w:hAnsi="Times New Roman" w:cs="Times New Roman"/>
        </w:rPr>
        <w:t xml:space="preserve">looks </w:t>
      </w:r>
      <w:r w:rsidR="001B3B39" w:rsidRPr="00523556">
        <w:rPr>
          <w:rFonts w:ascii="Times New Roman" w:hAnsi="Times New Roman" w:cs="Times New Roman"/>
        </w:rPr>
        <w:t xml:space="preserve">set to continue at least until </w:t>
      </w:r>
      <w:r w:rsidR="006E74F0" w:rsidRPr="00523556">
        <w:rPr>
          <w:rFonts w:ascii="Times New Roman" w:hAnsi="Times New Roman" w:cs="Times New Roman"/>
        </w:rPr>
        <w:t xml:space="preserve">oil revenues come on stream towards the end of this decade, meaning that in the interim GoU </w:t>
      </w:r>
      <w:r w:rsidR="001B3B39" w:rsidRPr="00523556">
        <w:rPr>
          <w:rFonts w:ascii="Times New Roman" w:hAnsi="Times New Roman" w:cs="Times New Roman"/>
        </w:rPr>
        <w:t>will</w:t>
      </w:r>
      <w:r w:rsidR="006E74F0" w:rsidRPr="00523556">
        <w:rPr>
          <w:rFonts w:ascii="Times New Roman" w:hAnsi="Times New Roman" w:cs="Times New Roman"/>
        </w:rPr>
        <w:t xml:space="preserve"> require financing from </w:t>
      </w:r>
      <w:r w:rsidR="001B3B39" w:rsidRPr="00523556">
        <w:rPr>
          <w:rFonts w:ascii="Times New Roman" w:hAnsi="Times New Roman" w:cs="Times New Roman"/>
        </w:rPr>
        <w:t xml:space="preserve">additional sources, including </w:t>
      </w:r>
      <w:r w:rsidR="006E74F0" w:rsidRPr="00523556">
        <w:rPr>
          <w:rFonts w:ascii="Times New Roman" w:hAnsi="Times New Roman" w:cs="Times New Roman"/>
        </w:rPr>
        <w:t xml:space="preserve">semi-concessional </w:t>
      </w:r>
      <w:r w:rsidR="001B3B39" w:rsidRPr="00523556">
        <w:rPr>
          <w:rFonts w:ascii="Times New Roman" w:hAnsi="Times New Roman" w:cs="Times New Roman"/>
        </w:rPr>
        <w:t>external loans</w:t>
      </w:r>
      <w:r w:rsidR="006E74F0" w:rsidRPr="00523556">
        <w:rPr>
          <w:rFonts w:ascii="Times New Roman" w:hAnsi="Times New Roman" w:cs="Times New Roman"/>
        </w:rPr>
        <w:t>, domestic borrowing and potentially also the international markets.</w:t>
      </w:r>
      <w:r w:rsidR="0007747C" w:rsidRPr="00523556">
        <w:rPr>
          <w:rFonts w:ascii="Times New Roman" w:hAnsi="Times New Roman" w:cs="Times New Roman"/>
        </w:rPr>
        <w:t xml:space="preserve"> </w:t>
      </w:r>
    </w:p>
    <w:p w:rsidR="00B809DA" w:rsidRPr="00523556" w:rsidRDefault="00216273" w:rsidP="00B809DA">
      <w:pPr>
        <w:jc w:val="both"/>
        <w:rPr>
          <w:rFonts w:ascii="Times New Roman" w:hAnsi="Times New Roman" w:cs="Times New Roman"/>
        </w:rPr>
      </w:pPr>
      <w:r w:rsidRPr="00523556">
        <w:rPr>
          <w:rFonts w:ascii="Times New Roman" w:hAnsi="Times New Roman" w:cs="Times New Roman"/>
        </w:rPr>
        <w:t xml:space="preserve">In debt management cost-risk terms, </w:t>
      </w:r>
      <w:r w:rsidR="00162629" w:rsidRPr="00523556">
        <w:rPr>
          <w:rFonts w:ascii="Times New Roman" w:hAnsi="Times New Roman" w:cs="Times New Roman"/>
        </w:rPr>
        <w:t xml:space="preserve">all else equal, </w:t>
      </w:r>
      <w:r w:rsidRPr="00523556">
        <w:rPr>
          <w:rFonts w:ascii="Times New Roman" w:hAnsi="Times New Roman" w:cs="Times New Roman"/>
        </w:rPr>
        <w:t xml:space="preserve">semi-concessional external </w:t>
      </w:r>
      <w:r w:rsidR="004354AC" w:rsidRPr="00523556">
        <w:rPr>
          <w:rFonts w:ascii="Times New Roman" w:hAnsi="Times New Roman" w:cs="Times New Roman"/>
        </w:rPr>
        <w:t>financing</w:t>
      </w:r>
      <w:r w:rsidRPr="00523556">
        <w:rPr>
          <w:rFonts w:ascii="Times New Roman" w:hAnsi="Times New Roman" w:cs="Times New Roman"/>
        </w:rPr>
        <w:t xml:space="preserve"> </w:t>
      </w:r>
      <w:r w:rsidR="00162629" w:rsidRPr="00523556">
        <w:rPr>
          <w:rFonts w:ascii="Times New Roman" w:hAnsi="Times New Roman" w:cs="Times New Roman"/>
        </w:rPr>
        <w:t xml:space="preserve">will always be preferable to commercial external </w:t>
      </w:r>
      <w:r w:rsidR="004354AC" w:rsidRPr="00523556">
        <w:rPr>
          <w:rFonts w:ascii="Times New Roman" w:hAnsi="Times New Roman" w:cs="Times New Roman"/>
        </w:rPr>
        <w:t>financing</w:t>
      </w:r>
      <w:r w:rsidR="00162629" w:rsidRPr="00523556">
        <w:rPr>
          <w:rFonts w:ascii="Times New Roman" w:hAnsi="Times New Roman" w:cs="Times New Roman"/>
        </w:rPr>
        <w:t xml:space="preserve">, and </w:t>
      </w:r>
      <w:r w:rsidR="0007747C" w:rsidRPr="00523556">
        <w:rPr>
          <w:rFonts w:ascii="Times New Roman" w:hAnsi="Times New Roman" w:cs="Times New Roman"/>
        </w:rPr>
        <w:t>is</w:t>
      </w:r>
      <w:r w:rsidR="0023064A" w:rsidRPr="00523556">
        <w:rPr>
          <w:rFonts w:ascii="Times New Roman" w:hAnsi="Times New Roman" w:cs="Times New Roman"/>
        </w:rPr>
        <w:t xml:space="preserve"> clearly preferable</w:t>
      </w:r>
      <w:r w:rsidR="00162629" w:rsidRPr="00523556">
        <w:rPr>
          <w:rFonts w:ascii="Times New Roman" w:hAnsi="Times New Roman" w:cs="Times New Roman"/>
        </w:rPr>
        <w:t xml:space="preserve"> to domestic borrowing when the grant element </w:t>
      </w:r>
      <w:r w:rsidR="0007747C" w:rsidRPr="00523556">
        <w:rPr>
          <w:rFonts w:ascii="Times New Roman" w:hAnsi="Times New Roman" w:cs="Times New Roman"/>
        </w:rPr>
        <w:t xml:space="preserve">of such loans </w:t>
      </w:r>
      <w:r w:rsidR="00162629" w:rsidRPr="00523556">
        <w:rPr>
          <w:rFonts w:ascii="Times New Roman" w:hAnsi="Times New Roman" w:cs="Times New Roman"/>
        </w:rPr>
        <w:t xml:space="preserve">is </w:t>
      </w:r>
      <w:r w:rsidR="0007747C" w:rsidRPr="00523556">
        <w:rPr>
          <w:rFonts w:ascii="Times New Roman" w:hAnsi="Times New Roman" w:cs="Times New Roman"/>
        </w:rPr>
        <w:t xml:space="preserve">still substantial </w:t>
      </w:r>
      <w:r w:rsidR="00307F71" w:rsidRPr="00523556">
        <w:rPr>
          <w:rFonts w:ascii="Times New Roman" w:hAnsi="Times New Roman" w:cs="Times New Roman"/>
        </w:rPr>
        <w:t>–</w:t>
      </w:r>
      <w:r w:rsidRPr="00523556">
        <w:rPr>
          <w:rFonts w:ascii="Times New Roman" w:hAnsi="Times New Roman" w:cs="Times New Roman"/>
        </w:rPr>
        <w:t xml:space="preserve"> although</w:t>
      </w:r>
      <w:r w:rsidR="00307F71" w:rsidRPr="00523556">
        <w:rPr>
          <w:rFonts w:ascii="Times New Roman" w:hAnsi="Times New Roman" w:cs="Times New Roman"/>
        </w:rPr>
        <w:t xml:space="preserve"> </w:t>
      </w:r>
      <w:r w:rsidRPr="00523556">
        <w:rPr>
          <w:rFonts w:ascii="Times New Roman" w:hAnsi="Times New Roman" w:cs="Times New Roman"/>
        </w:rPr>
        <w:t>the</w:t>
      </w:r>
      <w:r w:rsidR="0007747C" w:rsidRPr="00523556">
        <w:rPr>
          <w:rFonts w:ascii="Times New Roman" w:hAnsi="Times New Roman" w:cs="Times New Roman"/>
        </w:rPr>
        <w:t xml:space="preserve"> </w:t>
      </w:r>
      <w:r w:rsidRPr="00523556">
        <w:rPr>
          <w:rFonts w:ascii="Times New Roman" w:hAnsi="Times New Roman" w:cs="Times New Roman"/>
        </w:rPr>
        <w:t xml:space="preserve">comparison </w:t>
      </w:r>
      <w:r w:rsidR="0007747C" w:rsidRPr="00523556">
        <w:rPr>
          <w:rFonts w:ascii="Times New Roman" w:hAnsi="Times New Roman" w:cs="Times New Roman"/>
        </w:rPr>
        <w:t>will</w:t>
      </w:r>
      <w:r w:rsidR="00307F71" w:rsidRPr="00523556">
        <w:rPr>
          <w:rFonts w:ascii="Times New Roman" w:hAnsi="Times New Roman" w:cs="Times New Roman"/>
        </w:rPr>
        <w:t xml:space="preserve"> </w:t>
      </w:r>
      <w:r w:rsidRPr="00523556">
        <w:rPr>
          <w:rFonts w:ascii="Times New Roman" w:hAnsi="Times New Roman" w:cs="Times New Roman"/>
        </w:rPr>
        <w:t xml:space="preserve">be less clear-cut </w:t>
      </w:r>
      <w:r w:rsidR="0007747C" w:rsidRPr="00523556">
        <w:rPr>
          <w:rFonts w:ascii="Times New Roman" w:hAnsi="Times New Roman" w:cs="Times New Roman"/>
        </w:rPr>
        <w:t>as the level of concessionality diminishes.</w:t>
      </w:r>
      <w:r w:rsidR="00C97ABB" w:rsidRPr="00523556">
        <w:rPr>
          <w:rFonts w:ascii="Times New Roman" w:hAnsi="Times New Roman" w:cs="Times New Roman"/>
        </w:rPr>
        <w:t xml:space="preserve"> </w:t>
      </w:r>
      <w:r w:rsidR="00875B97" w:rsidRPr="00523556">
        <w:rPr>
          <w:rFonts w:ascii="Times New Roman" w:hAnsi="Times New Roman" w:cs="Times New Roman"/>
        </w:rPr>
        <w:t xml:space="preserve">Furthermore, </w:t>
      </w:r>
      <w:r w:rsidR="004354AC" w:rsidRPr="00523556">
        <w:rPr>
          <w:rFonts w:ascii="Times New Roman" w:hAnsi="Times New Roman" w:cs="Times New Roman"/>
        </w:rPr>
        <w:t>where semi-concessional lending takes the form of tied aid with no competitive public procurement or independent evaluation, it is not possible to determine the true financing cost and degree of concessionality</w:t>
      </w:r>
      <w:r w:rsidR="00BB448F" w:rsidRPr="00523556">
        <w:rPr>
          <w:rFonts w:ascii="Times New Roman" w:hAnsi="Times New Roman" w:cs="Times New Roman"/>
        </w:rPr>
        <w:t xml:space="preserve"> –</w:t>
      </w:r>
      <w:r w:rsidR="0023064A" w:rsidRPr="00523556">
        <w:rPr>
          <w:rFonts w:ascii="Times New Roman" w:hAnsi="Times New Roman" w:cs="Times New Roman"/>
        </w:rPr>
        <w:t xml:space="preserve"> complicating</w:t>
      </w:r>
      <w:r w:rsidR="00BB448F" w:rsidRPr="00523556">
        <w:rPr>
          <w:rFonts w:ascii="Times New Roman" w:hAnsi="Times New Roman" w:cs="Times New Roman"/>
        </w:rPr>
        <w:t xml:space="preserve"> </w:t>
      </w:r>
      <w:r w:rsidR="0023064A" w:rsidRPr="00523556">
        <w:rPr>
          <w:rFonts w:ascii="Times New Roman" w:hAnsi="Times New Roman" w:cs="Times New Roman"/>
        </w:rPr>
        <w:t>comparison with alternative financing options</w:t>
      </w:r>
      <w:r w:rsidR="00ED338C" w:rsidRPr="00523556">
        <w:rPr>
          <w:rFonts w:ascii="Times New Roman" w:hAnsi="Times New Roman" w:cs="Times New Roman"/>
        </w:rPr>
        <w:t xml:space="preserve"> (this implies that for all proposed tied aid packages, at the very least GoU should seek an independent evaluation of the costs of the associated project)</w:t>
      </w:r>
      <w:r w:rsidR="004354AC" w:rsidRPr="00523556">
        <w:rPr>
          <w:rFonts w:ascii="Times New Roman" w:hAnsi="Times New Roman" w:cs="Times New Roman"/>
        </w:rPr>
        <w:t>.</w:t>
      </w:r>
      <w:r w:rsidR="0023064A" w:rsidRPr="00523556">
        <w:rPr>
          <w:rFonts w:ascii="Times New Roman" w:hAnsi="Times New Roman" w:cs="Times New Roman"/>
        </w:rPr>
        <w:t xml:space="preserve"> </w:t>
      </w:r>
      <w:r w:rsidR="007E3386" w:rsidRPr="00523556">
        <w:rPr>
          <w:rFonts w:ascii="Times New Roman" w:hAnsi="Times New Roman" w:cs="Times New Roman"/>
        </w:rPr>
        <w:t xml:space="preserve">Overall however, just as GoU should seek to maximise access to concessional external financing, it looks optimal for GoU to also seek to maximise </w:t>
      </w:r>
      <w:r w:rsidR="00BB448F" w:rsidRPr="00523556">
        <w:rPr>
          <w:rFonts w:ascii="Times New Roman" w:hAnsi="Times New Roman" w:cs="Times New Roman"/>
        </w:rPr>
        <w:t xml:space="preserve">the availability of </w:t>
      </w:r>
      <w:r w:rsidR="007E3386" w:rsidRPr="00523556">
        <w:rPr>
          <w:rFonts w:ascii="Times New Roman" w:hAnsi="Times New Roman" w:cs="Times New Roman"/>
        </w:rPr>
        <w:t xml:space="preserve">genuinely semi-concessional financing as far as possible, in order to minimise the need for commercial borrowing.  </w:t>
      </w:r>
    </w:p>
    <w:p w:rsidR="00D0357C" w:rsidRPr="00523556" w:rsidRDefault="007E3386" w:rsidP="00D0357C">
      <w:pPr>
        <w:jc w:val="both"/>
        <w:rPr>
          <w:rFonts w:ascii="Times New Roman" w:hAnsi="Times New Roman" w:cs="Times New Roman"/>
        </w:rPr>
      </w:pPr>
      <w:r w:rsidRPr="00523556">
        <w:rPr>
          <w:rFonts w:ascii="Times New Roman" w:hAnsi="Times New Roman" w:cs="Times New Roman"/>
        </w:rPr>
        <w:t>The optimal trade-off between the use of domestic and</w:t>
      </w:r>
      <w:r w:rsidR="00DC16D7" w:rsidRPr="00523556">
        <w:rPr>
          <w:rFonts w:ascii="Times New Roman" w:hAnsi="Times New Roman" w:cs="Times New Roman"/>
        </w:rPr>
        <w:t xml:space="preserve"> external commercial borrowing</w:t>
      </w:r>
      <w:r w:rsidRPr="00523556">
        <w:rPr>
          <w:rFonts w:ascii="Times New Roman" w:hAnsi="Times New Roman" w:cs="Times New Roman"/>
        </w:rPr>
        <w:t xml:space="preserve"> is more uncertain. On the domestic side, t</w:t>
      </w:r>
      <w:r w:rsidR="00EA2C85" w:rsidRPr="00523556">
        <w:rPr>
          <w:rFonts w:ascii="Times New Roman" w:hAnsi="Times New Roman" w:cs="Times New Roman"/>
        </w:rPr>
        <w:t xml:space="preserve">here is reason to expect </w:t>
      </w:r>
      <w:r w:rsidR="0060483E" w:rsidRPr="00523556">
        <w:rPr>
          <w:rFonts w:ascii="Times New Roman" w:hAnsi="Times New Roman" w:cs="Times New Roman"/>
        </w:rPr>
        <w:t xml:space="preserve">that </w:t>
      </w:r>
      <w:r w:rsidR="00A77902" w:rsidRPr="00523556">
        <w:rPr>
          <w:rFonts w:ascii="Times New Roman" w:hAnsi="Times New Roman" w:cs="Times New Roman"/>
        </w:rPr>
        <w:t>large</w:t>
      </w:r>
      <w:r w:rsidR="00F44168" w:rsidRPr="00523556">
        <w:rPr>
          <w:rFonts w:ascii="Times New Roman" w:hAnsi="Times New Roman" w:cs="Times New Roman"/>
        </w:rPr>
        <w:t xml:space="preserve"> </w:t>
      </w:r>
      <w:r w:rsidR="0041765F" w:rsidRPr="00523556">
        <w:rPr>
          <w:rFonts w:ascii="Times New Roman" w:hAnsi="Times New Roman" w:cs="Times New Roman"/>
        </w:rPr>
        <w:t xml:space="preserve">domestic debt (DD) </w:t>
      </w:r>
      <w:r w:rsidR="00F44168" w:rsidRPr="00523556">
        <w:rPr>
          <w:rFonts w:ascii="Times New Roman" w:hAnsi="Times New Roman" w:cs="Times New Roman"/>
        </w:rPr>
        <w:t xml:space="preserve">issuance </w:t>
      </w:r>
      <w:r w:rsidR="0060483E" w:rsidRPr="00523556">
        <w:rPr>
          <w:rFonts w:ascii="Times New Roman" w:hAnsi="Times New Roman" w:cs="Times New Roman"/>
        </w:rPr>
        <w:t xml:space="preserve">could </w:t>
      </w:r>
      <w:r w:rsidR="00F44168" w:rsidRPr="00523556">
        <w:rPr>
          <w:rFonts w:ascii="Times New Roman" w:hAnsi="Times New Roman" w:cs="Times New Roman"/>
        </w:rPr>
        <w:t xml:space="preserve">cause </w:t>
      </w:r>
      <w:r w:rsidR="00EA2C85" w:rsidRPr="00523556">
        <w:rPr>
          <w:rFonts w:ascii="Times New Roman" w:hAnsi="Times New Roman" w:cs="Times New Roman"/>
        </w:rPr>
        <w:t>crowding</w:t>
      </w:r>
      <w:r w:rsidR="00D0357C" w:rsidRPr="00523556">
        <w:rPr>
          <w:rFonts w:ascii="Times New Roman" w:hAnsi="Times New Roman" w:cs="Times New Roman"/>
        </w:rPr>
        <w:t xml:space="preserve"> o</w:t>
      </w:r>
      <w:r w:rsidR="0039079B" w:rsidRPr="00523556">
        <w:rPr>
          <w:rFonts w:ascii="Times New Roman" w:hAnsi="Times New Roman" w:cs="Times New Roman"/>
        </w:rPr>
        <w:t>ut of private sector investment –</w:t>
      </w:r>
      <w:r w:rsidR="00D0357C" w:rsidRPr="00523556">
        <w:rPr>
          <w:rFonts w:ascii="Times New Roman" w:hAnsi="Times New Roman" w:cs="Times New Roman"/>
        </w:rPr>
        <w:t xml:space="preserve"> but</w:t>
      </w:r>
      <w:r w:rsidR="0039079B" w:rsidRPr="00523556">
        <w:rPr>
          <w:rFonts w:ascii="Times New Roman" w:hAnsi="Times New Roman" w:cs="Times New Roman"/>
        </w:rPr>
        <w:t xml:space="preserve"> </w:t>
      </w:r>
      <w:r w:rsidR="00D0357C" w:rsidRPr="00523556">
        <w:rPr>
          <w:rFonts w:ascii="Times New Roman" w:hAnsi="Times New Roman" w:cs="Times New Roman"/>
        </w:rPr>
        <w:t xml:space="preserve">that </w:t>
      </w:r>
      <w:r w:rsidR="00A77902" w:rsidRPr="00523556">
        <w:rPr>
          <w:rFonts w:ascii="Times New Roman" w:hAnsi="Times New Roman" w:cs="Times New Roman"/>
        </w:rPr>
        <w:t xml:space="preserve">up to a </w:t>
      </w:r>
      <w:r w:rsidR="00E3605B" w:rsidRPr="00523556">
        <w:rPr>
          <w:rFonts w:ascii="Times New Roman" w:hAnsi="Times New Roman" w:cs="Times New Roman"/>
        </w:rPr>
        <w:t xml:space="preserve">moderate level of issuance </w:t>
      </w:r>
      <w:r w:rsidR="00D0357C" w:rsidRPr="00523556">
        <w:rPr>
          <w:rFonts w:ascii="Times New Roman" w:hAnsi="Times New Roman" w:cs="Times New Roman"/>
        </w:rPr>
        <w:t xml:space="preserve">this may be outweighed by broader benefits. </w:t>
      </w:r>
      <w:r w:rsidR="0039079B" w:rsidRPr="00523556">
        <w:rPr>
          <w:rFonts w:ascii="Times New Roman" w:hAnsi="Times New Roman" w:cs="Times New Roman"/>
        </w:rPr>
        <w:t xml:space="preserve">Evidence </w:t>
      </w:r>
      <w:r w:rsidR="003B09B5" w:rsidRPr="00523556">
        <w:rPr>
          <w:rFonts w:ascii="Times New Roman" w:hAnsi="Times New Roman" w:cs="Times New Roman"/>
        </w:rPr>
        <w:t xml:space="preserve">available to date </w:t>
      </w:r>
      <w:r w:rsidR="0039079B" w:rsidRPr="00523556">
        <w:rPr>
          <w:rFonts w:ascii="Times New Roman" w:hAnsi="Times New Roman" w:cs="Times New Roman"/>
        </w:rPr>
        <w:t>suggests</w:t>
      </w:r>
      <w:r w:rsidR="00F44168" w:rsidRPr="00523556">
        <w:rPr>
          <w:rFonts w:ascii="Times New Roman" w:hAnsi="Times New Roman" w:cs="Times New Roman"/>
        </w:rPr>
        <w:t xml:space="preserve"> </w:t>
      </w:r>
      <w:r w:rsidR="00526FC9" w:rsidRPr="00523556">
        <w:rPr>
          <w:rFonts w:ascii="Times New Roman" w:hAnsi="Times New Roman" w:cs="Times New Roman"/>
        </w:rPr>
        <w:t>that GoU’s approach adopted in the Budget for FY13/14 is a sensible one</w:t>
      </w:r>
      <w:r w:rsidR="00003C68" w:rsidRPr="00523556">
        <w:rPr>
          <w:rFonts w:ascii="Times New Roman" w:hAnsi="Times New Roman" w:cs="Times New Roman"/>
        </w:rPr>
        <w:t xml:space="preserve">: the </w:t>
      </w:r>
      <w:r w:rsidR="00B809DA" w:rsidRPr="00523556">
        <w:rPr>
          <w:rFonts w:ascii="Times New Roman" w:hAnsi="Times New Roman" w:cs="Times New Roman"/>
        </w:rPr>
        <w:t xml:space="preserve">planned net </w:t>
      </w:r>
      <w:r w:rsidR="00C169EA" w:rsidRPr="00523556">
        <w:rPr>
          <w:rFonts w:ascii="Times New Roman" w:hAnsi="Times New Roman" w:cs="Times New Roman"/>
        </w:rPr>
        <w:t xml:space="preserve">DD issuance </w:t>
      </w:r>
      <w:r w:rsidR="00B809DA" w:rsidRPr="00523556">
        <w:rPr>
          <w:rFonts w:ascii="Times New Roman" w:hAnsi="Times New Roman" w:cs="Times New Roman"/>
        </w:rPr>
        <w:t xml:space="preserve">in FY13/14 </w:t>
      </w:r>
      <w:r w:rsidR="00C169EA" w:rsidRPr="00523556">
        <w:rPr>
          <w:rFonts w:ascii="Times New Roman" w:hAnsi="Times New Roman" w:cs="Times New Roman"/>
        </w:rPr>
        <w:t>of 1</w:t>
      </w:r>
      <w:r w:rsidR="00E44147" w:rsidRPr="00523556">
        <w:rPr>
          <w:rFonts w:ascii="Times New Roman" w:hAnsi="Times New Roman" w:cs="Times New Roman"/>
        </w:rPr>
        <w:t>.6</w:t>
      </w:r>
      <w:r w:rsidR="00E557B8" w:rsidRPr="00523556">
        <w:rPr>
          <w:rFonts w:ascii="Times New Roman" w:hAnsi="Times New Roman" w:cs="Times New Roman"/>
        </w:rPr>
        <w:t xml:space="preserve"> per cent</w:t>
      </w:r>
      <w:r w:rsidR="00C169EA" w:rsidRPr="00523556">
        <w:rPr>
          <w:rFonts w:ascii="Times New Roman" w:hAnsi="Times New Roman" w:cs="Times New Roman"/>
        </w:rPr>
        <w:t xml:space="preserve"> of GDP</w:t>
      </w:r>
      <w:r w:rsidR="00B809DA" w:rsidRPr="00523556">
        <w:rPr>
          <w:rFonts w:ascii="Times New Roman" w:hAnsi="Times New Roman" w:cs="Times New Roman"/>
        </w:rPr>
        <w:t xml:space="preserve"> </w:t>
      </w:r>
      <w:r w:rsidR="00003C68" w:rsidRPr="00523556">
        <w:rPr>
          <w:rFonts w:ascii="Times New Roman" w:hAnsi="Times New Roman" w:cs="Times New Roman"/>
        </w:rPr>
        <w:t xml:space="preserve">is </w:t>
      </w:r>
      <w:r w:rsidR="00E44147" w:rsidRPr="00523556">
        <w:rPr>
          <w:rFonts w:ascii="Times New Roman" w:hAnsi="Times New Roman" w:cs="Times New Roman"/>
        </w:rPr>
        <w:t>broadly in line with</w:t>
      </w:r>
      <w:r w:rsidR="00B809DA" w:rsidRPr="00523556">
        <w:rPr>
          <w:rFonts w:ascii="Times New Roman" w:hAnsi="Times New Roman" w:cs="Times New Roman"/>
        </w:rPr>
        <w:t xml:space="preserve"> average net issuance </w:t>
      </w:r>
      <w:r w:rsidR="00003C68" w:rsidRPr="00523556">
        <w:rPr>
          <w:rFonts w:ascii="Times New Roman" w:hAnsi="Times New Roman" w:cs="Times New Roman"/>
        </w:rPr>
        <w:t xml:space="preserve">over the past ten years (and so should be perfectly feasible), and over the medium term would be consistent with maintaining the ratio of DD to bank deposits at around its current level (which is close to what one recent piece of research </w:t>
      </w:r>
      <w:r w:rsidR="003B09B5" w:rsidRPr="00523556">
        <w:rPr>
          <w:rFonts w:ascii="Times New Roman" w:hAnsi="Times New Roman" w:cs="Times New Roman"/>
        </w:rPr>
        <w:t>suggests</w:t>
      </w:r>
      <w:r w:rsidR="00003C68" w:rsidRPr="00523556">
        <w:rPr>
          <w:rFonts w:ascii="Times New Roman" w:hAnsi="Times New Roman" w:cs="Times New Roman"/>
        </w:rPr>
        <w:t xml:space="preserve"> may be an optimal level). If GoU </w:t>
      </w:r>
      <w:r w:rsidR="0041765F" w:rsidRPr="00523556">
        <w:rPr>
          <w:rFonts w:ascii="Times New Roman" w:hAnsi="Times New Roman" w:cs="Times New Roman"/>
        </w:rPr>
        <w:t xml:space="preserve">did </w:t>
      </w:r>
      <w:r w:rsidR="00003C68" w:rsidRPr="00523556">
        <w:rPr>
          <w:rFonts w:ascii="Times New Roman" w:hAnsi="Times New Roman" w:cs="Times New Roman"/>
        </w:rPr>
        <w:t xml:space="preserve">decide to expand net DD issuance beyond this, the upper </w:t>
      </w:r>
      <w:r w:rsidR="00D0357C" w:rsidRPr="00523556">
        <w:rPr>
          <w:rFonts w:ascii="Times New Roman" w:hAnsi="Times New Roman" w:cs="Times New Roman"/>
        </w:rPr>
        <w:t xml:space="preserve">limit the authorities </w:t>
      </w:r>
      <w:r w:rsidR="00F44168" w:rsidRPr="00523556">
        <w:rPr>
          <w:rFonts w:ascii="Times New Roman" w:hAnsi="Times New Roman" w:cs="Times New Roman"/>
        </w:rPr>
        <w:t xml:space="preserve">have </w:t>
      </w:r>
      <w:r w:rsidR="00A77902" w:rsidRPr="00523556">
        <w:rPr>
          <w:rFonts w:ascii="Times New Roman" w:hAnsi="Times New Roman" w:cs="Times New Roman"/>
        </w:rPr>
        <w:t xml:space="preserve">considered </w:t>
      </w:r>
      <w:r w:rsidR="00440E3D" w:rsidRPr="00523556">
        <w:rPr>
          <w:rFonts w:ascii="Times New Roman" w:hAnsi="Times New Roman" w:cs="Times New Roman"/>
        </w:rPr>
        <w:t xml:space="preserve">setting </w:t>
      </w:r>
      <w:r w:rsidR="00F44168" w:rsidRPr="00523556">
        <w:rPr>
          <w:rFonts w:ascii="Times New Roman" w:hAnsi="Times New Roman" w:cs="Times New Roman"/>
        </w:rPr>
        <w:t xml:space="preserve">for </w:t>
      </w:r>
      <w:r w:rsidR="000E6574" w:rsidRPr="00523556">
        <w:rPr>
          <w:rFonts w:ascii="Times New Roman" w:hAnsi="Times New Roman" w:cs="Times New Roman"/>
        </w:rPr>
        <w:t xml:space="preserve">the DD-to-GDP </w:t>
      </w:r>
      <w:r w:rsidR="00F44168" w:rsidRPr="00523556">
        <w:rPr>
          <w:rFonts w:ascii="Times New Roman" w:hAnsi="Times New Roman" w:cs="Times New Roman"/>
        </w:rPr>
        <w:t xml:space="preserve">ratio of </w:t>
      </w:r>
      <w:r w:rsidR="00180BDC" w:rsidRPr="00523556">
        <w:rPr>
          <w:rFonts w:ascii="Times New Roman" w:hAnsi="Times New Roman" w:cs="Times New Roman"/>
        </w:rPr>
        <w:t>15</w:t>
      </w:r>
      <w:r w:rsidR="00E557B8" w:rsidRPr="00523556">
        <w:rPr>
          <w:rFonts w:ascii="Times New Roman" w:hAnsi="Times New Roman" w:cs="Times New Roman"/>
        </w:rPr>
        <w:t xml:space="preserve"> per cent</w:t>
      </w:r>
      <w:r w:rsidR="00625075" w:rsidRPr="00523556">
        <w:rPr>
          <w:rFonts w:ascii="Times New Roman" w:hAnsi="Times New Roman" w:cs="Times New Roman"/>
        </w:rPr>
        <w:t xml:space="preserve"> (which would be consistent with net issuance of around 2.0</w:t>
      </w:r>
      <w:r w:rsidR="00E557B8" w:rsidRPr="00523556">
        <w:rPr>
          <w:rFonts w:ascii="Times New Roman" w:hAnsi="Times New Roman" w:cs="Times New Roman"/>
        </w:rPr>
        <w:t xml:space="preserve"> per cent</w:t>
      </w:r>
      <w:r w:rsidR="00625075" w:rsidRPr="00523556">
        <w:rPr>
          <w:rFonts w:ascii="Times New Roman" w:hAnsi="Times New Roman" w:cs="Times New Roman"/>
        </w:rPr>
        <w:t xml:space="preserve"> of GDP each year to FY19/20) </w:t>
      </w:r>
      <w:r w:rsidR="000E6574" w:rsidRPr="00523556">
        <w:rPr>
          <w:rFonts w:ascii="Times New Roman" w:hAnsi="Times New Roman" w:cs="Times New Roman"/>
        </w:rPr>
        <w:t xml:space="preserve">does not </w:t>
      </w:r>
      <w:r w:rsidR="000E6574" w:rsidRPr="00523556">
        <w:rPr>
          <w:rFonts w:ascii="Times New Roman" w:hAnsi="Times New Roman" w:cs="Times New Roman"/>
        </w:rPr>
        <w:lastRenderedPageBreak/>
        <w:t>look un</w:t>
      </w:r>
      <w:r w:rsidR="0041765F" w:rsidRPr="00523556">
        <w:rPr>
          <w:rFonts w:ascii="Times New Roman" w:hAnsi="Times New Roman" w:cs="Times New Roman"/>
        </w:rPr>
        <w:t>reasonable</w:t>
      </w:r>
      <w:r w:rsidR="000E6574" w:rsidRPr="00523556">
        <w:rPr>
          <w:rFonts w:ascii="Times New Roman" w:hAnsi="Times New Roman" w:cs="Times New Roman"/>
        </w:rPr>
        <w:t>;</w:t>
      </w:r>
      <w:r w:rsidRPr="00523556">
        <w:rPr>
          <w:rFonts w:ascii="Times New Roman" w:hAnsi="Times New Roman" w:cs="Times New Roman"/>
        </w:rPr>
        <w:t xml:space="preserve"> </w:t>
      </w:r>
      <w:r w:rsidR="000E6574" w:rsidRPr="00523556">
        <w:rPr>
          <w:rFonts w:ascii="Times New Roman" w:hAnsi="Times New Roman" w:cs="Times New Roman"/>
        </w:rPr>
        <w:t>however, the higher the level of issuance, the more pressing it will be to undertake complementary reforms that support increased financial depth, minimise the costs and maximise the benefits associated with DD issuance.</w:t>
      </w:r>
    </w:p>
    <w:p w:rsidR="00E3605B" w:rsidRPr="00523556" w:rsidRDefault="007E3386" w:rsidP="00D0357C">
      <w:pPr>
        <w:jc w:val="both"/>
        <w:rPr>
          <w:rFonts w:ascii="Times New Roman" w:hAnsi="Times New Roman" w:cs="Times New Roman"/>
        </w:rPr>
      </w:pPr>
      <w:r w:rsidRPr="00523556">
        <w:rPr>
          <w:rFonts w:ascii="Times New Roman" w:hAnsi="Times New Roman" w:cs="Times New Roman"/>
        </w:rPr>
        <w:t>In terms of external commercial borrowing, i</w:t>
      </w:r>
      <w:r w:rsidR="00E3605B" w:rsidRPr="00523556">
        <w:rPr>
          <w:rFonts w:ascii="Times New Roman" w:hAnsi="Times New Roman" w:cs="Times New Roman"/>
        </w:rPr>
        <w:t xml:space="preserve">nternational investor interest in ‘frontier’ </w:t>
      </w:r>
      <w:r w:rsidR="0060483E" w:rsidRPr="00523556">
        <w:rPr>
          <w:rFonts w:ascii="Times New Roman" w:hAnsi="Times New Roman" w:cs="Times New Roman"/>
        </w:rPr>
        <w:t xml:space="preserve">sovereign </w:t>
      </w:r>
      <w:r w:rsidR="00E3605B" w:rsidRPr="00523556">
        <w:rPr>
          <w:rFonts w:ascii="Times New Roman" w:hAnsi="Times New Roman" w:cs="Times New Roman"/>
        </w:rPr>
        <w:t>debt, combined with Uganda’s current level of borrowing space, means that borrowing from external sources on commercial terms such</w:t>
      </w:r>
      <w:r w:rsidRPr="00523556">
        <w:rPr>
          <w:rFonts w:ascii="Times New Roman" w:hAnsi="Times New Roman" w:cs="Times New Roman"/>
        </w:rPr>
        <w:t xml:space="preserve"> as in the form of a Eurobond </w:t>
      </w:r>
      <w:r w:rsidR="00E3605B" w:rsidRPr="00523556">
        <w:rPr>
          <w:rFonts w:ascii="Times New Roman" w:hAnsi="Times New Roman" w:cs="Times New Roman"/>
        </w:rPr>
        <w:t xml:space="preserve">is now a feasible financing option for Uganda. </w:t>
      </w:r>
      <w:r w:rsidR="00F047AD" w:rsidRPr="00523556">
        <w:rPr>
          <w:rFonts w:ascii="Times New Roman" w:hAnsi="Times New Roman" w:cs="Times New Roman"/>
        </w:rPr>
        <w:t xml:space="preserve">Whilst issuing </w:t>
      </w:r>
      <w:r w:rsidR="00E3605B" w:rsidRPr="00523556">
        <w:rPr>
          <w:rFonts w:ascii="Times New Roman" w:hAnsi="Times New Roman" w:cs="Times New Roman"/>
        </w:rPr>
        <w:t>Eurobond</w:t>
      </w:r>
      <w:r w:rsidR="00F047AD" w:rsidRPr="00523556">
        <w:rPr>
          <w:rFonts w:ascii="Times New Roman" w:hAnsi="Times New Roman" w:cs="Times New Roman"/>
        </w:rPr>
        <w:t xml:space="preserve">s </w:t>
      </w:r>
      <w:r w:rsidR="00E3605B" w:rsidRPr="00523556">
        <w:rPr>
          <w:rFonts w:ascii="Times New Roman" w:hAnsi="Times New Roman" w:cs="Times New Roman"/>
        </w:rPr>
        <w:t>allow</w:t>
      </w:r>
      <w:r w:rsidR="00F047AD" w:rsidRPr="00523556">
        <w:rPr>
          <w:rFonts w:ascii="Times New Roman" w:hAnsi="Times New Roman" w:cs="Times New Roman"/>
        </w:rPr>
        <w:t>s</w:t>
      </w:r>
      <w:r w:rsidR="00E3605B" w:rsidRPr="00523556">
        <w:rPr>
          <w:rFonts w:ascii="Times New Roman" w:hAnsi="Times New Roman" w:cs="Times New Roman"/>
        </w:rPr>
        <w:t xml:space="preserve"> access to a much broader pool of financing</w:t>
      </w:r>
      <w:r w:rsidR="00F047AD" w:rsidRPr="00523556">
        <w:rPr>
          <w:rFonts w:ascii="Times New Roman" w:hAnsi="Times New Roman" w:cs="Times New Roman"/>
        </w:rPr>
        <w:t>, it</w:t>
      </w:r>
      <w:r w:rsidR="00A77902" w:rsidRPr="00523556">
        <w:rPr>
          <w:rFonts w:ascii="Times New Roman" w:hAnsi="Times New Roman" w:cs="Times New Roman"/>
        </w:rPr>
        <w:t xml:space="preserve"> </w:t>
      </w:r>
      <w:r w:rsidR="00E73407" w:rsidRPr="00523556">
        <w:rPr>
          <w:rFonts w:ascii="Times New Roman" w:hAnsi="Times New Roman" w:cs="Times New Roman"/>
        </w:rPr>
        <w:t xml:space="preserve">also </w:t>
      </w:r>
      <w:r w:rsidR="00A77902" w:rsidRPr="00523556">
        <w:rPr>
          <w:rFonts w:ascii="Times New Roman" w:hAnsi="Times New Roman" w:cs="Times New Roman"/>
        </w:rPr>
        <w:t>bring</w:t>
      </w:r>
      <w:r w:rsidR="00F047AD" w:rsidRPr="00523556">
        <w:rPr>
          <w:rFonts w:ascii="Times New Roman" w:hAnsi="Times New Roman" w:cs="Times New Roman"/>
        </w:rPr>
        <w:t>s</w:t>
      </w:r>
      <w:r w:rsidR="00E3605B" w:rsidRPr="00523556">
        <w:rPr>
          <w:rFonts w:ascii="Times New Roman" w:hAnsi="Times New Roman" w:cs="Times New Roman"/>
        </w:rPr>
        <w:t xml:space="preserve"> with it </w:t>
      </w:r>
      <w:r w:rsidR="00E73407" w:rsidRPr="00523556">
        <w:rPr>
          <w:rFonts w:ascii="Times New Roman" w:hAnsi="Times New Roman" w:cs="Times New Roman"/>
        </w:rPr>
        <w:t xml:space="preserve">a set of </w:t>
      </w:r>
      <w:r w:rsidR="00FC24B4" w:rsidRPr="00523556">
        <w:rPr>
          <w:rFonts w:ascii="Times New Roman" w:hAnsi="Times New Roman" w:cs="Times New Roman"/>
        </w:rPr>
        <w:t xml:space="preserve">potentially significant </w:t>
      </w:r>
      <w:r w:rsidR="00E3605B" w:rsidRPr="00523556">
        <w:rPr>
          <w:rFonts w:ascii="Times New Roman" w:hAnsi="Times New Roman" w:cs="Times New Roman"/>
        </w:rPr>
        <w:t>risks</w:t>
      </w:r>
      <w:r w:rsidR="0060483E" w:rsidRPr="00523556">
        <w:rPr>
          <w:rFonts w:ascii="Times New Roman" w:hAnsi="Times New Roman" w:cs="Times New Roman"/>
        </w:rPr>
        <w:t xml:space="preserve"> </w:t>
      </w:r>
      <w:r w:rsidR="00E73407" w:rsidRPr="00523556">
        <w:rPr>
          <w:rFonts w:ascii="Times New Roman" w:hAnsi="Times New Roman" w:cs="Times New Roman"/>
        </w:rPr>
        <w:t xml:space="preserve">that </w:t>
      </w:r>
      <w:r w:rsidR="00FC24B4" w:rsidRPr="00523556">
        <w:rPr>
          <w:rFonts w:ascii="Times New Roman" w:hAnsi="Times New Roman" w:cs="Times New Roman"/>
        </w:rPr>
        <w:t xml:space="preserve">would </w:t>
      </w:r>
      <w:r w:rsidR="00E73407" w:rsidRPr="00523556">
        <w:rPr>
          <w:rFonts w:ascii="Times New Roman" w:hAnsi="Times New Roman" w:cs="Times New Roman"/>
        </w:rPr>
        <w:t xml:space="preserve">need to be carefully managed, and that </w:t>
      </w:r>
      <w:r w:rsidR="00F047AD" w:rsidRPr="00523556">
        <w:rPr>
          <w:rFonts w:ascii="Times New Roman" w:hAnsi="Times New Roman" w:cs="Times New Roman"/>
        </w:rPr>
        <w:t xml:space="preserve">it </w:t>
      </w:r>
      <w:r w:rsidR="00E73407" w:rsidRPr="00523556">
        <w:rPr>
          <w:rFonts w:ascii="Times New Roman" w:hAnsi="Times New Roman" w:cs="Times New Roman"/>
        </w:rPr>
        <w:t xml:space="preserve">is </w:t>
      </w:r>
      <w:r w:rsidR="00E3605B" w:rsidRPr="00523556">
        <w:rPr>
          <w:rFonts w:ascii="Times New Roman" w:hAnsi="Times New Roman" w:cs="Times New Roman"/>
        </w:rPr>
        <w:t xml:space="preserve">vital </w:t>
      </w:r>
      <w:r w:rsidR="00E73407" w:rsidRPr="00523556">
        <w:rPr>
          <w:rFonts w:ascii="Times New Roman" w:hAnsi="Times New Roman" w:cs="Times New Roman"/>
        </w:rPr>
        <w:t xml:space="preserve">be </w:t>
      </w:r>
      <w:r w:rsidR="00E3605B" w:rsidRPr="00523556">
        <w:rPr>
          <w:rFonts w:ascii="Times New Roman" w:hAnsi="Times New Roman" w:cs="Times New Roman"/>
        </w:rPr>
        <w:t>fully taken into account</w:t>
      </w:r>
      <w:r w:rsidR="00A77902" w:rsidRPr="00523556">
        <w:rPr>
          <w:rFonts w:ascii="Times New Roman" w:hAnsi="Times New Roman" w:cs="Times New Roman"/>
        </w:rPr>
        <w:t xml:space="preserve"> before any issuance decision </w:t>
      </w:r>
      <w:r w:rsidR="00B327B7" w:rsidRPr="00523556">
        <w:rPr>
          <w:rFonts w:ascii="Times New Roman" w:hAnsi="Times New Roman" w:cs="Times New Roman"/>
        </w:rPr>
        <w:t xml:space="preserve">is </w:t>
      </w:r>
      <w:r w:rsidR="00A77902" w:rsidRPr="00523556">
        <w:rPr>
          <w:rFonts w:ascii="Times New Roman" w:hAnsi="Times New Roman" w:cs="Times New Roman"/>
        </w:rPr>
        <w:t>made</w:t>
      </w:r>
      <w:r w:rsidR="00E3605B" w:rsidRPr="00523556">
        <w:rPr>
          <w:rFonts w:ascii="Times New Roman" w:hAnsi="Times New Roman" w:cs="Times New Roman"/>
        </w:rPr>
        <w:t>.</w:t>
      </w:r>
      <w:r w:rsidR="00FC24B4" w:rsidRPr="00523556">
        <w:rPr>
          <w:rFonts w:ascii="Times New Roman" w:hAnsi="Times New Roman" w:cs="Times New Roman"/>
        </w:rPr>
        <w:t xml:space="preserve"> </w:t>
      </w:r>
    </w:p>
    <w:p w:rsidR="006C2D54" w:rsidRPr="00523556" w:rsidRDefault="00273B46" w:rsidP="00E345D7">
      <w:pPr>
        <w:jc w:val="both"/>
        <w:rPr>
          <w:rFonts w:ascii="Times New Roman" w:hAnsi="Times New Roman" w:cs="Times New Roman"/>
        </w:rPr>
      </w:pPr>
      <w:r w:rsidRPr="00523556">
        <w:rPr>
          <w:rFonts w:ascii="Times New Roman" w:hAnsi="Times New Roman" w:cs="Times New Roman"/>
        </w:rPr>
        <w:t xml:space="preserve">The </w:t>
      </w:r>
      <w:r w:rsidR="004D1764" w:rsidRPr="00523556">
        <w:rPr>
          <w:rFonts w:ascii="Times New Roman" w:hAnsi="Times New Roman" w:cs="Times New Roman"/>
        </w:rPr>
        <w:t xml:space="preserve">illustrative </w:t>
      </w:r>
      <w:r w:rsidR="00746B25" w:rsidRPr="00523556">
        <w:rPr>
          <w:rFonts w:ascii="Times New Roman" w:hAnsi="Times New Roman" w:cs="Times New Roman"/>
        </w:rPr>
        <w:t xml:space="preserve">medium-term fiscal scenario considered in this paper </w:t>
      </w:r>
      <w:r w:rsidR="009B0F7D" w:rsidRPr="00523556">
        <w:rPr>
          <w:rFonts w:ascii="Times New Roman" w:hAnsi="Times New Roman" w:cs="Times New Roman"/>
        </w:rPr>
        <w:t xml:space="preserve">shows </w:t>
      </w:r>
      <w:r w:rsidR="00E345D7" w:rsidRPr="00523556">
        <w:rPr>
          <w:rFonts w:ascii="Times New Roman" w:hAnsi="Times New Roman" w:cs="Times New Roman"/>
        </w:rPr>
        <w:t xml:space="preserve">that </w:t>
      </w:r>
      <w:r w:rsidR="00746B25" w:rsidRPr="00523556">
        <w:rPr>
          <w:rFonts w:ascii="Times New Roman" w:hAnsi="Times New Roman" w:cs="Times New Roman"/>
        </w:rPr>
        <w:t>meeting the full ambition of GoU’s investment goals out to FY19/20 (the end of the next National Development Plan period) woul</w:t>
      </w:r>
      <w:r w:rsidR="00E345D7" w:rsidRPr="00523556">
        <w:rPr>
          <w:rFonts w:ascii="Times New Roman" w:hAnsi="Times New Roman" w:cs="Times New Roman"/>
        </w:rPr>
        <w:t>d</w:t>
      </w:r>
      <w:r w:rsidR="008111DC" w:rsidRPr="00523556">
        <w:rPr>
          <w:rFonts w:ascii="Times New Roman" w:hAnsi="Times New Roman" w:cs="Times New Roman"/>
        </w:rPr>
        <w:t xml:space="preserve"> require a series of elevated fiscal deficits before oil revenues come on stream towards the end of this decade. </w:t>
      </w:r>
      <w:r w:rsidR="00E345D7" w:rsidRPr="00523556">
        <w:rPr>
          <w:rFonts w:ascii="Times New Roman" w:hAnsi="Times New Roman" w:cs="Times New Roman"/>
        </w:rPr>
        <w:t>S</w:t>
      </w:r>
      <w:r w:rsidR="00B55911" w:rsidRPr="00523556">
        <w:rPr>
          <w:rFonts w:ascii="Times New Roman" w:hAnsi="Times New Roman" w:cs="Times New Roman"/>
        </w:rPr>
        <w:t xml:space="preserve">imple </w:t>
      </w:r>
      <w:r w:rsidR="00FA1AA5" w:rsidRPr="00523556">
        <w:rPr>
          <w:rFonts w:ascii="Times New Roman" w:hAnsi="Times New Roman" w:cs="Times New Roman"/>
        </w:rPr>
        <w:t>simulations</w:t>
      </w:r>
      <w:r w:rsidR="00B55911" w:rsidRPr="00523556">
        <w:rPr>
          <w:rFonts w:ascii="Times New Roman" w:hAnsi="Times New Roman" w:cs="Times New Roman"/>
        </w:rPr>
        <w:t xml:space="preserve"> </w:t>
      </w:r>
      <w:r w:rsidR="004D1764" w:rsidRPr="00523556">
        <w:rPr>
          <w:rFonts w:ascii="Times New Roman" w:hAnsi="Times New Roman" w:cs="Times New Roman"/>
        </w:rPr>
        <w:t>suggest</w:t>
      </w:r>
      <w:r w:rsidR="00B55911" w:rsidRPr="00523556">
        <w:rPr>
          <w:rFonts w:ascii="Times New Roman" w:hAnsi="Times New Roman" w:cs="Times New Roman"/>
        </w:rPr>
        <w:t xml:space="preserve"> that if around </w:t>
      </w:r>
      <w:r w:rsidR="00A77902" w:rsidRPr="00523556">
        <w:rPr>
          <w:rFonts w:ascii="Times New Roman" w:hAnsi="Times New Roman" w:cs="Times New Roman"/>
        </w:rPr>
        <w:t>$250m (or around 0.8</w:t>
      </w:r>
      <w:r w:rsidR="00E557B8" w:rsidRPr="00523556">
        <w:rPr>
          <w:rFonts w:ascii="Times New Roman" w:hAnsi="Times New Roman" w:cs="Times New Roman"/>
        </w:rPr>
        <w:t xml:space="preserve"> per cent</w:t>
      </w:r>
      <w:r w:rsidR="00B55911" w:rsidRPr="00523556">
        <w:rPr>
          <w:rFonts w:ascii="Times New Roman" w:hAnsi="Times New Roman" w:cs="Times New Roman"/>
        </w:rPr>
        <w:t xml:space="preserve"> of GDP) on average </w:t>
      </w:r>
      <w:r w:rsidR="004E5EF9" w:rsidRPr="00523556">
        <w:rPr>
          <w:rFonts w:ascii="Times New Roman" w:hAnsi="Times New Roman" w:cs="Times New Roman"/>
        </w:rPr>
        <w:t xml:space="preserve">were </w:t>
      </w:r>
      <w:r w:rsidR="00B55911" w:rsidRPr="00523556">
        <w:rPr>
          <w:rFonts w:ascii="Times New Roman" w:hAnsi="Times New Roman" w:cs="Times New Roman"/>
        </w:rPr>
        <w:t xml:space="preserve">raised from </w:t>
      </w:r>
      <w:r w:rsidR="00BB448F" w:rsidRPr="00523556">
        <w:rPr>
          <w:rFonts w:ascii="Times New Roman" w:hAnsi="Times New Roman" w:cs="Times New Roman"/>
        </w:rPr>
        <w:t xml:space="preserve">semi-concessional </w:t>
      </w:r>
      <w:r w:rsidR="00FA1AA5" w:rsidRPr="00523556">
        <w:rPr>
          <w:rFonts w:ascii="Times New Roman" w:hAnsi="Times New Roman" w:cs="Times New Roman"/>
        </w:rPr>
        <w:t>source</w:t>
      </w:r>
      <w:r w:rsidR="00BB448F" w:rsidRPr="00523556">
        <w:rPr>
          <w:rFonts w:ascii="Times New Roman" w:hAnsi="Times New Roman" w:cs="Times New Roman"/>
        </w:rPr>
        <w:t>s</w:t>
      </w:r>
      <w:r w:rsidR="00FA1AA5" w:rsidRPr="00523556">
        <w:rPr>
          <w:rFonts w:ascii="Times New Roman" w:hAnsi="Times New Roman" w:cs="Times New Roman"/>
        </w:rPr>
        <w:t xml:space="preserve"> each year, then net Treasury securities issuance consistent with raising the domestic debt stock to 15</w:t>
      </w:r>
      <w:r w:rsidR="00E557B8" w:rsidRPr="00523556">
        <w:rPr>
          <w:rFonts w:ascii="Times New Roman" w:hAnsi="Times New Roman" w:cs="Times New Roman"/>
        </w:rPr>
        <w:t xml:space="preserve"> per cent</w:t>
      </w:r>
      <w:r w:rsidR="00FA1AA5" w:rsidRPr="00523556">
        <w:rPr>
          <w:rFonts w:ascii="Times New Roman" w:hAnsi="Times New Roman" w:cs="Times New Roman"/>
        </w:rPr>
        <w:t xml:space="preserve"> </w:t>
      </w:r>
      <w:r w:rsidR="004035B9" w:rsidRPr="00523556">
        <w:rPr>
          <w:rFonts w:ascii="Times New Roman" w:hAnsi="Times New Roman" w:cs="Times New Roman"/>
        </w:rPr>
        <w:t xml:space="preserve">of </w:t>
      </w:r>
      <w:r w:rsidR="00FA1AA5" w:rsidRPr="00523556">
        <w:rPr>
          <w:rFonts w:ascii="Times New Roman" w:hAnsi="Times New Roman" w:cs="Times New Roman"/>
        </w:rPr>
        <w:t xml:space="preserve">GDP </w:t>
      </w:r>
      <w:r w:rsidR="00B55911" w:rsidRPr="00523556">
        <w:rPr>
          <w:rFonts w:ascii="Times New Roman" w:hAnsi="Times New Roman" w:cs="Times New Roman"/>
        </w:rPr>
        <w:t xml:space="preserve">would still not fully cover </w:t>
      </w:r>
      <w:r w:rsidR="00FA1AA5" w:rsidRPr="00523556">
        <w:rPr>
          <w:rFonts w:ascii="Times New Roman" w:hAnsi="Times New Roman" w:cs="Times New Roman"/>
        </w:rPr>
        <w:t xml:space="preserve">GoU’s </w:t>
      </w:r>
      <w:r w:rsidR="00B55911" w:rsidRPr="00523556">
        <w:rPr>
          <w:rFonts w:ascii="Times New Roman" w:hAnsi="Times New Roman" w:cs="Times New Roman"/>
        </w:rPr>
        <w:t>net financing requirements</w:t>
      </w:r>
      <w:r w:rsidR="00BB448F" w:rsidRPr="00523556">
        <w:rPr>
          <w:rFonts w:ascii="Times New Roman" w:hAnsi="Times New Roman" w:cs="Times New Roman"/>
        </w:rPr>
        <w:t xml:space="preserve"> –</w:t>
      </w:r>
      <w:r w:rsidR="00B55911" w:rsidRPr="00523556">
        <w:rPr>
          <w:rFonts w:ascii="Times New Roman" w:hAnsi="Times New Roman" w:cs="Times New Roman"/>
        </w:rPr>
        <w:t xml:space="preserve"> and</w:t>
      </w:r>
      <w:r w:rsidR="00BB448F" w:rsidRPr="00523556">
        <w:rPr>
          <w:rFonts w:ascii="Times New Roman" w:hAnsi="Times New Roman" w:cs="Times New Roman"/>
        </w:rPr>
        <w:t xml:space="preserve"> </w:t>
      </w:r>
      <w:r w:rsidR="00B55911" w:rsidRPr="00523556">
        <w:rPr>
          <w:rFonts w:ascii="Times New Roman" w:hAnsi="Times New Roman" w:cs="Times New Roman"/>
        </w:rPr>
        <w:t xml:space="preserve">it </w:t>
      </w:r>
      <w:r w:rsidR="004D1764" w:rsidRPr="00523556">
        <w:rPr>
          <w:rFonts w:ascii="Times New Roman" w:hAnsi="Times New Roman" w:cs="Times New Roman"/>
        </w:rPr>
        <w:t>could</w:t>
      </w:r>
      <w:r w:rsidR="000221BB" w:rsidRPr="00523556">
        <w:rPr>
          <w:rFonts w:ascii="Times New Roman" w:hAnsi="Times New Roman" w:cs="Times New Roman"/>
        </w:rPr>
        <w:t xml:space="preserve"> be necessary to issue around $4</w:t>
      </w:r>
      <w:r w:rsidR="00B55911" w:rsidRPr="00523556">
        <w:rPr>
          <w:rFonts w:ascii="Times New Roman" w:hAnsi="Times New Roman" w:cs="Times New Roman"/>
        </w:rPr>
        <w:t xml:space="preserve">00m </w:t>
      </w:r>
      <w:r w:rsidR="00FA1AA5" w:rsidRPr="00523556">
        <w:rPr>
          <w:rFonts w:ascii="Times New Roman" w:hAnsi="Times New Roman" w:cs="Times New Roman"/>
        </w:rPr>
        <w:t xml:space="preserve">of </w:t>
      </w:r>
      <w:r w:rsidR="000221BB" w:rsidRPr="00523556">
        <w:rPr>
          <w:rFonts w:ascii="Times New Roman" w:hAnsi="Times New Roman" w:cs="Times New Roman"/>
        </w:rPr>
        <w:t xml:space="preserve">commercial </w:t>
      </w:r>
      <w:r w:rsidR="00FA1AA5" w:rsidRPr="00523556">
        <w:rPr>
          <w:rFonts w:ascii="Times New Roman" w:hAnsi="Times New Roman" w:cs="Times New Roman"/>
        </w:rPr>
        <w:t xml:space="preserve">external debt </w:t>
      </w:r>
      <w:r w:rsidR="00E52634" w:rsidRPr="00523556">
        <w:rPr>
          <w:rFonts w:ascii="Times New Roman" w:hAnsi="Times New Roman" w:cs="Times New Roman"/>
        </w:rPr>
        <w:t>over the medium term</w:t>
      </w:r>
      <w:r w:rsidR="00B55911" w:rsidRPr="00523556">
        <w:rPr>
          <w:rFonts w:ascii="Times New Roman" w:hAnsi="Times New Roman" w:cs="Times New Roman"/>
        </w:rPr>
        <w:t xml:space="preserve">. </w:t>
      </w:r>
      <w:r w:rsidR="00BB448F" w:rsidRPr="00523556">
        <w:rPr>
          <w:rFonts w:ascii="Times New Roman" w:hAnsi="Times New Roman" w:cs="Times New Roman"/>
        </w:rPr>
        <w:t>If around $500m (or around 1.6</w:t>
      </w:r>
      <w:r w:rsidR="00E557B8" w:rsidRPr="00523556">
        <w:rPr>
          <w:rFonts w:ascii="Times New Roman" w:hAnsi="Times New Roman" w:cs="Times New Roman"/>
        </w:rPr>
        <w:t xml:space="preserve"> per cent</w:t>
      </w:r>
      <w:r w:rsidR="00BB448F" w:rsidRPr="00523556">
        <w:rPr>
          <w:rFonts w:ascii="Times New Roman" w:hAnsi="Times New Roman" w:cs="Times New Roman"/>
        </w:rPr>
        <w:t xml:space="preserve"> of GDP) of semi-concessional financing were obtained each year, GoU </w:t>
      </w:r>
      <w:r w:rsidR="004D1764" w:rsidRPr="00523556">
        <w:rPr>
          <w:rFonts w:ascii="Times New Roman" w:hAnsi="Times New Roman" w:cs="Times New Roman"/>
        </w:rPr>
        <w:t>should</w:t>
      </w:r>
      <w:r w:rsidR="00BB448F" w:rsidRPr="00523556">
        <w:rPr>
          <w:rFonts w:ascii="Times New Roman" w:hAnsi="Times New Roman" w:cs="Times New Roman"/>
        </w:rPr>
        <w:t xml:space="preserve"> have the </w:t>
      </w:r>
      <w:r w:rsidR="00FA1AA5" w:rsidRPr="00523556">
        <w:rPr>
          <w:rFonts w:ascii="Times New Roman" w:hAnsi="Times New Roman" w:cs="Times New Roman"/>
        </w:rPr>
        <w:t xml:space="preserve">freedom </w:t>
      </w:r>
      <w:r w:rsidR="00BB448F" w:rsidRPr="00523556">
        <w:rPr>
          <w:rFonts w:ascii="Times New Roman" w:hAnsi="Times New Roman" w:cs="Times New Roman"/>
        </w:rPr>
        <w:t xml:space="preserve">to choose whether or not to issue a Eurobond, and if so, how to balance the size of such an issue with domestic borrowing. </w:t>
      </w:r>
      <w:r w:rsidR="004B4684" w:rsidRPr="00523556">
        <w:rPr>
          <w:rFonts w:ascii="Times New Roman" w:hAnsi="Times New Roman" w:cs="Times New Roman"/>
        </w:rPr>
        <w:t>H</w:t>
      </w:r>
      <w:r w:rsidR="00BB448F" w:rsidRPr="00523556">
        <w:rPr>
          <w:rFonts w:ascii="Times New Roman" w:hAnsi="Times New Roman" w:cs="Times New Roman"/>
        </w:rPr>
        <w:t xml:space="preserve">igher levels of semi-concessional borrowing </w:t>
      </w:r>
      <w:r w:rsidR="004B4684" w:rsidRPr="00523556">
        <w:rPr>
          <w:rFonts w:ascii="Times New Roman" w:hAnsi="Times New Roman" w:cs="Times New Roman"/>
        </w:rPr>
        <w:t xml:space="preserve">therefore </w:t>
      </w:r>
      <w:r w:rsidR="005C68EB" w:rsidRPr="00523556">
        <w:rPr>
          <w:rFonts w:ascii="Times New Roman" w:hAnsi="Times New Roman" w:cs="Times New Roman"/>
        </w:rPr>
        <w:t>increase GoU’s freedom in determining the balance between domestic and external commercial borrowing, as well as simply decreasing</w:t>
      </w:r>
      <w:r w:rsidR="00BB448F" w:rsidRPr="00523556">
        <w:rPr>
          <w:rFonts w:ascii="Times New Roman" w:hAnsi="Times New Roman" w:cs="Times New Roman"/>
        </w:rPr>
        <w:t xml:space="preserve"> the </w:t>
      </w:r>
      <w:r w:rsidR="005C68EB" w:rsidRPr="00523556">
        <w:rPr>
          <w:rFonts w:ascii="Times New Roman" w:hAnsi="Times New Roman" w:cs="Times New Roman"/>
        </w:rPr>
        <w:t xml:space="preserve">overall need for </w:t>
      </w:r>
      <w:r w:rsidR="00BB448F" w:rsidRPr="00523556">
        <w:rPr>
          <w:rFonts w:ascii="Times New Roman" w:hAnsi="Times New Roman" w:cs="Times New Roman"/>
        </w:rPr>
        <w:t>commercial borrowing</w:t>
      </w:r>
      <w:r w:rsidR="005C68EB" w:rsidRPr="00523556">
        <w:rPr>
          <w:rFonts w:ascii="Times New Roman" w:hAnsi="Times New Roman" w:cs="Times New Roman"/>
        </w:rPr>
        <w:t>.</w:t>
      </w:r>
      <w:r w:rsidR="004B4684" w:rsidRPr="00523556">
        <w:rPr>
          <w:rFonts w:ascii="Times New Roman" w:hAnsi="Times New Roman" w:cs="Times New Roman"/>
        </w:rPr>
        <w:t xml:space="preserve"> </w:t>
      </w:r>
      <w:r w:rsidR="0039079B" w:rsidRPr="00523556">
        <w:rPr>
          <w:rFonts w:ascii="Times New Roman" w:hAnsi="Times New Roman" w:cs="Times New Roman"/>
        </w:rPr>
        <w:t xml:space="preserve">In deciding between alternative </w:t>
      </w:r>
      <w:r w:rsidR="00E52634" w:rsidRPr="00523556">
        <w:rPr>
          <w:rFonts w:ascii="Times New Roman" w:hAnsi="Times New Roman" w:cs="Times New Roman"/>
        </w:rPr>
        <w:t xml:space="preserve">financing </w:t>
      </w:r>
      <w:r w:rsidR="0039079B" w:rsidRPr="00523556">
        <w:rPr>
          <w:rFonts w:ascii="Times New Roman" w:hAnsi="Times New Roman" w:cs="Times New Roman"/>
        </w:rPr>
        <w:t xml:space="preserve">strategies, the </w:t>
      </w:r>
      <w:r w:rsidR="00385A97" w:rsidRPr="00523556">
        <w:rPr>
          <w:rFonts w:ascii="Times New Roman" w:hAnsi="Times New Roman" w:cs="Times New Roman"/>
        </w:rPr>
        <w:t xml:space="preserve">standard </w:t>
      </w:r>
      <w:r w:rsidR="0039079B" w:rsidRPr="00523556">
        <w:rPr>
          <w:rFonts w:ascii="Times New Roman" w:hAnsi="Times New Roman" w:cs="Times New Roman"/>
        </w:rPr>
        <w:t xml:space="preserve">IMF-WB </w:t>
      </w:r>
      <w:r w:rsidR="00FA1AA5" w:rsidRPr="00523556">
        <w:rPr>
          <w:rFonts w:ascii="Times New Roman" w:hAnsi="Times New Roman" w:cs="Times New Roman"/>
        </w:rPr>
        <w:t xml:space="preserve">medium-term debt management strategy </w:t>
      </w:r>
      <w:r w:rsidR="0039079B" w:rsidRPr="00523556">
        <w:rPr>
          <w:rFonts w:ascii="Times New Roman" w:hAnsi="Times New Roman" w:cs="Times New Roman"/>
        </w:rPr>
        <w:t>tool provides a valuable means of producing a</w:t>
      </w:r>
      <w:r w:rsidR="00C90F01" w:rsidRPr="00523556">
        <w:rPr>
          <w:rFonts w:ascii="Times New Roman" w:hAnsi="Times New Roman" w:cs="Times New Roman"/>
        </w:rPr>
        <w:t>n</w:t>
      </w:r>
      <w:r w:rsidR="0039079B" w:rsidRPr="00523556">
        <w:rPr>
          <w:rFonts w:ascii="Times New Roman" w:hAnsi="Times New Roman" w:cs="Times New Roman"/>
        </w:rPr>
        <w:t xml:space="preserve"> initial assessment of relative </w:t>
      </w:r>
      <w:r w:rsidR="00C90F01" w:rsidRPr="00523556">
        <w:rPr>
          <w:rFonts w:ascii="Times New Roman" w:hAnsi="Times New Roman" w:cs="Times New Roman"/>
        </w:rPr>
        <w:t xml:space="preserve">debt management </w:t>
      </w:r>
      <w:r w:rsidR="0039079B" w:rsidRPr="00523556">
        <w:rPr>
          <w:rFonts w:ascii="Times New Roman" w:hAnsi="Times New Roman" w:cs="Times New Roman"/>
        </w:rPr>
        <w:t xml:space="preserve">costs and risks – </w:t>
      </w:r>
      <w:r w:rsidR="00385A97" w:rsidRPr="00523556">
        <w:rPr>
          <w:rFonts w:ascii="Times New Roman" w:hAnsi="Times New Roman" w:cs="Times New Roman"/>
        </w:rPr>
        <w:t>al</w:t>
      </w:r>
      <w:r w:rsidR="0039079B" w:rsidRPr="00523556">
        <w:rPr>
          <w:rFonts w:ascii="Times New Roman" w:hAnsi="Times New Roman" w:cs="Times New Roman"/>
        </w:rPr>
        <w:t xml:space="preserve">though this must be supplemented with </w:t>
      </w:r>
      <w:r w:rsidR="00C8001F" w:rsidRPr="00523556">
        <w:rPr>
          <w:rFonts w:ascii="Times New Roman" w:hAnsi="Times New Roman" w:cs="Times New Roman"/>
        </w:rPr>
        <w:t xml:space="preserve">an </w:t>
      </w:r>
      <w:r w:rsidR="00D1178E" w:rsidRPr="00523556">
        <w:rPr>
          <w:rFonts w:ascii="Times New Roman" w:hAnsi="Times New Roman" w:cs="Times New Roman"/>
        </w:rPr>
        <w:t xml:space="preserve">assessment of </w:t>
      </w:r>
      <w:r w:rsidR="00C8001F" w:rsidRPr="00523556">
        <w:rPr>
          <w:rFonts w:ascii="Times New Roman" w:hAnsi="Times New Roman" w:cs="Times New Roman"/>
        </w:rPr>
        <w:t xml:space="preserve">the </w:t>
      </w:r>
      <w:r w:rsidR="00D1178E" w:rsidRPr="00523556">
        <w:rPr>
          <w:rFonts w:ascii="Times New Roman" w:hAnsi="Times New Roman" w:cs="Times New Roman"/>
        </w:rPr>
        <w:t xml:space="preserve">broader </w:t>
      </w:r>
      <w:r w:rsidR="00C8001F" w:rsidRPr="00523556">
        <w:rPr>
          <w:rFonts w:ascii="Times New Roman" w:hAnsi="Times New Roman" w:cs="Times New Roman"/>
        </w:rPr>
        <w:t xml:space="preserve">costs, benefits and other considerations </w:t>
      </w:r>
      <w:r w:rsidR="00D1178E" w:rsidRPr="00523556">
        <w:rPr>
          <w:rFonts w:ascii="Times New Roman" w:hAnsi="Times New Roman" w:cs="Times New Roman"/>
        </w:rPr>
        <w:t xml:space="preserve">that the tool is not designed to capture. </w:t>
      </w:r>
    </w:p>
    <w:p w:rsidR="00724E2C" w:rsidRPr="00523556" w:rsidRDefault="0008782E" w:rsidP="00E3605B">
      <w:pPr>
        <w:jc w:val="both"/>
        <w:rPr>
          <w:rFonts w:ascii="Times New Roman" w:hAnsi="Times New Roman" w:cs="Times New Roman"/>
        </w:rPr>
      </w:pPr>
      <w:r w:rsidRPr="00523556">
        <w:rPr>
          <w:rFonts w:ascii="Times New Roman" w:hAnsi="Times New Roman" w:cs="Times New Roman"/>
        </w:rPr>
        <w:t>Whatever precise financing strategy is chosen, there are a variety of actions gov</w:t>
      </w:r>
      <w:r w:rsidR="00FA1AA5" w:rsidRPr="00523556">
        <w:rPr>
          <w:rFonts w:ascii="Times New Roman" w:hAnsi="Times New Roman" w:cs="Times New Roman"/>
        </w:rPr>
        <w:t>ernment</w:t>
      </w:r>
      <w:r w:rsidRPr="00523556">
        <w:rPr>
          <w:rFonts w:ascii="Times New Roman" w:hAnsi="Times New Roman" w:cs="Times New Roman"/>
        </w:rPr>
        <w:t xml:space="preserve"> can take to </w:t>
      </w:r>
      <w:r w:rsidR="00FA1AA5" w:rsidRPr="00523556">
        <w:rPr>
          <w:rFonts w:ascii="Times New Roman" w:hAnsi="Times New Roman" w:cs="Times New Roman"/>
        </w:rPr>
        <w:t xml:space="preserve">help </w:t>
      </w:r>
      <w:r w:rsidRPr="00523556">
        <w:rPr>
          <w:rFonts w:ascii="Times New Roman" w:hAnsi="Times New Roman" w:cs="Times New Roman"/>
        </w:rPr>
        <w:t>maximise the net benefits</w:t>
      </w:r>
      <w:r w:rsidR="00F72CBF" w:rsidRPr="00523556">
        <w:rPr>
          <w:rFonts w:ascii="Times New Roman" w:hAnsi="Times New Roman" w:cs="Times New Roman"/>
        </w:rPr>
        <w:t xml:space="preserve"> of debt issuance</w:t>
      </w:r>
      <w:r w:rsidRPr="00523556">
        <w:rPr>
          <w:rFonts w:ascii="Times New Roman" w:hAnsi="Times New Roman" w:cs="Times New Roman"/>
        </w:rPr>
        <w:t xml:space="preserve"> and minimise </w:t>
      </w:r>
      <w:r w:rsidR="00F72CBF" w:rsidRPr="00523556">
        <w:rPr>
          <w:rFonts w:ascii="Times New Roman" w:hAnsi="Times New Roman" w:cs="Times New Roman"/>
        </w:rPr>
        <w:t xml:space="preserve">the </w:t>
      </w:r>
      <w:r w:rsidRPr="00523556">
        <w:rPr>
          <w:rFonts w:ascii="Times New Roman" w:hAnsi="Times New Roman" w:cs="Times New Roman"/>
        </w:rPr>
        <w:t xml:space="preserve">costs and risks. </w:t>
      </w:r>
      <w:r w:rsidR="00385A97" w:rsidRPr="00523556">
        <w:rPr>
          <w:rFonts w:ascii="Times New Roman" w:hAnsi="Times New Roman" w:cs="Times New Roman"/>
        </w:rPr>
        <w:t>On the domestic side, these include action to help broaden the investor base</w:t>
      </w:r>
      <w:r w:rsidR="008111DC" w:rsidRPr="00523556">
        <w:rPr>
          <w:rFonts w:ascii="Times New Roman" w:hAnsi="Times New Roman" w:cs="Times New Roman"/>
        </w:rPr>
        <w:t xml:space="preserve"> for Treasury securities</w:t>
      </w:r>
      <w:r w:rsidR="00385A97" w:rsidRPr="00523556">
        <w:rPr>
          <w:rFonts w:ascii="Times New Roman" w:hAnsi="Times New Roman" w:cs="Times New Roman"/>
        </w:rPr>
        <w:t xml:space="preserve">, continued strengthening of the operation and credibility of Uganda’s inflation targeting framework, </w:t>
      </w:r>
      <w:r w:rsidR="00440E3D" w:rsidRPr="00523556">
        <w:rPr>
          <w:rFonts w:ascii="Times New Roman" w:hAnsi="Times New Roman" w:cs="Times New Roman"/>
        </w:rPr>
        <w:t xml:space="preserve">further </w:t>
      </w:r>
      <w:r w:rsidR="00385A97" w:rsidRPr="00523556">
        <w:rPr>
          <w:rFonts w:ascii="Times New Roman" w:hAnsi="Times New Roman" w:cs="Times New Roman"/>
        </w:rPr>
        <w:t xml:space="preserve">extending the yield curve, and supporting the development of the secondary market. </w:t>
      </w:r>
      <w:r w:rsidR="00E62795" w:rsidRPr="00523556">
        <w:rPr>
          <w:rFonts w:ascii="Times New Roman" w:hAnsi="Times New Roman" w:cs="Times New Roman"/>
        </w:rPr>
        <w:t xml:space="preserve">On the external side, it would be vital that any </w:t>
      </w:r>
      <w:r w:rsidR="00C15759" w:rsidRPr="00523556">
        <w:rPr>
          <w:rFonts w:ascii="Times New Roman" w:hAnsi="Times New Roman" w:cs="Times New Roman"/>
        </w:rPr>
        <w:t>Eurobond</w:t>
      </w:r>
      <w:r w:rsidR="00E62795" w:rsidRPr="00523556">
        <w:rPr>
          <w:rFonts w:ascii="Times New Roman" w:hAnsi="Times New Roman" w:cs="Times New Roman"/>
        </w:rPr>
        <w:t xml:space="preserve"> issue would </w:t>
      </w:r>
      <w:r w:rsidR="00FA1AA5" w:rsidRPr="00523556">
        <w:rPr>
          <w:rFonts w:ascii="Times New Roman" w:hAnsi="Times New Roman" w:cs="Times New Roman"/>
        </w:rPr>
        <w:t>not exceed the amount</w:t>
      </w:r>
      <w:r w:rsidR="001926A2" w:rsidRPr="00523556">
        <w:rPr>
          <w:rFonts w:ascii="Times New Roman" w:hAnsi="Times New Roman" w:cs="Times New Roman"/>
        </w:rPr>
        <w:t xml:space="preserve"> required, and </w:t>
      </w:r>
      <w:r w:rsidR="00FA1AA5" w:rsidRPr="00523556">
        <w:rPr>
          <w:rFonts w:ascii="Times New Roman" w:hAnsi="Times New Roman" w:cs="Times New Roman"/>
        </w:rPr>
        <w:t xml:space="preserve">that </w:t>
      </w:r>
      <w:r w:rsidR="00EB584F" w:rsidRPr="00523556">
        <w:rPr>
          <w:rFonts w:ascii="Times New Roman" w:hAnsi="Times New Roman" w:cs="Times New Roman"/>
        </w:rPr>
        <w:t xml:space="preserve">it be </w:t>
      </w:r>
      <w:r w:rsidR="001926A2" w:rsidRPr="00523556">
        <w:rPr>
          <w:rFonts w:ascii="Times New Roman" w:hAnsi="Times New Roman" w:cs="Times New Roman"/>
        </w:rPr>
        <w:t>conducted only when GoU is ready to put the proceeds to use.</w:t>
      </w:r>
      <w:r w:rsidR="00006843" w:rsidRPr="00523556">
        <w:rPr>
          <w:rFonts w:ascii="Times New Roman" w:hAnsi="Times New Roman" w:cs="Times New Roman"/>
        </w:rPr>
        <w:t xml:space="preserve"> Improved predictability and transparency of GoU’s market-based debt operations – such as through the proposed annual publications of a medium-term debt management strategy</w:t>
      </w:r>
      <w:r w:rsidR="00E3605B" w:rsidRPr="00523556">
        <w:rPr>
          <w:rFonts w:ascii="Times New Roman" w:hAnsi="Times New Roman" w:cs="Times New Roman"/>
        </w:rPr>
        <w:t xml:space="preserve"> </w:t>
      </w:r>
      <w:r w:rsidR="00006843" w:rsidRPr="00523556">
        <w:rPr>
          <w:rFonts w:ascii="Times New Roman" w:hAnsi="Times New Roman" w:cs="Times New Roman"/>
        </w:rPr>
        <w:t>document and Debt Management Report – will also be valuable</w:t>
      </w:r>
      <w:r w:rsidR="00EB584F" w:rsidRPr="00523556">
        <w:rPr>
          <w:rFonts w:ascii="Times New Roman" w:hAnsi="Times New Roman" w:cs="Times New Roman"/>
        </w:rPr>
        <w:t xml:space="preserve"> for supporting market demand, and accountability</w:t>
      </w:r>
      <w:r w:rsidR="00006843" w:rsidRPr="00523556">
        <w:rPr>
          <w:rFonts w:ascii="Times New Roman" w:hAnsi="Times New Roman" w:cs="Times New Roman"/>
        </w:rPr>
        <w:t xml:space="preserve">. </w:t>
      </w:r>
      <w:r w:rsidR="001403CF" w:rsidRPr="00523556">
        <w:rPr>
          <w:rFonts w:ascii="Times New Roman" w:hAnsi="Times New Roman" w:cs="Times New Roman"/>
        </w:rPr>
        <w:t xml:space="preserve">As projected levels of debt rise and financing choices become more complex, the continued development of debt management capacity becomes increasingly important; this should include accelerating the setting-up of a specialist Debt Management Office. </w:t>
      </w:r>
    </w:p>
    <w:p w:rsidR="00672FFF" w:rsidRPr="00523556" w:rsidRDefault="00672FFF" w:rsidP="00B363A9">
      <w:pPr>
        <w:jc w:val="both"/>
        <w:rPr>
          <w:rFonts w:ascii="Times New Roman" w:hAnsi="Times New Roman" w:cs="Times New Roman"/>
        </w:rPr>
      </w:pPr>
      <w:r w:rsidRPr="00523556">
        <w:rPr>
          <w:rFonts w:ascii="Times New Roman" w:hAnsi="Times New Roman" w:cs="Times New Roman"/>
        </w:rPr>
        <w:lastRenderedPageBreak/>
        <w:t>W</w:t>
      </w:r>
      <w:r w:rsidR="00006843" w:rsidRPr="00523556">
        <w:rPr>
          <w:rFonts w:ascii="Times New Roman" w:hAnsi="Times New Roman" w:cs="Times New Roman"/>
        </w:rPr>
        <w:t xml:space="preserve">hilst this paper has focused on below-the-line issues of deficit financing and debt management, </w:t>
      </w:r>
      <w:r w:rsidR="00B937CF" w:rsidRPr="00523556">
        <w:rPr>
          <w:rFonts w:ascii="Times New Roman" w:hAnsi="Times New Roman" w:cs="Times New Roman"/>
        </w:rPr>
        <w:t xml:space="preserve">it is important also to consider </w:t>
      </w:r>
      <w:r w:rsidR="00A76E4B" w:rsidRPr="00523556">
        <w:rPr>
          <w:rFonts w:ascii="Times New Roman" w:hAnsi="Times New Roman" w:cs="Times New Roman"/>
        </w:rPr>
        <w:t>the broader fiscal context</w:t>
      </w:r>
      <w:r w:rsidR="007C5689" w:rsidRPr="00523556">
        <w:rPr>
          <w:rFonts w:ascii="Times New Roman" w:hAnsi="Times New Roman" w:cs="Times New Roman"/>
        </w:rPr>
        <w:t xml:space="preserve">. </w:t>
      </w:r>
      <w:r w:rsidR="00B363A9" w:rsidRPr="00523556">
        <w:rPr>
          <w:rFonts w:ascii="Times New Roman" w:hAnsi="Times New Roman" w:cs="Times New Roman"/>
        </w:rPr>
        <w:t>T</w:t>
      </w:r>
      <w:r w:rsidR="007C5689" w:rsidRPr="00523556">
        <w:rPr>
          <w:rFonts w:ascii="Times New Roman" w:hAnsi="Times New Roman" w:cs="Times New Roman"/>
        </w:rPr>
        <w:t xml:space="preserve">he choice between alternative financing strategies </w:t>
      </w:r>
      <w:r w:rsidR="008002E2" w:rsidRPr="00523556">
        <w:rPr>
          <w:rFonts w:ascii="Times New Roman" w:hAnsi="Times New Roman" w:cs="Times New Roman"/>
        </w:rPr>
        <w:t xml:space="preserve">does </w:t>
      </w:r>
      <w:r w:rsidR="007C5689" w:rsidRPr="00523556">
        <w:rPr>
          <w:rFonts w:ascii="Times New Roman" w:hAnsi="Times New Roman" w:cs="Times New Roman"/>
        </w:rPr>
        <w:t xml:space="preserve">influence the overall fiscal position, </w:t>
      </w:r>
      <w:r w:rsidR="00B363A9" w:rsidRPr="00523556">
        <w:rPr>
          <w:rFonts w:ascii="Times New Roman" w:hAnsi="Times New Roman" w:cs="Times New Roman"/>
        </w:rPr>
        <w:t xml:space="preserve">and in particular will </w:t>
      </w:r>
      <w:r w:rsidR="0065508F" w:rsidRPr="00523556">
        <w:rPr>
          <w:rFonts w:ascii="Times New Roman" w:hAnsi="Times New Roman" w:cs="Times New Roman"/>
        </w:rPr>
        <w:t xml:space="preserve">directly </w:t>
      </w:r>
      <w:r w:rsidR="00B363A9" w:rsidRPr="00523556">
        <w:rPr>
          <w:rFonts w:ascii="Times New Roman" w:hAnsi="Times New Roman" w:cs="Times New Roman"/>
        </w:rPr>
        <w:t>influence the extent to which interest cos</w:t>
      </w:r>
      <w:r w:rsidR="0065508F" w:rsidRPr="00523556">
        <w:rPr>
          <w:rFonts w:ascii="Times New Roman" w:hAnsi="Times New Roman" w:cs="Times New Roman"/>
        </w:rPr>
        <w:t>ts impinge on other expenditure</w:t>
      </w:r>
      <w:r w:rsidRPr="00523556">
        <w:rPr>
          <w:rFonts w:ascii="Times New Roman" w:hAnsi="Times New Roman" w:cs="Times New Roman"/>
        </w:rPr>
        <w:t>;</w:t>
      </w:r>
      <w:r w:rsidR="0065508F" w:rsidRPr="00523556">
        <w:rPr>
          <w:rFonts w:ascii="Times New Roman" w:hAnsi="Times New Roman" w:cs="Times New Roman"/>
        </w:rPr>
        <w:t xml:space="preserve"> </w:t>
      </w:r>
      <w:r w:rsidRPr="00523556">
        <w:rPr>
          <w:rFonts w:ascii="Times New Roman" w:hAnsi="Times New Roman" w:cs="Times New Roman"/>
        </w:rPr>
        <w:t>i</w:t>
      </w:r>
      <w:r w:rsidR="00B363A9" w:rsidRPr="00523556">
        <w:rPr>
          <w:rFonts w:ascii="Times New Roman" w:hAnsi="Times New Roman" w:cs="Times New Roman"/>
        </w:rPr>
        <w:t xml:space="preserve">n terms of debt sustainability, </w:t>
      </w:r>
      <w:r w:rsidR="0065508F" w:rsidRPr="00523556">
        <w:rPr>
          <w:rFonts w:ascii="Times New Roman" w:hAnsi="Times New Roman" w:cs="Times New Roman"/>
        </w:rPr>
        <w:t xml:space="preserve">however, </w:t>
      </w:r>
      <w:r w:rsidR="00B363A9" w:rsidRPr="00523556">
        <w:rPr>
          <w:rFonts w:ascii="Times New Roman" w:hAnsi="Times New Roman" w:cs="Times New Roman"/>
        </w:rPr>
        <w:t xml:space="preserve">the </w:t>
      </w:r>
      <w:r w:rsidR="007C5689" w:rsidRPr="00523556">
        <w:rPr>
          <w:rFonts w:ascii="Times New Roman" w:hAnsi="Times New Roman" w:cs="Times New Roman"/>
        </w:rPr>
        <w:t xml:space="preserve">impact </w:t>
      </w:r>
      <w:r w:rsidR="00B363A9" w:rsidRPr="00523556">
        <w:rPr>
          <w:rFonts w:ascii="Times New Roman" w:hAnsi="Times New Roman" w:cs="Times New Roman"/>
        </w:rPr>
        <w:t xml:space="preserve">of financing choices </w:t>
      </w:r>
      <w:r w:rsidR="007C5689" w:rsidRPr="00523556">
        <w:rPr>
          <w:rFonts w:ascii="Times New Roman" w:hAnsi="Times New Roman" w:cs="Times New Roman"/>
        </w:rPr>
        <w:t xml:space="preserve">is far outweighed by </w:t>
      </w:r>
      <w:r w:rsidR="00BA05A8" w:rsidRPr="00523556">
        <w:rPr>
          <w:rFonts w:ascii="Times New Roman" w:hAnsi="Times New Roman" w:cs="Times New Roman"/>
        </w:rPr>
        <w:t>the balance between revenue and expenditure</w:t>
      </w:r>
      <w:r w:rsidR="00B937CF" w:rsidRPr="00523556">
        <w:rPr>
          <w:rFonts w:ascii="Times New Roman" w:hAnsi="Times New Roman" w:cs="Times New Roman"/>
        </w:rPr>
        <w:t xml:space="preserve"> </w:t>
      </w:r>
      <w:r w:rsidR="007C5689" w:rsidRPr="00523556">
        <w:rPr>
          <w:rFonts w:ascii="Times New Roman" w:hAnsi="Times New Roman" w:cs="Times New Roman"/>
        </w:rPr>
        <w:t xml:space="preserve">choices </w:t>
      </w:r>
      <w:r w:rsidR="00BA05A8" w:rsidRPr="00523556">
        <w:rPr>
          <w:rFonts w:ascii="Times New Roman" w:hAnsi="Times New Roman" w:cs="Times New Roman"/>
        </w:rPr>
        <w:t xml:space="preserve">and </w:t>
      </w:r>
      <w:r w:rsidR="007C5689" w:rsidRPr="00523556">
        <w:rPr>
          <w:rFonts w:ascii="Times New Roman" w:hAnsi="Times New Roman" w:cs="Times New Roman"/>
        </w:rPr>
        <w:t xml:space="preserve">the size of the </w:t>
      </w:r>
      <w:r w:rsidR="00BA05A8" w:rsidRPr="00523556">
        <w:rPr>
          <w:rFonts w:ascii="Times New Roman" w:hAnsi="Times New Roman" w:cs="Times New Roman"/>
        </w:rPr>
        <w:t xml:space="preserve">primary </w:t>
      </w:r>
      <w:r w:rsidR="007C5689" w:rsidRPr="00523556">
        <w:rPr>
          <w:rFonts w:ascii="Times New Roman" w:hAnsi="Times New Roman" w:cs="Times New Roman"/>
        </w:rPr>
        <w:t xml:space="preserve">fiscal deficit. </w:t>
      </w:r>
      <w:r w:rsidR="00571411" w:rsidRPr="00523556">
        <w:rPr>
          <w:rFonts w:ascii="Times New Roman" w:hAnsi="Times New Roman" w:cs="Times New Roman"/>
        </w:rPr>
        <w:t>T</w:t>
      </w:r>
      <w:r w:rsidR="007C5689" w:rsidRPr="00523556">
        <w:rPr>
          <w:rFonts w:ascii="Times New Roman" w:hAnsi="Times New Roman" w:cs="Times New Roman"/>
        </w:rPr>
        <w:t xml:space="preserve">he fiscal </w:t>
      </w:r>
      <w:r w:rsidR="00A219BC" w:rsidRPr="00523556">
        <w:rPr>
          <w:rFonts w:ascii="Times New Roman" w:hAnsi="Times New Roman" w:cs="Times New Roman"/>
        </w:rPr>
        <w:t>scenario</w:t>
      </w:r>
      <w:r w:rsidR="007C5689" w:rsidRPr="00523556">
        <w:rPr>
          <w:rFonts w:ascii="Times New Roman" w:hAnsi="Times New Roman" w:cs="Times New Roman"/>
        </w:rPr>
        <w:t xml:space="preserve"> </w:t>
      </w:r>
      <w:r w:rsidR="00B363A9" w:rsidRPr="00523556">
        <w:rPr>
          <w:rFonts w:ascii="Times New Roman" w:hAnsi="Times New Roman" w:cs="Times New Roman"/>
        </w:rPr>
        <w:t xml:space="preserve">adopted </w:t>
      </w:r>
      <w:r w:rsidR="00A219BC" w:rsidRPr="00523556">
        <w:rPr>
          <w:rFonts w:ascii="Times New Roman" w:hAnsi="Times New Roman" w:cs="Times New Roman"/>
        </w:rPr>
        <w:t xml:space="preserve">in </w:t>
      </w:r>
      <w:r w:rsidRPr="00523556">
        <w:rPr>
          <w:rFonts w:ascii="Times New Roman" w:hAnsi="Times New Roman" w:cs="Times New Roman"/>
        </w:rPr>
        <w:t xml:space="preserve">this paper </w:t>
      </w:r>
      <w:r w:rsidR="00B937CF" w:rsidRPr="00523556">
        <w:rPr>
          <w:rFonts w:ascii="Times New Roman" w:hAnsi="Times New Roman" w:cs="Times New Roman"/>
        </w:rPr>
        <w:t>suggest</w:t>
      </w:r>
      <w:r w:rsidR="00A219BC" w:rsidRPr="00523556">
        <w:rPr>
          <w:rFonts w:ascii="Times New Roman" w:hAnsi="Times New Roman" w:cs="Times New Roman"/>
        </w:rPr>
        <w:t>s</w:t>
      </w:r>
      <w:r w:rsidR="00B937CF" w:rsidRPr="00523556">
        <w:rPr>
          <w:rFonts w:ascii="Times New Roman" w:hAnsi="Times New Roman" w:cs="Times New Roman"/>
        </w:rPr>
        <w:t xml:space="preserve"> that GoU </w:t>
      </w:r>
      <w:r w:rsidR="007C5689" w:rsidRPr="00523556">
        <w:rPr>
          <w:rFonts w:ascii="Times New Roman" w:hAnsi="Times New Roman" w:cs="Times New Roman"/>
        </w:rPr>
        <w:t xml:space="preserve">can achieve </w:t>
      </w:r>
      <w:r w:rsidR="00B937CF" w:rsidRPr="00523556">
        <w:rPr>
          <w:rFonts w:ascii="Times New Roman" w:hAnsi="Times New Roman" w:cs="Times New Roman"/>
        </w:rPr>
        <w:t xml:space="preserve">its </w:t>
      </w:r>
      <w:r w:rsidR="007C5689" w:rsidRPr="00523556">
        <w:rPr>
          <w:rFonts w:ascii="Times New Roman" w:hAnsi="Times New Roman" w:cs="Times New Roman"/>
        </w:rPr>
        <w:t xml:space="preserve">investment </w:t>
      </w:r>
      <w:r w:rsidR="00B937CF" w:rsidRPr="00523556">
        <w:rPr>
          <w:rFonts w:ascii="Times New Roman" w:hAnsi="Times New Roman" w:cs="Times New Roman"/>
        </w:rPr>
        <w:t xml:space="preserve">goals </w:t>
      </w:r>
      <w:r w:rsidR="00571411" w:rsidRPr="00523556">
        <w:rPr>
          <w:rFonts w:ascii="Times New Roman" w:hAnsi="Times New Roman" w:cs="Times New Roman"/>
        </w:rPr>
        <w:t xml:space="preserve">over the medium term </w:t>
      </w:r>
      <w:r w:rsidR="007C5689" w:rsidRPr="00523556">
        <w:rPr>
          <w:rFonts w:ascii="Times New Roman" w:hAnsi="Times New Roman" w:cs="Times New Roman"/>
        </w:rPr>
        <w:t xml:space="preserve">whilst remaining </w:t>
      </w:r>
      <w:r w:rsidRPr="00523556">
        <w:rPr>
          <w:rFonts w:ascii="Times New Roman" w:hAnsi="Times New Roman" w:cs="Times New Roman"/>
        </w:rPr>
        <w:t xml:space="preserve">comfortably </w:t>
      </w:r>
      <w:r w:rsidR="007C5689" w:rsidRPr="00523556">
        <w:rPr>
          <w:rFonts w:ascii="Times New Roman" w:hAnsi="Times New Roman" w:cs="Times New Roman"/>
        </w:rPr>
        <w:t>within standard debt sust</w:t>
      </w:r>
      <w:r w:rsidR="00B937CF" w:rsidRPr="00523556">
        <w:rPr>
          <w:rFonts w:ascii="Times New Roman" w:hAnsi="Times New Roman" w:cs="Times New Roman"/>
        </w:rPr>
        <w:t>ainability</w:t>
      </w:r>
      <w:r w:rsidR="007C5689" w:rsidRPr="00523556">
        <w:rPr>
          <w:rFonts w:ascii="Times New Roman" w:hAnsi="Times New Roman" w:cs="Times New Roman"/>
        </w:rPr>
        <w:t xml:space="preserve"> benchmarks</w:t>
      </w:r>
      <w:r w:rsidR="00571411" w:rsidRPr="00523556">
        <w:rPr>
          <w:rFonts w:ascii="Times New Roman" w:hAnsi="Times New Roman" w:cs="Times New Roman"/>
        </w:rPr>
        <w:t xml:space="preserve"> – </w:t>
      </w:r>
      <w:r w:rsidR="00BA05A8" w:rsidRPr="00523556">
        <w:rPr>
          <w:rFonts w:ascii="Times New Roman" w:hAnsi="Times New Roman" w:cs="Times New Roman"/>
        </w:rPr>
        <w:t>with</w:t>
      </w:r>
      <w:r w:rsidR="00571411" w:rsidRPr="00523556">
        <w:rPr>
          <w:rFonts w:ascii="Times New Roman" w:hAnsi="Times New Roman" w:cs="Times New Roman"/>
        </w:rPr>
        <w:t xml:space="preserve"> </w:t>
      </w:r>
      <w:r w:rsidR="00B363A9" w:rsidRPr="00523556">
        <w:rPr>
          <w:rFonts w:ascii="Times New Roman" w:hAnsi="Times New Roman" w:cs="Times New Roman"/>
        </w:rPr>
        <w:t xml:space="preserve">the </w:t>
      </w:r>
      <w:r w:rsidR="00BA05A8" w:rsidRPr="00523556">
        <w:rPr>
          <w:rFonts w:ascii="Times New Roman" w:hAnsi="Times New Roman" w:cs="Times New Roman"/>
        </w:rPr>
        <w:t xml:space="preserve">nominal debt </w:t>
      </w:r>
      <w:r w:rsidR="00B363A9" w:rsidRPr="00523556">
        <w:rPr>
          <w:rFonts w:ascii="Times New Roman" w:hAnsi="Times New Roman" w:cs="Times New Roman"/>
        </w:rPr>
        <w:t xml:space="preserve">to GDP ratio </w:t>
      </w:r>
      <w:r w:rsidR="00BA05A8" w:rsidRPr="00523556">
        <w:rPr>
          <w:rFonts w:ascii="Times New Roman" w:hAnsi="Times New Roman" w:cs="Times New Roman"/>
        </w:rPr>
        <w:t xml:space="preserve">projected to peak </w:t>
      </w:r>
      <w:r w:rsidR="00B363A9" w:rsidRPr="00523556">
        <w:rPr>
          <w:rFonts w:ascii="Times New Roman" w:hAnsi="Times New Roman" w:cs="Times New Roman"/>
        </w:rPr>
        <w:t xml:space="preserve">below </w:t>
      </w:r>
      <w:r w:rsidR="00BA05A8" w:rsidRPr="00523556">
        <w:rPr>
          <w:rFonts w:ascii="Times New Roman" w:hAnsi="Times New Roman" w:cs="Times New Roman"/>
        </w:rPr>
        <w:t>40</w:t>
      </w:r>
      <w:r w:rsidR="00E557B8" w:rsidRPr="00523556">
        <w:rPr>
          <w:rFonts w:ascii="Times New Roman" w:hAnsi="Times New Roman" w:cs="Times New Roman"/>
        </w:rPr>
        <w:t xml:space="preserve"> per cent</w:t>
      </w:r>
      <w:r w:rsidR="00BA05A8" w:rsidRPr="00523556">
        <w:rPr>
          <w:rFonts w:ascii="Times New Roman" w:hAnsi="Times New Roman" w:cs="Times New Roman"/>
        </w:rPr>
        <w:t xml:space="preserve"> of GDP</w:t>
      </w:r>
      <w:r w:rsidR="00571411" w:rsidRPr="00523556">
        <w:rPr>
          <w:rFonts w:ascii="Times New Roman" w:hAnsi="Times New Roman" w:cs="Times New Roman"/>
        </w:rPr>
        <w:t xml:space="preserve"> under all financing strategies considered</w:t>
      </w:r>
      <w:r w:rsidR="00A438AC" w:rsidRPr="00523556">
        <w:rPr>
          <w:rFonts w:ascii="Times New Roman" w:hAnsi="Times New Roman" w:cs="Times New Roman"/>
        </w:rPr>
        <w:t>;</w:t>
      </w:r>
      <w:r w:rsidR="00B937CF" w:rsidRPr="00523556">
        <w:rPr>
          <w:rFonts w:ascii="Times New Roman" w:hAnsi="Times New Roman" w:cs="Times New Roman"/>
        </w:rPr>
        <w:t xml:space="preserve"> </w:t>
      </w:r>
      <w:r w:rsidR="00273B46" w:rsidRPr="00523556">
        <w:rPr>
          <w:rFonts w:ascii="Times New Roman" w:hAnsi="Times New Roman" w:cs="Times New Roman"/>
        </w:rPr>
        <w:t xml:space="preserve">an important premise on which </w:t>
      </w:r>
      <w:r w:rsidR="00A438AC" w:rsidRPr="00523556">
        <w:rPr>
          <w:rFonts w:ascii="Times New Roman" w:hAnsi="Times New Roman" w:cs="Times New Roman"/>
        </w:rPr>
        <w:t>t</w:t>
      </w:r>
      <w:r w:rsidR="004B7E65" w:rsidRPr="00523556">
        <w:rPr>
          <w:rFonts w:ascii="Times New Roman" w:hAnsi="Times New Roman" w:cs="Times New Roman"/>
        </w:rPr>
        <w:t>he</w:t>
      </w:r>
      <w:r w:rsidRPr="00523556">
        <w:rPr>
          <w:rFonts w:ascii="Times New Roman" w:hAnsi="Times New Roman" w:cs="Times New Roman"/>
        </w:rPr>
        <w:t>se</w:t>
      </w:r>
      <w:r w:rsidR="004B7E65" w:rsidRPr="00523556">
        <w:rPr>
          <w:rFonts w:ascii="Times New Roman" w:hAnsi="Times New Roman" w:cs="Times New Roman"/>
        </w:rPr>
        <w:t xml:space="preserve"> projections are </w:t>
      </w:r>
      <w:r w:rsidR="00273B46" w:rsidRPr="00523556">
        <w:rPr>
          <w:rFonts w:ascii="Times New Roman" w:hAnsi="Times New Roman" w:cs="Times New Roman"/>
        </w:rPr>
        <w:t xml:space="preserve">based is that </w:t>
      </w:r>
      <w:r w:rsidR="004B7E65" w:rsidRPr="00523556">
        <w:rPr>
          <w:rFonts w:ascii="Times New Roman" w:hAnsi="Times New Roman" w:cs="Times New Roman"/>
        </w:rPr>
        <w:t>increased borrowing would indeed be used to finance increased productive infrastructure investment</w:t>
      </w:r>
      <w:r w:rsidR="00A438AC" w:rsidRPr="00523556">
        <w:rPr>
          <w:rFonts w:ascii="Times New Roman" w:hAnsi="Times New Roman" w:cs="Times New Roman"/>
        </w:rPr>
        <w:t xml:space="preserve"> – which is </w:t>
      </w:r>
      <w:r w:rsidR="00416C90" w:rsidRPr="00523556">
        <w:rPr>
          <w:rFonts w:ascii="Times New Roman" w:hAnsi="Times New Roman" w:cs="Times New Roman"/>
        </w:rPr>
        <w:t>crucial</w:t>
      </w:r>
      <w:r w:rsidR="00273B46" w:rsidRPr="00523556">
        <w:rPr>
          <w:rFonts w:ascii="Times New Roman" w:hAnsi="Times New Roman" w:cs="Times New Roman"/>
        </w:rPr>
        <w:t>,</w:t>
      </w:r>
      <w:r w:rsidR="00A438AC" w:rsidRPr="00523556">
        <w:rPr>
          <w:rFonts w:ascii="Times New Roman" w:hAnsi="Times New Roman" w:cs="Times New Roman"/>
        </w:rPr>
        <w:t xml:space="preserve"> if </w:t>
      </w:r>
      <w:r w:rsidR="00CC340F" w:rsidRPr="00523556">
        <w:rPr>
          <w:rFonts w:ascii="Times New Roman" w:hAnsi="Times New Roman" w:cs="Times New Roman"/>
        </w:rPr>
        <w:t>the net benefits of debt issuance</w:t>
      </w:r>
      <w:r w:rsidR="00A438AC" w:rsidRPr="00523556">
        <w:rPr>
          <w:rFonts w:ascii="Times New Roman" w:hAnsi="Times New Roman" w:cs="Times New Roman"/>
        </w:rPr>
        <w:t xml:space="preserve"> are to be maximised</w:t>
      </w:r>
      <w:r w:rsidR="00CC340F" w:rsidRPr="00523556">
        <w:rPr>
          <w:rFonts w:ascii="Times New Roman" w:hAnsi="Times New Roman" w:cs="Times New Roman"/>
        </w:rPr>
        <w:t>.</w:t>
      </w:r>
      <w:r w:rsidR="00A76E4B" w:rsidRPr="00523556">
        <w:rPr>
          <w:rFonts w:ascii="Times New Roman" w:hAnsi="Times New Roman" w:cs="Times New Roman"/>
        </w:rPr>
        <w:t xml:space="preserve"> </w:t>
      </w:r>
    </w:p>
    <w:p w:rsidR="00416C90" w:rsidRPr="00523556" w:rsidRDefault="00416C90" w:rsidP="00416C90">
      <w:pPr>
        <w:jc w:val="both"/>
        <w:rPr>
          <w:rFonts w:ascii="Times New Roman" w:hAnsi="Times New Roman" w:cs="Times New Roman"/>
        </w:rPr>
      </w:pPr>
      <w:r w:rsidRPr="00523556">
        <w:rPr>
          <w:rFonts w:ascii="Times New Roman" w:hAnsi="Times New Roman" w:cs="Times New Roman"/>
        </w:rPr>
        <w:t>As GoU moves towards greater reliance on market-based financing, it will be increasingly important that investor perceptions and confidence in its fiscal plans are managed; in a world where GoU plans to run an extended period of sizeable deficits, it will be vital that it builds, maintains and communicates a strong and credible story around the effective management of debt, the use of issuance proceeds, and the promise that deficits will be unwound over time.</w:t>
      </w:r>
    </w:p>
    <w:p w:rsidR="00664BB0" w:rsidRPr="00523556" w:rsidRDefault="00672FFF" w:rsidP="00B363A9">
      <w:pPr>
        <w:jc w:val="both"/>
        <w:rPr>
          <w:rFonts w:ascii="Times New Roman" w:hAnsi="Times New Roman" w:cs="Times New Roman"/>
        </w:rPr>
      </w:pPr>
      <w:r w:rsidRPr="00523556">
        <w:rPr>
          <w:rFonts w:ascii="Times New Roman" w:hAnsi="Times New Roman" w:cs="Times New Roman"/>
        </w:rPr>
        <w:t>Finally</w:t>
      </w:r>
      <w:r w:rsidR="00A76E4B" w:rsidRPr="00523556">
        <w:rPr>
          <w:rFonts w:ascii="Times New Roman" w:hAnsi="Times New Roman" w:cs="Times New Roman"/>
        </w:rPr>
        <w:t xml:space="preserve">, </w:t>
      </w:r>
      <w:r w:rsidR="00C92E68" w:rsidRPr="00523556">
        <w:rPr>
          <w:rFonts w:ascii="Times New Roman" w:hAnsi="Times New Roman" w:cs="Times New Roman"/>
        </w:rPr>
        <w:t xml:space="preserve">there are a </w:t>
      </w:r>
      <w:r w:rsidR="00416C90" w:rsidRPr="00523556">
        <w:rPr>
          <w:rFonts w:ascii="Times New Roman" w:hAnsi="Times New Roman" w:cs="Times New Roman"/>
        </w:rPr>
        <w:t xml:space="preserve">range </w:t>
      </w:r>
      <w:r w:rsidR="00C92E68" w:rsidRPr="00523556">
        <w:rPr>
          <w:rFonts w:ascii="Times New Roman" w:hAnsi="Times New Roman" w:cs="Times New Roman"/>
        </w:rPr>
        <w:t xml:space="preserve">of </w:t>
      </w:r>
      <w:r w:rsidR="00416C90" w:rsidRPr="00523556">
        <w:rPr>
          <w:rFonts w:ascii="Times New Roman" w:hAnsi="Times New Roman" w:cs="Times New Roman"/>
        </w:rPr>
        <w:t xml:space="preserve">broader fiscal </w:t>
      </w:r>
      <w:r w:rsidR="00C92E68" w:rsidRPr="00523556">
        <w:rPr>
          <w:rFonts w:ascii="Times New Roman" w:hAnsi="Times New Roman" w:cs="Times New Roman"/>
        </w:rPr>
        <w:t>measures GoU should pursue</w:t>
      </w:r>
      <w:r w:rsidR="00416C90" w:rsidRPr="00523556">
        <w:rPr>
          <w:rFonts w:ascii="Times New Roman" w:hAnsi="Times New Roman" w:cs="Times New Roman"/>
        </w:rPr>
        <w:t xml:space="preserve"> </w:t>
      </w:r>
      <w:r w:rsidR="00C92E68" w:rsidRPr="00523556">
        <w:rPr>
          <w:rFonts w:ascii="Times New Roman" w:hAnsi="Times New Roman" w:cs="Times New Roman"/>
        </w:rPr>
        <w:t xml:space="preserve">which </w:t>
      </w:r>
      <w:r w:rsidR="00416C90" w:rsidRPr="00523556">
        <w:rPr>
          <w:rFonts w:ascii="Times New Roman" w:hAnsi="Times New Roman" w:cs="Times New Roman"/>
        </w:rPr>
        <w:t xml:space="preserve">can help expand the availability of resources to finance priority expenditures without </w:t>
      </w:r>
      <w:r w:rsidR="00C92E68" w:rsidRPr="00523556">
        <w:rPr>
          <w:rFonts w:ascii="Times New Roman" w:hAnsi="Times New Roman" w:cs="Times New Roman"/>
        </w:rPr>
        <w:t>recourse to borrowing</w:t>
      </w:r>
      <w:r w:rsidR="00416C90" w:rsidRPr="00523556">
        <w:rPr>
          <w:rFonts w:ascii="Times New Roman" w:hAnsi="Times New Roman" w:cs="Times New Roman"/>
        </w:rPr>
        <w:t xml:space="preserve"> </w:t>
      </w:r>
      <w:r w:rsidR="00C92E68" w:rsidRPr="00523556">
        <w:rPr>
          <w:rFonts w:ascii="Times New Roman" w:hAnsi="Times New Roman" w:cs="Times New Roman"/>
        </w:rPr>
        <w:t>– including encouraging greater private sector involvement (such as through PPPs), re-balancing budgetary priorities and improving value for money across government expenditures, and increasing tax and non-tax revenues</w:t>
      </w:r>
      <w:r w:rsidR="00416C90" w:rsidRPr="00523556">
        <w:rPr>
          <w:rFonts w:ascii="Times New Roman" w:hAnsi="Times New Roman" w:cs="Times New Roman"/>
        </w:rPr>
        <w:t>;</w:t>
      </w:r>
      <w:r w:rsidR="00C92E68" w:rsidRPr="00523556">
        <w:rPr>
          <w:rFonts w:ascii="Times New Roman" w:hAnsi="Times New Roman" w:cs="Times New Roman"/>
        </w:rPr>
        <w:t xml:space="preserve"> </w:t>
      </w:r>
      <w:r w:rsidR="00416C90" w:rsidRPr="00523556">
        <w:rPr>
          <w:rFonts w:ascii="Times New Roman" w:hAnsi="Times New Roman" w:cs="Times New Roman"/>
        </w:rPr>
        <w:t xml:space="preserve">it will be important to ensure that </w:t>
      </w:r>
      <w:r w:rsidR="0047525A" w:rsidRPr="00523556">
        <w:rPr>
          <w:rFonts w:ascii="Times New Roman" w:hAnsi="Times New Roman" w:cs="Times New Roman"/>
        </w:rPr>
        <w:t xml:space="preserve">the increasing depth and breadth of </w:t>
      </w:r>
      <w:r w:rsidR="00416C90" w:rsidRPr="00523556">
        <w:rPr>
          <w:rFonts w:ascii="Times New Roman" w:hAnsi="Times New Roman" w:cs="Times New Roman"/>
        </w:rPr>
        <w:t xml:space="preserve">borrowing </w:t>
      </w:r>
      <w:r w:rsidR="0047525A" w:rsidRPr="00523556">
        <w:rPr>
          <w:rFonts w:ascii="Times New Roman" w:hAnsi="Times New Roman" w:cs="Times New Roman"/>
        </w:rPr>
        <w:t xml:space="preserve">options </w:t>
      </w:r>
      <w:r w:rsidR="00416C90" w:rsidRPr="00523556">
        <w:rPr>
          <w:rFonts w:ascii="Times New Roman" w:hAnsi="Times New Roman" w:cs="Times New Roman"/>
        </w:rPr>
        <w:t xml:space="preserve">does not displace the pursuit of such reforms. </w:t>
      </w:r>
      <w:r w:rsidR="00664BB0" w:rsidRPr="00523556">
        <w:rPr>
          <w:rFonts w:ascii="Times New Roman" w:hAnsi="Times New Roman" w:cs="Times New Roman"/>
        </w:rPr>
        <w:br w:type="page"/>
      </w:r>
    </w:p>
    <w:p w:rsidR="00664BB0" w:rsidRPr="00523556" w:rsidRDefault="00664BB0" w:rsidP="004A74D5">
      <w:pPr>
        <w:pStyle w:val="Heading1"/>
        <w:rPr>
          <w:rFonts w:ascii="Times New Roman" w:hAnsi="Times New Roman" w:cs="Times New Roman"/>
        </w:rPr>
      </w:pPr>
      <w:bookmarkStart w:id="18" w:name="_Toc383757449"/>
      <w:r w:rsidRPr="00523556">
        <w:rPr>
          <w:rFonts w:ascii="Times New Roman" w:hAnsi="Times New Roman" w:cs="Times New Roman"/>
        </w:rPr>
        <w:lastRenderedPageBreak/>
        <w:t>References</w:t>
      </w:r>
      <w:bookmarkEnd w:id="18"/>
    </w:p>
    <w:p w:rsidR="00442AE5" w:rsidRPr="00523556" w:rsidRDefault="00442AE5" w:rsidP="00442AE5">
      <w:pPr>
        <w:jc w:val="both"/>
        <w:rPr>
          <w:rFonts w:ascii="Times New Roman" w:hAnsi="Times New Roman" w:cs="Times New Roman"/>
        </w:rPr>
      </w:pPr>
      <w:r w:rsidRPr="00523556">
        <w:rPr>
          <w:rFonts w:ascii="Times New Roman" w:hAnsi="Times New Roman" w:cs="Times New Roman"/>
        </w:rPr>
        <w:t xml:space="preserve">Abbas, S.M. Ali and Jakob E. Christensen (2010) “The Role of Domestic Debt Markets in Economic Growth: An Empirical Investigation for Low-Income Countries and Emerging Markets”, </w:t>
      </w:r>
      <w:r w:rsidRPr="00523556">
        <w:rPr>
          <w:rFonts w:ascii="Times New Roman" w:hAnsi="Times New Roman" w:cs="Times New Roman"/>
          <w:i/>
        </w:rPr>
        <w:t>IMF Staff Papers</w:t>
      </w:r>
      <w:r w:rsidRPr="00523556">
        <w:rPr>
          <w:rFonts w:ascii="Times New Roman" w:hAnsi="Times New Roman" w:cs="Times New Roman"/>
        </w:rPr>
        <w:t>, 57(1).</w:t>
      </w:r>
    </w:p>
    <w:p w:rsidR="009F7B88" w:rsidRPr="00523556" w:rsidRDefault="009F7B88" w:rsidP="004A74D5">
      <w:pPr>
        <w:jc w:val="both"/>
        <w:rPr>
          <w:rFonts w:ascii="Times New Roman" w:hAnsi="Times New Roman" w:cs="Times New Roman"/>
        </w:rPr>
      </w:pPr>
      <w:r w:rsidRPr="00523556">
        <w:rPr>
          <w:rFonts w:ascii="Times New Roman" w:hAnsi="Times New Roman" w:cs="Times New Roman"/>
        </w:rPr>
        <w:t>Adam</w:t>
      </w:r>
      <w:r w:rsidR="00F44DBD" w:rsidRPr="00523556">
        <w:rPr>
          <w:rFonts w:ascii="Times New Roman" w:hAnsi="Times New Roman" w:cs="Times New Roman"/>
        </w:rPr>
        <w:t xml:space="preserve">, Christopher </w:t>
      </w:r>
      <w:r w:rsidR="005147BE" w:rsidRPr="00523556">
        <w:rPr>
          <w:rFonts w:ascii="Times New Roman" w:hAnsi="Times New Roman" w:cs="Times New Roman"/>
        </w:rPr>
        <w:t xml:space="preserve">and </w:t>
      </w:r>
      <w:r w:rsidR="00F44DBD" w:rsidRPr="00523556">
        <w:rPr>
          <w:rFonts w:ascii="Times New Roman" w:hAnsi="Times New Roman" w:cs="Times New Roman"/>
        </w:rPr>
        <w:t xml:space="preserve">David </w:t>
      </w:r>
      <w:r w:rsidR="005147BE" w:rsidRPr="00523556">
        <w:rPr>
          <w:rFonts w:ascii="Times New Roman" w:hAnsi="Times New Roman" w:cs="Times New Roman"/>
        </w:rPr>
        <w:t xml:space="preserve">Bevan </w:t>
      </w:r>
      <w:r w:rsidRPr="00523556">
        <w:rPr>
          <w:rFonts w:ascii="Times New Roman" w:hAnsi="Times New Roman" w:cs="Times New Roman"/>
        </w:rPr>
        <w:t>(2013)</w:t>
      </w:r>
      <w:r w:rsidR="003C175D" w:rsidRPr="00523556">
        <w:rPr>
          <w:rFonts w:ascii="Times New Roman" w:hAnsi="Times New Roman" w:cs="Times New Roman"/>
        </w:rPr>
        <w:t xml:space="preserve">, </w:t>
      </w:r>
      <w:r w:rsidR="00F44DBD" w:rsidRPr="00523556">
        <w:rPr>
          <w:rFonts w:ascii="Times New Roman" w:hAnsi="Times New Roman" w:cs="Times New Roman"/>
        </w:rPr>
        <w:t>Public Investment, Public Finance and Growth: “The impact of distortionary taxation, recurrent costs and incomplete appropriability”,</w:t>
      </w:r>
      <w:r w:rsidR="00EC024B" w:rsidRPr="00523556">
        <w:rPr>
          <w:rFonts w:ascii="Times New Roman" w:hAnsi="Times New Roman" w:cs="Times New Roman"/>
        </w:rPr>
        <w:t xml:space="preserve"> </w:t>
      </w:r>
      <w:r w:rsidR="003C175D" w:rsidRPr="00523556">
        <w:rPr>
          <w:rFonts w:ascii="Times New Roman" w:hAnsi="Times New Roman" w:cs="Times New Roman"/>
          <w:i/>
        </w:rPr>
        <w:t>mimeo</w:t>
      </w:r>
      <w:r w:rsidR="00333CEB" w:rsidRPr="00523556">
        <w:rPr>
          <w:rFonts w:ascii="Times New Roman" w:hAnsi="Times New Roman" w:cs="Times New Roman"/>
          <w:i/>
        </w:rPr>
        <w:t>.</w:t>
      </w:r>
    </w:p>
    <w:p w:rsidR="009543B1" w:rsidRPr="00523556" w:rsidRDefault="009543B1" w:rsidP="004A74D5">
      <w:pPr>
        <w:jc w:val="both"/>
        <w:rPr>
          <w:rFonts w:ascii="Times New Roman" w:hAnsi="Times New Roman" w:cs="Times New Roman"/>
        </w:rPr>
      </w:pPr>
      <w:r w:rsidRPr="00523556">
        <w:rPr>
          <w:rFonts w:ascii="Times New Roman" w:hAnsi="Times New Roman" w:cs="Times New Roman"/>
        </w:rPr>
        <w:t>Adelegan, O. Janet and Bozena Radzewicz-Bak (2009) “What Determines Bond Market Development in Sub-Saharan Africa?”, IMF Working Paper WP/09/213.</w:t>
      </w:r>
    </w:p>
    <w:p w:rsidR="00C16ACD" w:rsidRPr="00523556" w:rsidRDefault="00C16ACD" w:rsidP="004A74D5">
      <w:pPr>
        <w:jc w:val="both"/>
        <w:rPr>
          <w:rFonts w:ascii="Times New Roman" w:hAnsi="Times New Roman" w:cs="Times New Roman"/>
        </w:rPr>
      </w:pPr>
      <w:r w:rsidRPr="00523556">
        <w:rPr>
          <w:rFonts w:ascii="Times New Roman" w:hAnsi="Times New Roman" w:cs="Times New Roman"/>
        </w:rPr>
        <w:t>Aisen, Ari and David Hauner (2008) “Budget Deficits and Interest Rates: A Fresh Perspective”, IMF Working Paper WP/08/42.</w:t>
      </w:r>
    </w:p>
    <w:p w:rsidR="004B1EA1" w:rsidRPr="00523556" w:rsidRDefault="004B1EA1" w:rsidP="004A74D5">
      <w:pPr>
        <w:jc w:val="both"/>
        <w:rPr>
          <w:rFonts w:ascii="Times New Roman" w:hAnsi="Times New Roman" w:cs="Times New Roman"/>
        </w:rPr>
      </w:pPr>
      <w:r w:rsidRPr="00523556">
        <w:rPr>
          <w:rFonts w:ascii="Times New Roman" w:hAnsi="Times New Roman" w:cs="Times New Roman"/>
        </w:rPr>
        <w:t>Baldacci, Emanuele and Manmohan S. Kumar (2010) “Fiscal Deficits, Public Debt and Sovereign Bond Yields”, IMF Working Paper WP/10/184.</w:t>
      </w:r>
    </w:p>
    <w:p w:rsidR="00FC6BB7" w:rsidRPr="00523556" w:rsidRDefault="00FC6BB7" w:rsidP="004A74D5">
      <w:pPr>
        <w:jc w:val="both"/>
        <w:rPr>
          <w:rFonts w:ascii="Times New Roman" w:hAnsi="Times New Roman" w:cs="Times New Roman"/>
        </w:rPr>
      </w:pPr>
      <w:r w:rsidRPr="00523556">
        <w:rPr>
          <w:rFonts w:ascii="Times New Roman" w:hAnsi="Times New Roman" w:cs="Times New Roman"/>
        </w:rPr>
        <w:t>Beaugrand, Philippe, Boileau Loko and Montfort Mlachila (2002) “The Choice Between External and Domestic Debt in Financing Budget Deficits: The Case of Central and West Africa”, IMF Working Paper WP/02/79.</w:t>
      </w:r>
    </w:p>
    <w:p w:rsidR="00664BB0" w:rsidRPr="00523556" w:rsidRDefault="00585652" w:rsidP="004A74D5">
      <w:pPr>
        <w:jc w:val="both"/>
        <w:rPr>
          <w:rFonts w:ascii="Times New Roman" w:hAnsi="Times New Roman" w:cs="Times New Roman"/>
        </w:rPr>
      </w:pPr>
      <w:r w:rsidRPr="00523556">
        <w:rPr>
          <w:rFonts w:ascii="Times New Roman" w:hAnsi="Times New Roman" w:cs="Times New Roman"/>
        </w:rPr>
        <w:t>Bevan, David (2010) “Fiscal Policy Issues for Tanzania”, International Growth Centre Working Paper 10/0875.</w:t>
      </w:r>
    </w:p>
    <w:p w:rsidR="004B5828" w:rsidRPr="00523556" w:rsidRDefault="004B5828" w:rsidP="004A74D5">
      <w:pPr>
        <w:jc w:val="both"/>
        <w:rPr>
          <w:rFonts w:ascii="Times New Roman" w:hAnsi="Times New Roman" w:cs="Times New Roman"/>
        </w:rPr>
      </w:pPr>
      <w:r w:rsidRPr="00523556">
        <w:rPr>
          <w:rFonts w:ascii="Times New Roman" w:hAnsi="Times New Roman" w:cs="Times New Roman"/>
        </w:rPr>
        <w:t xml:space="preserve">Bua, Giovanna, Juan Pradelli and Andrea F Presbitero (2013) “Domestic </w:t>
      </w:r>
      <w:r w:rsidR="00615B21" w:rsidRPr="00523556">
        <w:rPr>
          <w:rFonts w:ascii="Times New Roman" w:hAnsi="Times New Roman" w:cs="Times New Roman"/>
        </w:rPr>
        <w:t>P</w:t>
      </w:r>
      <w:r w:rsidRPr="00523556">
        <w:rPr>
          <w:rFonts w:ascii="Times New Roman" w:hAnsi="Times New Roman" w:cs="Times New Roman"/>
        </w:rPr>
        <w:t xml:space="preserve">ublic </w:t>
      </w:r>
      <w:r w:rsidR="00615B21" w:rsidRPr="00523556">
        <w:rPr>
          <w:rFonts w:ascii="Times New Roman" w:hAnsi="Times New Roman" w:cs="Times New Roman"/>
        </w:rPr>
        <w:t>D</w:t>
      </w:r>
      <w:r w:rsidRPr="00523556">
        <w:rPr>
          <w:rFonts w:ascii="Times New Roman" w:hAnsi="Times New Roman" w:cs="Times New Roman"/>
        </w:rPr>
        <w:t xml:space="preserve">ebt in </w:t>
      </w:r>
      <w:r w:rsidR="00615B21" w:rsidRPr="00523556">
        <w:rPr>
          <w:rFonts w:ascii="Times New Roman" w:hAnsi="Times New Roman" w:cs="Times New Roman"/>
        </w:rPr>
        <w:t>L</w:t>
      </w:r>
      <w:r w:rsidRPr="00523556">
        <w:rPr>
          <w:rFonts w:ascii="Times New Roman" w:hAnsi="Times New Roman" w:cs="Times New Roman"/>
        </w:rPr>
        <w:t xml:space="preserve">ow </w:t>
      </w:r>
      <w:r w:rsidR="00615B21" w:rsidRPr="00523556">
        <w:rPr>
          <w:rFonts w:ascii="Times New Roman" w:hAnsi="Times New Roman" w:cs="Times New Roman"/>
        </w:rPr>
        <w:t>I</w:t>
      </w:r>
      <w:r w:rsidRPr="00523556">
        <w:rPr>
          <w:rFonts w:ascii="Times New Roman" w:hAnsi="Times New Roman" w:cs="Times New Roman"/>
        </w:rPr>
        <w:t xml:space="preserve">ncome </w:t>
      </w:r>
      <w:r w:rsidR="00615B21" w:rsidRPr="00523556">
        <w:rPr>
          <w:rFonts w:ascii="Times New Roman" w:hAnsi="Times New Roman" w:cs="Times New Roman"/>
        </w:rPr>
        <w:t>C</w:t>
      </w:r>
      <w:r w:rsidRPr="00523556">
        <w:rPr>
          <w:rFonts w:ascii="Times New Roman" w:hAnsi="Times New Roman" w:cs="Times New Roman"/>
        </w:rPr>
        <w:t xml:space="preserve">ountries: </w:t>
      </w:r>
      <w:r w:rsidR="00615B21" w:rsidRPr="00523556">
        <w:rPr>
          <w:rFonts w:ascii="Times New Roman" w:hAnsi="Times New Roman" w:cs="Times New Roman"/>
        </w:rPr>
        <w:t>T</w:t>
      </w:r>
      <w:r w:rsidRPr="00523556">
        <w:rPr>
          <w:rFonts w:ascii="Times New Roman" w:hAnsi="Times New Roman" w:cs="Times New Roman"/>
        </w:rPr>
        <w:t xml:space="preserve">rends and </w:t>
      </w:r>
      <w:r w:rsidR="00615B21" w:rsidRPr="00523556">
        <w:rPr>
          <w:rFonts w:ascii="Times New Roman" w:hAnsi="Times New Roman" w:cs="Times New Roman"/>
        </w:rPr>
        <w:t>S</w:t>
      </w:r>
      <w:r w:rsidRPr="00523556">
        <w:rPr>
          <w:rFonts w:ascii="Times New Roman" w:hAnsi="Times New Roman" w:cs="Times New Roman"/>
        </w:rPr>
        <w:t>tructure”, Money and Finance Research Group, Università Politecnica delle Marche, Working Paper No. 85.</w:t>
      </w:r>
    </w:p>
    <w:p w:rsidR="00B22A82" w:rsidRPr="00523556" w:rsidRDefault="00B22A82" w:rsidP="004A74D5">
      <w:pPr>
        <w:jc w:val="both"/>
        <w:rPr>
          <w:rFonts w:ascii="Times New Roman" w:hAnsi="Times New Roman" w:cs="Times New Roman"/>
        </w:rPr>
      </w:pPr>
      <w:r w:rsidRPr="00523556">
        <w:rPr>
          <w:rFonts w:ascii="Times New Roman" w:hAnsi="Times New Roman" w:cs="Times New Roman"/>
        </w:rPr>
        <w:t>Christensen, Jakob (2005) “Domestic Debt Markets in Sub-Saharan Africa”, IMF Staff Papers 52(3).</w:t>
      </w:r>
    </w:p>
    <w:p w:rsidR="00207233" w:rsidRPr="00523556" w:rsidRDefault="00207233" w:rsidP="004A74D5">
      <w:pPr>
        <w:jc w:val="both"/>
        <w:rPr>
          <w:rFonts w:ascii="Times New Roman" w:hAnsi="Times New Roman" w:cs="Times New Roman"/>
        </w:rPr>
      </w:pPr>
      <w:r w:rsidRPr="00523556">
        <w:rPr>
          <w:rFonts w:ascii="Times New Roman" w:hAnsi="Times New Roman" w:cs="Times New Roman"/>
        </w:rPr>
        <w:t>Das, Udaibir S., Michael G. Papaioannou and Magdalena Polan (2008) “Strategic Considerations for First-Time Sovereign Bond Issuers”, IMF Working Paper WP/08/261.</w:t>
      </w:r>
    </w:p>
    <w:p w:rsidR="005D54AE" w:rsidRPr="00523556" w:rsidRDefault="005D54AE" w:rsidP="004A74D5">
      <w:pPr>
        <w:jc w:val="both"/>
        <w:rPr>
          <w:rFonts w:ascii="Times New Roman" w:hAnsi="Times New Roman" w:cs="Times New Roman"/>
        </w:rPr>
      </w:pPr>
      <w:r w:rsidRPr="00523556">
        <w:rPr>
          <w:rFonts w:ascii="Times New Roman" w:hAnsi="Times New Roman" w:cs="Times New Roman"/>
        </w:rPr>
        <w:t>Dehn, Jan (2012) “The Emerging View: The Ugly Ducking Grows Up”, Ashmore Investment Management Ltd, February 2012.</w:t>
      </w:r>
    </w:p>
    <w:p w:rsidR="005B7C70" w:rsidRPr="00523556" w:rsidRDefault="005B7C70" w:rsidP="004A74D5">
      <w:pPr>
        <w:jc w:val="both"/>
        <w:rPr>
          <w:rFonts w:ascii="Times New Roman" w:hAnsi="Times New Roman" w:cs="Times New Roman"/>
        </w:rPr>
      </w:pPr>
      <w:r w:rsidRPr="00523556">
        <w:rPr>
          <w:rFonts w:ascii="Times New Roman" w:hAnsi="Times New Roman" w:cs="Times New Roman"/>
        </w:rPr>
        <w:t>Emran, M Shahe and Subika Farazi (2009) “Lazy Banks? Government Borrowing and Private Credit in Developing Countries”, Institute for International Economic Policy, George Washington University, Working Paper 2009-9.</w:t>
      </w:r>
    </w:p>
    <w:p w:rsidR="00F67F87" w:rsidRPr="00523556" w:rsidRDefault="00F67F87" w:rsidP="004A74D5">
      <w:pPr>
        <w:jc w:val="both"/>
        <w:rPr>
          <w:rFonts w:ascii="Times New Roman" w:hAnsi="Times New Roman" w:cs="Times New Roman"/>
        </w:rPr>
      </w:pPr>
      <w:r w:rsidRPr="00523556">
        <w:rPr>
          <w:rFonts w:ascii="Times New Roman" w:hAnsi="Times New Roman" w:cs="Times New Roman"/>
        </w:rPr>
        <w:t>Gray, Simon and David Woo (2000) “Reconsidering External Financing of Domestic Budget Deficits: Debunking Some Received Wisdom”, IMF Policy Discussion Paper PDP/00/08.</w:t>
      </w:r>
    </w:p>
    <w:p w:rsidR="008E43EE" w:rsidRPr="00523556" w:rsidRDefault="008E43EE" w:rsidP="004A74D5">
      <w:pPr>
        <w:jc w:val="both"/>
        <w:rPr>
          <w:rFonts w:ascii="Times New Roman" w:hAnsi="Times New Roman" w:cs="Times New Roman"/>
        </w:rPr>
      </w:pPr>
      <w:r w:rsidRPr="00523556">
        <w:rPr>
          <w:rFonts w:ascii="Times New Roman" w:hAnsi="Times New Roman" w:cs="Times New Roman"/>
        </w:rPr>
        <w:t>Gueye, Cheikh A. and Amadou N.R. Sy (2010) “Beyond Aid: How Much Should African Countries Pay to Borrow?”, IMF Working Paper WP/10/140.</w:t>
      </w:r>
    </w:p>
    <w:p w:rsidR="003E6633" w:rsidRPr="00523556" w:rsidRDefault="003E6633" w:rsidP="004A74D5">
      <w:pPr>
        <w:jc w:val="both"/>
        <w:rPr>
          <w:rFonts w:ascii="Times New Roman" w:hAnsi="Times New Roman" w:cs="Times New Roman"/>
        </w:rPr>
      </w:pPr>
      <w:r w:rsidRPr="00523556">
        <w:rPr>
          <w:rFonts w:ascii="Times New Roman" w:hAnsi="Times New Roman" w:cs="Times New Roman"/>
        </w:rPr>
        <w:lastRenderedPageBreak/>
        <w:t>Hanson, James A. (2007) “The Growth in Government Domestic Debt: Changing Burdens and Risks”, World Bank Policy Research Working Paper 4348.</w:t>
      </w:r>
    </w:p>
    <w:p w:rsidR="005E125D" w:rsidRPr="00523556" w:rsidRDefault="005E125D" w:rsidP="004A74D5">
      <w:pPr>
        <w:jc w:val="both"/>
        <w:rPr>
          <w:rFonts w:ascii="Times New Roman" w:hAnsi="Times New Roman" w:cs="Times New Roman"/>
        </w:rPr>
      </w:pPr>
      <w:r w:rsidRPr="00523556">
        <w:rPr>
          <w:rFonts w:ascii="Times New Roman" w:hAnsi="Times New Roman" w:cs="Times New Roman"/>
        </w:rPr>
        <w:t>Hostland, Doug (2009) “Low-Income Countries’ Access to Private Debt Markets”, World Bank Policy Research Working Paper 4829.</w:t>
      </w:r>
    </w:p>
    <w:p w:rsidR="00805481" w:rsidRPr="00523556" w:rsidRDefault="00805481" w:rsidP="004A74D5">
      <w:pPr>
        <w:jc w:val="both"/>
        <w:rPr>
          <w:rFonts w:ascii="Times New Roman" w:hAnsi="Times New Roman" w:cs="Times New Roman"/>
        </w:rPr>
      </w:pPr>
      <w:r w:rsidRPr="00523556">
        <w:rPr>
          <w:rFonts w:ascii="Times New Roman" w:hAnsi="Times New Roman" w:cs="Times New Roman"/>
        </w:rPr>
        <w:t>IMF (2003) “Access to International Capital Markets for First-Time Sovereign Issuers”.</w:t>
      </w:r>
    </w:p>
    <w:p w:rsidR="002D5ECF" w:rsidRPr="00523556" w:rsidRDefault="002D5ECF" w:rsidP="004A74D5">
      <w:pPr>
        <w:jc w:val="both"/>
        <w:rPr>
          <w:rFonts w:ascii="Times New Roman" w:hAnsi="Times New Roman" w:cs="Times New Roman"/>
        </w:rPr>
      </w:pPr>
      <w:r w:rsidRPr="00523556">
        <w:rPr>
          <w:rFonts w:ascii="Times New Roman" w:hAnsi="Times New Roman" w:cs="Times New Roman"/>
        </w:rPr>
        <w:t>IMF (2009) “Changing Patterns in Low-Income Country Financing and Implications for Fund Policies on External Financing and Debt”.</w:t>
      </w:r>
    </w:p>
    <w:p w:rsidR="00FB0535" w:rsidRPr="00523556" w:rsidRDefault="00FB0535" w:rsidP="00FB0535">
      <w:pPr>
        <w:jc w:val="both"/>
        <w:rPr>
          <w:rFonts w:ascii="Times New Roman" w:hAnsi="Times New Roman" w:cs="Times New Roman"/>
        </w:rPr>
      </w:pPr>
      <w:r w:rsidRPr="00523556">
        <w:rPr>
          <w:rFonts w:ascii="Times New Roman" w:hAnsi="Times New Roman" w:cs="Times New Roman"/>
        </w:rPr>
        <w:t>IMF (2013a) “Review of the Policy on Debt Limits in Fund-Supported Programmes”, March 2013.</w:t>
      </w:r>
    </w:p>
    <w:p w:rsidR="00FB0535" w:rsidRPr="00523556" w:rsidRDefault="00FB0535" w:rsidP="00FB0535">
      <w:pPr>
        <w:jc w:val="both"/>
        <w:rPr>
          <w:rFonts w:ascii="Times New Roman" w:hAnsi="Times New Roman" w:cs="Times New Roman"/>
        </w:rPr>
      </w:pPr>
      <w:r w:rsidRPr="00523556">
        <w:rPr>
          <w:rFonts w:ascii="Times New Roman" w:hAnsi="Times New Roman" w:cs="Times New Roman"/>
        </w:rPr>
        <w:t>IMF (2013b) “Uganda: Staff Report for the 2013 Article IV Consultation, Sixth Review Under the Policy Support Instrument, Request for a Three-Year Policy Support Instrument and Cancellation of Current Policy Support Instrument”, 17</w:t>
      </w:r>
      <w:r w:rsidRPr="00523556">
        <w:rPr>
          <w:rFonts w:ascii="Times New Roman" w:hAnsi="Times New Roman" w:cs="Times New Roman"/>
          <w:vertAlign w:val="superscript"/>
        </w:rPr>
        <w:t>th</w:t>
      </w:r>
      <w:r w:rsidRPr="00523556">
        <w:rPr>
          <w:rFonts w:ascii="Times New Roman" w:hAnsi="Times New Roman" w:cs="Times New Roman"/>
        </w:rPr>
        <w:t xml:space="preserve"> June 2013.</w:t>
      </w:r>
    </w:p>
    <w:p w:rsidR="004137AE" w:rsidRPr="00523556" w:rsidRDefault="004137AE" w:rsidP="00FB0535">
      <w:pPr>
        <w:jc w:val="both"/>
        <w:rPr>
          <w:rFonts w:ascii="Times New Roman" w:hAnsi="Times New Roman" w:cs="Times New Roman"/>
        </w:rPr>
      </w:pPr>
      <w:r w:rsidRPr="00523556">
        <w:rPr>
          <w:rFonts w:ascii="Times New Roman" w:hAnsi="Times New Roman" w:cs="Times New Roman"/>
        </w:rPr>
        <w:t>IMF (2013c) “Uganda: First Review Under the Policy Support Instrument”, 3</w:t>
      </w:r>
      <w:r w:rsidRPr="00523556">
        <w:rPr>
          <w:rFonts w:ascii="Times New Roman" w:hAnsi="Times New Roman" w:cs="Times New Roman"/>
          <w:vertAlign w:val="superscript"/>
        </w:rPr>
        <w:t>rd</w:t>
      </w:r>
      <w:r w:rsidRPr="00523556">
        <w:rPr>
          <w:rFonts w:ascii="Times New Roman" w:hAnsi="Times New Roman" w:cs="Times New Roman"/>
        </w:rPr>
        <w:t xml:space="preserve"> December 2013.</w:t>
      </w:r>
    </w:p>
    <w:p w:rsidR="00EB431D" w:rsidRPr="00523556" w:rsidRDefault="00EB431D" w:rsidP="004A74D5">
      <w:pPr>
        <w:jc w:val="both"/>
        <w:rPr>
          <w:rFonts w:ascii="Times New Roman" w:hAnsi="Times New Roman" w:cs="Times New Roman"/>
        </w:rPr>
      </w:pPr>
      <w:r w:rsidRPr="00523556">
        <w:rPr>
          <w:rFonts w:ascii="Times New Roman" w:hAnsi="Times New Roman" w:cs="Times New Roman"/>
        </w:rPr>
        <w:t xml:space="preserve">IMF and World Bank (2003) </w:t>
      </w:r>
      <w:r w:rsidR="00333391" w:rsidRPr="00523556">
        <w:rPr>
          <w:rFonts w:ascii="Times New Roman" w:hAnsi="Times New Roman" w:cs="Times New Roman"/>
        </w:rPr>
        <w:t>“</w:t>
      </w:r>
      <w:r w:rsidRPr="00523556">
        <w:rPr>
          <w:rFonts w:ascii="Times New Roman" w:hAnsi="Times New Roman" w:cs="Times New Roman"/>
        </w:rPr>
        <w:t>Guidelines for Public Debt Management</w:t>
      </w:r>
      <w:r w:rsidR="00333391" w:rsidRPr="00523556">
        <w:rPr>
          <w:rFonts w:ascii="Times New Roman" w:hAnsi="Times New Roman" w:cs="Times New Roman"/>
        </w:rPr>
        <w:t>”</w:t>
      </w:r>
      <w:r w:rsidRPr="00523556">
        <w:rPr>
          <w:rFonts w:ascii="Times New Roman" w:hAnsi="Times New Roman" w:cs="Times New Roman"/>
        </w:rPr>
        <w:t>.</w:t>
      </w:r>
    </w:p>
    <w:p w:rsidR="006D7B4B" w:rsidRPr="00523556" w:rsidRDefault="006D7B4B" w:rsidP="004A74D5">
      <w:pPr>
        <w:jc w:val="both"/>
        <w:rPr>
          <w:rFonts w:ascii="Times New Roman" w:hAnsi="Times New Roman" w:cs="Times New Roman"/>
        </w:rPr>
      </w:pPr>
      <w:r w:rsidRPr="00523556">
        <w:rPr>
          <w:rFonts w:ascii="Times New Roman" w:hAnsi="Times New Roman" w:cs="Times New Roman"/>
        </w:rPr>
        <w:t>IMF</w:t>
      </w:r>
      <w:r w:rsidR="00351C12" w:rsidRPr="00523556">
        <w:rPr>
          <w:rFonts w:ascii="Times New Roman" w:hAnsi="Times New Roman" w:cs="Times New Roman"/>
        </w:rPr>
        <w:t xml:space="preserve"> </w:t>
      </w:r>
      <w:r w:rsidRPr="00523556">
        <w:rPr>
          <w:rFonts w:ascii="Times New Roman" w:hAnsi="Times New Roman" w:cs="Times New Roman"/>
        </w:rPr>
        <w:t>and World Bank (2008) “Staff Guidance Note on the Joint Fund-World Bank Debt Sustainability Framework for Low-Income Countries”.</w:t>
      </w:r>
    </w:p>
    <w:p w:rsidR="00BF0C77" w:rsidRPr="00523556" w:rsidRDefault="000C70D1" w:rsidP="004A74D5">
      <w:pPr>
        <w:jc w:val="both"/>
        <w:rPr>
          <w:rFonts w:ascii="Times New Roman" w:hAnsi="Times New Roman" w:cs="Times New Roman"/>
        </w:rPr>
      </w:pPr>
      <w:r w:rsidRPr="00523556">
        <w:rPr>
          <w:rFonts w:ascii="Times New Roman" w:hAnsi="Times New Roman" w:cs="Times New Roman"/>
        </w:rPr>
        <w:t>IMF and World Bank (2012) “Revisiting the Debt Sustainability Framework for Low-Income Countries”</w:t>
      </w:r>
      <w:r w:rsidR="00333391" w:rsidRPr="00523556">
        <w:rPr>
          <w:rFonts w:ascii="Times New Roman" w:hAnsi="Times New Roman" w:cs="Times New Roman"/>
        </w:rPr>
        <w:t>.</w:t>
      </w:r>
    </w:p>
    <w:p w:rsidR="000D3D58" w:rsidRPr="00523556" w:rsidRDefault="000D3D58" w:rsidP="004A74D5">
      <w:pPr>
        <w:jc w:val="both"/>
        <w:rPr>
          <w:rFonts w:ascii="Times New Roman" w:hAnsi="Times New Roman" w:cs="Times New Roman"/>
        </w:rPr>
      </w:pPr>
      <w:r w:rsidRPr="00523556">
        <w:rPr>
          <w:rFonts w:ascii="Times New Roman" w:hAnsi="Times New Roman" w:cs="Times New Roman"/>
        </w:rPr>
        <w:t>Jaramillo, Laura and Anke Weber (2012) “Bond Yields in Emerging Economies: It Matters What State You Are In”, IMF Working Paper WP/12/198.</w:t>
      </w:r>
    </w:p>
    <w:p w:rsidR="002276B9" w:rsidRPr="00523556" w:rsidRDefault="002276B9" w:rsidP="002276B9">
      <w:pPr>
        <w:jc w:val="both"/>
        <w:rPr>
          <w:rFonts w:ascii="Times New Roman" w:hAnsi="Times New Roman" w:cs="Times New Roman"/>
        </w:rPr>
      </w:pPr>
      <w:r w:rsidRPr="00523556">
        <w:rPr>
          <w:rFonts w:ascii="Times New Roman" w:hAnsi="Times New Roman" w:cs="Times New Roman"/>
        </w:rPr>
        <w:t>Leong, Donna (1999) “Debt Management – Theory and Practice”, HM Treasury Occasional Paper No.10.</w:t>
      </w:r>
    </w:p>
    <w:p w:rsidR="004A74D5" w:rsidRPr="00523556" w:rsidRDefault="004A74D5" w:rsidP="004A74D5">
      <w:pPr>
        <w:jc w:val="both"/>
        <w:rPr>
          <w:rFonts w:ascii="Times New Roman" w:hAnsi="Times New Roman" w:cs="Times New Roman"/>
        </w:rPr>
      </w:pPr>
      <w:r w:rsidRPr="00523556">
        <w:rPr>
          <w:rFonts w:ascii="Times New Roman" w:hAnsi="Times New Roman" w:cs="Times New Roman"/>
        </w:rPr>
        <w:t>Mehl, Arnaud and Julien Reynaud (2005) “The Determinants of ‘Domestic’ Original Sin in Emerging Market Economies”, European Central Bank Working Paper No. 560.</w:t>
      </w:r>
    </w:p>
    <w:p w:rsidR="000F590F" w:rsidRPr="00523556" w:rsidRDefault="000F590F" w:rsidP="004A74D5">
      <w:pPr>
        <w:jc w:val="both"/>
        <w:rPr>
          <w:rFonts w:ascii="Times New Roman" w:hAnsi="Times New Roman" w:cs="Times New Roman"/>
        </w:rPr>
      </w:pPr>
      <w:r w:rsidRPr="00523556">
        <w:rPr>
          <w:rFonts w:ascii="Times New Roman" w:hAnsi="Times New Roman" w:cs="Times New Roman"/>
        </w:rPr>
        <w:t>Mehl, Arnaud and Julien Reynaud (2008) “Domestic Debt Structures in Emerging Markets: New Empirical Evidence”, Centre d’Economie de la Sorbonne Working Paper.</w:t>
      </w:r>
    </w:p>
    <w:p w:rsidR="009A0580" w:rsidRPr="00523556" w:rsidRDefault="009A0580" w:rsidP="004A74D5">
      <w:pPr>
        <w:jc w:val="both"/>
        <w:rPr>
          <w:rFonts w:ascii="Times New Roman" w:hAnsi="Times New Roman" w:cs="Times New Roman"/>
        </w:rPr>
      </w:pPr>
      <w:r w:rsidRPr="00523556">
        <w:rPr>
          <w:rFonts w:ascii="Times New Roman" w:hAnsi="Times New Roman" w:cs="Times New Roman"/>
        </w:rPr>
        <w:t>Ministry of Finance, Planning and Economic Development (2007) “Uganda Debt Strategy 2007”, December 2007.</w:t>
      </w:r>
    </w:p>
    <w:p w:rsidR="007E4A9F" w:rsidRPr="00523556" w:rsidRDefault="007E4A9F" w:rsidP="004A74D5">
      <w:pPr>
        <w:jc w:val="both"/>
        <w:rPr>
          <w:rFonts w:ascii="Times New Roman" w:hAnsi="Times New Roman" w:cs="Times New Roman"/>
        </w:rPr>
      </w:pPr>
      <w:r w:rsidRPr="00523556">
        <w:rPr>
          <w:rFonts w:ascii="Times New Roman" w:hAnsi="Times New Roman" w:cs="Times New Roman"/>
        </w:rPr>
        <w:t>Ministry of Finance, Planning and Economic Development (2012) “Uganda Debt Sustainability Report”, October 2012.</w:t>
      </w:r>
    </w:p>
    <w:p w:rsidR="00C3602A" w:rsidRPr="00523556" w:rsidRDefault="00C3602A" w:rsidP="004A74D5">
      <w:pPr>
        <w:jc w:val="both"/>
        <w:rPr>
          <w:rFonts w:ascii="Times New Roman" w:hAnsi="Times New Roman" w:cs="Times New Roman"/>
        </w:rPr>
      </w:pPr>
      <w:r w:rsidRPr="00523556">
        <w:rPr>
          <w:rFonts w:ascii="Times New Roman" w:hAnsi="Times New Roman" w:cs="Times New Roman"/>
        </w:rPr>
        <w:t>Ministry of Finance, Planning and Economic Development (2013</w:t>
      </w:r>
      <w:r w:rsidR="00590DCA" w:rsidRPr="00523556">
        <w:rPr>
          <w:rFonts w:ascii="Times New Roman" w:hAnsi="Times New Roman" w:cs="Times New Roman"/>
        </w:rPr>
        <w:t>a</w:t>
      </w:r>
      <w:r w:rsidRPr="00523556">
        <w:rPr>
          <w:rFonts w:ascii="Times New Roman" w:hAnsi="Times New Roman" w:cs="Times New Roman"/>
        </w:rPr>
        <w:t xml:space="preserve">) </w:t>
      </w:r>
      <w:r w:rsidRPr="00523556">
        <w:rPr>
          <w:rFonts w:ascii="Times New Roman" w:hAnsi="Times New Roman" w:cs="Times New Roman"/>
          <w:i/>
        </w:rPr>
        <w:t>The Background to the Budget 2013/14 Fiscal Year</w:t>
      </w:r>
      <w:r w:rsidRPr="00523556">
        <w:rPr>
          <w:rFonts w:ascii="Times New Roman" w:hAnsi="Times New Roman" w:cs="Times New Roman"/>
        </w:rPr>
        <w:t>, June 2013.</w:t>
      </w:r>
    </w:p>
    <w:p w:rsidR="00590DCA" w:rsidRPr="00523556" w:rsidRDefault="00590DCA" w:rsidP="004A74D5">
      <w:pPr>
        <w:jc w:val="both"/>
        <w:rPr>
          <w:rFonts w:ascii="Times New Roman" w:hAnsi="Times New Roman" w:cs="Times New Roman"/>
        </w:rPr>
      </w:pPr>
      <w:r w:rsidRPr="00523556">
        <w:rPr>
          <w:rFonts w:ascii="Times New Roman" w:hAnsi="Times New Roman" w:cs="Times New Roman"/>
        </w:rPr>
        <w:lastRenderedPageBreak/>
        <w:t xml:space="preserve">Ministry of Finance, Planning and Economic Development (2013b) “Uganda Public Debt Strategy 2013”, </w:t>
      </w:r>
      <w:r w:rsidRPr="00523556">
        <w:rPr>
          <w:rFonts w:ascii="Times New Roman" w:hAnsi="Times New Roman" w:cs="Times New Roman"/>
          <w:i/>
        </w:rPr>
        <w:t>mimeo</w:t>
      </w:r>
      <w:r w:rsidRPr="00523556">
        <w:rPr>
          <w:rFonts w:ascii="Times New Roman" w:hAnsi="Times New Roman" w:cs="Times New Roman"/>
        </w:rPr>
        <w:t>.</w:t>
      </w:r>
    </w:p>
    <w:p w:rsidR="00DF6C57" w:rsidRPr="00523556" w:rsidRDefault="00DF6C57" w:rsidP="004A74D5">
      <w:pPr>
        <w:jc w:val="both"/>
        <w:rPr>
          <w:rFonts w:ascii="Times New Roman" w:hAnsi="Times New Roman" w:cs="Times New Roman"/>
        </w:rPr>
      </w:pPr>
      <w:r w:rsidRPr="00523556">
        <w:rPr>
          <w:rFonts w:ascii="Times New Roman" w:hAnsi="Times New Roman" w:cs="Times New Roman"/>
        </w:rPr>
        <w:t xml:space="preserve">Ministry of Finance, Planning and Economic Development (2013c) “Uganda’s Medium and Long-Term Fiscal Strategy for Socio-Economic Transformation”, Economic Development Policy and Research Department, </w:t>
      </w:r>
      <w:r w:rsidRPr="00523556">
        <w:rPr>
          <w:rFonts w:ascii="Times New Roman" w:hAnsi="Times New Roman" w:cs="Times New Roman"/>
          <w:i/>
        </w:rPr>
        <w:t>mimeo</w:t>
      </w:r>
      <w:r w:rsidRPr="00523556">
        <w:rPr>
          <w:rFonts w:ascii="Times New Roman" w:hAnsi="Times New Roman" w:cs="Times New Roman"/>
        </w:rPr>
        <w:t>.</w:t>
      </w:r>
    </w:p>
    <w:p w:rsidR="00280E22" w:rsidRPr="00523556" w:rsidRDefault="00280E22" w:rsidP="004A74D5">
      <w:pPr>
        <w:jc w:val="both"/>
        <w:rPr>
          <w:rFonts w:ascii="Times New Roman" w:hAnsi="Times New Roman" w:cs="Times New Roman"/>
        </w:rPr>
      </w:pPr>
      <w:r w:rsidRPr="00523556">
        <w:rPr>
          <w:rFonts w:ascii="Times New Roman" w:hAnsi="Times New Roman" w:cs="Times New Roman"/>
        </w:rPr>
        <w:t>Mu, Yibin, Peter Phelps and Janet G Stotsky (2013) “Bond Markets in Africa”, IMF Working Paper WP/13/12.</w:t>
      </w:r>
    </w:p>
    <w:p w:rsidR="00964163" w:rsidRPr="00523556" w:rsidRDefault="00964163" w:rsidP="004A74D5">
      <w:pPr>
        <w:jc w:val="both"/>
        <w:rPr>
          <w:rFonts w:ascii="Times New Roman" w:hAnsi="Times New Roman" w:cs="Times New Roman"/>
        </w:rPr>
      </w:pPr>
      <w:r w:rsidRPr="00523556">
        <w:rPr>
          <w:rFonts w:ascii="Times New Roman" w:hAnsi="Times New Roman" w:cs="Times New Roman"/>
        </w:rPr>
        <w:t>Jaramillo, Laura and Anke Weber (2012) “Bond Yields in Emerging Economies: It Matters What State You Are In”, IMF Working Paper WP/12/198.</w:t>
      </w:r>
    </w:p>
    <w:p w:rsidR="00D41829" w:rsidRPr="00523556" w:rsidRDefault="00D41829" w:rsidP="004A74D5">
      <w:pPr>
        <w:jc w:val="both"/>
        <w:rPr>
          <w:rFonts w:ascii="Times New Roman" w:hAnsi="Times New Roman" w:cs="Times New Roman"/>
        </w:rPr>
      </w:pPr>
      <w:r w:rsidRPr="00523556">
        <w:rPr>
          <w:rFonts w:ascii="Times New Roman" w:hAnsi="Times New Roman" w:cs="Times New Roman"/>
        </w:rPr>
        <w:t>Peiris, Shanaka J. (2010) “Foreign Participation in Emerging Markets’ Local Currency Bond Markets”, IMF Working Paper WP/10/88.</w:t>
      </w:r>
    </w:p>
    <w:p w:rsidR="00685532" w:rsidRPr="00523556" w:rsidRDefault="00685532" w:rsidP="004A74D5">
      <w:pPr>
        <w:jc w:val="both"/>
        <w:rPr>
          <w:rFonts w:ascii="Times New Roman" w:hAnsi="Times New Roman" w:cs="Times New Roman"/>
        </w:rPr>
      </w:pPr>
      <w:r w:rsidRPr="00523556">
        <w:rPr>
          <w:rFonts w:ascii="Times New Roman" w:hAnsi="Times New Roman" w:cs="Times New Roman"/>
        </w:rPr>
        <w:t>Pradhan, Mahmood, Ravi Balakrishnan, Reza Baqir, Geoffrey Heenan, Sylwia Nowak, Ceyda Oner and Sanjaya Panth (2011) “Policy Responses to Capital Flows in Emerging Markets”, IMF Staff Discussion Note, SDN/11/10.</w:t>
      </w:r>
    </w:p>
    <w:p w:rsidR="003924EF" w:rsidRPr="00523556" w:rsidRDefault="003924EF" w:rsidP="004A74D5">
      <w:pPr>
        <w:jc w:val="both"/>
        <w:rPr>
          <w:rFonts w:ascii="Times New Roman" w:hAnsi="Times New Roman" w:cs="Times New Roman"/>
        </w:rPr>
      </w:pPr>
      <w:r w:rsidRPr="00523556">
        <w:rPr>
          <w:rFonts w:ascii="Times New Roman" w:hAnsi="Times New Roman" w:cs="Times New Roman"/>
        </w:rPr>
        <w:t>Presbitero, Andrea F. (2010) “External debt relief but increasing domestic debt”, VoxEU, 19 November 2010.</w:t>
      </w:r>
    </w:p>
    <w:p w:rsidR="00BE7D14" w:rsidRPr="00523556" w:rsidRDefault="00BE7D14" w:rsidP="004A74D5">
      <w:pPr>
        <w:jc w:val="both"/>
        <w:rPr>
          <w:rFonts w:ascii="Times New Roman" w:hAnsi="Times New Roman" w:cs="Times New Roman"/>
        </w:rPr>
      </w:pPr>
      <w:r w:rsidRPr="00523556">
        <w:rPr>
          <w:rFonts w:ascii="Times New Roman" w:hAnsi="Times New Roman" w:cs="Times New Roman"/>
        </w:rPr>
        <w:t>Reinhart, Carmen M. and Kenneth S. Rogoff (2010) “Growth in a Time of Debt”, NBER Working Paper No. 15639.</w:t>
      </w:r>
    </w:p>
    <w:p w:rsidR="00C71883" w:rsidRPr="00523556" w:rsidRDefault="00C71883" w:rsidP="004A74D5">
      <w:pPr>
        <w:jc w:val="both"/>
        <w:rPr>
          <w:rFonts w:ascii="Times New Roman" w:hAnsi="Times New Roman" w:cs="Times New Roman"/>
        </w:rPr>
      </w:pPr>
      <w:r w:rsidRPr="00523556">
        <w:rPr>
          <w:rFonts w:ascii="Times New Roman" w:hAnsi="Times New Roman" w:cs="Times New Roman"/>
        </w:rPr>
        <w:t xml:space="preserve">Rutega, Simon, Winifred Tarinyeba Kiryabwire and Patrick K. Muwanguzi (2012) </w:t>
      </w:r>
      <w:r w:rsidR="008104A8" w:rsidRPr="00523556">
        <w:rPr>
          <w:rFonts w:ascii="Times New Roman" w:hAnsi="Times New Roman" w:cs="Times New Roman"/>
        </w:rPr>
        <w:t>“</w:t>
      </w:r>
      <w:r w:rsidRPr="00523556">
        <w:rPr>
          <w:rFonts w:ascii="Times New Roman" w:hAnsi="Times New Roman" w:cs="Times New Roman"/>
        </w:rPr>
        <w:t>Feasibility Study for the Establishment of an International Diaspora Bond</w:t>
      </w:r>
      <w:r w:rsidR="008104A8" w:rsidRPr="00523556">
        <w:rPr>
          <w:rFonts w:ascii="Times New Roman" w:hAnsi="Times New Roman" w:cs="Times New Roman"/>
        </w:rPr>
        <w:t>”</w:t>
      </w:r>
      <w:r w:rsidR="00DE2403" w:rsidRPr="00523556">
        <w:rPr>
          <w:rFonts w:ascii="Times New Roman" w:hAnsi="Times New Roman" w:cs="Times New Roman"/>
        </w:rPr>
        <w:t>.</w:t>
      </w:r>
    </w:p>
    <w:p w:rsidR="00446E2D" w:rsidRPr="00523556" w:rsidRDefault="00446E2D" w:rsidP="004A74D5">
      <w:pPr>
        <w:jc w:val="both"/>
        <w:rPr>
          <w:rFonts w:ascii="Times New Roman" w:hAnsi="Times New Roman" w:cs="Times New Roman"/>
        </w:rPr>
      </w:pPr>
      <w:r w:rsidRPr="00523556">
        <w:rPr>
          <w:rFonts w:ascii="Times New Roman" w:hAnsi="Times New Roman" w:cs="Times New Roman"/>
        </w:rPr>
        <w:t xml:space="preserve">Sy, Amadou N.R. (2013) “First Borrow: A growing number of countries in SSA are tapping international capital markets”, </w:t>
      </w:r>
      <w:r w:rsidRPr="00523556">
        <w:rPr>
          <w:rFonts w:ascii="Times New Roman" w:hAnsi="Times New Roman" w:cs="Times New Roman"/>
          <w:i/>
        </w:rPr>
        <w:t>IMF Finance &amp; Development</w:t>
      </w:r>
      <w:r w:rsidRPr="00523556">
        <w:rPr>
          <w:rFonts w:ascii="Times New Roman" w:hAnsi="Times New Roman" w:cs="Times New Roman"/>
        </w:rPr>
        <w:t>, June 2013</w:t>
      </w:r>
      <w:r w:rsidR="00933840" w:rsidRPr="00523556">
        <w:rPr>
          <w:rFonts w:ascii="Times New Roman" w:hAnsi="Times New Roman" w:cs="Times New Roman"/>
        </w:rPr>
        <w:t>.</w:t>
      </w:r>
    </w:p>
    <w:p w:rsidR="001E1772" w:rsidRPr="00523556" w:rsidRDefault="001E1772" w:rsidP="001E1772">
      <w:pPr>
        <w:jc w:val="both"/>
        <w:rPr>
          <w:rFonts w:ascii="Times New Roman" w:hAnsi="Times New Roman" w:cs="Times New Roman"/>
        </w:rPr>
      </w:pPr>
      <w:r w:rsidRPr="00523556">
        <w:rPr>
          <w:rFonts w:ascii="Times New Roman" w:hAnsi="Times New Roman" w:cs="Times New Roman"/>
        </w:rPr>
        <w:t>World Bank (2007) “Developing the Domestic Government Debt Market: From Diagnostics to Reform Implementation”.</w:t>
      </w:r>
    </w:p>
    <w:p w:rsidR="001E1772" w:rsidRPr="00523556" w:rsidRDefault="001E1772" w:rsidP="001E1772">
      <w:pPr>
        <w:jc w:val="both"/>
        <w:rPr>
          <w:rFonts w:ascii="Times New Roman" w:hAnsi="Times New Roman" w:cs="Times New Roman"/>
        </w:rPr>
      </w:pPr>
      <w:r w:rsidRPr="00523556">
        <w:rPr>
          <w:rFonts w:ascii="Times New Roman" w:hAnsi="Times New Roman" w:cs="Times New Roman"/>
        </w:rPr>
        <w:t xml:space="preserve">World Bank and East African Community Secretariat (2014) “East African Common Market Scorecard 2014: Summary – Tracking EAC Compliance in the movement of Capital, Services and Goods”. </w:t>
      </w:r>
    </w:p>
    <w:p w:rsidR="00ED3F44" w:rsidRPr="00523556" w:rsidRDefault="00ED3F44" w:rsidP="004A74D5">
      <w:pPr>
        <w:jc w:val="both"/>
        <w:rPr>
          <w:rFonts w:ascii="Times New Roman" w:hAnsi="Times New Roman" w:cs="Times New Roman"/>
        </w:rPr>
      </w:pPr>
      <w:r w:rsidRPr="00523556">
        <w:rPr>
          <w:rFonts w:ascii="Times New Roman" w:hAnsi="Times New Roman" w:cs="Times New Roman"/>
        </w:rPr>
        <w:t>World Bank and IMF (2001) “Developing Government Bond Markets: A Handbook”.</w:t>
      </w:r>
    </w:p>
    <w:p w:rsidR="00C06FE1" w:rsidRPr="00523556" w:rsidRDefault="0032346B" w:rsidP="004A74D5">
      <w:pPr>
        <w:jc w:val="both"/>
        <w:rPr>
          <w:rFonts w:ascii="Times New Roman" w:hAnsi="Times New Roman" w:cs="Times New Roman"/>
        </w:rPr>
      </w:pPr>
      <w:r w:rsidRPr="00523556">
        <w:rPr>
          <w:rFonts w:ascii="Times New Roman" w:hAnsi="Times New Roman" w:cs="Times New Roman"/>
        </w:rPr>
        <w:t>World Bank and IMF (2009) “Developing a Medium-Term Debt Management Strategy (MTDS) — Guidance Note for Country Authorities”</w:t>
      </w:r>
      <w:r w:rsidR="00C06FE1" w:rsidRPr="00523556">
        <w:rPr>
          <w:rFonts w:ascii="Times New Roman" w:hAnsi="Times New Roman" w:cs="Times New Roman"/>
        </w:rPr>
        <w:br w:type="page"/>
      </w:r>
    </w:p>
    <w:p w:rsidR="00B844F4" w:rsidRPr="00523556" w:rsidRDefault="00B844F4" w:rsidP="00B844F4">
      <w:pPr>
        <w:pStyle w:val="Heading1"/>
        <w:rPr>
          <w:rFonts w:ascii="Times New Roman" w:hAnsi="Times New Roman" w:cs="Times New Roman"/>
        </w:rPr>
      </w:pPr>
      <w:bookmarkStart w:id="19" w:name="_Toc383757450"/>
      <w:r w:rsidRPr="00523556">
        <w:rPr>
          <w:rFonts w:ascii="Times New Roman" w:hAnsi="Times New Roman" w:cs="Times New Roman"/>
        </w:rPr>
        <w:lastRenderedPageBreak/>
        <w:t xml:space="preserve">Annex </w:t>
      </w:r>
      <w:r w:rsidR="00766A00" w:rsidRPr="00523556">
        <w:rPr>
          <w:rFonts w:ascii="Times New Roman" w:hAnsi="Times New Roman" w:cs="Times New Roman"/>
        </w:rPr>
        <w:t>1</w:t>
      </w:r>
      <w:r w:rsidRPr="00523556">
        <w:rPr>
          <w:rFonts w:ascii="Times New Roman" w:hAnsi="Times New Roman" w:cs="Times New Roman"/>
        </w:rPr>
        <w:t>: Financing scenarios for FY13/14 to FY19/20</w:t>
      </w:r>
      <w:r w:rsidR="008F11F9" w:rsidRPr="00523556">
        <w:rPr>
          <w:rFonts w:ascii="Times New Roman" w:hAnsi="Times New Roman" w:cs="Times New Roman"/>
        </w:rPr>
        <w:t xml:space="preserve"> – Selected MTDS model outputs</w:t>
      </w:r>
      <w:bookmarkEnd w:id="19"/>
    </w:p>
    <w:p w:rsidR="00ED3FF6" w:rsidRPr="00523556" w:rsidRDefault="00ED3FF6" w:rsidP="00ED3FF6">
      <w:pPr>
        <w:pStyle w:val="Figheader"/>
        <w:rPr>
          <w:rFonts w:ascii="Times New Roman" w:hAnsi="Times New Roman" w:cs="Times New Roman"/>
        </w:rPr>
      </w:pPr>
      <w:r w:rsidRPr="00523556">
        <w:rPr>
          <w:rFonts w:ascii="Times New Roman" w:hAnsi="Times New Roman" w:cs="Times New Roman"/>
        </w:rPr>
        <w:t>Figure A1.1: Debt stocks by instrument as at end-FY19/20 under central scenario</w:t>
      </w:r>
    </w:p>
    <w:p w:rsidR="008F11F9" w:rsidRPr="00523556" w:rsidRDefault="00887938" w:rsidP="00A11C7B">
      <w:pPr>
        <w:jc w:val="center"/>
        <w:rPr>
          <w:rFonts w:ascii="Times New Roman" w:hAnsi="Times New Roman" w:cs="Times New Roman"/>
        </w:rPr>
      </w:pPr>
      <w:r w:rsidRPr="00523556">
        <w:rPr>
          <w:rFonts w:ascii="Times New Roman" w:hAnsi="Times New Roman" w:cs="Times New Roman"/>
          <w:noProof/>
          <w:lang w:eastAsia="en-GB"/>
        </w:rPr>
        <w:drawing>
          <wp:inline distT="0" distB="0" distL="0" distR="0">
            <wp:extent cx="3971499" cy="248492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82552" cy="2491839"/>
                    </a:xfrm>
                    <a:prstGeom prst="rect">
                      <a:avLst/>
                    </a:prstGeom>
                    <a:noFill/>
                    <a:ln>
                      <a:noFill/>
                    </a:ln>
                  </pic:spPr>
                </pic:pic>
              </a:graphicData>
            </a:graphic>
          </wp:inline>
        </w:drawing>
      </w:r>
    </w:p>
    <w:p w:rsidR="00ED3FF6" w:rsidRPr="00523556" w:rsidRDefault="00ED3FF6" w:rsidP="00ED3FF6">
      <w:pPr>
        <w:pStyle w:val="Figheader"/>
        <w:rPr>
          <w:rFonts w:ascii="Times New Roman" w:hAnsi="Times New Roman" w:cs="Times New Roman"/>
        </w:rPr>
      </w:pPr>
      <w:r w:rsidRPr="00523556">
        <w:rPr>
          <w:rFonts w:ascii="Times New Roman" w:hAnsi="Times New Roman" w:cs="Times New Roman"/>
        </w:rPr>
        <w:t>Figure A1.2: Evolution of key ratios under central scenario</w:t>
      </w:r>
    </w:p>
    <w:p w:rsidR="00A11C7B" w:rsidRPr="00523556" w:rsidRDefault="00887938" w:rsidP="009F10FA">
      <w:pPr>
        <w:jc w:val="center"/>
        <w:rPr>
          <w:rFonts w:ascii="Times New Roman" w:hAnsi="Times New Roman" w:cs="Times New Roman"/>
        </w:rPr>
      </w:pPr>
      <w:r w:rsidRPr="00523556">
        <w:rPr>
          <w:rFonts w:ascii="Times New Roman" w:hAnsi="Times New Roman" w:cs="Times New Roman"/>
          <w:noProof/>
          <w:lang w:eastAsia="en-GB"/>
        </w:rPr>
        <w:drawing>
          <wp:inline distT="0" distB="0" distL="0" distR="0">
            <wp:extent cx="2733648" cy="241565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3666" cy="2415670"/>
                    </a:xfrm>
                    <a:prstGeom prst="rect">
                      <a:avLst/>
                    </a:prstGeom>
                    <a:noFill/>
                    <a:ln>
                      <a:noFill/>
                    </a:ln>
                  </pic:spPr>
                </pic:pic>
              </a:graphicData>
            </a:graphic>
          </wp:inline>
        </w:drawing>
      </w:r>
      <w:r w:rsidR="009F10FA" w:rsidRPr="00523556">
        <w:rPr>
          <w:rFonts w:ascii="Times New Roman" w:hAnsi="Times New Roman" w:cs="Times New Roman"/>
        </w:rPr>
        <w:t xml:space="preserve">    </w:t>
      </w:r>
      <w:r w:rsidRPr="00523556">
        <w:rPr>
          <w:rFonts w:ascii="Times New Roman" w:hAnsi="Times New Roman" w:cs="Times New Roman"/>
          <w:noProof/>
          <w:lang w:eastAsia="en-GB"/>
        </w:rPr>
        <w:drawing>
          <wp:inline distT="0" distB="0" distL="0" distR="0">
            <wp:extent cx="2761221" cy="242930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1353" cy="2429417"/>
                    </a:xfrm>
                    <a:prstGeom prst="rect">
                      <a:avLst/>
                    </a:prstGeom>
                    <a:noFill/>
                    <a:ln>
                      <a:noFill/>
                    </a:ln>
                  </pic:spPr>
                </pic:pic>
              </a:graphicData>
            </a:graphic>
          </wp:inline>
        </w:drawing>
      </w:r>
    </w:p>
    <w:p w:rsidR="009742AE" w:rsidRPr="00523556" w:rsidRDefault="00887938" w:rsidP="009742AE">
      <w:pPr>
        <w:jc w:val="both"/>
        <w:rPr>
          <w:rFonts w:ascii="Times New Roman" w:hAnsi="Times New Roman" w:cs="Times New Roman"/>
          <w:i/>
          <w:u w:val="single"/>
        </w:rPr>
      </w:pPr>
      <w:r w:rsidRPr="00523556">
        <w:rPr>
          <w:rFonts w:ascii="Times New Roman" w:hAnsi="Times New Roman" w:cs="Times New Roman"/>
          <w:noProof/>
          <w:lang w:eastAsia="en-GB"/>
        </w:rPr>
        <w:drawing>
          <wp:inline distT="0" distB="0" distL="0" distR="0">
            <wp:extent cx="2784143" cy="243923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4162" cy="2439256"/>
                    </a:xfrm>
                    <a:prstGeom prst="rect">
                      <a:avLst/>
                    </a:prstGeom>
                    <a:noFill/>
                    <a:ln>
                      <a:noFill/>
                    </a:ln>
                  </pic:spPr>
                </pic:pic>
              </a:graphicData>
            </a:graphic>
          </wp:inline>
        </w:drawing>
      </w:r>
      <w:r w:rsidR="009F10FA" w:rsidRPr="00523556">
        <w:rPr>
          <w:rFonts w:ascii="Times New Roman" w:hAnsi="Times New Roman" w:cs="Times New Roman"/>
        </w:rPr>
        <w:t xml:space="preserve">    </w:t>
      </w:r>
      <w:r w:rsidRPr="00523556">
        <w:rPr>
          <w:rFonts w:ascii="Times New Roman" w:hAnsi="Times New Roman" w:cs="Times New Roman"/>
          <w:noProof/>
          <w:lang w:eastAsia="en-GB"/>
        </w:rPr>
        <w:drawing>
          <wp:inline distT="0" distB="0" distL="0" distR="0">
            <wp:extent cx="2784143" cy="244946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4276" cy="2449584"/>
                    </a:xfrm>
                    <a:prstGeom prst="rect">
                      <a:avLst/>
                    </a:prstGeom>
                    <a:noFill/>
                    <a:ln>
                      <a:noFill/>
                    </a:ln>
                  </pic:spPr>
                </pic:pic>
              </a:graphicData>
            </a:graphic>
          </wp:inline>
        </w:drawing>
      </w:r>
      <w:r w:rsidR="009742AE" w:rsidRPr="00523556">
        <w:rPr>
          <w:rFonts w:ascii="Times New Roman" w:hAnsi="Times New Roman" w:cs="Times New Roman"/>
        </w:rPr>
        <w:br w:type="page"/>
      </w:r>
    </w:p>
    <w:p w:rsidR="00ED3FF6" w:rsidRPr="00523556" w:rsidRDefault="00ED3FF6" w:rsidP="007A4455">
      <w:pPr>
        <w:pStyle w:val="Figheader"/>
        <w:ind w:firstLine="0"/>
        <w:rPr>
          <w:rFonts w:ascii="Times New Roman" w:hAnsi="Times New Roman" w:cs="Times New Roman"/>
        </w:rPr>
      </w:pPr>
      <w:r w:rsidRPr="00523556">
        <w:rPr>
          <w:rFonts w:ascii="Times New Roman" w:hAnsi="Times New Roman" w:cs="Times New Roman"/>
        </w:rPr>
        <w:lastRenderedPageBreak/>
        <w:t>Figure A1.3</w:t>
      </w:r>
      <w:r w:rsidR="00327629" w:rsidRPr="00523556">
        <w:rPr>
          <w:rFonts w:ascii="Times New Roman" w:hAnsi="Times New Roman" w:cs="Times New Roman"/>
        </w:rPr>
        <w:t>i</w:t>
      </w:r>
      <w:r w:rsidRPr="00523556">
        <w:rPr>
          <w:rFonts w:ascii="Times New Roman" w:hAnsi="Times New Roman" w:cs="Times New Roman"/>
        </w:rPr>
        <w:t>: Impact of shocks</w:t>
      </w:r>
      <w:r w:rsidR="00327629" w:rsidRPr="00523556">
        <w:rPr>
          <w:rFonts w:ascii="Times New Roman" w:hAnsi="Times New Roman" w:cs="Times New Roman"/>
        </w:rPr>
        <w:t xml:space="preserve"> on PV of Debt to GDP ratio</w:t>
      </w:r>
      <w:r w:rsidRPr="00523556">
        <w:rPr>
          <w:rFonts w:ascii="Times New Roman" w:hAnsi="Times New Roman" w:cs="Times New Roman"/>
        </w:rPr>
        <w:t xml:space="preserve">: </w:t>
      </w:r>
    </w:p>
    <w:p w:rsidR="008817E8" w:rsidRPr="00523556" w:rsidRDefault="00327629" w:rsidP="00327629">
      <w:pPr>
        <w:spacing w:after="0"/>
        <w:jc w:val="both"/>
        <w:rPr>
          <w:rFonts w:ascii="Times New Roman" w:hAnsi="Times New Roman" w:cs="Times New Roman"/>
        </w:rPr>
      </w:pPr>
      <w:r w:rsidRPr="00523556">
        <w:rPr>
          <w:rFonts w:ascii="Times New Roman" w:hAnsi="Times New Roman" w:cs="Times New Roman"/>
          <w:noProof/>
          <w:lang w:eastAsia="en-GB"/>
        </w:rPr>
        <w:drawing>
          <wp:inline distT="0" distB="0" distL="0" distR="0">
            <wp:extent cx="5740291" cy="152004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40655" cy="1520138"/>
                    </a:xfrm>
                    <a:prstGeom prst="rect">
                      <a:avLst/>
                    </a:prstGeom>
                    <a:noFill/>
                    <a:ln>
                      <a:noFill/>
                    </a:ln>
                  </pic:spPr>
                </pic:pic>
              </a:graphicData>
            </a:graphic>
          </wp:inline>
        </w:drawing>
      </w:r>
    </w:p>
    <w:p w:rsidR="00327629" w:rsidRPr="00523556" w:rsidRDefault="00327629" w:rsidP="00327629">
      <w:pPr>
        <w:pStyle w:val="Figfootnote"/>
        <w:rPr>
          <w:rFonts w:ascii="Times New Roman" w:hAnsi="Times New Roman" w:cs="Times New Roman"/>
          <w:sz w:val="24"/>
          <w:szCs w:val="24"/>
        </w:rPr>
      </w:pPr>
      <w:r w:rsidRPr="00523556">
        <w:rPr>
          <w:rFonts w:ascii="Times New Roman" w:hAnsi="Times New Roman" w:cs="Times New Roman"/>
          <w:sz w:val="24"/>
          <w:szCs w:val="24"/>
        </w:rPr>
        <w:t xml:space="preserve">Note: </w:t>
      </w:r>
      <w:r w:rsidR="009742AE" w:rsidRPr="00523556">
        <w:rPr>
          <w:rFonts w:ascii="Times New Roman" w:hAnsi="Times New Roman" w:cs="Times New Roman"/>
          <w:sz w:val="24"/>
          <w:szCs w:val="24"/>
        </w:rPr>
        <w:t>The h</w:t>
      </w:r>
      <w:r w:rsidRPr="00523556">
        <w:rPr>
          <w:rFonts w:ascii="Times New Roman" w:hAnsi="Times New Roman" w:cs="Times New Roman"/>
          <w:sz w:val="24"/>
          <w:szCs w:val="24"/>
        </w:rPr>
        <w:t xml:space="preserve">ighlighted cells are those for which the difference is greatest between the value of the </w:t>
      </w:r>
      <w:r w:rsidR="005F6F0B" w:rsidRPr="00523556">
        <w:rPr>
          <w:rFonts w:ascii="Times New Roman" w:hAnsi="Times New Roman" w:cs="Times New Roman"/>
          <w:sz w:val="24"/>
          <w:szCs w:val="24"/>
        </w:rPr>
        <w:t>indicator under the baseline and under the shock; it is these differences that are defined to be the ‘risk’ associated with each strategy, and that are plotted on the charts in Section 3.3.</w:t>
      </w:r>
    </w:p>
    <w:p w:rsidR="007A4455" w:rsidRPr="00523556" w:rsidRDefault="007A4455" w:rsidP="007A4455">
      <w:pPr>
        <w:pStyle w:val="Figheader"/>
        <w:ind w:firstLine="0"/>
        <w:rPr>
          <w:rFonts w:ascii="Times New Roman" w:hAnsi="Times New Roman" w:cs="Times New Roman"/>
        </w:rPr>
      </w:pPr>
    </w:p>
    <w:p w:rsidR="00327629" w:rsidRPr="00523556" w:rsidRDefault="00327629" w:rsidP="007A4455">
      <w:pPr>
        <w:pStyle w:val="Figheader"/>
        <w:ind w:firstLine="0"/>
        <w:rPr>
          <w:rFonts w:ascii="Times New Roman" w:hAnsi="Times New Roman" w:cs="Times New Roman"/>
        </w:rPr>
      </w:pPr>
      <w:r w:rsidRPr="00523556">
        <w:rPr>
          <w:rFonts w:ascii="Times New Roman" w:hAnsi="Times New Roman" w:cs="Times New Roman"/>
        </w:rPr>
        <w:t xml:space="preserve">Figure A1.3ii: Impact of shocks on </w:t>
      </w:r>
      <w:r w:rsidR="009742AE" w:rsidRPr="00523556">
        <w:rPr>
          <w:rFonts w:ascii="Times New Roman" w:hAnsi="Times New Roman" w:cs="Times New Roman"/>
        </w:rPr>
        <w:t>interest payments as a ratio to revenues (excl grants):</w:t>
      </w:r>
      <w:r w:rsidRPr="00523556">
        <w:rPr>
          <w:rFonts w:ascii="Times New Roman" w:hAnsi="Times New Roman" w:cs="Times New Roman"/>
        </w:rPr>
        <w:t xml:space="preserve"> </w:t>
      </w:r>
    </w:p>
    <w:p w:rsidR="00327629" w:rsidRPr="00523556" w:rsidRDefault="00F26AC5" w:rsidP="00327629">
      <w:pPr>
        <w:spacing w:after="0"/>
        <w:rPr>
          <w:rFonts w:ascii="Times New Roman" w:hAnsi="Times New Roman" w:cs="Times New Roman"/>
        </w:rPr>
      </w:pPr>
      <w:r w:rsidRPr="00523556">
        <w:rPr>
          <w:rFonts w:ascii="Times New Roman" w:hAnsi="Times New Roman" w:cs="Times New Roman"/>
          <w:noProof/>
          <w:lang w:eastAsia="en-GB"/>
        </w:rPr>
        <w:drawing>
          <wp:inline distT="0" distB="0" distL="0" distR="0">
            <wp:extent cx="5740291" cy="152004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40651" cy="1520137"/>
                    </a:xfrm>
                    <a:prstGeom prst="rect">
                      <a:avLst/>
                    </a:prstGeom>
                    <a:noFill/>
                    <a:ln>
                      <a:noFill/>
                    </a:ln>
                  </pic:spPr>
                </pic:pic>
              </a:graphicData>
            </a:graphic>
          </wp:inline>
        </w:drawing>
      </w:r>
    </w:p>
    <w:p w:rsidR="009742AE" w:rsidRPr="00523556" w:rsidRDefault="009742AE" w:rsidP="009742AE">
      <w:pPr>
        <w:pStyle w:val="Figfootnote"/>
        <w:rPr>
          <w:rFonts w:ascii="Times New Roman" w:hAnsi="Times New Roman" w:cs="Times New Roman"/>
          <w:sz w:val="24"/>
          <w:szCs w:val="24"/>
        </w:rPr>
      </w:pPr>
      <w:r w:rsidRPr="00523556">
        <w:rPr>
          <w:rFonts w:ascii="Times New Roman" w:hAnsi="Times New Roman" w:cs="Times New Roman"/>
          <w:sz w:val="24"/>
          <w:szCs w:val="24"/>
        </w:rPr>
        <w:t>Note: The highlighted cells are those for which the difference is greatest between the value of the indicator under the baseline and under the shock; it is these differences that are defined to be the ‘risk’ associated with each strategy, and that are plotted on the charts in Section 3.3.</w:t>
      </w:r>
    </w:p>
    <w:p w:rsidR="007A4455" w:rsidRPr="00523556" w:rsidRDefault="007A4455" w:rsidP="007A4455">
      <w:pPr>
        <w:spacing w:after="0"/>
        <w:jc w:val="both"/>
        <w:rPr>
          <w:rFonts w:ascii="Times New Roman" w:hAnsi="Times New Roman" w:cs="Times New Roman"/>
        </w:rPr>
      </w:pPr>
    </w:p>
    <w:p w:rsidR="007A4455" w:rsidRPr="00523556" w:rsidRDefault="007A4455" w:rsidP="004B4413">
      <w:pPr>
        <w:jc w:val="both"/>
        <w:rPr>
          <w:rFonts w:ascii="Times New Roman" w:hAnsi="Times New Roman" w:cs="Times New Roman"/>
        </w:rPr>
      </w:pPr>
      <w:r w:rsidRPr="00523556">
        <w:rPr>
          <w:rFonts w:ascii="Times New Roman" w:hAnsi="Times New Roman" w:cs="Times New Roman"/>
        </w:rPr>
        <w:t>Recall that the four shocks modelled are as follows:</w:t>
      </w:r>
    </w:p>
    <w:p w:rsidR="007A4455" w:rsidRPr="00523556" w:rsidRDefault="007A4455" w:rsidP="007A4455">
      <w:pPr>
        <w:pStyle w:val="ListParagraph"/>
        <w:numPr>
          <w:ilvl w:val="0"/>
          <w:numId w:val="25"/>
        </w:numPr>
        <w:jc w:val="both"/>
        <w:rPr>
          <w:rFonts w:ascii="Times New Roman" w:hAnsi="Times New Roman" w:cs="Times New Roman"/>
        </w:rPr>
      </w:pPr>
      <w:r w:rsidRPr="00523556">
        <w:rPr>
          <w:rFonts w:ascii="Times New Roman" w:hAnsi="Times New Roman" w:cs="Times New Roman"/>
        </w:rPr>
        <w:t xml:space="preserve">a 30 per cent currency devaluation in FY14/15; </w:t>
      </w:r>
    </w:p>
    <w:p w:rsidR="007A4455" w:rsidRPr="00523556" w:rsidRDefault="007A4455" w:rsidP="007A4455">
      <w:pPr>
        <w:pStyle w:val="ListParagraph"/>
        <w:numPr>
          <w:ilvl w:val="0"/>
          <w:numId w:val="25"/>
        </w:numPr>
        <w:jc w:val="both"/>
        <w:rPr>
          <w:rFonts w:ascii="Times New Roman" w:hAnsi="Times New Roman" w:cs="Times New Roman"/>
        </w:rPr>
      </w:pPr>
      <w:r w:rsidRPr="00523556">
        <w:rPr>
          <w:rFonts w:ascii="Times New Roman" w:hAnsi="Times New Roman" w:cs="Times New Roman"/>
        </w:rPr>
        <w:t xml:space="preserve">a domestic interest rate shock (in which Ugandan Treasury yields rise to similar levels as of early-2012) in FY14/15; </w:t>
      </w:r>
    </w:p>
    <w:p w:rsidR="007A4455" w:rsidRPr="00523556" w:rsidRDefault="007A4455" w:rsidP="007A4455">
      <w:pPr>
        <w:pStyle w:val="ListParagraph"/>
        <w:numPr>
          <w:ilvl w:val="0"/>
          <w:numId w:val="25"/>
        </w:numPr>
        <w:jc w:val="both"/>
        <w:rPr>
          <w:rFonts w:ascii="Times New Roman" w:hAnsi="Times New Roman" w:cs="Times New Roman"/>
        </w:rPr>
      </w:pPr>
      <w:r w:rsidRPr="00523556">
        <w:rPr>
          <w:rFonts w:ascii="Times New Roman" w:hAnsi="Times New Roman" w:cs="Times New Roman"/>
        </w:rPr>
        <w:t xml:space="preserve">a global interest rate shock (in which US 10-year Treasury yields </w:t>
      </w:r>
      <w:r w:rsidR="00274804" w:rsidRPr="00523556">
        <w:rPr>
          <w:rFonts w:ascii="Times New Roman" w:hAnsi="Times New Roman" w:cs="Times New Roman"/>
        </w:rPr>
        <w:t xml:space="preserve">are </w:t>
      </w:r>
      <w:r w:rsidRPr="00523556">
        <w:rPr>
          <w:rFonts w:ascii="Times New Roman" w:hAnsi="Times New Roman" w:cs="Times New Roman"/>
        </w:rPr>
        <w:t xml:space="preserve">300 basis points </w:t>
      </w:r>
      <w:r w:rsidR="00274804" w:rsidRPr="00523556">
        <w:rPr>
          <w:rFonts w:ascii="Times New Roman" w:hAnsi="Times New Roman" w:cs="Times New Roman"/>
        </w:rPr>
        <w:t xml:space="preserve">higher from </w:t>
      </w:r>
      <w:r w:rsidRPr="00523556">
        <w:rPr>
          <w:rFonts w:ascii="Times New Roman" w:hAnsi="Times New Roman" w:cs="Times New Roman"/>
        </w:rPr>
        <w:t>FY16/17</w:t>
      </w:r>
      <w:r w:rsidR="00274804" w:rsidRPr="00523556">
        <w:rPr>
          <w:rFonts w:ascii="Times New Roman" w:hAnsi="Times New Roman" w:cs="Times New Roman"/>
        </w:rPr>
        <w:t xml:space="preserve"> to FY18/19 compared to the end-FY12/13 forward curve</w:t>
      </w:r>
      <w:r w:rsidRPr="00523556">
        <w:rPr>
          <w:rFonts w:ascii="Times New Roman" w:hAnsi="Times New Roman" w:cs="Times New Roman"/>
        </w:rPr>
        <w:t xml:space="preserve">); and </w:t>
      </w:r>
    </w:p>
    <w:p w:rsidR="007A4455" w:rsidRPr="00523556" w:rsidRDefault="007A4455" w:rsidP="007A4455">
      <w:pPr>
        <w:pStyle w:val="ListParagraph"/>
        <w:numPr>
          <w:ilvl w:val="0"/>
          <w:numId w:val="25"/>
        </w:numPr>
        <w:jc w:val="both"/>
        <w:rPr>
          <w:rFonts w:ascii="Times New Roman" w:hAnsi="Times New Roman" w:cs="Times New Roman"/>
        </w:rPr>
      </w:pPr>
      <w:r w:rsidRPr="00523556">
        <w:rPr>
          <w:rFonts w:ascii="Times New Roman" w:hAnsi="Times New Roman" w:cs="Times New Roman"/>
        </w:rPr>
        <w:t>a combination of a 15 per cent depreciation in FY14/15 and the domestic interest rate shock.</w:t>
      </w:r>
    </w:p>
    <w:p w:rsidR="00DF0F17" w:rsidRPr="00523556" w:rsidRDefault="009742AE" w:rsidP="00CB7C27">
      <w:pPr>
        <w:jc w:val="both"/>
        <w:rPr>
          <w:rFonts w:ascii="Times New Roman" w:hAnsi="Times New Roman" w:cs="Times New Roman"/>
        </w:rPr>
      </w:pPr>
      <w:r w:rsidRPr="00523556">
        <w:rPr>
          <w:rFonts w:ascii="Times New Roman" w:hAnsi="Times New Roman" w:cs="Times New Roman"/>
        </w:rPr>
        <w:t xml:space="preserve">Note that, for the PV </w:t>
      </w:r>
      <w:r w:rsidR="00E65679" w:rsidRPr="00523556">
        <w:rPr>
          <w:rFonts w:ascii="Times New Roman" w:hAnsi="Times New Roman" w:cs="Times New Roman"/>
        </w:rPr>
        <w:t>of Debt to GDP, the effect of the exchange rate shock is dominant; in comparison, the impact of the domestic interest rate shock and US Treasury interest rates shocks are minor. The pic</w:t>
      </w:r>
      <w:r w:rsidR="00F918D7" w:rsidRPr="00523556">
        <w:rPr>
          <w:rFonts w:ascii="Times New Roman" w:hAnsi="Times New Roman" w:cs="Times New Roman"/>
        </w:rPr>
        <w:t>ture is different</w:t>
      </w:r>
      <w:r w:rsidR="00E65679" w:rsidRPr="00523556">
        <w:rPr>
          <w:rFonts w:ascii="Times New Roman" w:hAnsi="Times New Roman" w:cs="Times New Roman"/>
        </w:rPr>
        <w:t xml:space="preserve"> for the interest payments as a ratio to revenues (excluding </w:t>
      </w:r>
      <w:r w:rsidR="004B4413" w:rsidRPr="00523556">
        <w:rPr>
          <w:rFonts w:ascii="Times New Roman" w:hAnsi="Times New Roman" w:cs="Times New Roman"/>
        </w:rPr>
        <w:t>grants) indicator; here, the US Treasury interest rate shock has the greatest impact under S1 (which included total Eurobond issuance of around $2bn); for the other three strategies, the combined 15% currency depreciation and domestic interest rate shock has the greatest impact.</w:t>
      </w:r>
    </w:p>
    <w:sectPr w:rsidR="00DF0F17" w:rsidRPr="00523556" w:rsidSect="00B23E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37B" w:rsidRDefault="00AC237B" w:rsidP="00026ECA">
      <w:pPr>
        <w:spacing w:after="0" w:line="240" w:lineRule="auto"/>
      </w:pPr>
      <w:r>
        <w:separator/>
      </w:r>
    </w:p>
  </w:endnote>
  <w:endnote w:type="continuationSeparator" w:id="0">
    <w:p w:rsidR="00AC237B" w:rsidRDefault="00AC237B" w:rsidP="0002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6081"/>
      <w:docPartObj>
        <w:docPartGallery w:val="Page Numbers (Bottom of Page)"/>
        <w:docPartUnique/>
      </w:docPartObj>
    </w:sdtPr>
    <w:sdtEndPr>
      <w:rPr>
        <w:noProof/>
      </w:rPr>
    </w:sdtEndPr>
    <w:sdtContent>
      <w:p w:rsidR="001237DB" w:rsidRDefault="00CE5934">
        <w:pPr>
          <w:pStyle w:val="Footer"/>
          <w:jc w:val="center"/>
        </w:pPr>
        <w:r>
          <w:fldChar w:fldCharType="begin"/>
        </w:r>
        <w:r>
          <w:instrText xml:space="preserve"> PAGE   \* MERGEFORMAT </w:instrText>
        </w:r>
        <w:r>
          <w:fldChar w:fldCharType="separate"/>
        </w:r>
        <w:r w:rsidR="00616652">
          <w:rPr>
            <w:noProof/>
          </w:rPr>
          <w:t>2</w:t>
        </w:r>
        <w:r>
          <w:rPr>
            <w:noProof/>
          </w:rPr>
          <w:fldChar w:fldCharType="end"/>
        </w:r>
      </w:p>
    </w:sdtContent>
  </w:sdt>
  <w:p w:rsidR="001237DB" w:rsidRDefault="00123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37B" w:rsidRDefault="00AC237B" w:rsidP="00026ECA">
      <w:pPr>
        <w:spacing w:after="0" w:line="240" w:lineRule="auto"/>
      </w:pPr>
      <w:r>
        <w:separator/>
      </w:r>
    </w:p>
  </w:footnote>
  <w:footnote w:type="continuationSeparator" w:id="0">
    <w:p w:rsidR="00AC237B" w:rsidRDefault="00AC237B" w:rsidP="00026ECA">
      <w:pPr>
        <w:spacing w:after="0" w:line="240" w:lineRule="auto"/>
      </w:pPr>
      <w:r>
        <w:continuationSeparator/>
      </w:r>
    </w:p>
  </w:footnote>
  <w:footnote w:id="1">
    <w:p w:rsidR="001237DB" w:rsidRPr="00CC6B89" w:rsidRDefault="001237DB">
      <w:pPr>
        <w:pStyle w:val="FootnoteText"/>
      </w:pPr>
      <w:r>
        <w:rPr>
          <w:rStyle w:val="FootnoteReference"/>
        </w:rPr>
        <w:footnoteRef/>
      </w:r>
      <w:r>
        <w:t xml:space="preserve"> See for example Ministry of </w:t>
      </w:r>
      <w:r w:rsidRPr="00CC6B89">
        <w:t xml:space="preserve">Finance, Planning and Economic Development (MoFPED) (2013a), Table 26. </w:t>
      </w:r>
    </w:p>
  </w:footnote>
  <w:footnote w:id="2">
    <w:p w:rsidR="001237DB" w:rsidRDefault="001237DB">
      <w:pPr>
        <w:pStyle w:val="FootnoteText"/>
      </w:pPr>
      <w:r w:rsidRPr="00CC6B89">
        <w:rPr>
          <w:rStyle w:val="FootnoteReference"/>
        </w:rPr>
        <w:footnoteRef/>
      </w:r>
      <w:r w:rsidRPr="00CC6B89">
        <w:t xml:space="preserve"> See IMF (2013a) and IMF (2013c).</w:t>
      </w:r>
    </w:p>
  </w:footnote>
  <w:footnote w:id="3">
    <w:p w:rsidR="001237DB" w:rsidRDefault="001237DB">
      <w:pPr>
        <w:pStyle w:val="FootnoteText"/>
      </w:pPr>
      <w:r>
        <w:rPr>
          <w:rStyle w:val="FootnoteReference"/>
        </w:rPr>
        <w:footnoteRef/>
      </w:r>
      <w:r>
        <w:t xml:space="preserve"> Analysis and judgement on the appropriate path for the fiscal deficit – including the implications of a period of sustained larger fiscal deficits on macroeconomic outcomes – are beyond the scope of this paper; for some discussion, see MoFPED (2013c) and Adam and Bevan (2013).</w:t>
      </w:r>
    </w:p>
  </w:footnote>
  <w:footnote w:id="4">
    <w:p w:rsidR="001237DB" w:rsidRDefault="001237DB">
      <w:pPr>
        <w:pStyle w:val="FootnoteText"/>
      </w:pPr>
      <w:r>
        <w:rPr>
          <w:rStyle w:val="FootnoteReference"/>
        </w:rPr>
        <w:footnoteRef/>
      </w:r>
      <w:r>
        <w:t xml:space="preserve"> It is also necessary</w:t>
      </w:r>
    </w:p>
  </w:footnote>
  <w:footnote w:id="5">
    <w:p w:rsidR="001237DB" w:rsidRDefault="001237DB">
      <w:pPr>
        <w:pStyle w:val="FootnoteText"/>
      </w:pPr>
      <w:r>
        <w:rPr>
          <w:rStyle w:val="FootnoteReference"/>
        </w:rPr>
        <w:footnoteRef/>
      </w:r>
      <w:r>
        <w:t xml:space="preserve"> The fiscal year runs from 1</w:t>
      </w:r>
      <w:r w:rsidRPr="00CE16E7">
        <w:rPr>
          <w:vertAlign w:val="superscript"/>
        </w:rPr>
        <w:t>st</w:t>
      </w:r>
      <w:r>
        <w:t xml:space="preserve"> July to 30</w:t>
      </w:r>
      <w:r w:rsidRPr="00CE16E7">
        <w:rPr>
          <w:vertAlign w:val="superscript"/>
        </w:rPr>
        <w:t>th</w:t>
      </w:r>
      <w:r>
        <w:t xml:space="preserve"> June.</w:t>
      </w:r>
    </w:p>
  </w:footnote>
  <w:footnote w:id="6">
    <w:p w:rsidR="001237DB" w:rsidRDefault="001237DB">
      <w:pPr>
        <w:pStyle w:val="FootnoteText"/>
      </w:pPr>
      <w:r>
        <w:rPr>
          <w:rStyle w:val="FootnoteReference"/>
        </w:rPr>
        <w:footnoteRef/>
      </w:r>
      <w:r>
        <w:t xml:space="preserve"> MoFPED (2012), and IMF (2013c).</w:t>
      </w:r>
    </w:p>
  </w:footnote>
  <w:footnote w:id="7">
    <w:p w:rsidR="001237DB" w:rsidRDefault="001237DB">
      <w:pPr>
        <w:pStyle w:val="FootnoteText"/>
      </w:pPr>
      <w:r>
        <w:rPr>
          <w:rStyle w:val="FootnoteReference"/>
        </w:rPr>
        <w:footnoteRef/>
      </w:r>
      <w:r>
        <w:t xml:space="preserve"> For example, in the main fiscal scenario, total nominal debt peaks at around 40 per cent of GDP – well below the 75 per cent indicative sustainability benchmark estimated in IMF and World Bank (2012) applicable for Uganda.</w:t>
      </w:r>
    </w:p>
  </w:footnote>
  <w:footnote w:id="8">
    <w:p w:rsidR="001237DB" w:rsidRPr="002002D0" w:rsidRDefault="001237DB">
      <w:pPr>
        <w:pStyle w:val="FootnoteText"/>
      </w:pPr>
      <w:r>
        <w:rPr>
          <w:rStyle w:val="FootnoteReference"/>
        </w:rPr>
        <w:footnoteRef/>
      </w:r>
      <w:r>
        <w:t xml:space="preserve"> Or more precisely: domestic financing was predominantly limited to moderate changes in GoU’s net positive position with the BoU </w:t>
      </w:r>
      <w:r>
        <w:rPr>
          <w:i/>
        </w:rPr>
        <w:t>excluding proceeds from net Treasury securities issuance</w:t>
      </w:r>
      <w:r>
        <w:t xml:space="preserve">. Up until the start of FY12/13 Treasury securities were issued ostensibly </w:t>
      </w:r>
      <w:r w:rsidRPr="004B2C28">
        <w:t xml:space="preserve">for monetary policy purposes </w:t>
      </w:r>
      <w:r>
        <w:t>only – with all issuance proceeds being deposited at the BoU. The impact of Treasury securities issuance during this period on net fiscal financing was zero: net issuance proceeds were offset fully by equivalent deposits in the BoU.</w:t>
      </w:r>
    </w:p>
  </w:footnote>
  <w:footnote w:id="9">
    <w:p w:rsidR="001237DB" w:rsidRDefault="001237DB" w:rsidP="0008191E">
      <w:pPr>
        <w:pStyle w:val="FootnoteText"/>
      </w:pPr>
      <w:r>
        <w:rPr>
          <w:rStyle w:val="FootnoteReference"/>
        </w:rPr>
        <w:footnoteRef/>
      </w:r>
      <w:r>
        <w:t xml:space="preserve"> There is no available breakdown of historical net external financing by level of concessionality. Note however that in the time period here, semi-concessional loans have only been contracted – and sparingly so (see below) – since 2009, and that Uganda has yet to issue any external debt at a fully commercial rate of interest.  </w:t>
      </w:r>
    </w:p>
  </w:footnote>
  <w:footnote w:id="10">
    <w:p w:rsidR="001237DB" w:rsidRDefault="001237DB" w:rsidP="00012EE7">
      <w:pPr>
        <w:pStyle w:val="FootnoteText"/>
      </w:pPr>
      <w:r>
        <w:rPr>
          <w:rStyle w:val="FootnoteReference"/>
        </w:rPr>
        <w:footnoteRef/>
      </w:r>
      <w:r>
        <w:t xml:space="preserve"> Note that ‘domestic’ debt is defined in this paper on a currency basis, rather than on the basis of the residency of the holder. </w:t>
      </w:r>
    </w:p>
  </w:footnote>
  <w:footnote w:id="11">
    <w:p w:rsidR="001237DB" w:rsidRDefault="001237DB">
      <w:pPr>
        <w:pStyle w:val="FootnoteText"/>
      </w:pPr>
      <w:r>
        <w:rPr>
          <w:rStyle w:val="FootnoteReference"/>
        </w:rPr>
        <w:footnoteRef/>
      </w:r>
      <w:r w:rsidRPr="00B70550">
        <w:t xml:space="preserve"> </w:t>
      </w:r>
      <w:r>
        <w:t>Note that the figure of 1.2 per cent of GDP net issuance in FY12/13 excludes Shs.410bn (c. 0.7 per cent of GDP) of securities issued directly to BoU as part of a recapitalisation.</w:t>
      </w:r>
    </w:p>
  </w:footnote>
  <w:footnote w:id="12">
    <w:p w:rsidR="001237DB" w:rsidRDefault="001237DB" w:rsidP="009F1FEA">
      <w:pPr>
        <w:pStyle w:val="FootnoteText"/>
      </w:pPr>
      <w:r>
        <w:rPr>
          <w:rStyle w:val="FootnoteReference"/>
        </w:rPr>
        <w:footnoteRef/>
      </w:r>
      <w:r>
        <w:t xml:space="preserve"> Net public investment (or more specifically: the net acquisition of nonfinancial assets) rose from a low of 2.2 per cent of GDP in FY06/07, to 4.7 per cent of GDP in FY12/13. Over this seven-year period, net public investment has averaged 3.2 per cent of GDP – just above the average fiscal deficit of 3.1 per cent of GDP. (Source: MoFPED Government Finance Statistics.)</w:t>
      </w:r>
    </w:p>
  </w:footnote>
  <w:footnote w:id="13">
    <w:p w:rsidR="001237DB" w:rsidRDefault="001237DB" w:rsidP="007A3E85">
      <w:pPr>
        <w:pStyle w:val="FootnoteText"/>
      </w:pPr>
      <w:r>
        <w:rPr>
          <w:rStyle w:val="FootnoteReference"/>
        </w:rPr>
        <w:footnoteRef/>
      </w:r>
      <w:r>
        <w:t xml:space="preserve"> The 0.1 percentage point difference between the total debt stock figure and the sum of the domestic and external stock figures is due to rounding.</w:t>
      </w:r>
    </w:p>
  </w:footnote>
  <w:footnote w:id="14">
    <w:p w:rsidR="001237DB" w:rsidRDefault="001237DB">
      <w:pPr>
        <w:pStyle w:val="FootnoteText"/>
      </w:pPr>
      <w:r>
        <w:rPr>
          <w:rStyle w:val="FootnoteReference"/>
        </w:rPr>
        <w:footnoteRef/>
      </w:r>
      <w:r>
        <w:t xml:space="preserve"> </w:t>
      </w:r>
      <w:r w:rsidRPr="006E3F5A">
        <w:t>Of the external debt stock as at end-FY12/13, 87.0</w:t>
      </w:r>
      <w:r>
        <w:t xml:space="preserve"> per cent</w:t>
      </w:r>
      <w:r w:rsidRPr="006E3F5A">
        <w:t xml:space="preserve"> was contracted from multilaterals, and 13.0</w:t>
      </w:r>
      <w:r>
        <w:t xml:space="preserve"> per cent</w:t>
      </w:r>
      <w:r w:rsidRPr="006E3F5A">
        <w:t xml:space="preserve"> from bilaterals (of which China accounted for 8</w:t>
      </w:r>
      <w:r>
        <w:t xml:space="preserve"> percentage point</w:t>
      </w:r>
      <w:r w:rsidRPr="006E3F5A">
        <w:t>s). Of domestic debt, commercial banks held 51.8</w:t>
      </w:r>
      <w:r>
        <w:t xml:space="preserve"> per cent</w:t>
      </w:r>
      <w:r w:rsidRPr="006E3F5A">
        <w:t>, the BoU held 6.7</w:t>
      </w:r>
      <w:r>
        <w:t xml:space="preserve"> per cent</w:t>
      </w:r>
      <w:r w:rsidRPr="006E3F5A">
        <w:t>, and the remaining 41.5</w:t>
      </w:r>
      <w:r>
        <w:t xml:space="preserve"> per cent</w:t>
      </w:r>
      <w:r w:rsidRPr="006E3F5A">
        <w:t xml:space="preserve"> was held by others including pension funds, insurance companies, and individuals. Overall, 7.2</w:t>
      </w:r>
      <w:r>
        <w:t xml:space="preserve"> per cent</w:t>
      </w:r>
      <w:r w:rsidRPr="006E3F5A">
        <w:t xml:space="preserve"> (Shs.488.8bn) of Treasury securities were held by offshore investors.</w:t>
      </w:r>
    </w:p>
  </w:footnote>
  <w:footnote w:id="15">
    <w:p w:rsidR="001237DB" w:rsidRDefault="001237DB" w:rsidP="00006704">
      <w:pPr>
        <w:pStyle w:val="FootnoteText"/>
      </w:pPr>
      <w:r>
        <w:rPr>
          <w:rStyle w:val="FootnoteReference"/>
        </w:rPr>
        <w:footnoteRef/>
      </w:r>
      <w:r>
        <w:t xml:space="preserve"> In this paper, domestic debt is defined as Shilling-denominated Treasury securities.</w:t>
      </w:r>
    </w:p>
  </w:footnote>
  <w:footnote w:id="16">
    <w:p w:rsidR="001237DB" w:rsidRDefault="001237DB" w:rsidP="00196F1B">
      <w:pPr>
        <w:pStyle w:val="FootnoteText"/>
      </w:pPr>
      <w:r>
        <w:rPr>
          <w:rStyle w:val="FootnoteReference"/>
        </w:rPr>
        <w:footnoteRef/>
      </w:r>
      <w:r>
        <w:t xml:space="preserve"> See for example IMF (2009).</w:t>
      </w:r>
    </w:p>
  </w:footnote>
  <w:footnote w:id="17">
    <w:p w:rsidR="001237DB" w:rsidRDefault="001237DB">
      <w:pPr>
        <w:pStyle w:val="FootnoteText"/>
      </w:pPr>
      <w:r>
        <w:rPr>
          <w:rStyle w:val="FootnoteReference"/>
        </w:rPr>
        <w:footnoteRef/>
      </w:r>
      <w:r>
        <w:t xml:space="preserve"> For example, only since IMF and World Bank (2012) has standard debt sustainability analysis incorporated robust quantitative benchmarks for the sustainability of total debt (i.e. inclusive of domestic debt), as opposed to external debt alone.</w:t>
      </w:r>
    </w:p>
  </w:footnote>
  <w:footnote w:id="18">
    <w:p w:rsidR="001237DB" w:rsidRDefault="001237DB" w:rsidP="00740323">
      <w:pPr>
        <w:pStyle w:val="FootnoteText"/>
      </w:pPr>
      <w:r>
        <w:rPr>
          <w:rStyle w:val="FootnoteReference"/>
        </w:rPr>
        <w:footnoteRef/>
      </w:r>
      <w:r>
        <w:t xml:space="preserve"> </w:t>
      </w:r>
      <w:r w:rsidRPr="00BF4106">
        <w:t xml:space="preserve">Whilst proceeds from securities issuance were placed in a theoretically-blocked account at BoU, GoU was in effect able to indirectly draw down on these deposits by using its advances facility at the BoU. As part of the recently-adopted package of reforms however, it is </w:t>
      </w:r>
      <w:r>
        <w:t xml:space="preserve">now </w:t>
      </w:r>
      <w:r w:rsidRPr="00BF4106">
        <w:t xml:space="preserve">GoU policy to fully-fund its borrowing requirements, with no advances from the BoU over </w:t>
      </w:r>
      <w:r>
        <w:t>each</w:t>
      </w:r>
      <w:r w:rsidRPr="00BF4106">
        <w:t xml:space="preserve"> fiscal year as a whole (MoFPED 2013a, pg59).</w:t>
      </w:r>
    </w:p>
  </w:footnote>
  <w:footnote w:id="19">
    <w:p w:rsidR="001237DB" w:rsidRDefault="001237DB" w:rsidP="00A8667A">
      <w:pPr>
        <w:pStyle w:val="FootnoteText"/>
      </w:pPr>
      <w:r>
        <w:rPr>
          <w:rStyle w:val="FootnoteReference"/>
        </w:rPr>
        <w:footnoteRef/>
      </w:r>
      <w:r>
        <w:t xml:space="preserve"> Mu et al (2013) report that government securities market capitalisation across 36 SSA was 14.8 per cent of GDP, as of 2010 (excluding South Africa the average was 14.2 per cent. The average for low-income SSA countries was 15.3 per cent). </w:t>
      </w:r>
    </w:p>
  </w:footnote>
  <w:footnote w:id="20">
    <w:p w:rsidR="001237DB" w:rsidRDefault="001237DB">
      <w:pPr>
        <w:pStyle w:val="FootnoteText"/>
      </w:pPr>
      <w:r>
        <w:rPr>
          <w:rStyle w:val="FootnoteReference"/>
        </w:rPr>
        <w:footnoteRef/>
      </w:r>
      <w:r>
        <w:t xml:space="preserve"> MoFPED (2013a), pg75.</w:t>
      </w:r>
    </w:p>
  </w:footnote>
  <w:footnote w:id="21">
    <w:p w:rsidR="001237DB" w:rsidRDefault="001237DB" w:rsidP="00D861B0">
      <w:pPr>
        <w:pStyle w:val="FootnoteText"/>
      </w:pPr>
      <w:r>
        <w:rPr>
          <w:rStyle w:val="FootnoteReference"/>
        </w:rPr>
        <w:footnoteRef/>
      </w:r>
      <w:r>
        <w:t xml:space="preserve"> The yield curve – which is based on daily quotations provided by the primary dealers – in effect </w:t>
      </w:r>
      <w:r w:rsidRPr="00A94AF8">
        <w:t>shows</w:t>
      </w:r>
      <w:r>
        <w:t xml:space="preserve"> </w:t>
      </w:r>
      <w:r w:rsidRPr="00A94AF8">
        <w:t xml:space="preserve">what rate of interest GoU could expect to pay when issuing </w:t>
      </w:r>
      <w:r>
        <w:t xml:space="preserve">a </w:t>
      </w:r>
      <w:r w:rsidRPr="00A94AF8">
        <w:t xml:space="preserve">Treasury security of </w:t>
      </w:r>
      <w:r>
        <w:t>any maturity (</w:t>
      </w:r>
      <w:r w:rsidRPr="00A94AF8">
        <w:t xml:space="preserve">up to </w:t>
      </w:r>
      <w:r>
        <w:t xml:space="preserve">the current longest maturity – recently increased to </w:t>
      </w:r>
      <w:r w:rsidRPr="00A94AF8">
        <w:t>1</w:t>
      </w:r>
      <w:r>
        <w:t xml:space="preserve">5 </w:t>
      </w:r>
      <w:r w:rsidRPr="00A94AF8">
        <w:t>years</w:t>
      </w:r>
      <w:r>
        <w:t>).</w:t>
      </w:r>
    </w:p>
  </w:footnote>
  <w:footnote w:id="22">
    <w:p w:rsidR="001237DB" w:rsidRDefault="001237DB">
      <w:pPr>
        <w:pStyle w:val="FootnoteText"/>
      </w:pPr>
      <w:r>
        <w:rPr>
          <w:rStyle w:val="FootnoteReference"/>
        </w:rPr>
        <w:footnoteRef/>
      </w:r>
      <w:r>
        <w:t xml:space="preserve"> MoFPED (2007).</w:t>
      </w:r>
    </w:p>
  </w:footnote>
  <w:footnote w:id="23">
    <w:p w:rsidR="001237DB" w:rsidRDefault="001237DB">
      <w:pPr>
        <w:pStyle w:val="FootnoteText"/>
      </w:pPr>
      <w:r>
        <w:rPr>
          <w:rStyle w:val="FootnoteReference"/>
        </w:rPr>
        <w:footnoteRef/>
      </w:r>
      <w:r>
        <w:t xml:space="preserve"> This figure refers to 2010-11 data.</w:t>
      </w:r>
    </w:p>
  </w:footnote>
  <w:footnote w:id="24">
    <w:p w:rsidR="001237DB" w:rsidRDefault="001237DB" w:rsidP="009B69D9">
      <w:pPr>
        <w:pStyle w:val="FootnoteText"/>
      </w:pPr>
      <w:r>
        <w:rPr>
          <w:rStyle w:val="FootnoteReference"/>
        </w:rPr>
        <w:footnoteRef/>
      </w:r>
      <w:r>
        <w:t xml:space="preserve"> </w:t>
      </w:r>
      <w:r w:rsidRPr="00CD517A">
        <w:t xml:space="preserve">Variable </w:t>
      </w:r>
      <w:r>
        <w:t>rate borrowing is n</w:t>
      </w:r>
      <w:r w:rsidRPr="00CD517A">
        <w:t xml:space="preserve">ot considered in this paper. </w:t>
      </w:r>
      <w:r>
        <w:t>All else equal, variable coupon instruments will be m</w:t>
      </w:r>
      <w:r w:rsidRPr="00CD517A">
        <w:t xml:space="preserve">ore risky </w:t>
      </w:r>
      <w:r>
        <w:t>for government</w:t>
      </w:r>
      <w:r w:rsidRPr="00CD517A">
        <w:t xml:space="preserve">, but lower cost – and may </w:t>
      </w:r>
      <w:r>
        <w:t xml:space="preserve">well be worth considering in future as </w:t>
      </w:r>
      <w:r w:rsidRPr="00CD517A">
        <w:t xml:space="preserve">part of an optimal financing strategy. </w:t>
      </w:r>
      <w:r>
        <w:t xml:space="preserve">In particular, </w:t>
      </w:r>
      <w:r w:rsidRPr="00CD517A">
        <w:t xml:space="preserve">inflation-linked domestic debt would have broader benefits of bolstering </w:t>
      </w:r>
      <w:r>
        <w:t xml:space="preserve">the </w:t>
      </w:r>
      <w:r w:rsidRPr="00CD517A">
        <w:t xml:space="preserve">credibility of </w:t>
      </w:r>
      <w:r>
        <w:t>the inflation-</w:t>
      </w:r>
      <w:r w:rsidRPr="00CD517A">
        <w:t xml:space="preserve">targeting framework. </w:t>
      </w:r>
      <w:r>
        <w:t>Such instruments c</w:t>
      </w:r>
      <w:r w:rsidRPr="00CD517A">
        <w:t xml:space="preserve">ould be considered once </w:t>
      </w:r>
      <w:r>
        <w:t xml:space="preserve">the fundamental </w:t>
      </w:r>
      <w:r w:rsidRPr="00CD517A">
        <w:t>stage</w:t>
      </w:r>
      <w:r>
        <w:t>s</w:t>
      </w:r>
      <w:r w:rsidRPr="00CD517A">
        <w:t xml:space="preserve"> of domestic debt market reforms </w:t>
      </w:r>
      <w:r>
        <w:t xml:space="preserve">are completed </w:t>
      </w:r>
      <w:r w:rsidRPr="00CD517A">
        <w:t xml:space="preserve">and related debt management capacity </w:t>
      </w:r>
      <w:r>
        <w:t xml:space="preserve">fully </w:t>
      </w:r>
      <w:r w:rsidRPr="00CD517A">
        <w:t>put in place.</w:t>
      </w:r>
    </w:p>
  </w:footnote>
  <w:footnote w:id="25">
    <w:p w:rsidR="001237DB" w:rsidRDefault="001237DB" w:rsidP="00571F71">
      <w:pPr>
        <w:pStyle w:val="FootnoteText"/>
      </w:pPr>
      <w:r>
        <w:rPr>
          <w:rStyle w:val="FootnoteReference"/>
        </w:rPr>
        <w:footnoteRef/>
      </w:r>
      <w:r>
        <w:t xml:space="preserve"> See Abbas and Christensen (2010) for a fuller exposition of potential costs and benefits of domestic debt issuance in LICs and emerging market economies.</w:t>
      </w:r>
    </w:p>
  </w:footnote>
  <w:footnote w:id="26">
    <w:p w:rsidR="001237DB" w:rsidRDefault="001237DB">
      <w:pPr>
        <w:pStyle w:val="FootnoteText"/>
      </w:pPr>
      <w:r w:rsidRPr="003F5AFC">
        <w:rPr>
          <w:rStyle w:val="FootnoteReference"/>
        </w:rPr>
        <w:footnoteRef/>
      </w:r>
      <w:r w:rsidRPr="003F5AFC">
        <w:t xml:space="preserve"> Note that external borrowing can also potentially crowd out private investment, through its impact on the real exchange rate; see for example Gray and Woo (2000).</w:t>
      </w:r>
    </w:p>
  </w:footnote>
  <w:footnote w:id="27">
    <w:p w:rsidR="001237DB" w:rsidRDefault="001237DB" w:rsidP="00B93582">
      <w:pPr>
        <w:pStyle w:val="FootnoteText"/>
      </w:pPr>
      <w:r>
        <w:rPr>
          <w:rStyle w:val="FootnoteReference"/>
        </w:rPr>
        <w:footnoteRef/>
      </w:r>
      <w:r>
        <w:t xml:space="preserve"> See for example Jaramillo and Weber (2012) for a fuller discussion.</w:t>
      </w:r>
    </w:p>
  </w:footnote>
  <w:footnote w:id="28">
    <w:p w:rsidR="001237DB" w:rsidRDefault="001237DB" w:rsidP="00B93582">
      <w:pPr>
        <w:pStyle w:val="FootnoteText"/>
      </w:pPr>
      <w:r>
        <w:rPr>
          <w:rStyle w:val="FootnoteReference"/>
        </w:rPr>
        <w:footnoteRef/>
      </w:r>
      <w:r>
        <w:t xml:space="preserve"> See for example Aisen and Hauner (2008) and Baldacci and Kumar (2010) – both of which also incorporate emerging market countries in their datasets.</w:t>
      </w:r>
    </w:p>
  </w:footnote>
  <w:footnote w:id="29">
    <w:p w:rsidR="001237DB" w:rsidRPr="006137C7" w:rsidRDefault="001237DB">
      <w:pPr>
        <w:pStyle w:val="FootnoteText"/>
      </w:pPr>
      <w:r>
        <w:rPr>
          <w:rStyle w:val="FootnoteReference"/>
        </w:rPr>
        <w:footnoteRef/>
      </w:r>
      <w:r>
        <w:t xml:space="preserve"> See Mehl and Reynaud (2008) for a summary of nascent evidence on the broader determinants of domestic debt market development, and Mu et al (2013) for a recent extension to this literature with a specific focus on the development of African bond markets (both government and commercial). Findings suggest that key determinants of government bond market development include stable inflation, strong creditor rights, a wider </w:t>
      </w:r>
      <w:r w:rsidRPr="006137C7">
        <w:t xml:space="preserve">investor base, lower interest rate volatility, a flexible exchange rate and capital account openness. </w:t>
      </w:r>
    </w:p>
  </w:footnote>
  <w:footnote w:id="30">
    <w:p w:rsidR="001237DB" w:rsidRDefault="001237DB" w:rsidP="00746C52">
      <w:pPr>
        <w:pStyle w:val="FootnoteText"/>
      </w:pPr>
      <w:r w:rsidRPr="006137C7">
        <w:rPr>
          <w:rStyle w:val="FootnoteReference"/>
        </w:rPr>
        <w:footnoteRef/>
      </w:r>
      <w:r w:rsidRPr="006137C7">
        <w:t xml:space="preserve"> The authors posit that the linear relationship most likely reflects the relatively low levels of DD-to-GDP in the sample – and that the net effect would likely be found to turn negative after a certain point.</w:t>
      </w:r>
    </w:p>
  </w:footnote>
  <w:footnote w:id="31">
    <w:p w:rsidR="001237DB" w:rsidRDefault="001237DB" w:rsidP="00BF5122">
      <w:pPr>
        <w:pStyle w:val="FootnoteText"/>
      </w:pPr>
      <w:r>
        <w:rPr>
          <w:rStyle w:val="FootnoteReference"/>
        </w:rPr>
        <w:footnoteRef/>
      </w:r>
      <w:r>
        <w:t xml:space="preserve"> See for example Reinhart and Rogoff (2010).</w:t>
      </w:r>
    </w:p>
  </w:footnote>
  <w:footnote w:id="32">
    <w:p w:rsidR="001237DB" w:rsidRDefault="001237DB">
      <w:pPr>
        <w:pStyle w:val="FootnoteText"/>
      </w:pPr>
      <w:r>
        <w:rPr>
          <w:rStyle w:val="FootnoteReference"/>
        </w:rPr>
        <w:footnoteRef/>
      </w:r>
      <w:r>
        <w:t xml:space="preserve"> This section draws on a similar discussion for Tanzania in Bevan (2010).</w:t>
      </w:r>
    </w:p>
  </w:footnote>
  <w:footnote w:id="33">
    <w:p w:rsidR="001237DB" w:rsidRPr="009734C5" w:rsidRDefault="001237DB">
      <w:pPr>
        <w:pStyle w:val="FootnoteText"/>
      </w:pPr>
      <w:r>
        <w:rPr>
          <w:rStyle w:val="FootnoteReference"/>
        </w:rPr>
        <w:footnoteRef/>
      </w:r>
      <w:r>
        <w:t xml:space="preserve"> Bevan (</w:t>
      </w:r>
      <w:r w:rsidRPr="009734C5">
        <w:t>2010) notes that “</w:t>
      </w:r>
      <w:r w:rsidRPr="009734C5">
        <w:rPr>
          <w:i/>
        </w:rPr>
        <w:t>the empirical or analytical basis for this band is obscure</w:t>
      </w:r>
      <w:r w:rsidRPr="009734C5">
        <w:t>”, but suggests that 15</w:t>
      </w:r>
      <w:r>
        <w:t xml:space="preserve"> per cent</w:t>
      </w:r>
      <w:r w:rsidRPr="009734C5">
        <w:t xml:space="preserve"> could be used at least as a reasonable bound, below which developing countries might wish to stay.</w:t>
      </w:r>
    </w:p>
  </w:footnote>
  <w:footnote w:id="34">
    <w:p w:rsidR="001237DB" w:rsidRDefault="001237DB">
      <w:pPr>
        <w:pStyle w:val="FootnoteText"/>
      </w:pPr>
      <w:r w:rsidRPr="009734C5">
        <w:rPr>
          <w:rStyle w:val="FootnoteReference"/>
        </w:rPr>
        <w:footnoteRef/>
      </w:r>
      <w:r w:rsidRPr="009734C5">
        <w:t xml:space="preserve"> IMF and World Bank (2012) presents a revised and expanded set of debt sustainability benchmarks, based on new econometric evidence. Whereas previous debt sustainability guidance had provided econometric-based quantitative</w:t>
      </w:r>
      <w:r>
        <w:t xml:space="preserve"> benchmarks for external debt only, this update also provides similar estimates for </w:t>
      </w:r>
      <w:r w:rsidRPr="00F172BF">
        <w:rPr>
          <w:i/>
        </w:rPr>
        <w:t>total</w:t>
      </w:r>
      <w:r>
        <w:t xml:space="preserve"> debt for the first time. For countries of Uganda’s institutional strength (the top ranking), the paper specifies a sustainability benchmark for the ratio of the net present value (NPV) of external debt to GDP 50 per cent, and for total debt of 75 per cent - i.e. a difference of 25 per cent of GDP. As well as this being an implicit rather than explicit benchmark for DD, it is also important to note that the ‘sustainability’ of domestic debt cannot be considered alone, as it will depend strongly on the level of external debt; however, this 25 per cent of GDP figure can at least be taken as a very approximate benchmark below which countries may wish to remain. </w:t>
      </w:r>
    </w:p>
  </w:footnote>
  <w:footnote w:id="35">
    <w:p w:rsidR="001237DB" w:rsidRDefault="001237DB">
      <w:pPr>
        <w:pStyle w:val="FootnoteText"/>
      </w:pPr>
      <w:r>
        <w:rPr>
          <w:rStyle w:val="FootnoteReference"/>
        </w:rPr>
        <w:footnoteRef/>
      </w:r>
      <w:r>
        <w:t xml:space="preserve"> Where DD</w:t>
      </w:r>
      <w:r>
        <w:rPr>
          <w:vertAlign w:val="subscript"/>
        </w:rPr>
        <w:t>t</w:t>
      </w:r>
      <w:r>
        <w:t xml:space="preserve"> is nominal stock of domestic debt at time t: </w:t>
      </w:r>
    </w:p>
    <w:p w:rsidR="001237DB" w:rsidRPr="00427218" w:rsidRDefault="001237DB">
      <w:pPr>
        <w:pStyle w:val="FootnoteText"/>
      </w:pPr>
      <w:r>
        <w:t>Net issuance as % GDP  = 100*(DD</w:t>
      </w:r>
      <w:r>
        <w:rPr>
          <w:vertAlign w:val="subscript"/>
        </w:rPr>
        <w:t>t</w:t>
      </w:r>
      <w:r>
        <w:t xml:space="preserve"> – DD</w:t>
      </w:r>
      <w:r>
        <w:rPr>
          <w:vertAlign w:val="subscript"/>
        </w:rPr>
        <w:t>t-1</w:t>
      </w:r>
      <w:r>
        <w:t>) / GDP</w:t>
      </w:r>
      <w:r>
        <w:rPr>
          <w:vertAlign w:val="subscript"/>
        </w:rPr>
        <w:t>t</w:t>
      </w:r>
      <w:r>
        <w:t xml:space="preserve"> = 11.1 – 100*(DD</w:t>
      </w:r>
      <w:r>
        <w:rPr>
          <w:vertAlign w:val="subscript"/>
        </w:rPr>
        <w:t>t-1</w:t>
      </w:r>
      <w:r>
        <w:t xml:space="preserve"> / 1.12*GDP</w:t>
      </w:r>
      <w:r>
        <w:rPr>
          <w:vertAlign w:val="subscript"/>
        </w:rPr>
        <w:t>t-1</w:t>
      </w:r>
      <w:r>
        <w:t>) = 11.1 – 11.1/1.12 ≈ 1.2.</w:t>
      </w:r>
    </w:p>
  </w:footnote>
  <w:footnote w:id="36">
    <w:p w:rsidR="001237DB" w:rsidRPr="00B149C2" w:rsidRDefault="001237DB" w:rsidP="000F5CBA">
      <w:pPr>
        <w:pStyle w:val="FootnoteText"/>
      </w:pPr>
      <w:r>
        <w:rPr>
          <w:rStyle w:val="FootnoteReference"/>
        </w:rPr>
        <w:footnoteRef/>
      </w:r>
      <w:r>
        <w:t xml:space="preserve"> Real deposit growth has averaged around 10 per cent per year over the past ten years; if  inflation were around the BoU’s target of 5 per cent for core inflation, nominal deposit growth would be </w:t>
      </w:r>
      <w:r w:rsidRPr="00B149C2">
        <w:t>around 15</w:t>
      </w:r>
      <w:r>
        <w:t xml:space="preserve"> per cent</w:t>
      </w:r>
      <w:r w:rsidRPr="00B149C2">
        <w:t xml:space="preserve"> each year. </w:t>
      </w:r>
    </w:p>
  </w:footnote>
  <w:footnote w:id="37">
    <w:p w:rsidR="001237DB" w:rsidRPr="00B149C2" w:rsidRDefault="001237DB">
      <w:pPr>
        <w:pStyle w:val="FootnoteText"/>
      </w:pPr>
      <w:r w:rsidRPr="00B149C2">
        <w:rPr>
          <w:rStyle w:val="FootnoteReference"/>
        </w:rPr>
        <w:footnoteRef/>
      </w:r>
      <w:r w:rsidRPr="00B149C2">
        <w:t xml:space="preserve"> One additional consideration around the possible size of DD financing is potential DD issuance for monetary policy purposes. BoU did not issue any Treasury securities for monetary policy purposes in FY12/13; however, depending on its forecasts for structural liquidity BoU may well do so again in future. It will be important for BoU to inform MoFPED of the level of any potential issuance in good time – and for these considerations to feed into MoFPED’s annual budget plans and medium-term debt management strategy formulation.</w:t>
      </w:r>
    </w:p>
  </w:footnote>
  <w:footnote w:id="38">
    <w:p w:rsidR="001237DB" w:rsidRDefault="001237DB">
      <w:pPr>
        <w:pStyle w:val="FootnoteText"/>
      </w:pPr>
      <w:r w:rsidRPr="00B149C2">
        <w:rPr>
          <w:rStyle w:val="FootnoteReference"/>
        </w:rPr>
        <w:footnoteRef/>
      </w:r>
      <w:r w:rsidRPr="00B149C2">
        <w:t xml:space="preserve"> Refinancing risk (or rollover risk) refers to the risk that debt, when it falls due, will need to be refinanced at</w:t>
      </w:r>
      <w:r>
        <w:t xml:space="preserve"> an unusually high cost, or that it cannot be rolled over at all. See IMF and World Bank (2003), Box 1, for a full exposition of risks encountered in sovereign debt management.</w:t>
      </w:r>
    </w:p>
  </w:footnote>
  <w:footnote w:id="39">
    <w:p w:rsidR="001237DB" w:rsidRDefault="001237DB">
      <w:pPr>
        <w:pStyle w:val="FootnoteText"/>
      </w:pPr>
      <w:r>
        <w:rPr>
          <w:rStyle w:val="FootnoteReference"/>
        </w:rPr>
        <w:footnoteRef/>
      </w:r>
      <w:r>
        <w:t xml:space="preserve"> See for example Bua et al (2013).</w:t>
      </w:r>
    </w:p>
  </w:footnote>
  <w:footnote w:id="40">
    <w:p w:rsidR="001237DB" w:rsidRDefault="001237DB">
      <w:pPr>
        <w:pStyle w:val="FootnoteText"/>
      </w:pPr>
      <w:r>
        <w:rPr>
          <w:rStyle w:val="FootnoteReference"/>
        </w:rPr>
        <w:footnoteRef/>
      </w:r>
      <w:r>
        <w:t xml:space="preserve"> Note that the figures for the average of these 12 LICs refer to 2010-11, whereas the Uganda figures reported are as at end-FY12/13.</w:t>
      </w:r>
    </w:p>
  </w:footnote>
  <w:footnote w:id="41">
    <w:p w:rsidR="001237DB" w:rsidRDefault="001237DB" w:rsidP="006B7A2C">
      <w:pPr>
        <w:pStyle w:val="FootnoteText"/>
      </w:pPr>
      <w:r>
        <w:rPr>
          <w:rStyle w:val="FootnoteReference"/>
        </w:rPr>
        <w:footnoteRef/>
      </w:r>
      <w:r>
        <w:t xml:space="preserve"> A new body of research has begun to model the links between public investment, growth and debt; see Buffie et al (2012), and ongoing IGC work by Chris Adam and David Bevan (e.g. </w:t>
      </w:r>
      <w:hyperlink r:id="rId1" w:history="1">
        <w:r w:rsidRPr="005A7600">
          <w:rPr>
            <w:rStyle w:val="Hyperlink"/>
          </w:rPr>
          <w:t>http://www.theigc.org/sites/default/files/sessions/Chris%20Adam%20%26%20David%20Bevan_StateCapabilities_AGF2013.pdf</w:t>
        </w:r>
      </w:hyperlink>
      <w:r>
        <w:t>).</w:t>
      </w:r>
    </w:p>
  </w:footnote>
  <w:footnote w:id="42">
    <w:p w:rsidR="001237DB" w:rsidRPr="0094040D" w:rsidRDefault="001237DB">
      <w:pPr>
        <w:pStyle w:val="FootnoteText"/>
      </w:pPr>
      <w:r>
        <w:rPr>
          <w:rStyle w:val="FootnoteReference"/>
        </w:rPr>
        <w:footnoteRef/>
      </w:r>
      <w:r>
        <w:t xml:space="preserve"> Where government-financed public investment means total public investment minus the value of projects being financed by earm</w:t>
      </w:r>
      <w:r w:rsidRPr="0094040D">
        <w:t>arked concessional loans.</w:t>
      </w:r>
    </w:p>
  </w:footnote>
  <w:footnote w:id="43">
    <w:p w:rsidR="001237DB" w:rsidRDefault="001237DB">
      <w:pPr>
        <w:pStyle w:val="FootnoteText"/>
      </w:pPr>
      <w:r w:rsidRPr="0094040D">
        <w:rPr>
          <w:rStyle w:val="FootnoteReference"/>
        </w:rPr>
        <w:footnoteRef/>
      </w:r>
      <w:r w:rsidRPr="0094040D">
        <w:t xml:space="preserve"> </w:t>
      </w:r>
      <w:r>
        <w:t xml:space="preserve">For example, relative to domestic investors foreign investors are much less likely to hold securities until maturity, and thus greater foreign participation should help stimulate secondary market trading activity; see Peiris (2010). </w:t>
      </w:r>
    </w:p>
  </w:footnote>
  <w:footnote w:id="44">
    <w:p w:rsidR="001237DB" w:rsidRDefault="001237DB">
      <w:pPr>
        <w:pStyle w:val="FootnoteText"/>
      </w:pPr>
      <w:r>
        <w:rPr>
          <w:rStyle w:val="FootnoteReference"/>
        </w:rPr>
        <w:footnoteRef/>
      </w:r>
      <w:r>
        <w:t xml:space="preserve"> World Bank (2007).</w:t>
      </w:r>
    </w:p>
  </w:footnote>
  <w:footnote w:id="45">
    <w:p w:rsidR="001237DB" w:rsidRDefault="001237DB">
      <w:pPr>
        <w:pStyle w:val="FootnoteText"/>
      </w:pPr>
      <w:r>
        <w:rPr>
          <w:rStyle w:val="FootnoteReference"/>
        </w:rPr>
        <w:footnoteRef/>
      </w:r>
      <w:r>
        <w:t xml:space="preserve"> Mehl and Reynaud (2008).</w:t>
      </w:r>
    </w:p>
  </w:footnote>
  <w:footnote w:id="46">
    <w:p w:rsidR="001237DB" w:rsidRDefault="001237DB" w:rsidP="00BD711B">
      <w:pPr>
        <w:pStyle w:val="FootnoteText"/>
      </w:pPr>
      <w:r>
        <w:rPr>
          <w:rStyle w:val="FootnoteReference"/>
        </w:rPr>
        <w:footnoteRef/>
      </w:r>
      <w:r>
        <w:t xml:space="preserve"> Christensen (2005).</w:t>
      </w:r>
    </w:p>
  </w:footnote>
  <w:footnote w:id="47">
    <w:p w:rsidR="001237DB" w:rsidRDefault="001237DB">
      <w:pPr>
        <w:pStyle w:val="FootnoteText"/>
      </w:pPr>
      <w:r>
        <w:rPr>
          <w:rStyle w:val="FootnoteReference"/>
        </w:rPr>
        <w:footnoteRef/>
      </w:r>
      <w:r>
        <w:t xml:space="preserve"> See also Bua et al (2013).</w:t>
      </w:r>
    </w:p>
  </w:footnote>
  <w:footnote w:id="48">
    <w:p w:rsidR="001237DB" w:rsidRDefault="001237DB">
      <w:pPr>
        <w:pStyle w:val="FootnoteText"/>
      </w:pPr>
      <w:r>
        <w:rPr>
          <w:rStyle w:val="FootnoteReference"/>
        </w:rPr>
        <w:footnoteRef/>
      </w:r>
      <w:r>
        <w:t xml:space="preserve"> </w:t>
      </w:r>
      <w:r w:rsidRPr="004B3366">
        <w:t>Adelegan and Radzewicz-Bak (2009)</w:t>
      </w:r>
      <w:r>
        <w:t xml:space="preserve"> note that</w:t>
      </w:r>
      <w:r w:rsidRPr="004B3366">
        <w:t xml:space="preserve"> “</w:t>
      </w:r>
      <w:r w:rsidRPr="004B3366">
        <w:rPr>
          <w:i/>
        </w:rPr>
        <w:t>non-bank financial institutions are widely regarded as being critical for bond market development</w:t>
      </w:r>
      <w:r w:rsidRPr="004B3366">
        <w:t>”</w:t>
      </w:r>
      <w:r>
        <w:t>,</w:t>
      </w:r>
      <w:r w:rsidRPr="004B3366">
        <w:t xml:space="preserve"> </w:t>
      </w:r>
      <w:r>
        <w:t xml:space="preserve">and </w:t>
      </w:r>
      <w:r w:rsidRPr="004B3366">
        <w:t>particularly pension funds</w:t>
      </w:r>
      <w:r>
        <w:t>. By d</w:t>
      </w:r>
      <w:r w:rsidRPr="004B3366">
        <w:t>emand</w:t>
      </w:r>
      <w:r>
        <w:t>ing</w:t>
      </w:r>
      <w:r w:rsidRPr="004B3366">
        <w:t xml:space="preserve"> long-term assets to match l</w:t>
      </w:r>
      <w:r>
        <w:t>ong</w:t>
      </w:r>
      <w:r w:rsidRPr="004B3366">
        <w:t>-t</w:t>
      </w:r>
      <w:r>
        <w:t>erm</w:t>
      </w:r>
      <w:r w:rsidRPr="004B3366">
        <w:t xml:space="preserve"> liabilities, </w:t>
      </w:r>
      <w:r>
        <w:t>pension funds are crucial in supporting an extension of the yield curve.</w:t>
      </w:r>
    </w:p>
  </w:footnote>
  <w:footnote w:id="49">
    <w:p w:rsidR="001237DB" w:rsidRDefault="001237DB" w:rsidP="003B6F9D">
      <w:pPr>
        <w:pStyle w:val="FootnoteText"/>
      </w:pPr>
      <w:r>
        <w:rPr>
          <w:rStyle w:val="FootnoteReference"/>
        </w:rPr>
        <w:footnoteRef/>
      </w:r>
      <w:r>
        <w:t xml:space="preserve"> This could include both domestic and foreign-based retail investors. For example, whilst a recent study showed that a Diaspora Bond is not feasible for Uganda (Rutega et al 2012), the Diaspora could be encouraged to invest in standard Treasury Bills and Bonds. </w:t>
      </w:r>
    </w:p>
  </w:footnote>
  <w:footnote w:id="50">
    <w:p w:rsidR="001237DB" w:rsidRDefault="001237DB" w:rsidP="00F02D1C">
      <w:pPr>
        <w:pStyle w:val="FootnoteText"/>
      </w:pPr>
      <w:r>
        <w:rPr>
          <w:rStyle w:val="FootnoteReference"/>
        </w:rPr>
        <w:footnoteRef/>
      </w:r>
      <w:r>
        <w:t xml:space="preserve"> This is a contentious area, and the gains from increased market participation do need to be considered alongside potential issues of volatility and ‘sudden stops’. However, it is interesting to note that two recent studies – Pradhan et al (2011) and </w:t>
      </w:r>
      <w:r w:rsidRPr="009B35F5">
        <w:t xml:space="preserve">Peiris (2010) </w:t>
      </w:r>
      <w:r>
        <w:t xml:space="preserve">– find </w:t>
      </w:r>
      <w:r w:rsidRPr="009B35F5">
        <w:t>that greater foreign participation in domestic gov</w:t>
      </w:r>
      <w:r>
        <w:t>ernment</w:t>
      </w:r>
      <w:r w:rsidRPr="009B35F5">
        <w:t xml:space="preserve"> bond market</w:t>
      </w:r>
      <w:r>
        <w:t>s</w:t>
      </w:r>
      <w:r w:rsidRPr="009B35F5">
        <w:t xml:space="preserve"> </w:t>
      </w:r>
      <w:r>
        <w:t>in EMEs significantly reduces long-term government yields. Peiris (2010) also finds that</w:t>
      </w:r>
      <w:r w:rsidRPr="009B35F5">
        <w:t xml:space="preserve"> greater foreign participation “</w:t>
      </w:r>
      <w:r w:rsidRPr="009B35F5">
        <w:rPr>
          <w:i/>
        </w:rPr>
        <w:t>does not necessarily result in increased volatility in bond yields in emerging markets and, in fact, could even dampen volatility in some instances</w:t>
      </w:r>
      <w:r>
        <w:t>” – although this finding is based on a data period which runs only until 2009, and confidence in this result would be higher if it could also be shown to hold true in a period extending further beyond the onset of the global financial crises.</w:t>
      </w:r>
    </w:p>
  </w:footnote>
  <w:footnote w:id="51">
    <w:p w:rsidR="001237DB" w:rsidRDefault="001237DB">
      <w:pPr>
        <w:pStyle w:val="FootnoteText"/>
      </w:pPr>
      <w:r>
        <w:rPr>
          <w:rStyle w:val="FootnoteReference"/>
        </w:rPr>
        <w:footnoteRef/>
      </w:r>
      <w:r>
        <w:t xml:space="preserve"> </w:t>
      </w:r>
      <w:r w:rsidRPr="00F146AE">
        <w:t xml:space="preserve">There is currently a withholding tax </w:t>
      </w:r>
      <w:r>
        <w:t xml:space="preserve">on interest income from </w:t>
      </w:r>
      <w:r w:rsidRPr="00F146AE">
        <w:t>Uganda</w:t>
      </w:r>
      <w:r>
        <w:t>n</w:t>
      </w:r>
      <w:r w:rsidRPr="00F146AE">
        <w:t xml:space="preserve"> government securities of 20</w:t>
      </w:r>
      <w:r>
        <w:t xml:space="preserve"> per cent</w:t>
      </w:r>
      <w:r w:rsidRPr="00F146AE">
        <w:t xml:space="preserve"> - which</w:t>
      </w:r>
      <w:r>
        <w:t xml:space="preserve"> </w:t>
      </w:r>
      <w:r w:rsidRPr="00F146AE">
        <w:t xml:space="preserve">is greater </w:t>
      </w:r>
      <w:r>
        <w:t xml:space="preserve">than the 15 per cent rate </w:t>
      </w:r>
      <w:r w:rsidRPr="00F146AE">
        <w:t xml:space="preserve">charged on other interest income within Uganda, and greater </w:t>
      </w:r>
      <w:r>
        <w:t xml:space="preserve">for example </w:t>
      </w:r>
      <w:r w:rsidRPr="00F146AE">
        <w:t xml:space="preserve">than </w:t>
      </w:r>
      <w:r>
        <w:t>the 15 per cent charged by the Kenyan government on its Treasury securities (excluding infrastructure bonds, which are tax-exempt). This 20 per cent withholding tax is incurred by both resident and foreign holders of Ugandan Treasury securities – although this can be reduced for residents of countries with which Uganda has a double taxation agreement.</w:t>
      </w:r>
    </w:p>
  </w:footnote>
  <w:footnote w:id="52">
    <w:p w:rsidR="001237DB" w:rsidRDefault="001237DB">
      <w:pPr>
        <w:pStyle w:val="FootnoteText"/>
      </w:pPr>
      <w:r>
        <w:rPr>
          <w:rStyle w:val="FootnoteReference"/>
        </w:rPr>
        <w:footnoteRef/>
      </w:r>
      <w:r>
        <w:t xml:space="preserve"> Hanson (2007) further notes that “</w:t>
      </w:r>
      <w:r w:rsidRPr="00431F8B">
        <w:rPr>
          <w:i/>
        </w:rPr>
        <w:t>non-residents have become more interested in developing countries’ domestic debt as...developing countries became characterized by greater macroeconomic stability, higher international reserves, and exchange rates with some appreciation potential</w:t>
      </w:r>
      <w:r>
        <w:t>”.</w:t>
      </w:r>
    </w:p>
  </w:footnote>
  <w:footnote w:id="53">
    <w:p w:rsidR="001237DB" w:rsidRDefault="001237DB">
      <w:pPr>
        <w:pStyle w:val="FootnoteText"/>
      </w:pPr>
      <w:r>
        <w:rPr>
          <w:rStyle w:val="FootnoteReference"/>
        </w:rPr>
        <w:footnoteRef/>
      </w:r>
      <w:r>
        <w:t xml:space="preserve"> See Mehl and Reynaud (2005) and Mu et al (2013).</w:t>
      </w:r>
    </w:p>
  </w:footnote>
  <w:footnote w:id="54">
    <w:p w:rsidR="001237DB" w:rsidRDefault="001237DB" w:rsidP="007D488D">
      <w:pPr>
        <w:pStyle w:val="FootnoteText"/>
      </w:pPr>
      <w:r>
        <w:rPr>
          <w:rStyle w:val="FootnoteReference"/>
        </w:rPr>
        <w:footnoteRef/>
      </w:r>
      <w:r>
        <w:t xml:space="preserve"> For example, Kenya issues Treasury securities of up to 30 years maturity.</w:t>
      </w:r>
    </w:p>
  </w:footnote>
  <w:footnote w:id="55">
    <w:p w:rsidR="001237DB" w:rsidRDefault="001237DB">
      <w:pPr>
        <w:pStyle w:val="FootnoteText"/>
      </w:pPr>
      <w:r>
        <w:rPr>
          <w:rStyle w:val="FootnoteReference"/>
        </w:rPr>
        <w:footnoteRef/>
      </w:r>
      <w:r>
        <w:t xml:space="preserve"> Notable differences in Kenyan government infrastructure bonds relative to standard </w:t>
      </w:r>
      <w:r>
        <w:tab/>
        <w:t>Treasury securities include preferential tax treatment, amortising principle repayment structures, and the citing of investment areas or specific projects that the proceeds are intended to help finance.</w:t>
      </w:r>
    </w:p>
  </w:footnote>
  <w:footnote w:id="56">
    <w:p w:rsidR="001237DB" w:rsidRDefault="001237DB" w:rsidP="00A21DBB">
      <w:pPr>
        <w:pStyle w:val="FootnoteText"/>
      </w:pPr>
      <w:r>
        <w:rPr>
          <w:rStyle w:val="FootnoteReference"/>
        </w:rPr>
        <w:footnoteRef/>
      </w:r>
      <w:r>
        <w:t xml:space="preserve"> Adelegan and Radzewicz-Bak (2009) cite transparency as a “fundamental” determinant for bond market development.</w:t>
      </w:r>
    </w:p>
  </w:footnote>
  <w:footnote w:id="57">
    <w:p w:rsidR="001237DB" w:rsidRDefault="001237DB" w:rsidP="00A21DBB">
      <w:pPr>
        <w:pStyle w:val="FootnoteText"/>
      </w:pPr>
      <w:r>
        <w:rPr>
          <w:rStyle w:val="FootnoteReference"/>
        </w:rPr>
        <w:footnoteRef/>
      </w:r>
      <w:r>
        <w:t xml:space="preserve"> Uganda has taken significant steps to improve the transparency and predictability of its domestic debt operations in recent years, including by now clearly announcing in the annual Budget the intended volume of net issuance in the year ahead, and by publishing for the first time an issuance calendar for the year ahead.</w:t>
      </w:r>
    </w:p>
  </w:footnote>
  <w:footnote w:id="58">
    <w:p w:rsidR="001237DB" w:rsidRDefault="001237DB" w:rsidP="004660A9">
      <w:pPr>
        <w:pStyle w:val="FootnoteText"/>
      </w:pPr>
      <w:r>
        <w:rPr>
          <w:rStyle w:val="FootnoteReference"/>
        </w:rPr>
        <w:footnoteRef/>
      </w:r>
      <w:r>
        <w:t xml:space="preserve"> See Leong (1999).</w:t>
      </w:r>
    </w:p>
  </w:footnote>
  <w:footnote w:id="59">
    <w:p w:rsidR="001237DB" w:rsidRDefault="001237DB">
      <w:pPr>
        <w:pStyle w:val="FootnoteText"/>
      </w:pPr>
      <w:r>
        <w:rPr>
          <w:rStyle w:val="FootnoteReference"/>
        </w:rPr>
        <w:footnoteRef/>
      </w:r>
      <w:r>
        <w:t xml:space="preserve"> The total volume of GoU Treasury securities traded in the secondary market in FY12/13 was only 3.4 per cent of the total outstanding stock of securities (as at end-June 2013).</w:t>
      </w:r>
    </w:p>
  </w:footnote>
  <w:footnote w:id="60">
    <w:p w:rsidR="001237DB" w:rsidRDefault="001237DB" w:rsidP="00F248FE">
      <w:pPr>
        <w:pStyle w:val="FootnoteText"/>
      </w:pPr>
      <w:r>
        <w:rPr>
          <w:rStyle w:val="FootnoteReference"/>
        </w:rPr>
        <w:footnoteRef/>
      </w:r>
      <w:r>
        <w:t xml:space="preserve"> See World Bank (2007).</w:t>
      </w:r>
    </w:p>
  </w:footnote>
  <w:footnote w:id="61">
    <w:p w:rsidR="001237DB" w:rsidRDefault="001237DB" w:rsidP="00A21DBB">
      <w:pPr>
        <w:pStyle w:val="FootnoteText"/>
      </w:pPr>
      <w:r>
        <w:rPr>
          <w:rStyle w:val="FootnoteReference"/>
        </w:rPr>
        <w:footnoteRef/>
      </w:r>
      <w:r>
        <w:t xml:space="preserve"> Other forms of non-concessional financing, such as syndicated loans or private placements, would also be open to Uganda. The paramount benefits of these two options compared to a Eurobond is speed of issuance, and additional flexibility in the potential form of the debt; in contrast, the more open, competitive and standardised nature of a ‘typical’ Eurobond is, in contrast, likely to minimise costs.</w:t>
      </w:r>
    </w:p>
  </w:footnote>
  <w:footnote w:id="62">
    <w:p w:rsidR="001237DB" w:rsidRDefault="001237DB">
      <w:pPr>
        <w:pStyle w:val="FootnoteText"/>
      </w:pPr>
      <w:r>
        <w:rPr>
          <w:rStyle w:val="FootnoteReference"/>
        </w:rPr>
        <w:footnoteRef/>
      </w:r>
      <w:r>
        <w:t xml:space="preserve"> Das et al (2008), pg 10, outlines a “number of preconditions considered necessary to attract investors to debut international issues”; arguably, Uganda’s credit rating can be taken as a summary, indicating that these preconditions are adequately met.</w:t>
      </w:r>
    </w:p>
  </w:footnote>
  <w:footnote w:id="63">
    <w:p w:rsidR="001237DB" w:rsidRDefault="001237DB" w:rsidP="00C43F09">
      <w:pPr>
        <w:pStyle w:val="FootnoteText"/>
      </w:pPr>
      <w:r>
        <w:rPr>
          <w:rStyle w:val="FootnoteReference"/>
        </w:rPr>
        <w:footnoteRef/>
      </w:r>
      <w:r>
        <w:t xml:space="preserve"> However, Hostland (2009) notes that there are many examples of corporations in developing countries issuing foreign currency denominated bonds before such an issue by the government.</w:t>
      </w:r>
    </w:p>
  </w:footnote>
  <w:footnote w:id="64">
    <w:p w:rsidR="001237DB" w:rsidRPr="008527AE" w:rsidRDefault="001237DB" w:rsidP="001C5CA6">
      <w:pPr>
        <w:pStyle w:val="FootnoteText"/>
      </w:pPr>
      <w:r>
        <w:rPr>
          <w:rStyle w:val="FootnoteReference"/>
        </w:rPr>
        <w:footnoteRef/>
      </w:r>
      <w:r>
        <w:t xml:space="preserve"> Note that for a country’s inaugural Eurobond issue the </w:t>
      </w:r>
      <w:r w:rsidRPr="008527AE">
        <w:t xml:space="preserve">spread </w:t>
      </w:r>
      <w:r>
        <w:t xml:space="preserve">will also incorporate </w:t>
      </w:r>
      <w:r w:rsidRPr="008527AE">
        <w:t>a</w:t>
      </w:r>
      <w:r>
        <w:t xml:space="preserve">n additional “first time issuer premium” – which reflects additional costs and risks that can be associated with a first-time issue; there are steps that can be taken to minimise this premium. </w:t>
      </w:r>
    </w:p>
  </w:footnote>
  <w:footnote w:id="65">
    <w:p w:rsidR="001237DB" w:rsidRDefault="001237DB">
      <w:pPr>
        <w:pStyle w:val="FootnoteText"/>
      </w:pPr>
      <w:r>
        <w:rPr>
          <w:rStyle w:val="FootnoteReference"/>
        </w:rPr>
        <w:footnoteRef/>
      </w:r>
      <w:r>
        <w:t xml:space="preserve"> There will also be a liquidity premium, which will vary according to the ease with which investors are able to trade their holdings.</w:t>
      </w:r>
    </w:p>
  </w:footnote>
  <w:footnote w:id="66">
    <w:p w:rsidR="001237DB" w:rsidRDefault="001237DB">
      <w:pPr>
        <w:pStyle w:val="FootnoteText"/>
      </w:pPr>
      <w:r>
        <w:rPr>
          <w:rStyle w:val="FootnoteReference"/>
        </w:rPr>
        <w:footnoteRef/>
      </w:r>
      <w:r>
        <w:t xml:space="preserve"> These factors will include relations with donors. The</w:t>
      </w:r>
      <w:r w:rsidRPr="00167F96">
        <w:t xml:space="preserve"> </w:t>
      </w:r>
      <w:r>
        <w:t>level and expected stability of donor’s financial support</w:t>
      </w:r>
      <w:r w:rsidRPr="00167F96">
        <w:t xml:space="preserve">, and the extent to which their presence is seen by private investors as </w:t>
      </w:r>
      <w:r>
        <w:t xml:space="preserve">supporting </w:t>
      </w:r>
      <w:r w:rsidRPr="00167F96">
        <w:t xml:space="preserve">fiscal discipline, </w:t>
      </w:r>
      <w:r>
        <w:t xml:space="preserve">will be </w:t>
      </w:r>
      <w:r w:rsidRPr="00167F96">
        <w:t xml:space="preserve">an important determinant of the country risk premium. </w:t>
      </w:r>
      <w:r>
        <w:t xml:space="preserve">Therefore any </w:t>
      </w:r>
      <w:r w:rsidRPr="00167F96">
        <w:t xml:space="preserve">contraction in donor flows may </w:t>
      </w:r>
      <w:r>
        <w:t>have a double effect here: as well as increasing the pressure to undertake commercial external borrowing, it may also cause (via a higher risk premium) the cost of such borrowing to rise.</w:t>
      </w:r>
    </w:p>
  </w:footnote>
  <w:footnote w:id="67">
    <w:p w:rsidR="001237DB" w:rsidRDefault="001237DB" w:rsidP="001C5CA6">
      <w:pPr>
        <w:pStyle w:val="FootnoteText"/>
      </w:pPr>
      <w:r>
        <w:rPr>
          <w:rStyle w:val="FootnoteReference"/>
        </w:rPr>
        <w:footnoteRef/>
      </w:r>
      <w:r>
        <w:t xml:space="preserve"> Gueye and Sy (2010) provide an econometric model that can be used to estimate the yield on a debut Eurobond issue.</w:t>
      </w:r>
    </w:p>
  </w:footnote>
  <w:footnote w:id="68">
    <w:p w:rsidR="00210FD0" w:rsidRDefault="00210FD0" w:rsidP="00210FD0">
      <w:pPr>
        <w:pStyle w:val="FootnoteText"/>
      </w:pPr>
      <w:r>
        <w:rPr>
          <w:rStyle w:val="FootnoteReference"/>
        </w:rPr>
        <w:footnoteRef/>
      </w:r>
      <w:r>
        <w:t xml:space="preserve"> The tendency for Eurobond issuers to choose a bullet repayment structure most likely reflects a desire to maximise simplicity of the instrument being issued, and attract as broad a pool of investors as possible; for example, IMF (2003, pg 24) reports that a majority of investors questioned preferred a bullet over an amortising structure. Interestingly however, Das et al (2008) report “</w:t>
      </w:r>
      <w:r w:rsidRPr="00BC2489">
        <w:rPr>
          <w:i/>
        </w:rPr>
        <w:t>there is no evidence that issuers pay a yield or liquidity premium for issuing amortizing bonds</w:t>
      </w:r>
      <w:r>
        <w:t>”, and are much more sanguine on the choice of an amortising structure, particularly for issuers that plan to go to market relatively infrequently.</w:t>
      </w:r>
    </w:p>
  </w:footnote>
  <w:footnote w:id="69">
    <w:p w:rsidR="00210FD0" w:rsidRDefault="00210FD0" w:rsidP="00210FD0">
      <w:pPr>
        <w:pStyle w:val="FootnoteText"/>
      </w:pPr>
      <w:r>
        <w:rPr>
          <w:rStyle w:val="FootnoteReference"/>
        </w:rPr>
        <w:footnoteRef/>
      </w:r>
      <w:r>
        <w:t xml:space="preserve"> Recent issuance by Nigeria provides a useful example of the cost of a 5-year versus a 10-year issue: in July 2013 Nigeria issued both a 5-year and a 10-year Eurobond, of the same $500m size; the yield on the 10-year bond was 125 basis points above that on the 5-year. This compared similarly to the difference between 5-year and 10-year US Treasury yields at the time, of around 115 basis points.</w:t>
      </w:r>
    </w:p>
  </w:footnote>
  <w:footnote w:id="70">
    <w:p w:rsidR="001237DB" w:rsidRDefault="001237DB">
      <w:pPr>
        <w:pStyle w:val="FootnoteText"/>
      </w:pPr>
      <w:r>
        <w:rPr>
          <w:rStyle w:val="FootnoteReference"/>
        </w:rPr>
        <w:footnoteRef/>
      </w:r>
      <w:r>
        <w:t xml:space="preserve"> Buffie et al (2012) and Adam and Bevan (2013) explore these issues in depth.</w:t>
      </w:r>
    </w:p>
  </w:footnote>
  <w:footnote w:id="71">
    <w:p w:rsidR="001237DB" w:rsidRDefault="001237DB">
      <w:pPr>
        <w:pStyle w:val="FootnoteText"/>
      </w:pPr>
      <w:r>
        <w:rPr>
          <w:rStyle w:val="FootnoteReference"/>
        </w:rPr>
        <w:footnoteRef/>
      </w:r>
      <w:r>
        <w:t xml:space="preserve"> If GoU identify one or more projects they wish to finance using Eurobond issuance, but which involve expenditures spread over a period of time, one way of minimising the potential for ‘negative carry’ is by at first issuing a Eurobond of a size sufficient to finance a first portion of these expenditures, and re-opening the bond (i.e. issuing more of the same security) at a later date.</w:t>
      </w:r>
    </w:p>
  </w:footnote>
  <w:footnote w:id="72">
    <w:p w:rsidR="001237DB" w:rsidRDefault="001237DB">
      <w:pPr>
        <w:pStyle w:val="FootnoteText"/>
      </w:pPr>
      <w:r>
        <w:rPr>
          <w:rStyle w:val="FootnoteReference"/>
        </w:rPr>
        <w:footnoteRef/>
      </w:r>
      <w:r>
        <w:t xml:space="preserve"> Das et al (2008)</w:t>
      </w:r>
      <w:r w:rsidRPr="00842EA8">
        <w:t xml:space="preserve"> note that “excessive issue size relative to the intended use of bond proceeds” is a “typical pitfall”</w:t>
      </w:r>
      <w:r>
        <w:t xml:space="preserve"> of first-time issuers, that should be avoided</w:t>
      </w:r>
      <w:r w:rsidRPr="00842EA8">
        <w:t>.</w:t>
      </w:r>
    </w:p>
  </w:footnote>
  <w:footnote w:id="73">
    <w:p w:rsidR="001237DB" w:rsidRDefault="001237DB">
      <w:pPr>
        <w:pStyle w:val="FootnoteText"/>
      </w:pPr>
      <w:r>
        <w:rPr>
          <w:rStyle w:val="FootnoteReference"/>
        </w:rPr>
        <w:footnoteRef/>
      </w:r>
      <w:r>
        <w:t xml:space="preserve"> See Das et al (2008), pg18 for further discussion.</w:t>
      </w:r>
    </w:p>
  </w:footnote>
  <w:footnote w:id="74">
    <w:p w:rsidR="001237DB" w:rsidRDefault="001237DB" w:rsidP="009267C8">
      <w:pPr>
        <w:pStyle w:val="FootnoteText"/>
      </w:pPr>
      <w:r>
        <w:rPr>
          <w:rStyle w:val="FootnoteReference"/>
        </w:rPr>
        <w:footnoteRef/>
      </w:r>
      <w:r>
        <w:t xml:space="preserve"> </w:t>
      </w:r>
      <w:r w:rsidRPr="00753854">
        <w:t xml:space="preserve">The grant element </w:t>
      </w:r>
      <w:r>
        <w:t xml:space="preserve">of a loan </w:t>
      </w:r>
      <w:r w:rsidRPr="00753854">
        <w:t>is defined as the difference between the loan’s face value and the sum of the discounted future debt-service payments (</w:t>
      </w:r>
      <w:r>
        <w:t xml:space="preserve">i.e. the </w:t>
      </w:r>
      <w:r w:rsidRPr="00753854">
        <w:t>present value), expressed as a percentage of the loan’s face value.</w:t>
      </w:r>
      <w:r>
        <w:t xml:space="preserve"> Typically a loan is considered to be concessional if the grant element is at least 35 per cent; see </w:t>
      </w:r>
      <w:hyperlink r:id="rId2" w:history="1">
        <w:r w:rsidRPr="004D239F">
          <w:rPr>
            <w:rStyle w:val="Hyperlink"/>
          </w:rPr>
          <w:t>http://www.imf.org/external/np/pdr/conc/</w:t>
        </w:r>
      </w:hyperlink>
      <w:r>
        <w:t xml:space="preserve">. </w:t>
      </w:r>
    </w:p>
  </w:footnote>
  <w:footnote w:id="75">
    <w:p w:rsidR="001237DB" w:rsidRDefault="001237DB">
      <w:pPr>
        <w:pStyle w:val="FootnoteText"/>
      </w:pPr>
      <w:r>
        <w:rPr>
          <w:rStyle w:val="FootnoteReference"/>
        </w:rPr>
        <w:footnoteRef/>
      </w:r>
      <w:r>
        <w:t xml:space="preserve"> IMF (2013b), IMF (2013c).</w:t>
      </w:r>
    </w:p>
  </w:footnote>
  <w:footnote w:id="76">
    <w:p w:rsidR="001237DB" w:rsidRDefault="001237DB" w:rsidP="00C5290E">
      <w:pPr>
        <w:pStyle w:val="FootnoteText"/>
      </w:pPr>
      <w:r>
        <w:rPr>
          <w:rStyle w:val="FootnoteReference"/>
        </w:rPr>
        <w:footnoteRef/>
      </w:r>
      <w:r>
        <w:t xml:space="preserve"> This holds true even if there were significant risk of a substantial devaluation of the currency. For example, Beaugrand et al (2002) show that concessional external debt is preferable to domestic debt issuance even under very large probabilities of very large currency devaluations (for example, in their model, concessional external borrowing is preferable even if there is a 100 per cent probability of a 100 per cent devaluation). </w:t>
      </w:r>
    </w:p>
  </w:footnote>
  <w:footnote w:id="77">
    <w:p w:rsidR="001237DB" w:rsidRDefault="001237DB">
      <w:pPr>
        <w:pStyle w:val="FootnoteText"/>
      </w:pPr>
      <w:r>
        <w:rPr>
          <w:rStyle w:val="FootnoteReference"/>
        </w:rPr>
        <w:footnoteRef/>
      </w:r>
      <w:r>
        <w:t xml:space="preserve"> T</w:t>
      </w:r>
      <w:r w:rsidRPr="00277FF6">
        <w:t>ypical IDA terms, for example, are an annual interest rate of 0.75</w:t>
      </w:r>
      <w:r>
        <w:t xml:space="preserve"> per cent</w:t>
      </w:r>
      <w:r w:rsidRPr="00277FF6">
        <w:t>,</w:t>
      </w:r>
      <w:r>
        <w:t xml:space="preserve"> a</w:t>
      </w:r>
      <w:r w:rsidRPr="00277FF6">
        <w:t xml:space="preserve"> grace period of 10 </w:t>
      </w:r>
      <w:r>
        <w:t>years, and maturity of 40 years.</w:t>
      </w:r>
    </w:p>
  </w:footnote>
  <w:footnote w:id="78">
    <w:p w:rsidR="001237DB" w:rsidRDefault="001237DB" w:rsidP="007D6AF5">
      <w:pPr>
        <w:pStyle w:val="FootnoteText"/>
      </w:pPr>
      <w:r>
        <w:rPr>
          <w:rStyle w:val="FootnoteReference"/>
        </w:rPr>
        <w:footnoteRef/>
      </w:r>
      <w:r>
        <w:t xml:space="preserve"> This is subject to the caveat that any terms and conditions of concessional financing do not outweigh the cost advantages. </w:t>
      </w:r>
    </w:p>
  </w:footnote>
  <w:footnote w:id="79">
    <w:p w:rsidR="001237DB" w:rsidRDefault="001237DB">
      <w:pPr>
        <w:pStyle w:val="FootnoteText"/>
      </w:pPr>
      <w:r>
        <w:rPr>
          <w:rStyle w:val="FootnoteReference"/>
        </w:rPr>
        <w:footnoteRef/>
      </w:r>
      <w:r>
        <w:t xml:space="preserve"> IMF (2013c), pg 27.</w:t>
      </w:r>
    </w:p>
  </w:footnote>
  <w:footnote w:id="80">
    <w:p w:rsidR="001237DB" w:rsidRDefault="001237DB">
      <w:pPr>
        <w:pStyle w:val="FootnoteText"/>
      </w:pPr>
      <w:r>
        <w:rPr>
          <w:rStyle w:val="FootnoteReference"/>
        </w:rPr>
        <w:footnoteRef/>
      </w:r>
      <w:r>
        <w:t xml:space="preserve"> Specifically, it is estimated that 85 per cent of a total $2.35bn cost of the Karuma and Isimba dams will be financed by loans from China Exim Bank, with a grant element potentially of around 11½ per cent. </w:t>
      </w:r>
    </w:p>
  </w:footnote>
  <w:footnote w:id="81">
    <w:p w:rsidR="001237DB" w:rsidRDefault="001237DB">
      <w:pPr>
        <w:pStyle w:val="FootnoteText"/>
      </w:pPr>
      <w:r>
        <w:rPr>
          <w:rStyle w:val="FootnoteReference"/>
        </w:rPr>
        <w:footnoteRef/>
      </w:r>
      <w:r>
        <w:t xml:space="preserve"> It should be noted that the lack of flexibility associated with project finance can be cited as a benefit in contexts where there are fears about broader public financial management – although this comes at the cost of reduced pressures to reform, and constraints on the ability to conduct cash management efficiently. </w:t>
      </w:r>
    </w:p>
  </w:footnote>
  <w:footnote w:id="82">
    <w:p w:rsidR="001237DB" w:rsidRDefault="001237DB">
      <w:pPr>
        <w:pStyle w:val="FootnoteText"/>
      </w:pPr>
      <w:r>
        <w:rPr>
          <w:rStyle w:val="FootnoteReference"/>
        </w:rPr>
        <w:footnoteRef/>
      </w:r>
      <w:r>
        <w:t xml:space="preserve"> A related issued to the use of GoU deposits with the BoU is potential seignorage revenues for GoU. For the projections in Section 3 of this paper, It is assumed that seignorage revenues will be zero over the projection period. This is based on two factors: (i) that BoU has made net losses in recent years – a trend which looks unlikely to reverse until global interest rates and hence returns on international reserves normalise further; and (ii) an assumption that any profits that might be made would be utilised to bolster BoU’s capital position. </w:t>
      </w:r>
    </w:p>
  </w:footnote>
  <w:footnote w:id="83">
    <w:p w:rsidR="001237DB" w:rsidRDefault="001237DB">
      <w:pPr>
        <w:pStyle w:val="FootnoteText"/>
      </w:pPr>
      <w:r>
        <w:rPr>
          <w:rStyle w:val="FootnoteReference"/>
        </w:rPr>
        <w:footnoteRef/>
      </w:r>
      <w:r>
        <w:t xml:space="preserve"> Source: BoU Depository Corporations Survey, Table 2.</w:t>
      </w:r>
    </w:p>
  </w:footnote>
  <w:footnote w:id="84">
    <w:p w:rsidR="001237DB" w:rsidRDefault="001237DB">
      <w:pPr>
        <w:pStyle w:val="FootnoteText"/>
      </w:pPr>
      <w:r>
        <w:rPr>
          <w:rStyle w:val="FootnoteReference"/>
        </w:rPr>
        <w:footnoteRef/>
      </w:r>
      <w:r>
        <w:t xml:space="preserve"> Of the total Shs.1,593bn balance of these receipts in the ‘Petroleum Fund’ as at 1</w:t>
      </w:r>
      <w:r w:rsidRPr="001702A7">
        <w:rPr>
          <w:vertAlign w:val="superscript"/>
        </w:rPr>
        <w:t>st</w:t>
      </w:r>
      <w:r>
        <w:t xml:space="preserve"> November 2013, Shs.1,162bn was denominated in Shillings, with the remainder (US$171m – equivalent to Shs.431bn) in US dollars (figures from IMF 2013c, pg 58).</w:t>
      </w:r>
    </w:p>
  </w:footnote>
  <w:footnote w:id="85">
    <w:p w:rsidR="001237DB" w:rsidRDefault="001237DB">
      <w:pPr>
        <w:pStyle w:val="FootnoteText"/>
      </w:pPr>
      <w:r>
        <w:rPr>
          <w:rStyle w:val="FootnoteReference"/>
        </w:rPr>
        <w:footnoteRef/>
      </w:r>
      <w:r>
        <w:t xml:space="preserve"> Source: authors’ discussions with MoFPED and BoU. Note that GoU’s deposits with BoU do not bear interest.</w:t>
      </w:r>
    </w:p>
  </w:footnote>
  <w:footnote w:id="86">
    <w:p w:rsidR="001237DB" w:rsidRDefault="001237DB">
      <w:pPr>
        <w:pStyle w:val="FootnoteText"/>
      </w:pPr>
      <w:r>
        <w:rPr>
          <w:rStyle w:val="FootnoteReference"/>
        </w:rPr>
        <w:footnoteRef/>
      </w:r>
      <w:r>
        <w:t xml:space="preserve"> IMF (2013c) reports that GoU plans to meet 15 per cent of the $2.35bn cost of the Karuma and Isimba dams with deposits held at the BoU, over the next five years. This would be a total of around $350m or Shs.890bn –only 55 per cent of the total deposits in the Petroleum Fund – with the remainder yet to be allocated.</w:t>
      </w:r>
    </w:p>
  </w:footnote>
  <w:footnote w:id="87">
    <w:p w:rsidR="001237DB" w:rsidRDefault="001237DB">
      <w:pPr>
        <w:pStyle w:val="FootnoteText"/>
      </w:pPr>
      <w:r w:rsidRPr="00610072">
        <w:rPr>
          <w:rStyle w:val="FootnoteReference"/>
        </w:rPr>
        <w:footnoteRef/>
      </w:r>
      <w:r w:rsidRPr="00610072">
        <w:t xml:space="preserve"> </w:t>
      </w:r>
      <w:r>
        <w:t xml:space="preserve">For </w:t>
      </w:r>
      <w:r w:rsidRPr="00610072">
        <w:t xml:space="preserve">project </w:t>
      </w:r>
      <w:r>
        <w:t>funds – which are generally earmarked for very specific purposes, meaning they</w:t>
      </w:r>
      <w:r w:rsidRPr="00610072">
        <w:t xml:space="preserve"> cannot be used to finance activities oth</w:t>
      </w:r>
      <w:r>
        <w:t xml:space="preserve">er than these intended purposes – </w:t>
      </w:r>
      <w:r w:rsidRPr="00610072">
        <w:t>this</w:t>
      </w:r>
      <w:r>
        <w:t xml:space="preserve"> </w:t>
      </w:r>
      <w:r w:rsidRPr="00610072">
        <w:t>in effect means that GoU should focus on implementing the</w:t>
      </w:r>
      <w:r>
        <w:t xml:space="preserve"> associated</w:t>
      </w:r>
      <w:r w:rsidRPr="00610072">
        <w:t xml:space="preserve"> projects as quickly as possible.</w:t>
      </w:r>
      <w:r>
        <w:t xml:space="preserve"> </w:t>
      </w:r>
    </w:p>
  </w:footnote>
  <w:footnote w:id="88">
    <w:p w:rsidR="001237DB" w:rsidRDefault="001237DB" w:rsidP="006C2F79">
      <w:pPr>
        <w:pStyle w:val="FootnoteText"/>
      </w:pPr>
      <w:r>
        <w:rPr>
          <w:rStyle w:val="FootnoteReference"/>
        </w:rPr>
        <w:footnoteRef/>
      </w:r>
      <w:r>
        <w:t xml:space="preserve"> Drawing down dollar-denominated deposits and selling these to the BoU for Shillings, in order to finance Shilling-denominated expenditures, would have a similar impact. </w:t>
      </w:r>
    </w:p>
  </w:footnote>
  <w:footnote w:id="89">
    <w:p w:rsidR="001237DB" w:rsidRDefault="001237DB">
      <w:pPr>
        <w:pStyle w:val="FootnoteText"/>
      </w:pPr>
      <w:r>
        <w:rPr>
          <w:rStyle w:val="FootnoteReference"/>
        </w:rPr>
        <w:footnoteRef/>
      </w:r>
      <w:r>
        <w:t xml:space="preserve"> Such issues were addressed at the March 2014 IMF-BoU conference on “Transitioning to Modern Monetary Policy Frameworks in Low Income Countries”; see </w:t>
      </w:r>
      <w:hyperlink r:id="rId3" w:history="1">
        <w:r w:rsidRPr="00560F5B">
          <w:rPr>
            <w:rStyle w:val="Hyperlink"/>
          </w:rPr>
          <w:t>https://www.bou.or.ug/bou/media/statements/IMF_BoU-Conference_March-2014.html</w:t>
        </w:r>
      </w:hyperlink>
      <w:r>
        <w:t xml:space="preserve">. </w:t>
      </w:r>
    </w:p>
  </w:footnote>
  <w:footnote w:id="90">
    <w:p w:rsidR="001237DB" w:rsidRDefault="001237DB">
      <w:pPr>
        <w:pStyle w:val="FootnoteText"/>
      </w:pPr>
      <w:r>
        <w:rPr>
          <w:rStyle w:val="FootnoteReference"/>
        </w:rPr>
        <w:footnoteRef/>
      </w:r>
      <w:r>
        <w:t xml:space="preserve"> MoFPED (2013b).</w:t>
      </w:r>
    </w:p>
  </w:footnote>
  <w:footnote w:id="91">
    <w:p w:rsidR="001237DB" w:rsidRDefault="001237DB">
      <w:pPr>
        <w:pStyle w:val="FootnoteText"/>
      </w:pPr>
      <w:r>
        <w:rPr>
          <w:rStyle w:val="FootnoteReference"/>
        </w:rPr>
        <w:footnoteRef/>
      </w:r>
      <w:r>
        <w:t xml:space="preserve"> See Leong (1999) for a useful discussion.</w:t>
      </w:r>
    </w:p>
  </w:footnote>
  <w:footnote w:id="92">
    <w:p w:rsidR="001237DB" w:rsidRDefault="001237DB">
      <w:pPr>
        <w:pStyle w:val="FootnoteText"/>
      </w:pPr>
      <w:r>
        <w:rPr>
          <w:rStyle w:val="FootnoteReference"/>
        </w:rPr>
        <w:footnoteRef/>
      </w:r>
      <w:r>
        <w:t xml:space="preserve"> See Beaugrand et al (2002) for a discussion on this, and wider considerations for choosing between domestic and external financing.</w:t>
      </w:r>
    </w:p>
  </w:footnote>
  <w:footnote w:id="93">
    <w:p w:rsidR="001237DB" w:rsidRDefault="001237DB">
      <w:pPr>
        <w:pStyle w:val="FootnoteText"/>
      </w:pPr>
      <w:r>
        <w:rPr>
          <w:rStyle w:val="FootnoteReference"/>
        </w:rPr>
        <w:footnoteRef/>
      </w:r>
      <w:r>
        <w:t xml:space="preserve"> See also Bevan (2012).</w:t>
      </w:r>
    </w:p>
  </w:footnote>
  <w:footnote w:id="94">
    <w:p w:rsidR="001237DB" w:rsidRDefault="001237DB">
      <w:pPr>
        <w:pStyle w:val="FootnoteText"/>
      </w:pPr>
      <w:r>
        <w:rPr>
          <w:rStyle w:val="FootnoteReference"/>
        </w:rPr>
        <w:footnoteRef/>
      </w:r>
      <w:r>
        <w:t xml:space="preserve"> This would be implied by GoU maintaining inflation at around the core inflation target of 5 per cent, the US maintaining an inflation rate of around 2 per cent, and assuming that relative purchasing power parity holds over the period. Note also that the depreciation of the Shilling again the dollar has averaged 2.6 per cent per year over the last decade.</w:t>
      </w:r>
    </w:p>
  </w:footnote>
  <w:footnote w:id="95">
    <w:p w:rsidR="001237DB" w:rsidRDefault="001237DB">
      <w:pPr>
        <w:pStyle w:val="FootnoteText"/>
      </w:pPr>
      <w:r w:rsidRPr="002E0F8C">
        <w:rPr>
          <w:rStyle w:val="FootnoteReference"/>
        </w:rPr>
        <w:footnoteRef/>
      </w:r>
      <w:r w:rsidRPr="002E0F8C">
        <w:t xml:space="preserve"> For example, </w:t>
      </w:r>
      <w:r>
        <w:t xml:space="preserve">as noted in Section 2.2.4, </w:t>
      </w:r>
      <w:r w:rsidRPr="002E0F8C">
        <w:t>GoU currently charges a 20</w:t>
      </w:r>
      <w:r>
        <w:t xml:space="preserve"> per cent</w:t>
      </w:r>
      <w:r w:rsidRPr="002E0F8C">
        <w:t xml:space="preserve"> withholding tax on interest </w:t>
      </w:r>
      <w:r>
        <w:t xml:space="preserve">earned from Treasury securities. This applies to both </w:t>
      </w:r>
      <w:r w:rsidRPr="00D72E2B">
        <w:t>resident and foreign investors – although it can be reduced for residents of countries with which Uganda has a double taxation agreement (for example, the withholding tax charged by GoU to resident</w:t>
      </w:r>
      <w:r>
        <w:t>s</w:t>
      </w:r>
      <w:r w:rsidRPr="00D72E2B">
        <w:t xml:space="preserve"> of South Africa is 10 per cent). If all holders of Treasury securities paid the full 20% withholding tax, the ‘net’ weighted average interest rate for GoU on Treasury securities </w:t>
      </w:r>
      <w:r>
        <w:t xml:space="preserve">(i.e. reflecting interest payments minus the withholding tax revenues) </w:t>
      </w:r>
      <w:r w:rsidRPr="00D72E2B">
        <w:t xml:space="preserve">as at end-FY12/13 </w:t>
      </w:r>
      <w:r>
        <w:t xml:space="preserve">would be </w:t>
      </w:r>
      <w:r w:rsidRPr="00D72E2B">
        <w:t xml:space="preserve">closer to 10½ per cent. </w:t>
      </w:r>
    </w:p>
    <w:p w:rsidR="001237DB" w:rsidRDefault="001237DB">
      <w:pPr>
        <w:pStyle w:val="FootnoteText"/>
      </w:pPr>
      <w:r w:rsidRPr="00D72E2B">
        <w:t>Interest payments to foreign holders of</w:t>
      </w:r>
      <w:r w:rsidRPr="002E0F8C">
        <w:t xml:space="preserve"> a Eurobond would not be taxed by GoU</w:t>
      </w:r>
      <w:r>
        <w:t>;</w:t>
      </w:r>
      <w:r w:rsidRPr="002E0F8C">
        <w:t xml:space="preserve"> tax would be paid on income from this source by any domestic holders</w:t>
      </w:r>
      <w:r>
        <w:t xml:space="preserve">, which would </w:t>
      </w:r>
      <w:r w:rsidRPr="002E0F8C">
        <w:t>reduc</w:t>
      </w:r>
      <w:r>
        <w:t>e</w:t>
      </w:r>
      <w:r w:rsidRPr="002E0F8C">
        <w:t xml:space="preserve"> the ‘net’ interest </w:t>
      </w:r>
      <w:r>
        <w:t>costs for</w:t>
      </w:r>
      <w:r w:rsidRPr="002E0F8C">
        <w:t xml:space="preserve"> GoU on a Eurobond issue accordingly</w:t>
      </w:r>
      <w:r>
        <w:t xml:space="preserve"> – although domestic holdings of a Eurobond would likely be small relative to foreign holdings, making this effect small</w:t>
      </w:r>
      <w:r w:rsidRPr="002E0F8C">
        <w:t>.</w:t>
      </w:r>
      <w:r>
        <w:t xml:space="preserve"> </w:t>
      </w:r>
    </w:p>
  </w:footnote>
  <w:footnote w:id="96">
    <w:p w:rsidR="001237DB" w:rsidRDefault="001237DB">
      <w:pPr>
        <w:pStyle w:val="FootnoteText"/>
      </w:pPr>
      <w:r>
        <w:rPr>
          <w:rStyle w:val="FootnoteReference"/>
        </w:rPr>
        <w:footnoteRef/>
      </w:r>
      <w:r>
        <w:t xml:space="preserve"> Uganda’s country risk premium would also be endogenous to the amount of external exposure – i.e. the spread on a Ugandan Eurobond over a US Treasury benchmark, and hence the yield as a whole on any Ugandan Eurobonds, would likely increase with the stock of Eurobonds issued and outstanding. (Average yields on any given level of DD may also increase with Eurobond issuance – but the effect is likely to be less strong).  </w:t>
      </w:r>
    </w:p>
  </w:footnote>
  <w:footnote w:id="97">
    <w:p w:rsidR="001237DB" w:rsidRDefault="001237DB">
      <w:pPr>
        <w:pStyle w:val="FootnoteText"/>
      </w:pPr>
      <w:r>
        <w:rPr>
          <w:rStyle w:val="FootnoteReference"/>
        </w:rPr>
        <w:footnoteRef/>
      </w:r>
      <w:r>
        <w:t xml:space="preserve"> One reason is that there are a range of institutions, such as commercial banks, pension funds and insurance companies, that will always need to match Shilling-denominated liabilities with Shilling-denominated liabilities. See Hanson (2007) for further discussion of sources of demands. </w:t>
      </w:r>
    </w:p>
  </w:footnote>
  <w:footnote w:id="98">
    <w:p w:rsidR="001237DB" w:rsidRDefault="001237DB">
      <w:pPr>
        <w:pStyle w:val="FootnoteText"/>
      </w:pPr>
      <w:r>
        <w:rPr>
          <w:rStyle w:val="FootnoteReference"/>
        </w:rPr>
        <w:footnoteRef/>
      </w:r>
      <w:r>
        <w:t xml:space="preserve"> The average size of all outstanding Treasury bonds as at 5</w:t>
      </w:r>
      <w:r w:rsidRPr="000F7075">
        <w:rPr>
          <w:vertAlign w:val="superscript"/>
        </w:rPr>
        <w:t>th</w:t>
      </w:r>
      <w:r>
        <w:t xml:space="preserve"> December 2013 was just under Shs.95bn (under $40m); the largest single outstanding bond was Shs.230bn (just over $90m).</w:t>
      </w:r>
    </w:p>
  </w:footnote>
  <w:footnote w:id="99">
    <w:p w:rsidR="001237DB" w:rsidRDefault="001237DB">
      <w:pPr>
        <w:pStyle w:val="FootnoteText"/>
      </w:pPr>
      <w:r>
        <w:rPr>
          <w:rStyle w:val="FootnoteReference"/>
        </w:rPr>
        <w:footnoteRef/>
      </w:r>
      <w:r>
        <w:t xml:space="preserve"> See for example World Bank (2007).</w:t>
      </w:r>
    </w:p>
  </w:footnote>
  <w:footnote w:id="100">
    <w:p w:rsidR="001237DB" w:rsidRDefault="001237DB">
      <w:pPr>
        <w:pStyle w:val="FootnoteText"/>
      </w:pPr>
      <w:r>
        <w:rPr>
          <w:rStyle w:val="FootnoteReference"/>
        </w:rPr>
        <w:footnoteRef/>
      </w:r>
      <w:r>
        <w:t xml:space="preserve"> See for example World Bank and IMF (2001) and World Bank (2007).</w:t>
      </w:r>
    </w:p>
  </w:footnote>
  <w:footnote w:id="101">
    <w:p w:rsidR="001237DB" w:rsidRDefault="001237DB" w:rsidP="00650965">
      <w:pPr>
        <w:pStyle w:val="FootnoteText"/>
      </w:pPr>
      <w:r>
        <w:rPr>
          <w:rStyle w:val="FootnoteReference"/>
        </w:rPr>
        <w:footnoteRef/>
      </w:r>
      <w:r>
        <w:t xml:space="preserve"> MoFPED (2013a).</w:t>
      </w:r>
    </w:p>
  </w:footnote>
  <w:footnote w:id="102">
    <w:p w:rsidR="001237DB" w:rsidRDefault="001237DB" w:rsidP="00182889">
      <w:pPr>
        <w:pStyle w:val="FootnoteText"/>
      </w:pPr>
      <w:r>
        <w:rPr>
          <w:rStyle w:val="FootnoteReference"/>
        </w:rPr>
        <w:footnoteRef/>
      </w:r>
      <w:r>
        <w:t xml:space="preserve"> See also Buffie et al (2012).</w:t>
      </w:r>
    </w:p>
  </w:footnote>
  <w:footnote w:id="103">
    <w:p w:rsidR="001237DB" w:rsidRDefault="001237DB">
      <w:pPr>
        <w:pStyle w:val="FootnoteText"/>
      </w:pPr>
      <w:r>
        <w:rPr>
          <w:rStyle w:val="FootnoteReference"/>
        </w:rPr>
        <w:footnoteRef/>
      </w:r>
      <w:r>
        <w:t xml:space="preserve"> Furthermore, if such an increase in Shilling-denominated expenditures financed by foreign currency borrowing leads to an increased liquidity surplus that needs to be sterilised (such as by issuing more domestic debt for </w:t>
      </w:r>
      <w:r w:rsidRPr="003E22D2">
        <w:rPr>
          <w:i/>
        </w:rPr>
        <w:t>monetary policy</w:t>
      </w:r>
      <w:r>
        <w:t xml:space="preserve"> purposes), then the costs of this sterilisation should be added to the direct cost of the external borrowing when the government is determining its financing strategy. </w:t>
      </w:r>
    </w:p>
  </w:footnote>
  <w:footnote w:id="104">
    <w:p w:rsidR="001237DB" w:rsidRDefault="001237DB">
      <w:pPr>
        <w:pStyle w:val="FootnoteText"/>
      </w:pPr>
      <w:r>
        <w:rPr>
          <w:rStyle w:val="FootnoteReference"/>
        </w:rPr>
        <w:footnoteRef/>
      </w:r>
      <w:r>
        <w:t xml:space="preserve"> Note that exposure to exchange rate risk in such cases would be mitigated where Shilling-denominated returns are generated from public investment that is serving export activities (i.e. where revenues are generated off a tradeable ‘base’; in this case, for example, a currency depreciation would increase Shilling revenues via the boost this would provide to export activity – so helping to meet the dollar-denominated expenditures that would have become more expensive in Shilling terms).</w:t>
      </w:r>
    </w:p>
  </w:footnote>
  <w:footnote w:id="105">
    <w:p w:rsidR="001237DB" w:rsidRDefault="001237DB">
      <w:pPr>
        <w:pStyle w:val="FootnoteText"/>
      </w:pPr>
      <w:r>
        <w:rPr>
          <w:rStyle w:val="FootnoteReference"/>
        </w:rPr>
        <w:footnoteRef/>
      </w:r>
      <w:r>
        <w:t xml:space="preserve"> See Bevan (2012) for further discussion. </w:t>
      </w:r>
    </w:p>
  </w:footnote>
  <w:footnote w:id="106">
    <w:p w:rsidR="001237DB" w:rsidRDefault="001237DB">
      <w:pPr>
        <w:pStyle w:val="FootnoteText"/>
      </w:pPr>
      <w:r>
        <w:rPr>
          <w:rStyle w:val="FootnoteReference"/>
        </w:rPr>
        <w:footnoteRef/>
      </w:r>
      <w:r>
        <w:t xml:space="preserve"> This is an implication of a key point that often gets lost in discussions around infrastructure financing: whilst repayment of borrowing by the private sector for infrastructure investment will often be linked to specific projects, government borrowing is normally serviced from general budgetary resources – and thus it is the government’s overall fiscal position, rather than solely the implications of the single project in question, that is ultimately paramount for debt managers. </w:t>
      </w:r>
    </w:p>
  </w:footnote>
  <w:footnote w:id="107">
    <w:p w:rsidR="001237DB" w:rsidRDefault="001237DB">
      <w:pPr>
        <w:pStyle w:val="FootnoteText"/>
      </w:pPr>
      <w:r>
        <w:rPr>
          <w:rStyle w:val="FootnoteReference"/>
        </w:rPr>
        <w:footnoteRef/>
      </w:r>
      <w:r>
        <w:t xml:space="preserve"> Dehn (2012).</w:t>
      </w:r>
    </w:p>
  </w:footnote>
  <w:footnote w:id="108">
    <w:p w:rsidR="001237DB" w:rsidRDefault="001237DB">
      <w:pPr>
        <w:pStyle w:val="FootnoteText"/>
      </w:pPr>
      <w:r>
        <w:rPr>
          <w:rStyle w:val="FootnoteReference"/>
        </w:rPr>
        <w:footnoteRef/>
      </w:r>
      <w:r>
        <w:t xml:space="preserve"> Bevan (2012).</w:t>
      </w:r>
    </w:p>
  </w:footnote>
  <w:footnote w:id="109">
    <w:p w:rsidR="001237DB" w:rsidRPr="00B84CCE" w:rsidRDefault="001237DB" w:rsidP="00386AF4">
      <w:pPr>
        <w:pStyle w:val="FootnoteText"/>
      </w:pPr>
      <w:r>
        <w:rPr>
          <w:rStyle w:val="FootnoteReference"/>
        </w:rPr>
        <w:footnoteRef/>
      </w:r>
      <w:r>
        <w:t xml:space="preserve"> These include the </w:t>
      </w:r>
      <w:r w:rsidRPr="009A4895">
        <w:t>Integrated Transport Investment Plan</w:t>
      </w:r>
      <w:r>
        <w:t xml:space="preserve">, </w:t>
      </w:r>
      <w:r w:rsidRPr="009A4895">
        <w:t>the Regional Power System Master Plan</w:t>
      </w:r>
      <w:r>
        <w:t xml:space="preserve">, </w:t>
      </w:r>
      <w:r w:rsidRPr="009A4895">
        <w:t>the Rural Electrification Strategy and Plan</w:t>
      </w:r>
      <w:r>
        <w:t>,</w:t>
      </w:r>
      <w:r w:rsidRPr="009A4895">
        <w:t xml:space="preserve"> the Water Sector Strategic Investment Plan</w:t>
      </w:r>
      <w:r>
        <w:t>,</w:t>
      </w:r>
      <w:r w:rsidRPr="009A4895">
        <w:t xml:space="preserve"> and the National Irrigation Master Plan</w:t>
      </w:r>
      <w:r>
        <w:t xml:space="preserve">. In addition, for the purposes of the projections it is assumed that total public investment in the oil sector will be just under $1bn – reflecting assumed contributions towards the oil refinery, pipeline and petroleum reserve infrastructure – spread evenly between FY14/15 and FY19/20. The projections also assume that GoU will bear 20 per cent of the cost of the recently-announced standard gauge railway; any further public </w:t>
      </w:r>
      <w:r w:rsidRPr="00B84CCE">
        <w:t>contribution would likely lead to a concomitant increase in the fiscal deficit and financing requirement.</w:t>
      </w:r>
    </w:p>
  </w:footnote>
  <w:footnote w:id="110">
    <w:p w:rsidR="001237DB" w:rsidRDefault="001237DB" w:rsidP="00386AF4">
      <w:pPr>
        <w:pStyle w:val="FootnoteText"/>
      </w:pPr>
      <w:r w:rsidRPr="00B84CCE">
        <w:rPr>
          <w:rStyle w:val="FootnoteReference"/>
        </w:rPr>
        <w:footnoteRef/>
      </w:r>
      <w:r w:rsidRPr="00B84CCE">
        <w:t xml:space="preserve"> The projections also incorporate an increase in expenditure on maintenance</w:t>
      </w:r>
      <w:r>
        <w:t>,</w:t>
      </w:r>
      <w:r w:rsidRPr="00B84CCE">
        <w:t xml:space="preserve"> linked to the increase in the stock of public infrastructure.</w:t>
      </w:r>
    </w:p>
  </w:footnote>
  <w:footnote w:id="111">
    <w:p w:rsidR="001237DB" w:rsidRDefault="001237DB">
      <w:pPr>
        <w:pStyle w:val="FootnoteText"/>
      </w:pPr>
      <w:r>
        <w:rPr>
          <w:rStyle w:val="FootnoteReference"/>
        </w:rPr>
        <w:footnoteRef/>
      </w:r>
      <w:r>
        <w:t xml:space="preserve"> Taken from MoFPED (2013c), this is based on an illustrative financing strategy in which the domestic debt to GDP ratio is held broadly constant, concessional lending and GoU drawdowns of its balances with BoU evolve broadly as assumed in section 3.3.2 of this paper, and remaining financing requirements are met with commercial external borrowing.</w:t>
      </w:r>
    </w:p>
  </w:footnote>
  <w:footnote w:id="112">
    <w:p w:rsidR="001237DB" w:rsidRDefault="001237DB" w:rsidP="00DE39E5">
      <w:pPr>
        <w:pStyle w:val="FootnoteText"/>
      </w:pPr>
      <w:r>
        <w:rPr>
          <w:rStyle w:val="FootnoteReference"/>
        </w:rPr>
        <w:footnoteRef/>
      </w:r>
      <w:r>
        <w:t xml:space="preserve"> Note that it is also assumed that there is no Treasury securities issuance required for monetary policy purposes over the projection period. It is also assumed that seignorage revenues will be zero over the projection period (for further discussion, see the footnote to Section 2.6).</w:t>
      </w:r>
    </w:p>
  </w:footnote>
  <w:footnote w:id="113">
    <w:p w:rsidR="001237DB" w:rsidRDefault="001237DB">
      <w:pPr>
        <w:pStyle w:val="FootnoteText"/>
      </w:pPr>
      <w:r>
        <w:rPr>
          <w:rStyle w:val="FootnoteReference"/>
        </w:rPr>
        <w:footnoteRef/>
      </w:r>
      <w:r>
        <w:t xml:space="preserve"> See Section 2.4 for further discussion of this projection.</w:t>
      </w:r>
    </w:p>
  </w:footnote>
  <w:footnote w:id="114">
    <w:p w:rsidR="001237DB" w:rsidRDefault="001237DB">
      <w:pPr>
        <w:pStyle w:val="FootnoteText"/>
      </w:pPr>
      <w:r>
        <w:rPr>
          <w:rStyle w:val="FootnoteReference"/>
        </w:rPr>
        <w:footnoteRef/>
      </w:r>
      <w:r>
        <w:t xml:space="preserve"> Note that the key macroeconomic assumptions underlying these projections are that nominal GDP grows at around 12 per cent per annum (broadly reflecting trend real GDP growth of 7 per cent, and inflation of 5 per cent in line with the BoU’s core inflation target), and that the Shilling depreciates against the US$ by 3 per cent each year (reflecting the difference in expected inflation levels).</w:t>
      </w:r>
    </w:p>
  </w:footnote>
  <w:footnote w:id="115">
    <w:p w:rsidR="001237DB" w:rsidRDefault="001237DB">
      <w:pPr>
        <w:pStyle w:val="FootnoteText"/>
      </w:pPr>
      <w:r>
        <w:rPr>
          <w:rStyle w:val="FootnoteReference"/>
        </w:rPr>
        <w:footnoteRef/>
      </w:r>
      <w:r>
        <w:t xml:space="preserve"> These are: a 3 per cent fixed interest rate, 20 year maturity, and a 5 year grace period.</w:t>
      </w:r>
    </w:p>
  </w:footnote>
  <w:footnote w:id="116">
    <w:p w:rsidR="001237DB" w:rsidRDefault="001237DB" w:rsidP="006138EF">
      <w:pPr>
        <w:pStyle w:val="FootnoteText"/>
      </w:pPr>
      <w:r>
        <w:rPr>
          <w:rStyle w:val="FootnoteReference"/>
        </w:rPr>
        <w:footnoteRef/>
      </w:r>
      <w:r>
        <w:t xml:space="preserve"> N</w:t>
      </w:r>
      <w:r w:rsidRPr="008467B8">
        <w:t xml:space="preserve">ote that we take the financing in FY13/14 as given – as per GoU’s Budget FY13/14 plans </w:t>
      </w:r>
      <w:r>
        <w:t>(MoFPED 2013a).</w:t>
      </w:r>
    </w:p>
  </w:footnote>
  <w:footnote w:id="117">
    <w:p w:rsidR="001237DB" w:rsidRDefault="001237DB">
      <w:pPr>
        <w:pStyle w:val="FootnoteText"/>
      </w:pPr>
      <w:r>
        <w:rPr>
          <w:rStyle w:val="FootnoteReference"/>
        </w:rPr>
        <w:footnoteRef/>
      </w:r>
      <w:r>
        <w:t xml:space="preserve"> For the purpose of the analysis in this section, it is assumed Uganda would issue Eurobonds of 10-year maturity. This is consistent with the majority of SSA issues to date, and implies redemption beyond the projection period. </w:t>
      </w:r>
    </w:p>
  </w:footnote>
  <w:footnote w:id="118">
    <w:p w:rsidR="001237DB" w:rsidRDefault="001237DB">
      <w:pPr>
        <w:pStyle w:val="FootnoteText"/>
      </w:pPr>
      <w:r>
        <w:rPr>
          <w:rStyle w:val="FootnoteReference"/>
        </w:rPr>
        <w:footnoteRef/>
      </w:r>
      <w:r>
        <w:t xml:space="preserve"> In this scenario, it is assumed the Eurobond issue would be conducted in FY17/18 – reflecting the profile of the annual financing requirements set out in Figure 3.2, and our other financing assumptions set out above.</w:t>
      </w:r>
    </w:p>
  </w:footnote>
  <w:footnote w:id="119">
    <w:p w:rsidR="001237DB" w:rsidRDefault="001237DB">
      <w:pPr>
        <w:pStyle w:val="FootnoteText"/>
      </w:pPr>
      <w:r>
        <w:rPr>
          <w:rStyle w:val="FootnoteReference"/>
        </w:rPr>
        <w:footnoteRef/>
      </w:r>
      <w:r>
        <w:t xml:space="preserve"> It is assumed this would be conducted in FY17/18, as in S2.</w:t>
      </w:r>
    </w:p>
  </w:footnote>
  <w:footnote w:id="120">
    <w:p w:rsidR="001237DB" w:rsidRDefault="001237DB" w:rsidP="00A908F9">
      <w:pPr>
        <w:pStyle w:val="FootnoteText"/>
      </w:pPr>
      <w:r>
        <w:rPr>
          <w:rStyle w:val="FootnoteReference"/>
        </w:rPr>
        <w:footnoteRef/>
      </w:r>
      <w:r>
        <w:t xml:space="preserve"> See World Bank and IMF (2009).</w:t>
      </w:r>
    </w:p>
  </w:footnote>
  <w:footnote w:id="121">
    <w:p w:rsidR="001237DB" w:rsidRDefault="001237DB" w:rsidP="00877E6C">
      <w:pPr>
        <w:pStyle w:val="FootnoteText"/>
      </w:pPr>
      <w:r>
        <w:rPr>
          <w:rStyle w:val="FootnoteReference"/>
        </w:rPr>
        <w:footnoteRef/>
      </w:r>
      <w:r>
        <w:t xml:space="preserve"> Specifically, the user inputs data on the current debt portfolio and a set of macroeconomic, financial and fiscal forecasts (including the primary deficit, nominal GDP, exchange rate, domestic interest rates, US Treasury interest rates and sovereign spread). For the projections in this chapter, the primary deficit was as set out in Section 3.3.1, nominal GDP is assumed to grow at 12 per cent per year, the Shilling is assumed to depreciate against the US$ by 3 per cent per year, Ugandan </w:t>
      </w:r>
      <w:r w:rsidRPr="00A908F9">
        <w:t>government yields were assumed to remain unchanged throughout the projection period at levels around that of 5</w:t>
      </w:r>
      <w:r w:rsidRPr="00A908F9">
        <w:rPr>
          <w:vertAlign w:val="superscript"/>
        </w:rPr>
        <w:t>th</w:t>
      </w:r>
      <w:r w:rsidRPr="00A908F9">
        <w:t xml:space="preserve"> December 2013, whilst US Treasury yields were assumed to rise as implied by the forward curve as at 5</w:t>
      </w:r>
      <w:r w:rsidRPr="00A908F9">
        <w:rPr>
          <w:vertAlign w:val="superscript"/>
        </w:rPr>
        <w:t>th</w:t>
      </w:r>
      <w:r w:rsidRPr="00A908F9">
        <w:t xml:space="preserve"> December 2013. The spread on a Ugandan 10-year Eurobond is assumed to be </w:t>
      </w:r>
      <w:r>
        <w:t>480 basis point</w:t>
      </w:r>
      <w:r w:rsidRPr="00A908F9">
        <w:t xml:space="preserve">s (the average of the Zambian, Rwandan and Ghanaian spreads as at </w:t>
      </w:r>
      <w:r>
        <w:t>5</w:t>
      </w:r>
      <w:r w:rsidRPr="00A908F9">
        <w:rPr>
          <w:vertAlign w:val="superscript"/>
        </w:rPr>
        <w:t>th</w:t>
      </w:r>
      <w:r>
        <w:t xml:space="preserve"> December 2013</w:t>
      </w:r>
      <w:r w:rsidRPr="00A908F9">
        <w:t>).</w:t>
      </w:r>
    </w:p>
  </w:footnote>
  <w:footnote w:id="122">
    <w:p w:rsidR="001237DB" w:rsidRDefault="001237DB">
      <w:pPr>
        <w:pStyle w:val="FootnoteText"/>
      </w:pPr>
      <w:r>
        <w:rPr>
          <w:rStyle w:val="FootnoteReference"/>
        </w:rPr>
        <w:footnoteRef/>
      </w:r>
      <w:r>
        <w:t xml:space="preserve"> A</w:t>
      </w:r>
      <w:r w:rsidRPr="00C66633">
        <w:t xml:space="preserve"> comprehensive assessment should include trying different sets of macroeconomic assumptions and severity of shocks</w:t>
      </w:r>
      <w:r>
        <w:t>.</w:t>
      </w:r>
    </w:p>
  </w:footnote>
  <w:footnote w:id="123">
    <w:p w:rsidR="001237DB" w:rsidRDefault="001237DB" w:rsidP="005B5D39">
      <w:pPr>
        <w:pStyle w:val="FootnoteText"/>
      </w:pPr>
      <w:r>
        <w:rPr>
          <w:rStyle w:val="FootnoteReference"/>
        </w:rPr>
        <w:footnoteRef/>
      </w:r>
      <w:r>
        <w:t xml:space="preserve"> The simple measure of ‘risk’ in the MTDS tool is calculated as the maximum deviation of the indicator in question from its central projected value, from four shock scenarios – here, these were: a 30 per cent currency devaluation in FY14/15; a domestic interest rate shock (in which Ugandan Treasury yields rise to similar levels as of early-2012) in FY14/15; a global interest rate shock (in which US 10-year Treasury yields rise by 300 basis points in FY16/17, and remain elevated for the next two years), and a combination of a 15 per cent depreciation in FY14/15 and the domestic interest rate shock. </w:t>
      </w:r>
    </w:p>
  </w:footnote>
  <w:footnote w:id="124">
    <w:p w:rsidR="001237DB" w:rsidRDefault="001237DB">
      <w:pPr>
        <w:pStyle w:val="FootnoteText"/>
      </w:pPr>
      <w:r>
        <w:rPr>
          <w:rStyle w:val="FootnoteReference"/>
        </w:rPr>
        <w:footnoteRef/>
      </w:r>
      <w:r>
        <w:t xml:space="preserve"> Further model outputs are provided in Annex 1.</w:t>
      </w:r>
    </w:p>
  </w:footnote>
  <w:footnote w:id="125">
    <w:p w:rsidR="001237DB" w:rsidRPr="00E017E3" w:rsidRDefault="001237DB" w:rsidP="00A51CD9">
      <w:pPr>
        <w:pStyle w:val="FootnoteText"/>
      </w:pPr>
      <w:r>
        <w:rPr>
          <w:rStyle w:val="FootnoteReference"/>
        </w:rPr>
        <w:footnoteRef/>
      </w:r>
      <w:r>
        <w:t xml:space="preserve"> The one exception is that the share of foreign currency-denominated debt in total debt is larger where semi-concessional financing is higher, reflecti</w:t>
      </w:r>
      <w:r w:rsidRPr="00E017E3">
        <w:t>ng lower recourse to domestic borrowing; however, the modelling suggests this source of risk is in effect offset by the greater spread of repayments.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D4"/>
    <w:multiLevelType w:val="hybridMultilevel"/>
    <w:tmpl w:val="AEA2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550F8"/>
    <w:multiLevelType w:val="hybridMultilevel"/>
    <w:tmpl w:val="10FCDAD2"/>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47413E"/>
    <w:multiLevelType w:val="multilevel"/>
    <w:tmpl w:val="77EC0ADC"/>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3142A68"/>
    <w:multiLevelType w:val="hybridMultilevel"/>
    <w:tmpl w:val="12BE7A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86C41"/>
    <w:multiLevelType w:val="hybridMultilevel"/>
    <w:tmpl w:val="AB240E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63021C"/>
    <w:multiLevelType w:val="hybridMultilevel"/>
    <w:tmpl w:val="344ED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A2314E"/>
    <w:multiLevelType w:val="hybridMultilevel"/>
    <w:tmpl w:val="548E48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85D9F"/>
    <w:multiLevelType w:val="hybridMultilevel"/>
    <w:tmpl w:val="E340C800"/>
    <w:lvl w:ilvl="0" w:tplc="C5606DB2">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56228"/>
    <w:multiLevelType w:val="hybridMultilevel"/>
    <w:tmpl w:val="A65822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49732C"/>
    <w:multiLevelType w:val="hybridMultilevel"/>
    <w:tmpl w:val="8E3AB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D66D70"/>
    <w:multiLevelType w:val="multilevel"/>
    <w:tmpl w:val="0BF4CD3E"/>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4D935335"/>
    <w:multiLevelType w:val="hybridMultilevel"/>
    <w:tmpl w:val="B19A1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A5523A"/>
    <w:multiLevelType w:val="hybridMultilevel"/>
    <w:tmpl w:val="5E541F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002C5"/>
    <w:multiLevelType w:val="hybridMultilevel"/>
    <w:tmpl w:val="50309B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E20CCE"/>
    <w:multiLevelType w:val="hybridMultilevel"/>
    <w:tmpl w:val="D5FA7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6C6773"/>
    <w:multiLevelType w:val="hybridMultilevel"/>
    <w:tmpl w:val="EE9A261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D83D2B"/>
    <w:multiLevelType w:val="hybridMultilevel"/>
    <w:tmpl w:val="C8A4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934BE"/>
    <w:multiLevelType w:val="hybridMultilevel"/>
    <w:tmpl w:val="5BA8B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D76F18"/>
    <w:multiLevelType w:val="hybridMultilevel"/>
    <w:tmpl w:val="7096BD9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D97390"/>
    <w:multiLevelType w:val="hybridMultilevel"/>
    <w:tmpl w:val="66EC099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F351993"/>
    <w:multiLevelType w:val="hybridMultilevel"/>
    <w:tmpl w:val="1FF68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857FB0"/>
    <w:multiLevelType w:val="hybridMultilevel"/>
    <w:tmpl w:val="D49CEE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CE2C5A"/>
    <w:multiLevelType w:val="hybridMultilevel"/>
    <w:tmpl w:val="6F081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961F61"/>
    <w:multiLevelType w:val="multilevel"/>
    <w:tmpl w:val="0BF4CD3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7F9F4272"/>
    <w:multiLevelType w:val="hybridMultilevel"/>
    <w:tmpl w:val="A00C7B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3"/>
  </w:num>
  <w:num w:numId="3">
    <w:abstractNumId w:val="4"/>
  </w:num>
  <w:num w:numId="4">
    <w:abstractNumId w:val="6"/>
  </w:num>
  <w:num w:numId="5">
    <w:abstractNumId w:val="11"/>
  </w:num>
  <w:num w:numId="6">
    <w:abstractNumId w:val="5"/>
  </w:num>
  <w:num w:numId="7">
    <w:abstractNumId w:val="9"/>
  </w:num>
  <w:num w:numId="8">
    <w:abstractNumId w:val="23"/>
  </w:num>
  <w:num w:numId="9">
    <w:abstractNumId w:val="7"/>
  </w:num>
  <w:num w:numId="10">
    <w:abstractNumId w:val="22"/>
  </w:num>
  <w:num w:numId="11">
    <w:abstractNumId w:val="2"/>
  </w:num>
  <w:num w:numId="12">
    <w:abstractNumId w:val="24"/>
  </w:num>
  <w:num w:numId="13">
    <w:abstractNumId w:val="19"/>
  </w:num>
  <w:num w:numId="14">
    <w:abstractNumId w:val="8"/>
  </w:num>
  <w:num w:numId="15">
    <w:abstractNumId w:val="17"/>
  </w:num>
  <w:num w:numId="16">
    <w:abstractNumId w:val="21"/>
  </w:num>
  <w:num w:numId="17">
    <w:abstractNumId w:val="12"/>
  </w:num>
  <w:num w:numId="18">
    <w:abstractNumId w:val="3"/>
  </w:num>
  <w:num w:numId="19">
    <w:abstractNumId w:val="1"/>
  </w:num>
  <w:num w:numId="20">
    <w:abstractNumId w:val="15"/>
  </w:num>
  <w:num w:numId="21">
    <w:abstractNumId w:val="18"/>
  </w:num>
  <w:num w:numId="22">
    <w:abstractNumId w:val="16"/>
  </w:num>
  <w:num w:numId="23">
    <w:abstractNumId w:val="10"/>
  </w:num>
  <w:num w:numId="24">
    <w:abstractNumId w:val="14"/>
  </w:num>
  <w:num w:numId="2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EF4"/>
    <w:rsid w:val="00000041"/>
    <w:rsid w:val="00000149"/>
    <w:rsid w:val="0000031A"/>
    <w:rsid w:val="00000791"/>
    <w:rsid w:val="00000F7B"/>
    <w:rsid w:val="0000171B"/>
    <w:rsid w:val="0000204E"/>
    <w:rsid w:val="000025B1"/>
    <w:rsid w:val="00003042"/>
    <w:rsid w:val="00003554"/>
    <w:rsid w:val="00003C68"/>
    <w:rsid w:val="00003CBD"/>
    <w:rsid w:val="0000433E"/>
    <w:rsid w:val="0000453F"/>
    <w:rsid w:val="00004C54"/>
    <w:rsid w:val="00005D43"/>
    <w:rsid w:val="00006704"/>
    <w:rsid w:val="0000674D"/>
    <w:rsid w:val="00006843"/>
    <w:rsid w:val="00006D33"/>
    <w:rsid w:val="00007406"/>
    <w:rsid w:val="000108E0"/>
    <w:rsid w:val="000109BA"/>
    <w:rsid w:val="00010ACF"/>
    <w:rsid w:val="00010B76"/>
    <w:rsid w:val="00010C75"/>
    <w:rsid w:val="0001134B"/>
    <w:rsid w:val="000113DD"/>
    <w:rsid w:val="00011831"/>
    <w:rsid w:val="00011B42"/>
    <w:rsid w:val="0001216C"/>
    <w:rsid w:val="000125FD"/>
    <w:rsid w:val="00012EE7"/>
    <w:rsid w:val="00012F17"/>
    <w:rsid w:val="00013EF9"/>
    <w:rsid w:val="00014238"/>
    <w:rsid w:val="00014532"/>
    <w:rsid w:val="00014CAA"/>
    <w:rsid w:val="00014EC7"/>
    <w:rsid w:val="0001514E"/>
    <w:rsid w:val="00015152"/>
    <w:rsid w:val="0001575C"/>
    <w:rsid w:val="00015C48"/>
    <w:rsid w:val="000162F4"/>
    <w:rsid w:val="000166EE"/>
    <w:rsid w:val="00016822"/>
    <w:rsid w:val="00017E88"/>
    <w:rsid w:val="00020352"/>
    <w:rsid w:val="00020AF4"/>
    <w:rsid w:val="00020E0D"/>
    <w:rsid w:val="00021654"/>
    <w:rsid w:val="00021657"/>
    <w:rsid w:val="000221BB"/>
    <w:rsid w:val="00022259"/>
    <w:rsid w:val="00022931"/>
    <w:rsid w:val="0002331B"/>
    <w:rsid w:val="00023480"/>
    <w:rsid w:val="00023D16"/>
    <w:rsid w:val="00023FAE"/>
    <w:rsid w:val="00024296"/>
    <w:rsid w:val="00024475"/>
    <w:rsid w:val="000259B4"/>
    <w:rsid w:val="00025BCE"/>
    <w:rsid w:val="00026ECA"/>
    <w:rsid w:val="00027058"/>
    <w:rsid w:val="00027497"/>
    <w:rsid w:val="00027EC6"/>
    <w:rsid w:val="00030241"/>
    <w:rsid w:val="000306CD"/>
    <w:rsid w:val="00031026"/>
    <w:rsid w:val="00031C0D"/>
    <w:rsid w:val="00031C86"/>
    <w:rsid w:val="00034F2A"/>
    <w:rsid w:val="00034FE8"/>
    <w:rsid w:val="00034FF3"/>
    <w:rsid w:val="00035569"/>
    <w:rsid w:val="000356EE"/>
    <w:rsid w:val="000363E7"/>
    <w:rsid w:val="0003670D"/>
    <w:rsid w:val="000367A9"/>
    <w:rsid w:val="00042546"/>
    <w:rsid w:val="00042AA8"/>
    <w:rsid w:val="00042D40"/>
    <w:rsid w:val="00043174"/>
    <w:rsid w:val="00043F90"/>
    <w:rsid w:val="00044301"/>
    <w:rsid w:val="00045189"/>
    <w:rsid w:val="00045558"/>
    <w:rsid w:val="00045AEF"/>
    <w:rsid w:val="00045D7F"/>
    <w:rsid w:val="00045E4B"/>
    <w:rsid w:val="000461EB"/>
    <w:rsid w:val="000462F6"/>
    <w:rsid w:val="0004695D"/>
    <w:rsid w:val="000471D2"/>
    <w:rsid w:val="000474F4"/>
    <w:rsid w:val="00047BE9"/>
    <w:rsid w:val="000506AE"/>
    <w:rsid w:val="000509E1"/>
    <w:rsid w:val="00050A56"/>
    <w:rsid w:val="0005140C"/>
    <w:rsid w:val="00051925"/>
    <w:rsid w:val="00051BA0"/>
    <w:rsid w:val="0005275C"/>
    <w:rsid w:val="00052A12"/>
    <w:rsid w:val="00052E81"/>
    <w:rsid w:val="00053514"/>
    <w:rsid w:val="0005369F"/>
    <w:rsid w:val="000540D1"/>
    <w:rsid w:val="000540F4"/>
    <w:rsid w:val="0005438D"/>
    <w:rsid w:val="00054D5F"/>
    <w:rsid w:val="000557FE"/>
    <w:rsid w:val="00055830"/>
    <w:rsid w:val="000561C4"/>
    <w:rsid w:val="00057553"/>
    <w:rsid w:val="000578F7"/>
    <w:rsid w:val="00060BA5"/>
    <w:rsid w:val="00060DFC"/>
    <w:rsid w:val="000614B1"/>
    <w:rsid w:val="000615F3"/>
    <w:rsid w:val="0006168C"/>
    <w:rsid w:val="000619EA"/>
    <w:rsid w:val="00061CB6"/>
    <w:rsid w:val="00061D39"/>
    <w:rsid w:val="0006268E"/>
    <w:rsid w:val="000629F0"/>
    <w:rsid w:val="000635E1"/>
    <w:rsid w:val="00065242"/>
    <w:rsid w:val="00065454"/>
    <w:rsid w:val="00065571"/>
    <w:rsid w:val="0006651F"/>
    <w:rsid w:val="00066AC8"/>
    <w:rsid w:val="0006729E"/>
    <w:rsid w:val="0006771B"/>
    <w:rsid w:val="000677B6"/>
    <w:rsid w:val="00067CE7"/>
    <w:rsid w:val="00070090"/>
    <w:rsid w:val="00070B5A"/>
    <w:rsid w:val="000710C8"/>
    <w:rsid w:val="000716DC"/>
    <w:rsid w:val="00071C5C"/>
    <w:rsid w:val="00073E15"/>
    <w:rsid w:val="00073F26"/>
    <w:rsid w:val="0007414E"/>
    <w:rsid w:val="000759FE"/>
    <w:rsid w:val="00076868"/>
    <w:rsid w:val="00076EE9"/>
    <w:rsid w:val="0007709E"/>
    <w:rsid w:val="0007747C"/>
    <w:rsid w:val="000775A9"/>
    <w:rsid w:val="0007776E"/>
    <w:rsid w:val="00077F64"/>
    <w:rsid w:val="000804F8"/>
    <w:rsid w:val="00080502"/>
    <w:rsid w:val="000805E2"/>
    <w:rsid w:val="0008060E"/>
    <w:rsid w:val="00080671"/>
    <w:rsid w:val="00080701"/>
    <w:rsid w:val="0008087B"/>
    <w:rsid w:val="00080CF0"/>
    <w:rsid w:val="00081559"/>
    <w:rsid w:val="0008180A"/>
    <w:rsid w:val="0008191E"/>
    <w:rsid w:val="00081EB6"/>
    <w:rsid w:val="00082EC1"/>
    <w:rsid w:val="000832FD"/>
    <w:rsid w:val="00083F23"/>
    <w:rsid w:val="00084421"/>
    <w:rsid w:val="00085056"/>
    <w:rsid w:val="0008525E"/>
    <w:rsid w:val="000852BD"/>
    <w:rsid w:val="0008543F"/>
    <w:rsid w:val="0008658A"/>
    <w:rsid w:val="00086A3C"/>
    <w:rsid w:val="00086C96"/>
    <w:rsid w:val="00086F11"/>
    <w:rsid w:val="000874A9"/>
    <w:rsid w:val="0008782E"/>
    <w:rsid w:val="00090167"/>
    <w:rsid w:val="0009033D"/>
    <w:rsid w:val="0009100F"/>
    <w:rsid w:val="0009187C"/>
    <w:rsid w:val="000922FD"/>
    <w:rsid w:val="00092722"/>
    <w:rsid w:val="00092808"/>
    <w:rsid w:val="000928B8"/>
    <w:rsid w:val="00092A72"/>
    <w:rsid w:val="00093652"/>
    <w:rsid w:val="00093EB8"/>
    <w:rsid w:val="00094104"/>
    <w:rsid w:val="00094394"/>
    <w:rsid w:val="0009449F"/>
    <w:rsid w:val="00094B9C"/>
    <w:rsid w:val="00095174"/>
    <w:rsid w:val="000956D7"/>
    <w:rsid w:val="00095F03"/>
    <w:rsid w:val="0009601F"/>
    <w:rsid w:val="00096323"/>
    <w:rsid w:val="0009646B"/>
    <w:rsid w:val="0009713D"/>
    <w:rsid w:val="0009731F"/>
    <w:rsid w:val="000A01F6"/>
    <w:rsid w:val="000A06CE"/>
    <w:rsid w:val="000A09B1"/>
    <w:rsid w:val="000A0E94"/>
    <w:rsid w:val="000A138B"/>
    <w:rsid w:val="000A2596"/>
    <w:rsid w:val="000A2AA7"/>
    <w:rsid w:val="000A342F"/>
    <w:rsid w:val="000A42A5"/>
    <w:rsid w:val="000A540F"/>
    <w:rsid w:val="000A5863"/>
    <w:rsid w:val="000A5E58"/>
    <w:rsid w:val="000A6044"/>
    <w:rsid w:val="000A626D"/>
    <w:rsid w:val="000A75B1"/>
    <w:rsid w:val="000A75D4"/>
    <w:rsid w:val="000B02C8"/>
    <w:rsid w:val="000B0BCE"/>
    <w:rsid w:val="000B212E"/>
    <w:rsid w:val="000B213E"/>
    <w:rsid w:val="000B30CB"/>
    <w:rsid w:val="000B33EB"/>
    <w:rsid w:val="000B3520"/>
    <w:rsid w:val="000B4E8A"/>
    <w:rsid w:val="000B568C"/>
    <w:rsid w:val="000B5984"/>
    <w:rsid w:val="000B5C7E"/>
    <w:rsid w:val="000B5CC2"/>
    <w:rsid w:val="000B5F44"/>
    <w:rsid w:val="000C04E4"/>
    <w:rsid w:val="000C06CC"/>
    <w:rsid w:val="000C0864"/>
    <w:rsid w:val="000C0AE5"/>
    <w:rsid w:val="000C21C0"/>
    <w:rsid w:val="000C250B"/>
    <w:rsid w:val="000C2648"/>
    <w:rsid w:val="000C30F3"/>
    <w:rsid w:val="000C3126"/>
    <w:rsid w:val="000C38F2"/>
    <w:rsid w:val="000C39EA"/>
    <w:rsid w:val="000C3B03"/>
    <w:rsid w:val="000C3D98"/>
    <w:rsid w:val="000C3E91"/>
    <w:rsid w:val="000C4893"/>
    <w:rsid w:val="000C4BD1"/>
    <w:rsid w:val="000C4BF8"/>
    <w:rsid w:val="000C50F2"/>
    <w:rsid w:val="000C5DCF"/>
    <w:rsid w:val="000C694C"/>
    <w:rsid w:val="000C70D1"/>
    <w:rsid w:val="000C7F98"/>
    <w:rsid w:val="000D16EA"/>
    <w:rsid w:val="000D1D01"/>
    <w:rsid w:val="000D1E51"/>
    <w:rsid w:val="000D3D58"/>
    <w:rsid w:val="000D40D0"/>
    <w:rsid w:val="000D4130"/>
    <w:rsid w:val="000D4CC3"/>
    <w:rsid w:val="000D58CE"/>
    <w:rsid w:val="000D59ED"/>
    <w:rsid w:val="000D5B53"/>
    <w:rsid w:val="000D7000"/>
    <w:rsid w:val="000D711E"/>
    <w:rsid w:val="000D74A6"/>
    <w:rsid w:val="000D76E8"/>
    <w:rsid w:val="000E04D1"/>
    <w:rsid w:val="000E1219"/>
    <w:rsid w:val="000E1876"/>
    <w:rsid w:val="000E1B3A"/>
    <w:rsid w:val="000E20F5"/>
    <w:rsid w:val="000E2F94"/>
    <w:rsid w:val="000E33B3"/>
    <w:rsid w:val="000E3F85"/>
    <w:rsid w:val="000E3FAF"/>
    <w:rsid w:val="000E49EA"/>
    <w:rsid w:val="000E5CB9"/>
    <w:rsid w:val="000E5F42"/>
    <w:rsid w:val="000E6574"/>
    <w:rsid w:val="000E6D8A"/>
    <w:rsid w:val="000E6E96"/>
    <w:rsid w:val="000E7EA4"/>
    <w:rsid w:val="000F0793"/>
    <w:rsid w:val="000F1971"/>
    <w:rsid w:val="000F1C02"/>
    <w:rsid w:val="000F1F9E"/>
    <w:rsid w:val="000F2055"/>
    <w:rsid w:val="000F236F"/>
    <w:rsid w:val="000F299F"/>
    <w:rsid w:val="000F2D71"/>
    <w:rsid w:val="000F32CB"/>
    <w:rsid w:val="000F3466"/>
    <w:rsid w:val="000F3F18"/>
    <w:rsid w:val="000F4409"/>
    <w:rsid w:val="000F4DFB"/>
    <w:rsid w:val="000F4FCC"/>
    <w:rsid w:val="000F54F9"/>
    <w:rsid w:val="000F57D8"/>
    <w:rsid w:val="000F590F"/>
    <w:rsid w:val="000F5CBA"/>
    <w:rsid w:val="000F6607"/>
    <w:rsid w:val="000F69D1"/>
    <w:rsid w:val="000F7075"/>
    <w:rsid w:val="000F7549"/>
    <w:rsid w:val="000F7555"/>
    <w:rsid w:val="000F7A3A"/>
    <w:rsid w:val="0010083E"/>
    <w:rsid w:val="00100924"/>
    <w:rsid w:val="00100936"/>
    <w:rsid w:val="00101639"/>
    <w:rsid w:val="00101D58"/>
    <w:rsid w:val="00101DF8"/>
    <w:rsid w:val="00102789"/>
    <w:rsid w:val="00103903"/>
    <w:rsid w:val="00103C7A"/>
    <w:rsid w:val="00103FEE"/>
    <w:rsid w:val="001061D0"/>
    <w:rsid w:val="001075EF"/>
    <w:rsid w:val="001076B6"/>
    <w:rsid w:val="0010774C"/>
    <w:rsid w:val="0010788F"/>
    <w:rsid w:val="00110504"/>
    <w:rsid w:val="00110942"/>
    <w:rsid w:val="00110AEB"/>
    <w:rsid w:val="00110FA4"/>
    <w:rsid w:val="00112331"/>
    <w:rsid w:val="001124B2"/>
    <w:rsid w:val="00113013"/>
    <w:rsid w:val="00113085"/>
    <w:rsid w:val="00113644"/>
    <w:rsid w:val="0011434D"/>
    <w:rsid w:val="00114954"/>
    <w:rsid w:val="00114D31"/>
    <w:rsid w:val="0011574C"/>
    <w:rsid w:val="00115C69"/>
    <w:rsid w:val="00115FFC"/>
    <w:rsid w:val="001161AB"/>
    <w:rsid w:val="001166E8"/>
    <w:rsid w:val="00117690"/>
    <w:rsid w:val="00117BCD"/>
    <w:rsid w:val="00117CC6"/>
    <w:rsid w:val="00117F24"/>
    <w:rsid w:val="0012010B"/>
    <w:rsid w:val="00121086"/>
    <w:rsid w:val="0012159B"/>
    <w:rsid w:val="00121E30"/>
    <w:rsid w:val="0012329C"/>
    <w:rsid w:val="001235D8"/>
    <w:rsid w:val="00123653"/>
    <w:rsid w:val="001237DB"/>
    <w:rsid w:val="00123DAB"/>
    <w:rsid w:val="00124384"/>
    <w:rsid w:val="00125891"/>
    <w:rsid w:val="00125A27"/>
    <w:rsid w:val="00125B42"/>
    <w:rsid w:val="00125C6E"/>
    <w:rsid w:val="0012637D"/>
    <w:rsid w:val="00126C8D"/>
    <w:rsid w:val="00127796"/>
    <w:rsid w:val="001277F5"/>
    <w:rsid w:val="00127C93"/>
    <w:rsid w:val="00130B43"/>
    <w:rsid w:val="00131693"/>
    <w:rsid w:val="00135004"/>
    <w:rsid w:val="00135F86"/>
    <w:rsid w:val="001374C0"/>
    <w:rsid w:val="00137547"/>
    <w:rsid w:val="0013776C"/>
    <w:rsid w:val="00137BFA"/>
    <w:rsid w:val="00137CC9"/>
    <w:rsid w:val="001403CF"/>
    <w:rsid w:val="0014065D"/>
    <w:rsid w:val="00140E3C"/>
    <w:rsid w:val="0014209A"/>
    <w:rsid w:val="001421A2"/>
    <w:rsid w:val="0014255B"/>
    <w:rsid w:val="001437AD"/>
    <w:rsid w:val="00143B46"/>
    <w:rsid w:val="00143B6D"/>
    <w:rsid w:val="00143D22"/>
    <w:rsid w:val="00143E40"/>
    <w:rsid w:val="0014403A"/>
    <w:rsid w:val="001455BC"/>
    <w:rsid w:val="0014648D"/>
    <w:rsid w:val="001465A1"/>
    <w:rsid w:val="0014796C"/>
    <w:rsid w:val="00150836"/>
    <w:rsid w:val="00151A2F"/>
    <w:rsid w:val="00151F68"/>
    <w:rsid w:val="00151FED"/>
    <w:rsid w:val="0015270A"/>
    <w:rsid w:val="0015285A"/>
    <w:rsid w:val="00153159"/>
    <w:rsid w:val="00154A3F"/>
    <w:rsid w:val="00154F9F"/>
    <w:rsid w:val="001559AE"/>
    <w:rsid w:val="00155B7A"/>
    <w:rsid w:val="00155C70"/>
    <w:rsid w:val="00155DC8"/>
    <w:rsid w:val="00155E3B"/>
    <w:rsid w:val="001562AD"/>
    <w:rsid w:val="001576F2"/>
    <w:rsid w:val="00157A90"/>
    <w:rsid w:val="001601A9"/>
    <w:rsid w:val="00160BA0"/>
    <w:rsid w:val="001613E3"/>
    <w:rsid w:val="0016257B"/>
    <w:rsid w:val="00162629"/>
    <w:rsid w:val="00162AEE"/>
    <w:rsid w:val="00163821"/>
    <w:rsid w:val="00163E77"/>
    <w:rsid w:val="00165948"/>
    <w:rsid w:val="00165968"/>
    <w:rsid w:val="00165F19"/>
    <w:rsid w:val="00165F92"/>
    <w:rsid w:val="00166E07"/>
    <w:rsid w:val="001676D1"/>
    <w:rsid w:val="00167F96"/>
    <w:rsid w:val="00167F99"/>
    <w:rsid w:val="001700D7"/>
    <w:rsid w:val="00170154"/>
    <w:rsid w:val="001702A7"/>
    <w:rsid w:val="00170758"/>
    <w:rsid w:val="00170E23"/>
    <w:rsid w:val="00170F6A"/>
    <w:rsid w:val="001718F4"/>
    <w:rsid w:val="001729C9"/>
    <w:rsid w:val="00172FBE"/>
    <w:rsid w:val="00173668"/>
    <w:rsid w:val="00173902"/>
    <w:rsid w:val="00174732"/>
    <w:rsid w:val="0017497E"/>
    <w:rsid w:val="00174B16"/>
    <w:rsid w:val="00174E79"/>
    <w:rsid w:val="0017660B"/>
    <w:rsid w:val="0017686D"/>
    <w:rsid w:val="00177BFA"/>
    <w:rsid w:val="00177F73"/>
    <w:rsid w:val="0018088B"/>
    <w:rsid w:val="00180BDC"/>
    <w:rsid w:val="00181911"/>
    <w:rsid w:val="00181B5E"/>
    <w:rsid w:val="00182889"/>
    <w:rsid w:val="00183719"/>
    <w:rsid w:val="00183FB6"/>
    <w:rsid w:val="0018406E"/>
    <w:rsid w:val="00184D21"/>
    <w:rsid w:val="001854CD"/>
    <w:rsid w:val="00186BB4"/>
    <w:rsid w:val="00190586"/>
    <w:rsid w:val="0019073E"/>
    <w:rsid w:val="00191B52"/>
    <w:rsid w:val="00192516"/>
    <w:rsid w:val="001926A2"/>
    <w:rsid w:val="001926CC"/>
    <w:rsid w:val="001934F5"/>
    <w:rsid w:val="001938D7"/>
    <w:rsid w:val="00193E0D"/>
    <w:rsid w:val="00194DD8"/>
    <w:rsid w:val="001962D7"/>
    <w:rsid w:val="00196AED"/>
    <w:rsid w:val="00196C3F"/>
    <w:rsid w:val="00196F1B"/>
    <w:rsid w:val="00197C33"/>
    <w:rsid w:val="001A020A"/>
    <w:rsid w:val="001A130F"/>
    <w:rsid w:val="001A1358"/>
    <w:rsid w:val="001A180A"/>
    <w:rsid w:val="001A204A"/>
    <w:rsid w:val="001A28F9"/>
    <w:rsid w:val="001A2B40"/>
    <w:rsid w:val="001A3217"/>
    <w:rsid w:val="001A3A32"/>
    <w:rsid w:val="001A4C58"/>
    <w:rsid w:val="001A4E5B"/>
    <w:rsid w:val="001A4F2B"/>
    <w:rsid w:val="001A4F5B"/>
    <w:rsid w:val="001A535A"/>
    <w:rsid w:val="001A5884"/>
    <w:rsid w:val="001A64DE"/>
    <w:rsid w:val="001B0545"/>
    <w:rsid w:val="001B0B99"/>
    <w:rsid w:val="001B0FB8"/>
    <w:rsid w:val="001B34F3"/>
    <w:rsid w:val="001B3527"/>
    <w:rsid w:val="001B352D"/>
    <w:rsid w:val="001B3B39"/>
    <w:rsid w:val="001B3E09"/>
    <w:rsid w:val="001B454D"/>
    <w:rsid w:val="001B4C65"/>
    <w:rsid w:val="001B4DF0"/>
    <w:rsid w:val="001B568F"/>
    <w:rsid w:val="001B5A76"/>
    <w:rsid w:val="001B6052"/>
    <w:rsid w:val="001B61B9"/>
    <w:rsid w:val="001B66C5"/>
    <w:rsid w:val="001B7C95"/>
    <w:rsid w:val="001B7CC7"/>
    <w:rsid w:val="001B7D22"/>
    <w:rsid w:val="001C02D7"/>
    <w:rsid w:val="001C0411"/>
    <w:rsid w:val="001C1EC6"/>
    <w:rsid w:val="001C250B"/>
    <w:rsid w:val="001C2576"/>
    <w:rsid w:val="001C28BA"/>
    <w:rsid w:val="001C2D7A"/>
    <w:rsid w:val="001C30ED"/>
    <w:rsid w:val="001C326C"/>
    <w:rsid w:val="001C3613"/>
    <w:rsid w:val="001C367E"/>
    <w:rsid w:val="001C36FA"/>
    <w:rsid w:val="001C3A60"/>
    <w:rsid w:val="001C4360"/>
    <w:rsid w:val="001C550D"/>
    <w:rsid w:val="001C5A92"/>
    <w:rsid w:val="001C5CA6"/>
    <w:rsid w:val="001C5E8F"/>
    <w:rsid w:val="001C5ECF"/>
    <w:rsid w:val="001C61A7"/>
    <w:rsid w:val="001C61C0"/>
    <w:rsid w:val="001C623A"/>
    <w:rsid w:val="001C64BD"/>
    <w:rsid w:val="001C6A79"/>
    <w:rsid w:val="001C6B90"/>
    <w:rsid w:val="001C79EA"/>
    <w:rsid w:val="001C7BE3"/>
    <w:rsid w:val="001C7D66"/>
    <w:rsid w:val="001C7DE0"/>
    <w:rsid w:val="001D026E"/>
    <w:rsid w:val="001D0BDD"/>
    <w:rsid w:val="001D16C9"/>
    <w:rsid w:val="001D19DD"/>
    <w:rsid w:val="001D2816"/>
    <w:rsid w:val="001D2BD6"/>
    <w:rsid w:val="001D2F1E"/>
    <w:rsid w:val="001D32FC"/>
    <w:rsid w:val="001D4D12"/>
    <w:rsid w:val="001D5004"/>
    <w:rsid w:val="001D51EC"/>
    <w:rsid w:val="001D6301"/>
    <w:rsid w:val="001D6C61"/>
    <w:rsid w:val="001D6F19"/>
    <w:rsid w:val="001D758F"/>
    <w:rsid w:val="001D7850"/>
    <w:rsid w:val="001E087E"/>
    <w:rsid w:val="001E0A36"/>
    <w:rsid w:val="001E0FBF"/>
    <w:rsid w:val="001E1142"/>
    <w:rsid w:val="001E15BE"/>
    <w:rsid w:val="001E1772"/>
    <w:rsid w:val="001E2534"/>
    <w:rsid w:val="001E2BCC"/>
    <w:rsid w:val="001E31F4"/>
    <w:rsid w:val="001E4F7F"/>
    <w:rsid w:val="001E6A04"/>
    <w:rsid w:val="001E6DBD"/>
    <w:rsid w:val="001F0148"/>
    <w:rsid w:val="001F0DBD"/>
    <w:rsid w:val="001F0FB8"/>
    <w:rsid w:val="001F2D16"/>
    <w:rsid w:val="001F2D4F"/>
    <w:rsid w:val="001F34A0"/>
    <w:rsid w:val="001F4296"/>
    <w:rsid w:val="001F48D8"/>
    <w:rsid w:val="001F4F44"/>
    <w:rsid w:val="001F5242"/>
    <w:rsid w:val="001F54B3"/>
    <w:rsid w:val="001F5CC8"/>
    <w:rsid w:val="001F6DEF"/>
    <w:rsid w:val="001F7830"/>
    <w:rsid w:val="002002D0"/>
    <w:rsid w:val="00200DA5"/>
    <w:rsid w:val="00201384"/>
    <w:rsid w:val="00201A30"/>
    <w:rsid w:val="002033BE"/>
    <w:rsid w:val="002039A3"/>
    <w:rsid w:val="00203A6B"/>
    <w:rsid w:val="00203B54"/>
    <w:rsid w:val="00204204"/>
    <w:rsid w:val="00204AF6"/>
    <w:rsid w:val="0020573B"/>
    <w:rsid w:val="00206079"/>
    <w:rsid w:val="002063C2"/>
    <w:rsid w:val="00207233"/>
    <w:rsid w:val="0020726D"/>
    <w:rsid w:val="002076A6"/>
    <w:rsid w:val="00207D3B"/>
    <w:rsid w:val="002102CC"/>
    <w:rsid w:val="00210FB5"/>
    <w:rsid w:val="00210FD0"/>
    <w:rsid w:val="0021152A"/>
    <w:rsid w:val="002122E5"/>
    <w:rsid w:val="00213302"/>
    <w:rsid w:val="002133C0"/>
    <w:rsid w:val="00213C79"/>
    <w:rsid w:val="00213EA4"/>
    <w:rsid w:val="0021491C"/>
    <w:rsid w:val="002149B4"/>
    <w:rsid w:val="00214BF2"/>
    <w:rsid w:val="00216097"/>
    <w:rsid w:val="00216273"/>
    <w:rsid w:val="00216680"/>
    <w:rsid w:val="00220B41"/>
    <w:rsid w:val="00220BF9"/>
    <w:rsid w:val="00220DC9"/>
    <w:rsid w:val="00221BB1"/>
    <w:rsid w:val="00221F66"/>
    <w:rsid w:val="00222218"/>
    <w:rsid w:val="002222F5"/>
    <w:rsid w:val="00222455"/>
    <w:rsid w:val="00223124"/>
    <w:rsid w:val="00223B7B"/>
    <w:rsid w:val="00223CB1"/>
    <w:rsid w:val="002244AC"/>
    <w:rsid w:val="00224774"/>
    <w:rsid w:val="00224B1C"/>
    <w:rsid w:val="00224DA6"/>
    <w:rsid w:val="00225239"/>
    <w:rsid w:val="00225584"/>
    <w:rsid w:val="002258B1"/>
    <w:rsid w:val="002258EA"/>
    <w:rsid w:val="00225EFF"/>
    <w:rsid w:val="0022614C"/>
    <w:rsid w:val="002263DC"/>
    <w:rsid w:val="002268A0"/>
    <w:rsid w:val="00226CC0"/>
    <w:rsid w:val="002276B9"/>
    <w:rsid w:val="002302E0"/>
    <w:rsid w:val="00230493"/>
    <w:rsid w:val="0023064A"/>
    <w:rsid w:val="00230880"/>
    <w:rsid w:val="0023146A"/>
    <w:rsid w:val="0023149C"/>
    <w:rsid w:val="00231D01"/>
    <w:rsid w:val="00233250"/>
    <w:rsid w:val="002332A0"/>
    <w:rsid w:val="002339DD"/>
    <w:rsid w:val="00233D44"/>
    <w:rsid w:val="00233DA2"/>
    <w:rsid w:val="0023401F"/>
    <w:rsid w:val="00234C1F"/>
    <w:rsid w:val="0023564B"/>
    <w:rsid w:val="002358F3"/>
    <w:rsid w:val="00235C38"/>
    <w:rsid w:val="0023606B"/>
    <w:rsid w:val="0023619C"/>
    <w:rsid w:val="0023717A"/>
    <w:rsid w:val="002376CC"/>
    <w:rsid w:val="00240A9F"/>
    <w:rsid w:val="002411E3"/>
    <w:rsid w:val="00241272"/>
    <w:rsid w:val="0024223E"/>
    <w:rsid w:val="00242441"/>
    <w:rsid w:val="0024261F"/>
    <w:rsid w:val="00242FA1"/>
    <w:rsid w:val="00243713"/>
    <w:rsid w:val="0024390A"/>
    <w:rsid w:val="00243EF7"/>
    <w:rsid w:val="0024415A"/>
    <w:rsid w:val="00244DB6"/>
    <w:rsid w:val="00245FF6"/>
    <w:rsid w:val="002463B1"/>
    <w:rsid w:val="00246897"/>
    <w:rsid w:val="00246EC4"/>
    <w:rsid w:val="0024745B"/>
    <w:rsid w:val="00247CA4"/>
    <w:rsid w:val="00251C9B"/>
    <w:rsid w:val="00251F2B"/>
    <w:rsid w:val="00252BBF"/>
    <w:rsid w:val="00253314"/>
    <w:rsid w:val="0025337C"/>
    <w:rsid w:val="00253B4F"/>
    <w:rsid w:val="00253C4D"/>
    <w:rsid w:val="002549F8"/>
    <w:rsid w:val="00255B4A"/>
    <w:rsid w:val="0025724B"/>
    <w:rsid w:val="0025741E"/>
    <w:rsid w:val="002576A8"/>
    <w:rsid w:val="00257EF9"/>
    <w:rsid w:val="002620EC"/>
    <w:rsid w:val="0026234C"/>
    <w:rsid w:val="00262748"/>
    <w:rsid w:val="00262BFC"/>
    <w:rsid w:val="00262FBC"/>
    <w:rsid w:val="00263580"/>
    <w:rsid w:val="002635A5"/>
    <w:rsid w:val="00265B1E"/>
    <w:rsid w:val="0026606C"/>
    <w:rsid w:val="00266D3D"/>
    <w:rsid w:val="0026743E"/>
    <w:rsid w:val="00270704"/>
    <w:rsid w:val="00270AB4"/>
    <w:rsid w:val="00270F29"/>
    <w:rsid w:val="00271A91"/>
    <w:rsid w:val="00271E1E"/>
    <w:rsid w:val="002724AB"/>
    <w:rsid w:val="00272C44"/>
    <w:rsid w:val="00273175"/>
    <w:rsid w:val="00273B46"/>
    <w:rsid w:val="00274804"/>
    <w:rsid w:val="00274C34"/>
    <w:rsid w:val="002751AA"/>
    <w:rsid w:val="0027522A"/>
    <w:rsid w:val="002754AE"/>
    <w:rsid w:val="00276A5B"/>
    <w:rsid w:val="002774C8"/>
    <w:rsid w:val="00277E88"/>
    <w:rsid w:val="00277ED4"/>
    <w:rsid w:val="00277FF6"/>
    <w:rsid w:val="00280E22"/>
    <w:rsid w:val="0028135C"/>
    <w:rsid w:val="00281DF3"/>
    <w:rsid w:val="002820B4"/>
    <w:rsid w:val="00282274"/>
    <w:rsid w:val="00282B22"/>
    <w:rsid w:val="00282ED3"/>
    <w:rsid w:val="0028336B"/>
    <w:rsid w:val="002841BE"/>
    <w:rsid w:val="0028465D"/>
    <w:rsid w:val="00284B20"/>
    <w:rsid w:val="00284E4C"/>
    <w:rsid w:val="00285A3E"/>
    <w:rsid w:val="00285A44"/>
    <w:rsid w:val="00286189"/>
    <w:rsid w:val="00286244"/>
    <w:rsid w:val="002862DB"/>
    <w:rsid w:val="00286390"/>
    <w:rsid w:val="002865D4"/>
    <w:rsid w:val="002876A3"/>
    <w:rsid w:val="0029052C"/>
    <w:rsid w:val="00291676"/>
    <w:rsid w:val="002918F0"/>
    <w:rsid w:val="002921B8"/>
    <w:rsid w:val="002925F3"/>
    <w:rsid w:val="00293378"/>
    <w:rsid w:val="00293491"/>
    <w:rsid w:val="00293777"/>
    <w:rsid w:val="00293AE6"/>
    <w:rsid w:val="00294477"/>
    <w:rsid w:val="00294767"/>
    <w:rsid w:val="00295AED"/>
    <w:rsid w:val="0029617A"/>
    <w:rsid w:val="00296F41"/>
    <w:rsid w:val="002A093C"/>
    <w:rsid w:val="002A1018"/>
    <w:rsid w:val="002A1394"/>
    <w:rsid w:val="002A1C31"/>
    <w:rsid w:val="002A280A"/>
    <w:rsid w:val="002A28D6"/>
    <w:rsid w:val="002A2C22"/>
    <w:rsid w:val="002A40C8"/>
    <w:rsid w:val="002A424A"/>
    <w:rsid w:val="002A49E0"/>
    <w:rsid w:val="002A5952"/>
    <w:rsid w:val="002A6AA2"/>
    <w:rsid w:val="002A764B"/>
    <w:rsid w:val="002A7F5C"/>
    <w:rsid w:val="002B11A3"/>
    <w:rsid w:val="002B2080"/>
    <w:rsid w:val="002B2B71"/>
    <w:rsid w:val="002B2B75"/>
    <w:rsid w:val="002B31B0"/>
    <w:rsid w:val="002B3685"/>
    <w:rsid w:val="002B3863"/>
    <w:rsid w:val="002B400A"/>
    <w:rsid w:val="002B4673"/>
    <w:rsid w:val="002B4AC3"/>
    <w:rsid w:val="002B663B"/>
    <w:rsid w:val="002B6E99"/>
    <w:rsid w:val="002B745E"/>
    <w:rsid w:val="002B7E5A"/>
    <w:rsid w:val="002C0EAE"/>
    <w:rsid w:val="002C1196"/>
    <w:rsid w:val="002C2092"/>
    <w:rsid w:val="002C21A1"/>
    <w:rsid w:val="002C2843"/>
    <w:rsid w:val="002C29F6"/>
    <w:rsid w:val="002C2B66"/>
    <w:rsid w:val="002C2BD5"/>
    <w:rsid w:val="002C3202"/>
    <w:rsid w:val="002C3296"/>
    <w:rsid w:val="002C40FE"/>
    <w:rsid w:val="002C4BE6"/>
    <w:rsid w:val="002C5234"/>
    <w:rsid w:val="002C5A9A"/>
    <w:rsid w:val="002C75DB"/>
    <w:rsid w:val="002D17D8"/>
    <w:rsid w:val="002D345E"/>
    <w:rsid w:val="002D3830"/>
    <w:rsid w:val="002D4133"/>
    <w:rsid w:val="002D553F"/>
    <w:rsid w:val="002D5ECF"/>
    <w:rsid w:val="002D6AB9"/>
    <w:rsid w:val="002D74D8"/>
    <w:rsid w:val="002D7C14"/>
    <w:rsid w:val="002E0F8C"/>
    <w:rsid w:val="002E1612"/>
    <w:rsid w:val="002E188C"/>
    <w:rsid w:val="002E20C0"/>
    <w:rsid w:val="002E2140"/>
    <w:rsid w:val="002E22C3"/>
    <w:rsid w:val="002E31F9"/>
    <w:rsid w:val="002E34F5"/>
    <w:rsid w:val="002E4927"/>
    <w:rsid w:val="002E4A6E"/>
    <w:rsid w:val="002E501F"/>
    <w:rsid w:val="002E5138"/>
    <w:rsid w:val="002E5412"/>
    <w:rsid w:val="002E5447"/>
    <w:rsid w:val="002E6362"/>
    <w:rsid w:val="002E674B"/>
    <w:rsid w:val="002E6F7E"/>
    <w:rsid w:val="002E795D"/>
    <w:rsid w:val="002F0122"/>
    <w:rsid w:val="002F02AF"/>
    <w:rsid w:val="002F192F"/>
    <w:rsid w:val="002F1D73"/>
    <w:rsid w:val="002F28E3"/>
    <w:rsid w:val="002F3ADB"/>
    <w:rsid w:val="002F416C"/>
    <w:rsid w:val="002F49E2"/>
    <w:rsid w:val="002F4A11"/>
    <w:rsid w:val="002F79DE"/>
    <w:rsid w:val="002F7AB4"/>
    <w:rsid w:val="0030020F"/>
    <w:rsid w:val="003010C2"/>
    <w:rsid w:val="00301C09"/>
    <w:rsid w:val="0030230D"/>
    <w:rsid w:val="00302EED"/>
    <w:rsid w:val="003034F4"/>
    <w:rsid w:val="003040A0"/>
    <w:rsid w:val="00304BBB"/>
    <w:rsid w:val="00305A2E"/>
    <w:rsid w:val="00307F71"/>
    <w:rsid w:val="00311556"/>
    <w:rsid w:val="0031204A"/>
    <w:rsid w:val="003136B3"/>
    <w:rsid w:val="0031393F"/>
    <w:rsid w:val="0031434B"/>
    <w:rsid w:val="0031564C"/>
    <w:rsid w:val="003157F4"/>
    <w:rsid w:val="003158BE"/>
    <w:rsid w:val="00315B2A"/>
    <w:rsid w:val="00316226"/>
    <w:rsid w:val="003162A4"/>
    <w:rsid w:val="0031719D"/>
    <w:rsid w:val="003177A0"/>
    <w:rsid w:val="00317CD0"/>
    <w:rsid w:val="00321AB2"/>
    <w:rsid w:val="00321BBB"/>
    <w:rsid w:val="00322964"/>
    <w:rsid w:val="00322DCB"/>
    <w:rsid w:val="00322E35"/>
    <w:rsid w:val="0032346B"/>
    <w:rsid w:val="00323572"/>
    <w:rsid w:val="003235B4"/>
    <w:rsid w:val="003236A2"/>
    <w:rsid w:val="00323C74"/>
    <w:rsid w:val="0032408E"/>
    <w:rsid w:val="0032428A"/>
    <w:rsid w:val="003247A3"/>
    <w:rsid w:val="00324B3B"/>
    <w:rsid w:val="00324F6E"/>
    <w:rsid w:val="00325393"/>
    <w:rsid w:val="003253E9"/>
    <w:rsid w:val="00325726"/>
    <w:rsid w:val="00325979"/>
    <w:rsid w:val="00326458"/>
    <w:rsid w:val="00326BCB"/>
    <w:rsid w:val="00327629"/>
    <w:rsid w:val="003276CA"/>
    <w:rsid w:val="00327CE7"/>
    <w:rsid w:val="003304D9"/>
    <w:rsid w:val="00330E7F"/>
    <w:rsid w:val="00330EB4"/>
    <w:rsid w:val="003314A9"/>
    <w:rsid w:val="003324BD"/>
    <w:rsid w:val="00332AC2"/>
    <w:rsid w:val="00332BAD"/>
    <w:rsid w:val="00333391"/>
    <w:rsid w:val="0033384C"/>
    <w:rsid w:val="00333AA5"/>
    <w:rsid w:val="00333CEB"/>
    <w:rsid w:val="00334761"/>
    <w:rsid w:val="00334863"/>
    <w:rsid w:val="0033524C"/>
    <w:rsid w:val="003353EB"/>
    <w:rsid w:val="00335632"/>
    <w:rsid w:val="00335789"/>
    <w:rsid w:val="00336576"/>
    <w:rsid w:val="00336841"/>
    <w:rsid w:val="00340270"/>
    <w:rsid w:val="00340C14"/>
    <w:rsid w:val="00340DEE"/>
    <w:rsid w:val="00340F54"/>
    <w:rsid w:val="003410F5"/>
    <w:rsid w:val="003411CF"/>
    <w:rsid w:val="003417BC"/>
    <w:rsid w:val="00341B10"/>
    <w:rsid w:val="00342938"/>
    <w:rsid w:val="00345CE5"/>
    <w:rsid w:val="00345D8A"/>
    <w:rsid w:val="00346A64"/>
    <w:rsid w:val="00347622"/>
    <w:rsid w:val="00350844"/>
    <w:rsid w:val="003509E5"/>
    <w:rsid w:val="00350DEA"/>
    <w:rsid w:val="00350F85"/>
    <w:rsid w:val="00351C12"/>
    <w:rsid w:val="00351C82"/>
    <w:rsid w:val="00352538"/>
    <w:rsid w:val="00353135"/>
    <w:rsid w:val="003532DE"/>
    <w:rsid w:val="00353AAB"/>
    <w:rsid w:val="00353F0E"/>
    <w:rsid w:val="003544A7"/>
    <w:rsid w:val="00354BFA"/>
    <w:rsid w:val="00354C90"/>
    <w:rsid w:val="00355968"/>
    <w:rsid w:val="00355BBC"/>
    <w:rsid w:val="0036074F"/>
    <w:rsid w:val="00361BAB"/>
    <w:rsid w:val="00361BD6"/>
    <w:rsid w:val="0036399D"/>
    <w:rsid w:val="00363C00"/>
    <w:rsid w:val="00364AF0"/>
    <w:rsid w:val="00364D0E"/>
    <w:rsid w:val="00364F90"/>
    <w:rsid w:val="003653D1"/>
    <w:rsid w:val="00365541"/>
    <w:rsid w:val="00365B70"/>
    <w:rsid w:val="0036631D"/>
    <w:rsid w:val="00366599"/>
    <w:rsid w:val="003666BF"/>
    <w:rsid w:val="003672C6"/>
    <w:rsid w:val="00367D46"/>
    <w:rsid w:val="0037016F"/>
    <w:rsid w:val="0037021E"/>
    <w:rsid w:val="00370335"/>
    <w:rsid w:val="003714BF"/>
    <w:rsid w:val="00373481"/>
    <w:rsid w:val="003734D7"/>
    <w:rsid w:val="00373AFD"/>
    <w:rsid w:val="003744EC"/>
    <w:rsid w:val="00374576"/>
    <w:rsid w:val="00374932"/>
    <w:rsid w:val="00374D71"/>
    <w:rsid w:val="00374EF4"/>
    <w:rsid w:val="00375406"/>
    <w:rsid w:val="003754B9"/>
    <w:rsid w:val="003764E3"/>
    <w:rsid w:val="003767BD"/>
    <w:rsid w:val="00376924"/>
    <w:rsid w:val="00377931"/>
    <w:rsid w:val="00380F78"/>
    <w:rsid w:val="0038163F"/>
    <w:rsid w:val="003818ED"/>
    <w:rsid w:val="00381EE7"/>
    <w:rsid w:val="00383262"/>
    <w:rsid w:val="00384326"/>
    <w:rsid w:val="00384AA7"/>
    <w:rsid w:val="00384C9A"/>
    <w:rsid w:val="0038547D"/>
    <w:rsid w:val="00385A97"/>
    <w:rsid w:val="00385E46"/>
    <w:rsid w:val="00385FF1"/>
    <w:rsid w:val="0038617D"/>
    <w:rsid w:val="0038626F"/>
    <w:rsid w:val="0038685E"/>
    <w:rsid w:val="00386AD0"/>
    <w:rsid w:val="00386AF4"/>
    <w:rsid w:val="003874B5"/>
    <w:rsid w:val="0038752F"/>
    <w:rsid w:val="003876E2"/>
    <w:rsid w:val="0039049B"/>
    <w:rsid w:val="0039056C"/>
    <w:rsid w:val="0039079B"/>
    <w:rsid w:val="00391404"/>
    <w:rsid w:val="003914B2"/>
    <w:rsid w:val="00391515"/>
    <w:rsid w:val="0039233D"/>
    <w:rsid w:val="00392413"/>
    <w:rsid w:val="003924EF"/>
    <w:rsid w:val="0039272A"/>
    <w:rsid w:val="00392A0B"/>
    <w:rsid w:val="003935D3"/>
    <w:rsid w:val="003947B3"/>
    <w:rsid w:val="003950FF"/>
    <w:rsid w:val="00395863"/>
    <w:rsid w:val="00395D9D"/>
    <w:rsid w:val="00396172"/>
    <w:rsid w:val="00396253"/>
    <w:rsid w:val="0039684F"/>
    <w:rsid w:val="00396C80"/>
    <w:rsid w:val="00397304"/>
    <w:rsid w:val="00397966"/>
    <w:rsid w:val="00397D4E"/>
    <w:rsid w:val="003A0171"/>
    <w:rsid w:val="003A02DA"/>
    <w:rsid w:val="003A09B6"/>
    <w:rsid w:val="003A17BA"/>
    <w:rsid w:val="003A483D"/>
    <w:rsid w:val="003A5B83"/>
    <w:rsid w:val="003A5DE2"/>
    <w:rsid w:val="003A65F2"/>
    <w:rsid w:val="003A6765"/>
    <w:rsid w:val="003A6E98"/>
    <w:rsid w:val="003A7098"/>
    <w:rsid w:val="003A72E7"/>
    <w:rsid w:val="003A75F1"/>
    <w:rsid w:val="003A7659"/>
    <w:rsid w:val="003A7F0C"/>
    <w:rsid w:val="003B0210"/>
    <w:rsid w:val="003B041B"/>
    <w:rsid w:val="003B09B5"/>
    <w:rsid w:val="003B0CA7"/>
    <w:rsid w:val="003B195B"/>
    <w:rsid w:val="003B1A26"/>
    <w:rsid w:val="003B1FA5"/>
    <w:rsid w:val="003B2482"/>
    <w:rsid w:val="003B24F8"/>
    <w:rsid w:val="003B4C18"/>
    <w:rsid w:val="003B4C96"/>
    <w:rsid w:val="003B4D6E"/>
    <w:rsid w:val="003B5EB7"/>
    <w:rsid w:val="003B6281"/>
    <w:rsid w:val="003B6E2E"/>
    <w:rsid w:val="003B6F9D"/>
    <w:rsid w:val="003B7494"/>
    <w:rsid w:val="003B7991"/>
    <w:rsid w:val="003C175D"/>
    <w:rsid w:val="003C1B4F"/>
    <w:rsid w:val="003C25CA"/>
    <w:rsid w:val="003C2B4E"/>
    <w:rsid w:val="003C3326"/>
    <w:rsid w:val="003C344B"/>
    <w:rsid w:val="003C3AE3"/>
    <w:rsid w:val="003C55B5"/>
    <w:rsid w:val="003C63EE"/>
    <w:rsid w:val="003C69CB"/>
    <w:rsid w:val="003C7974"/>
    <w:rsid w:val="003C7BCD"/>
    <w:rsid w:val="003D032D"/>
    <w:rsid w:val="003D0C0F"/>
    <w:rsid w:val="003D1D6A"/>
    <w:rsid w:val="003D209C"/>
    <w:rsid w:val="003D2734"/>
    <w:rsid w:val="003D2756"/>
    <w:rsid w:val="003D2F3A"/>
    <w:rsid w:val="003D36A7"/>
    <w:rsid w:val="003D3943"/>
    <w:rsid w:val="003D3AB1"/>
    <w:rsid w:val="003D45FF"/>
    <w:rsid w:val="003D560D"/>
    <w:rsid w:val="003D5D7B"/>
    <w:rsid w:val="003E0A4D"/>
    <w:rsid w:val="003E0BAA"/>
    <w:rsid w:val="003E165F"/>
    <w:rsid w:val="003E188E"/>
    <w:rsid w:val="003E22D2"/>
    <w:rsid w:val="003E2310"/>
    <w:rsid w:val="003E2797"/>
    <w:rsid w:val="003E2A71"/>
    <w:rsid w:val="003E2CDC"/>
    <w:rsid w:val="003E3509"/>
    <w:rsid w:val="003E3983"/>
    <w:rsid w:val="003E456C"/>
    <w:rsid w:val="003E474E"/>
    <w:rsid w:val="003E531B"/>
    <w:rsid w:val="003E6633"/>
    <w:rsid w:val="003E6B82"/>
    <w:rsid w:val="003E75E1"/>
    <w:rsid w:val="003E7B74"/>
    <w:rsid w:val="003F03D7"/>
    <w:rsid w:val="003F0A14"/>
    <w:rsid w:val="003F0B19"/>
    <w:rsid w:val="003F128D"/>
    <w:rsid w:val="003F3002"/>
    <w:rsid w:val="003F321C"/>
    <w:rsid w:val="003F3643"/>
    <w:rsid w:val="003F3F3E"/>
    <w:rsid w:val="003F45E9"/>
    <w:rsid w:val="003F5AFC"/>
    <w:rsid w:val="003F60CE"/>
    <w:rsid w:val="003F684E"/>
    <w:rsid w:val="003F690A"/>
    <w:rsid w:val="003F6A81"/>
    <w:rsid w:val="003F73F6"/>
    <w:rsid w:val="003F7DC3"/>
    <w:rsid w:val="004007B5"/>
    <w:rsid w:val="00400818"/>
    <w:rsid w:val="0040109E"/>
    <w:rsid w:val="00401AB9"/>
    <w:rsid w:val="00401B4E"/>
    <w:rsid w:val="00402032"/>
    <w:rsid w:val="004035B9"/>
    <w:rsid w:val="004037AD"/>
    <w:rsid w:val="00403A59"/>
    <w:rsid w:val="00403C97"/>
    <w:rsid w:val="004041A5"/>
    <w:rsid w:val="00404AA9"/>
    <w:rsid w:val="00405100"/>
    <w:rsid w:val="004052CE"/>
    <w:rsid w:val="0040561D"/>
    <w:rsid w:val="004065BC"/>
    <w:rsid w:val="00406636"/>
    <w:rsid w:val="004069FD"/>
    <w:rsid w:val="00407F03"/>
    <w:rsid w:val="00410369"/>
    <w:rsid w:val="00410378"/>
    <w:rsid w:val="00410597"/>
    <w:rsid w:val="004106DD"/>
    <w:rsid w:val="004107AB"/>
    <w:rsid w:val="004112AB"/>
    <w:rsid w:val="004114CB"/>
    <w:rsid w:val="00412105"/>
    <w:rsid w:val="004121A2"/>
    <w:rsid w:val="004121E0"/>
    <w:rsid w:val="004122EC"/>
    <w:rsid w:val="00413510"/>
    <w:rsid w:val="004137AE"/>
    <w:rsid w:val="004144EF"/>
    <w:rsid w:val="00416249"/>
    <w:rsid w:val="00416C90"/>
    <w:rsid w:val="004170F0"/>
    <w:rsid w:val="0041765F"/>
    <w:rsid w:val="00417715"/>
    <w:rsid w:val="00417951"/>
    <w:rsid w:val="00417E43"/>
    <w:rsid w:val="0042028D"/>
    <w:rsid w:val="00421A93"/>
    <w:rsid w:val="004223BD"/>
    <w:rsid w:val="00422A94"/>
    <w:rsid w:val="00422D08"/>
    <w:rsid w:val="00422E32"/>
    <w:rsid w:val="00424C13"/>
    <w:rsid w:val="00424C3B"/>
    <w:rsid w:val="00425855"/>
    <w:rsid w:val="00425B07"/>
    <w:rsid w:val="00426217"/>
    <w:rsid w:val="004266E2"/>
    <w:rsid w:val="00427218"/>
    <w:rsid w:val="004275D9"/>
    <w:rsid w:val="00427B53"/>
    <w:rsid w:val="004304ED"/>
    <w:rsid w:val="00430CA6"/>
    <w:rsid w:val="00431307"/>
    <w:rsid w:val="00431335"/>
    <w:rsid w:val="00431517"/>
    <w:rsid w:val="00431E2C"/>
    <w:rsid w:val="00431F8B"/>
    <w:rsid w:val="00432532"/>
    <w:rsid w:val="00432C14"/>
    <w:rsid w:val="00433368"/>
    <w:rsid w:val="004337FE"/>
    <w:rsid w:val="00433FC9"/>
    <w:rsid w:val="00434466"/>
    <w:rsid w:val="004354A1"/>
    <w:rsid w:val="004354AC"/>
    <w:rsid w:val="00437019"/>
    <w:rsid w:val="00437D35"/>
    <w:rsid w:val="00437DC3"/>
    <w:rsid w:val="00440A3E"/>
    <w:rsid w:val="00440DF2"/>
    <w:rsid w:val="00440E3D"/>
    <w:rsid w:val="00441410"/>
    <w:rsid w:val="00441A08"/>
    <w:rsid w:val="0044235D"/>
    <w:rsid w:val="004427E0"/>
    <w:rsid w:val="00442AE5"/>
    <w:rsid w:val="00444900"/>
    <w:rsid w:val="00445A16"/>
    <w:rsid w:val="00445F05"/>
    <w:rsid w:val="0044603E"/>
    <w:rsid w:val="004460CF"/>
    <w:rsid w:val="00446BB5"/>
    <w:rsid w:val="00446DAF"/>
    <w:rsid w:val="00446E2D"/>
    <w:rsid w:val="00447319"/>
    <w:rsid w:val="0044757A"/>
    <w:rsid w:val="004501D6"/>
    <w:rsid w:val="0045032B"/>
    <w:rsid w:val="004509A7"/>
    <w:rsid w:val="00450A9F"/>
    <w:rsid w:val="00450C9A"/>
    <w:rsid w:val="00450DA2"/>
    <w:rsid w:val="0045112C"/>
    <w:rsid w:val="00451212"/>
    <w:rsid w:val="00451297"/>
    <w:rsid w:val="004512D5"/>
    <w:rsid w:val="00451D25"/>
    <w:rsid w:val="00453E0F"/>
    <w:rsid w:val="00453E12"/>
    <w:rsid w:val="00453E92"/>
    <w:rsid w:val="0045471A"/>
    <w:rsid w:val="004547F5"/>
    <w:rsid w:val="00454929"/>
    <w:rsid w:val="00454B46"/>
    <w:rsid w:val="00454DB2"/>
    <w:rsid w:val="00455032"/>
    <w:rsid w:val="00456088"/>
    <w:rsid w:val="00456C7D"/>
    <w:rsid w:val="00456D78"/>
    <w:rsid w:val="0045707B"/>
    <w:rsid w:val="004570E4"/>
    <w:rsid w:val="004573B7"/>
    <w:rsid w:val="00457D70"/>
    <w:rsid w:val="00457F10"/>
    <w:rsid w:val="004600F0"/>
    <w:rsid w:val="004603B8"/>
    <w:rsid w:val="00461458"/>
    <w:rsid w:val="00461858"/>
    <w:rsid w:val="00461C19"/>
    <w:rsid w:val="00462701"/>
    <w:rsid w:val="00462A8E"/>
    <w:rsid w:val="00462F66"/>
    <w:rsid w:val="0046406F"/>
    <w:rsid w:val="00464909"/>
    <w:rsid w:val="00464AFD"/>
    <w:rsid w:val="00464D55"/>
    <w:rsid w:val="0046524E"/>
    <w:rsid w:val="004657DE"/>
    <w:rsid w:val="0046609D"/>
    <w:rsid w:val="004660A9"/>
    <w:rsid w:val="00466527"/>
    <w:rsid w:val="004668C7"/>
    <w:rsid w:val="0046693F"/>
    <w:rsid w:val="00466DC0"/>
    <w:rsid w:val="00466FA5"/>
    <w:rsid w:val="004673CD"/>
    <w:rsid w:val="00467844"/>
    <w:rsid w:val="004678F3"/>
    <w:rsid w:val="00470F65"/>
    <w:rsid w:val="00472040"/>
    <w:rsid w:val="0047283A"/>
    <w:rsid w:val="00472C95"/>
    <w:rsid w:val="00472FEC"/>
    <w:rsid w:val="004730C9"/>
    <w:rsid w:val="00473798"/>
    <w:rsid w:val="004740A5"/>
    <w:rsid w:val="0047523B"/>
    <w:rsid w:val="0047525A"/>
    <w:rsid w:val="0047567B"/>
    <w:rsid w:val="00476688"/>
    <w:rsid w:val="00476A1C"/>
    <w:rsid w:val="0047705A"/>
    <w:rsid w:val="00477135"/>
    <w:rsid w:val="004778B9"/>
    <w:rsid w:val="00480755"/>
    <w:rsid w:val="00480E69"/>
    <w:rsid w:val="00481562"/>
    <w:rsid w:val="00481891"/>
    <w:rsid w:val="004820E9"/>
    <w:rsid w:val="0048237A"/>
    <w:rsid w:val="004823CF"/>
    <w:rsid w:val="00482784"/>
    <w:rsid w:val="004831CF"/>
    <w:rsid w:val="0048320A"/>
    <w:rsid w:val="00483BFA"/>
    <w:rsid w:val="00483DC5"/>
    <w:rsid w:val="0048402C"/>
    <w:rsid w:val="00484130"/>
    <w:rsid w:val="00485AF0"/>
    <w:rsid w:val="00485BC0"/>
    <w:rsid w:val="00485C0A"/>
    <w:rsid w:val="00486A79"/>
    <w:rsid w:val="00486BB8"/>
    <w:rsid w:val="00486F77"/>
    <w:rsid w:val="00487515"/>
    <w:rsid w:val="00487604"/>
    <w:rsid w:val="00487CCB"/>
    <w:rsid w:val="004916B9"/>
    <w:rsid w:val="00491910"/>
    <w:rsid w:val="004922CE"/>
    <w:rsid w:val="004924CD"/>
    <w:rsid w:val="0049269A"/>
    <w:rsid w:val="0049371C"/>
    <w:rsid w:val="00493A0F"/>
    <w:rsid w:val="00493E45"/>
    <w:rsid w:val="00493FD0"/>
    <w:rsid w:val="00494213"/>
    <w:rsid w:val="004942CE"/>
    <w:rsid w:val="004947E5"/>
    <w:rsid w:val="004949A6"/>
    <w:rsid w:val="00495741"/>
    <w:rsid w:val="00495926"/>
    <w:rsid w:val="00495F4A"/>
    <w:rsid w:val="00496879"/>
    <w:rsid w:val="00497A89"/>
    <w:rsid w:val="004A0693"/>
    <w:rsid w:val="004A094F"/>
    <w:rsid w:val="004A099D"/>
    <w:rsid w:val="004A14FC"/>
    <w:rsid w:val="004A1A14"/>
    <w:rsid w:val="004A1B1C"/>
    <w:rsid w:val="004A21E0"/>
    <w:rsid w:val="004A2586"/>
    <w:rsid w:val="004A260E"/>
    <w:rsid w:val="004A2611"/>
    <w:rsid w:val="004A2695"/>
    <w:rsid w:val="004A29BB"/>
    <w:rsid w:val="004A2DC3"/>
    <w:rsid w:val="004A3235"/>
    <w:rsid w:val="004A35F7"/>
    <w:rsid w:val="004A47CB"/>
    <w:rsid w:val="004A4C3A"/>
    <w:rsid w:val="004A4EE0"/>
    <w:rsid w:val="004A51FC"/>
    <w:rsid w:val="004A554A"/>
    <w:rsid w:val="004A5840"/>
    <w:rsid w:val="004A63D3"/>
    <w:rsid w:val="004A6840"/>
    <w:rsid w:val="004A6F39"/>
    <w:rsid w:val="004A74D5"/>
    <w:rsid w:val="004A7CBE"/>
    <w:rsid w:val="004A7DDE"/>
    <w:rsid w:val="004B012E"/>
    <w:rsid w:val="004B042E"/>
    <w:rsid w:val="004B0A94"/>
    <w:rsid w:val="004B0F0D"/>
    <w:rsid w:val="004B1EA1"/>
    <w:rsid w:val="004B2C28"/>
    <w:rsid w:val="004B3366"/>
    <w:rsid w:val="004B383F"/>
    <w:rsid w:val="004B39E8"/>
    <w:rsid w:val="004B4257"/>
    <w:rsid w:val="004B4413"/>
    <w:rsid w:val="004B4684"/>
    <w:rsid w:val="004B47A6"/>
    <w:rsid w:val="004B483B"/>
    <w:rsid w:val="004B489C"/>
    <w:rsid w:val="004B4A85"/>
    <w:rsid w:val="004B4C0D"/>
    <w:rsid w:val="004B524F"/>
    <w:rsid w:val="004B5828"/>
    <w:rsid w:val="004B5934"/>
    <w:rsid w:val="004B5B82"/>
    <w:rsid w:val="004B5E3E"/>
    <w:rsid w:val="004B6FC3"/>
    <w:rsid w:val="004B7624"/>
    <w:rsid w:val="004B7D76"/>
    <w:rsid w:val="004B7E65"/>
    <w:rsid w:val="004C07E9"/>
    <w:rsid w:val="004C0BA3"/>
    <w:rsid w:val="004C0C91"/>
    <w:rsid w:val="004C11C6"/>
    <w:rsid w:val="004C1E76"/>
    <w:rsid w:val="004C311D"/>
    <w:rsid w:val="004C3F00"/>
    <w:rsid w:val="004C4581"/>
    <w:rsid w:val="004C4A3D"/>
    <w:rsid w:val="004C5350"/>
    <w:rsid w:val="004C6D16"/>
    <w:rsid w:val="004C6D8A"/>
    <w:rsid w:val="004C75D4"/>
    <w:rsid w:val="004D00B3"/>
    <w:rsid w:val="004D024C"/>
    <w:rsid w:val="004D024F"/>
    <w:rsid w:val="004D0C28"/>
    <w:rsid w:val="004D12F4"/>
    <w:rsid w:val="004D15C3"/>
    <w:rsid w:val="004D1764"/>
    <w:rsid w:val="004D18DF"/>
    <w:rsid w:val="004D18EC"/>
    <w:rsid w:val="004D2664"/>
    <w:rsid w:val="004D2AB9"/>
    <w:rsid w:val="004D31C7"/>
    <w:rsid w:val="004D32AD"/>
    <w:rsid w:val="004D3449"/>
    <w:rsid w:val="004D3577"/>
    <w:rsid w:val="004D3FC2"/>
    <w:rsid w:val="004D4421"/>
    <w:rsid w:val="004D4F2D"/>
    <w:rsid w:val="004D61D0"/>
    <w:rsid w:val="004D6CCC"/>
    <w:rsid w:val="004D6F5C"/>
    <w:rsid w:val="004D787B"/>
    <w:rsid w:val="004E0B8D"/>
    <w:rsid w:val="004E0C5B"/>
    <w:rsid w:val="004E13A3"/>
    <w:rsid w:val="004E189C"/>
    <w:rsid w:val="004E18ED"/>
    <w:rsid w:val="004E273B"/>
    <w:rsid w:val="004E276A"/>
    <w:rsid w:val="004E2CF6"/>
    <w:rsid w:val="004E5A53"/>
    <w:rsid w:val="004E5EF9"/>
    <w:rsid w:val="004E64C7"/>
    <w:rsid w:val="004E69D0"/>
    <w:rsid w:val="004E74E4"/>
    <w:rsid w:val="004E7839"/>
    <w:rsid w:val="004F06B9"/>
    <w:rsid w:val="004F07C6"/>
    <w:rsid w:val="004F0BC5"/>
    <w:rsid w:val="004F14EE"/>
    <w:rsid w:val="004F264C"/>
    <w:rsid w:val="004F2799"/>
    <w:rsid w:val="004F3563"/>
    <w:rsid w:val="004F57D8"/>
    <w:rsid w:val="004F6293"/>
    <w:rsid w:val="004F67CF"/>
    <w:rsid w:val="004F6895"/>
    <w:rsid w:val="004F69F1"/>
    <w:rsid w:val="004F767F"/>
    <w:rsid w:val="004F7F05"/>
    <w:rsid w:val="00500985"/>
    <w:rsid w:val="00501DF4"/>
    <w:rsid w:val="00501F5D"/>
    <w:rsid w:val="00502E1D"/>
    <w:rsid w:val="005030E6"/>
    <w:rsid w:val="00503E96"/>
    <w:rsid w:val="00504BC9"/>
    <w:rsid w:val="00505665"/>
    <w:rsid w:val="00506699"/>
    <w:rsid w:val="00506CDB"/>
    <w:rsid w:val="00507D1B"/>
    <w:rsid w:val="005114BE"/>
    <w:rsid w:val="00511740"/>
    <w:rsid w:val="005118E0"/>
    <w:rsid w:val="00511D4B"/>
    <w:rsid w:val="00511E14"/>
    <w:rsid w:val="00512BEC"/>
    <w:rsid w:val="00512DFF"/>
    <w:rsid w:val="00512EE6"/>
    <w:rsid w:val="0051384B"/>
    <w:rsid w:val="00513D48"/>
    <w:rsid w:val="005143A5"/>
    <w:rsid w:val="005143CD"/>
    <w:rsid w:val="005147BE"/>
    <w:rsid w:val="005152C5"/>
    <w:rsid w:val="005154A5"/>
    <w:rsid w:val="00515935"/>
    <w:rsid w:val="00517016"/>
    <w:rsid w:val="005170DB"/>
    <w:rsid w:val="00517479"/>
    <w:rsid w:val="00517DA9"/>
    <w:rsid w:val="00520356"/>
    <w:rsid w:val="005205C2"/>
    <w:rsid w:val="00520869"/>
    <w:rsid w:val="005226AB"/>
    <w:rsid w:val="00522B28"/>
    <w:rsid w:val="00522E10"/>
    <w:rsid w:val="00522F7B"/>
    <w:rsid w:val="00523556"/>
    <w:rsid w:val="00523718"/>
    <w:rsid w:val="00524589"/>
    <w:rsid w:val="00524B01"/>
    <w:rsid w:val="005250B7"/>
    <w:rsid w:val="00525D17"/>
    <w:rsid w:val="00525D63"/>
    <w:rsid w:val="0052619A"/>
    <w:rsid w:val="00526FC9"/>
    <w:rsid w:val="005270F3"/>
    <w:rsid w:val="00527658"/>
    <w:rsid w:val="00527990"/>
    <w:rsid w:val="00527B21"/>
    <w:rsid w:val="00527BC1"/>
    <w:rsid w:val="00527C5D"/>
    <w:rsid w:val="00531044"/>
    <w:rsid w:val="00531050"/>
    <w:rsid w:val="0053143A"/>
    <w:rsid w:val="0053160A"/>
    <w:rsid w:val="00531D2A"/>
    <w:rsid w:val="00531D60"/>
    <w:rsid w:val="00532441"/>
    <w:rsid w:val="0053454C"/>
    <w:rsid w:val="005351ED"/>
    <w:rsid w:val="00535301"/>
    <w:rsid w:val="005355B0"/>
    <w:rsid w:val="0053589A"/>
    <w:rsid w:val="00535EF3"/>
    <w:rsid w:val="00536135"/>
    <w:rsid w:val="00536231"/>
    <w:rsid w:val="0053743C"/>
    <w:rsid w:val="00537923"/>
    <w:rsid w:val="005400E8"/>
    <w:rsid w:val="00540270"/>
    <w:rsid w:val="00540ABB"/>
    <w:rsid w:val="0054126D"/>
    <w:rsid w:val="0054164E"/>
    <w:rsid w:val="0054170A"/>
    <w:rsid w:val="00542262"/>
    <w:rsid w:val="0054259C"/>
    <w:rsid w:val="00542BFD"/>
    <w:rsid w:val="00542D9E"/>
    <w:rsid w:val="00543BB6"/>
    <w:rsid w:val="00543FCF"/>
    <w:rsid w:val="005440F9"/>
    <w:rsid w:val="005443A3"/>
    <w:rsid w:val="00544589"/>
    <w:rsid w:val="00544DF9"/>
    <w:rsid w:val="005453B2"/>
    <w:rsid w:val="00545EC1"/>
    <w:rsid w:val="00545F5C"/>
    <w:rsid w:val="0054639E"/>
    <w:rsid w:val="0054649F"/>
    <w:rsid w:val="005465A4"/>
    <w:rsid w:val="005468E3"/>
    <w:rsid w:val="00547067"/>
    <w:rsid w:val="00547DC1"/>
    <w:rsid w:val="00550491"/>
    <w:rsid w:val="00550554"/>
    <w:rsid w:val="005508B7"/>
    <w:rsid w:val="00550FA6"/>
    <w:rsid w:val="00551165"/>
    <w:rsid w:val="00551A35"/>
    <w:rsid w:val="00551BD8"/>
    <w:rsid w:val="00553810"/>
    <w:rsid w:val="00553BAA"/>
    <w:rsid w:val="005540D8"/>
    <w:rsid w:val="005542FC"/>
    <w:rsid w:val="005550E9"/>
    <w:rsid w:val="00555179"/>
    <w:rsid w:val="005552B0"/>
    <w:rsid w:val="005553CB"/>
    <w:rsid w:val="00555B4F"/>
    <w:rsid w:val="00557000"/>
    <w:rsid w:val="00557B55"/>
    <w:rsid w:val="00557DEF"/>
    <w:rsid w:val="00561242"/>
    <w:rsid w:val="00561C91"/>
    <w:rsid w:val="00561D06"/>
    <w:rsid w:val="00561F62"/>
    <w:rsid w:val="005621C8"/>
    <w:rsid w:val="0056264B"/>
    <w:rsid w:val="00562A63"/>
    <w:rsid w:val="0056380C"/>
    <w:rsid w:val="00563FAD"/>
    <w:rsid w:val="005643E5"/>
    <w:rsid w:val="00565AF2"/>
    <w:rsid w:val="00565C15"/>
    <w:rsid w:val="005667EF"/>
    <w:rsid w:val="00566853"/>
    <w:rsid w:val="00566A4C"/>
    <w:rsid w:val="00567DD9"/>
    <w:rsid w:val="00567E2A"/>
    <w:rsid w:val="00570283"/>
    <w:rsid w:val="005705FB"/>
    <w:rsid w:val="00570794"/>
    <w:rsid w:val="00571411"/>
    <w:rsid w:val="0057188B"/>
    <w:rsid w:val="00571D66"/>
    <w:rsid w:val="00571F71"/>
    <w:rsid w:val="00572228"/>
    <w:rsid w:val="0057266F"/>
    <w:rsid w:val="00572C8A"/>
    <w:rsid w:val="005738A9"/>
    <w:rsid w:val="00573BC0"/>
    <w:rsid w:val="00575CFA"/>
    <w:rsid w:val="005760C1"/>
    <w:rsid w:val="0057654F"/>
    <w:rsid w:val="00577B6E"/>
    <w:rsid w:val="005808C5"/>
    <w:rsid w:val="00582762"/>
    <w:rsid w:val="00582A19"/>
    <w:rsid w:val="005846DE"/>
    <w:rsid w:val="00584AE9"/>
    <w:rsid w:val="0058522F"/>
    <w:rsid w:val="00585652"/>
    <w:rsid w:val="00585EE5"/>
    <w:rsid w:val="005862DA"/>
    <w:rsid w:val="005864EA"/>
    <w:rsid w:val="00587130"/>
    <w:rsid w:val="0058732C"/>
    <w:rsid w:val="005877E6"/>
    <w:rsid w:val="005877ED"/>
    <w:rsid w:val="00590012"/>
    <w:rsid w:val="0059062B"/>
    <w:rsid w:val="005908D6"/>
    <w:rsid w:val="00590DCA"/>
    <w:rsid w:val="00590EC7"/>
    <w:rsid w:val="00591356"/>
    <w:rsid w:val="0059219C"/>
    <w:rsid w:val="00592939"/>
    <w:rsid w:val="00592AA4"/>
    <w:rsid w:val="00593967"/>
    <w:rsid w:val="00593E27"/>
    <w:rsid w:val="0059431A"/>
    <w:rsid w:val="00594379"/>
    <w:rsid w:val="00594B34"/>
    <w:rsid w:val="00594E13"/>
    <w:rsid w:val="0059508C"/>
    <w:rsid w:val="00595C74"/>
    <w:rsid w:val="00596886"/>
    <w:rsid w:val="00596BEA"/>
    <w:rsid w:val="005974FB"/>
    <w:rsid w:val="005977F7"/>
    <w:rsid w:val="00597804"/>
    <w:rsid w:val="00597DE2"/>
    <w:rsid w:val="005A070F"/>
    <w:rsid w:val="005A08B3"/>
    <w:rsid w:val="005A13C8"/>
    <w:rsid w:val="005A3029"/>
    <w:rsid w:val="005A3770"/>
    <w:rsid w:val="005A3E8D"/>
    <w:rsid w:val="005A43E8"/>
    <w:rsid w:val="005A49FE"/>
    <w:rsid w:val="005A5313"/>
    <w:rsid w:val="005A5523"/>
    <w:rsid w:val="005A5D66"/>
    <w:rsid w:val="005A7614"/>
    <w:rsid w:val="005B0679"/>
    <w:rsid w:val="005B08CB"/>
    <w:rsid w:val="005B0C4C"/>
    <w:rsid w:val="005B16DE"/>
    <w:rsid w:val="005B19CF"/>
    <w:rsid w:val="005B1F37"/>
    <w:rsid w:val="005B26C3"/>
    <w:rsid w:val="005B2C47"/>
    <w:rsid w:val="005B2EEF"/>
    <w:rsid w:val="005B337E"/>
    <w:rsid w:val="005B35D1"/>
    <w:rsid w:val="005B38B5"/>
    <w:rsid w:val="005B39D8"/>
    <w:rsid w:val="005B3C37"/>
    <w:rsid w:val="005B3E16"/>
    <w:rsid w:val="005B41EF"/>
    <w:rsid w:val="005B4850"/>
    <w:rsid w:val="005B4C13"/>
    <w:rsid w:val="005B51E6"/>
    <w:rsid w:val="005B529A"/>
    <w:rsid w:val="005B5440"/>
    <w:rsid w:val="005B5D39"/>
    <w:rsid w:val="005B6850"/>
    <w:rsid w:val="005B68B7"/>
    <w:rsid w:val="005B748C"/>
    <w:rsid w:val="005B75B0"/>
    <w:rsid w:val="005B79C7"/>
    <w:rsid w:val="005B7C70"/>
    <w:rsid w:val="005B7F70"/>
    <w:rsid w:val="005C0198"/>
    <w:rsid w:val="005C01FD"/>
    <w:rsid w:val="005C04BC"/>
    <w:rsid w:val="005C0AA5"/>
    <w:rsid w:val="005C0DB2"/>
    <w:rsid w:val="005C1628"/>
    <w:rsid w:val="005C1B50"/>
    <w:rsid w:val="005C33E1"/>
    <w:rsid w:val="005C385F"/>
    <w:rsid w:val="005C4954"/>
    <w:rsid w:val="005C4CB4"/>
    <w:rsid w:val="005C5B73"/>
    <w:rsid w:val="005C6271"/>
    <w:rsid w:val="005C6441"/>
    <w:rsid w:val="005C68EB"/>
    <w:rsid w:val="005C6921"/>
    <w:rsid w:val="005C6BEF"/>
    <w:rsid w:val="005C78AB"/>
    <w:rsid w:val="005C7BA3"/>
    <w:rsid w:val="005C7C79"/>
    <w:rsid w:val="005D0294"/>
    <w:rsid w:val="005D0C58"/>
    <w:rsid w:val="005D0F6F"/>
    <w:rsid w:val="005D1A25"/>
    <w:rsid w:val="005D1B37"/>
    <w:rsid w:val="005D1C5D"/>
    <w:rsid w:val="005D257F"/>
    <w:rsid w:val="005D2DA2"/>
    <w:rsid w:val="005D2ED4"/>
    <w:rsid w:val="005D3701"/>
    <w:rsid w:val="005D3772"/>
    <w:rsid w:val="005D39F2"/>
    <w:rsid w:val="005D45A7"/>
    <w:rsid w:val="005D524F"/>
    <w:rsid w:val="005D54AE"/>
    <w:rsid w:val="005D5CF8"/>
    <w:rsid w:val="005D6275"/>
    <w:rsid w:val="005D7029"/>
    <w:rsid w:val="005D79B8"/>
    <w:rsid w:val="005D7E50"/>
    <w:rsid w:val="005E02F0"/>
    <w:rsid w:val="005E0A64"/>
    <w:rsid w:val="005E125D"/>
    <w:rsid w:val="005E235E"/>
    <w:rsid w:val="005E2DD9"/>
    <w:rsid w:val="005E3757"/>
    <w:rsid w:val="005E3DAC"/>
    <w:rsid w:val="005E4B11"/>
    <w:rsid w:val="005E575A"/>
    <w:rsid w:val="005E59D2"/>
    <w:rsid w:val="005E61EE"/>
    <w:rsid w:val="005E640F"/>
    <w:rsid w:val="005E6AE3"/>
    <w:rsid w:val="005E6CC7"/>
    <w:rsid w:val="005E7468"/>
    <w:rsid w:val="005E756A"/>
    <w:rsid w:val="005E7B58"/>
    <w:rsid w:val="005F0A78"/>
    <w:rsid w:val="005F0D1C"/>
    <w:rsid w:val="005F0D6E"/>
    <w:rsid w:val="005F1261"/>
    <w:rsid w:val="005F1667"/>
    <w:rsid w:val="005F1800"/>
    <w:rsid w:val="005F1989"/>
    <w:rsid w:val="005F3624"/>
    <w:rsid w:val="005F3956"/>
    <w:rsid w:val="005F3C25"/>
    <w:rsid w:val="005F3C66"/>
    <w:rsid w:val="005F5453"/>
    <w:rsid w:val="005F5EDF"/>
    <w:rsid w:val="005F5F9B"/>
    <w:rsid w:val="005F6F0B"/>
    <w:rsid w:val="005F7ADD"/>
    <w:rsid w:val="00600854"/>
    <w:rsid w:val="00600B19"/>
    <w:rsid w:val="00600BC4"/>
    <w:rsid w:val="0060129E"/>
    <w:rsid w:val="00601C52"/>
    <w:rsid w:val="00601FAD"/>
    <w:rsid w:val="00601FC8"/>
    <w:rsid w:val="00602872"/>
    <w:rsid w:val="006030AD"/>
    <w:rsid w:val="00603EAC"/>
    <w:rsid w:val="00603FDA"/>
    <w:rsid w:val="0060483E"/>
    <w:rsid w:val="00605A71"/>
    <w:rsid w:val="00606E46"/>
    <w:rsid w:val="006077C5"/>
    <w:rsid w:val="00607C4B"/>
    <w:rsid w:val="00610072"/>
    <w:rsid w:val="00610140"/>
    <w:rsid w:val="00610CB5"/>
    <w:rsid w:val="006112E8"/>
    <w:rsid w:val="0061185D"/>
    <w:rsid w:val="00611A79"/>
    <w:rsid w:val="00611CFD"/>
    <w:rsid w:val="00612332"/>
    <w:rsid w:val="00612865"/>
    <w:rsid w:val="00612B32"/>
    <w:rsid w:val="006137C7"/>
    <w:rsid w:val="006138EF"/>
    <w:rsid w:val="00613B64"/>
    <w:rsid w:val="00614250"/>
    <w:rsid w:val="00614976"/>
    <w:rsid w:val="00615B21"/>
    <w:rsid w:val="00616652"/>
    <w:rsid w:val="006169F7"/>
    <w:rsid w:val="0061716F"/>
    <w:rsid w:val="0061717E"/>
    <w:rsid w:val="00617232"/>
    <w:rsid w:val="006175EE"/>
    <w:rsid w:val="0061796B"/>
    <w:rsid w:val="006201E4"/>
    <w:rsid w:val="006208AF"/>
    <w:rsid w:val="00620D7D"/>
    <w:rsid w:val="00621DB3"/>
    <w:rsid w:val="00621ED8"/>
    <w:rsid w:val="00621F9F"/>
    <w:rsid w:val="00623116"/>
    <w:rsid w:val="006233F2"/>
    <w:rsid w:val="00624280"/>
    <w:rsid w:val="006244B3"/>
    <w:rsid w:val="00625075"/>
    <w:rsid w:val="0062597B"/>
    <w:rsid w:val="00626515"/>
    <w:rsid w:val="00627DA1"/>
    <w:rsid w:val="00627DE0"/>
    <w:rsid w:val="00630F29"/>
    <w:rsid w:val="00631613"/>
    <w:rsid w:val="006322A3"/>
    <w:rsid w:val="00633818"/>
    <w:rsid w:val="00633A4F"/>
    <w:rsid w:val="00633C8C"/>
    <w:rsid w:val="0063428A"/>
    <w:rsid w:val="00634675"/>
    <w:rsid w:val="00635589"/>
    <w:rsid w:val="006358DC"/>
    <w:rsid w:val="0063590B"/>
    <w:rsid w:val="006360C6"/>
    <w:rsid w:val="0063649F"/>
    <w:rsid w:val="0063749D"/>
    <w:rsid w:val="00640872"/>
    <w:rsid w:val="00640884"/>
    <w:rsid w:val="006408CD"/>
    <w:rsid w:val="00642143"/>
    <w:rsid w:val="00642527"/>
    <w:rsid w:val="00642A5C"/>
    <w:rsid w:val="00642E72"/>
    <w:rsid w:val="006438BC"/>
    <w:rsid w:val="00643B57"/>
    <w:rsid w:val="00643CA6"/>
    <w:rsid w:val="00644837"/>
    <w:rsid w:val="006454BD"/>
    <w:rsid w:val="00645F64"/>
    <w:rsid w:val="00646ED2"/>
    <w:rsid w:val="00647160"/>
    <w:rsid w:val="0064727E"/>
    <w:rsid w:val="00647A8E"/>
    <w:rsid w:val="00647A9E"/>
    <w:rsid w:val="00650608"/>
    <w:rsid w:val="00650965"/>
    <w:rsid w:val="00650B1C"/>
    <w:rsid w:val="00650B55"/>
    <w:rsid w:val="006511BA"/>
    <w:rsid w:val="006511E8"/>
    <w:rsid w:val="006513EF"/>
    <w:rsid w:val="006531C1"/>
    <w:rsid w:val="00653443"/>
    <w:rsid w:val="00653A07"/>
    <w:rsid w:val="0065434F"/>
    <w:rsid w:val="0065453B"/>
    <w:rsid w:val="006548BE"/>
    <w:rsid w:val="00654A81"/>
    <w:rsid w:val="00654CED"/>
    <w:rsid w:val="0065508F"/>
    <w:rsid w:val="0065515D"/>
    <w:rsid w:val="00656A88"/>
    <w:rsid w:val="00657893"/>
    <w:rsid w:val="006607F1"/>
    <w:rsid w:val="00661A70"/>
    <w:rsid w:val="006627E5"/>
    <w:rsid w:val="00662EFE"/>
    <w:rsid w:val="00663693"/>
    <w:rsid w:val="00663769"/>
    <w:rsid w:val="00664888"/>
    <w:rsid w:val="006649CB"/>
    <w:rsid w:val="00664BB0"/>
    <w:rsid w:val="006653C3"/>
    <w:rsid w:val="0066540A"/>
    <w:rsid w:val="006656AE"/>
    <w:rsid w:val="00665DD7"/>
    <w:rsid w:val="0066686B"/>
    <w:rsid w:val="0066697F"/>
    <w:rsid w:val="00666C14"/>
    <w:rsid w:val="00666C67"/>
    <w:rsid w:val="0066734C"/>
    <w:rsid w:val="0066785F"/>
    <w:rsid w:val="00667AF7"/>
    <w:rsid w:val="00667B60"/>
    <w:rsid w:val="006700CC"/>
    <w:rsid w:val="006727D1"/>
    <w:rsid w:val="00672C2F"/>
    <w:rsid w:val="00672FFF"/>
    <w:rsid w:val="006733B6"/>
    <w:rsid w:val="00673540"/>
    <w:rsid w:val="006736C4"/>
    <w:rsid w:val="006755B6"/>
    <w:rsid w:val="00675B93"/>
    <w:rsid w:val="00677D08"/>
    <w:rsid w:val="00677E98"/>
    <w:rsid w:val="00677FBF"/>
    <w:rsid w:val="00680531"/>
    <w:rsid w:val="00680776"/>
    <w:rsid w:val="00680842"/>
    <w:rsid w:val="00680AD3"/>
    <w:rsid w:val="00681CED"/>
    <w:rsid w:val="006826B4"/>
    <w:rsid w:val="00682797"/>
    <w:rsid w:val="00682DFC"/>
    <w:rsid w:val="0068364D"/>
    <w:rsid w:val="00683777"/>
    <w:rsid w:val="006842EE"/>
    <w:rsid w:val="006844B6"/>
    <w:rsid w:val="006848BE"/>
    <w:rsid w:val="00684AEE"/>
    <w:rsid w:val="00684E2B"/>
    <w:rsid w:val="00685532"/>
    <w:rsid w:val="00685DA2"/>
    <w:rsid w:val="00685DAF"/>
    <w:rsid w:val="006867AB"/>
    <w:rsid w:val="00686D8D"/>
    <w:rsid w:val="00686DBB"/>
    <w:rsid w:val="0068709E"/>
    <w:rsid w:val="00687661"/>
    <w:rsid w:val="006900AE"/>
    <w:rsid w:val="00690440"/>
    <w:rsid w:val="00690A7A"/>
    <w:rsid w:val="00690CEA"/>
    <w:rsid w:val="0069189A"/>
    <w:rsid w:val="0069195E"/>
    <w:rsid w:val="006926C3"/>
    <w:rsid w:val="00692D5E"/>
    <w:rsid w:val="00692F20"/>
    <w:rsid w:val="006933EA"/>
    <w:rsid w:val="00693DC9"/>
    <w:rsid w:val="006950C7"/>
    <w:rsid w:val="006951F3"/>
    <w:rsid w:val="00697644"/>
    <w:rsid w:val="00697BF0"/>
    <w:rsid w:val="00697E12"/>
    <w:rsid w:val="006A03F5"/>
    <w:rsid w:val="006A0E0C"/>
    <w:rsid w:val="006A0EF0"/>
    <w:rsid w:val="006A1A35"/>
    <w:rsid w:val="006A2E34"/>
    <w:rsid w:val="006A37CC"/>
    <w:rsid w:val="006A37F4"/>
    <w:rsid w:val="006A3B58"/>
    <w:rsid w:val="006A3C67"/>
    <w:rsid w:val="006A4057"/>
    <w:rsid w:val="006A428C"/>
    <w:rsid w:val="006A434F"/>
    <w:rsid w:val="006A4E5E"/>
    <w:rsid w:val="006A5084"/>
    <w:rsid w:val="006A6058"/>
    <w:rsid w:val="006A69C5"/>
    <w:rsid w:val="006A6F8F"/>
    <w:rsid w:val="006A789C"/>
    <w:rsid w:val="006B0A8E"/>
    <w:rsid w:val="006B1DD1"/>
    <w:rsid w:val="006B22E6"/>
    <w:rsid w:val="006B24BF"/>
    <w:rsid w:val="006B2968"/>
    <w:rsid w:val="006B2FD1"/>
    <w:rsid w:val="006B31EB"/>
    <w:rsid w:val="006B3E8D"/>
    <w:rsid w:val="006B447B"/>
    <w:rsid w:val="006B50C3"/>
    <w:rsid w:val="006B5783"/>
    <w:rsid w:val="006B5886"/>
    <w:rsid w:val="006B69BF"/>
    <w:rsid w:val="006B6C33"/>
    <w:rsid w:val="006B6E80"/>
    <w:rsid w:val="006B7A2C"/>
    <w:rsid w:val="006C0A3A"/>
    <w:rsid w:val="006C0C0E"/>
    <w:rsid w:val="006C1AB8"/>
    <w:rsid w:val="006C22A5"/>
    <w:rsid w:val="006C2D18"/>
    <w:rsid w:val="006C2D54"/>
    <w:rsid w:val="006C2F79"/>
    <w:rsid w:val="006C360E"/>
    <w:rsid w:val="006C44BB"/>
    <w:rsid w:val="006C48CF"/>
    <w:rsid w:val="006C49A9"/>
    <w:rsid w:val="006C4D09"/>
    <w:rsid w:val="006C617C"/>
    <w:rsid w:val="006C637D"/>
    <w:rsid w:val="006C63DE"/>
    <w:rsid w:val="006C66EB"/>
    <w:rsid w:val="006C6B5C"/>
    <w:rsid w:val="006C6CE7"/>
    <w:rsid w:val="006C6F7A"/>
    <w:rsid w:val="006C79C2"/>
    <w:rsid w:val="006D1897"/>
    <w:rsid w:val="006D1FA7"/>
    <w:rsid w:val="006D334E"/>
    <w:rsid w:val="006D415B"/>
    <w:rsid w:val="006D45AA"/>
    <w:rsid w:val="006D52C0"/>
    <w:rsid w:val="006D620B"/>
    <w:rsid w:val="006D62CA"/>
    <w:rsid w:val="006D6445"/>
    <w:rsid w:val="006D6B23"/>
    <w:rsid w:val="006D6D20"/>
    <w:rsid w:val="006D737D"/>
    <w:rsid w:val="006D7908"/>
    <w:rsid w:val="006D7B4B"/>
    <w:rsid w:val="006D7CE4"/>
    <w:rsid w:val="006E0013"/>
    <w:rsid w:val="006E0032"/>
    <w:rsid w:val="006E06A6"/>
    <w:rsid w:val="006E1233"/>
    <w:rsid w:val="006E1C5F"/>
    <w:rsid w:val="006E29EC"/>
    <w:rsid w:val="006E3054"/>
    <w:rsid w:val="006E3F5A"/>
    <w:rsid w:val="006E418E"/>
    <w:rsid w:val="006E4358"/>
    <w:rsid w:val="006E4A8E"/>
    <w:rsid w:val="006E5597"/>
    <w:rsid w:val="006E5704"/>
    <w:rsid w:val="006E5728"/>
    <w:rsid w:val="006E5D8A"/>
    <w:rsid w:val="006E5E5C"/>
    <w:rsid w:val="006E63A3"/>
    <w:rsid w:val="006E6568"/>
    <w:rsid w:val="006E6D0C"/>
    <w:rsid w:val="006E74F0"/>
    <w:rsid w:val="006E7B37"/>
    <w:rsid w:val="006E7C3E"/>
    <w:rsid w:val="006F1F34"/>
    <w:rsid w:val="006F2AED"/>
    <w:rsid w:val="006F3728"/>
    <w:rsid w:val="006F39F3"/>
    <w:rsid w:val="006F3F05"/>
    <w:rsid w:val="006F4E11"/>
    <w:rsid w:val="006F56F4"/>
    <w:rsid w:val="006F5A5A"/>
    <w:rsid w:val="006F5B46"/>
    <w:rsid w:val="006F6031"/>
    <w:rsid w:val="006F712B"/>
    <w:rsid w:val="0070014A"/>
    <w:rsid w:val="00700448"/>
    <w:rsid w:val="007006D7"/>
    <w:rsid w:val="00700841"/>
    <w:rsid w:val="007017D7"/>
    <w:rsid w:val="00701D90"/>
    <w:rsid w:val="00701DB6"/>
    <w:rsid w:val="007026C0"/>
    <w:rsid w:val="007031AB"/>
    <w:rsid w:val="00703541"/>
    <w:rsid w:val="0070367A"/>
    <w:rsid w:val="007037F9"/>
    <w:rsid w:val="00705DE4"/>
    <w:rsid w:val="00705E47"/>
    <w:rsid w:val="00705ECE"/>
    <w:rsid w:val="00706E67"/>
    <w:rsid w:val="00707823"/>
    <w:rsid w:val="007102FC"/>
    <w:rsid w:val="00710866"/>
    <w:rsid w:val="00710A30"/>
    <w:rsid w:val="00710CB4"/>
    <w:rsid w:val="00710ED7"/>
    <w:rsid w:val="00711058"/>
    <w:rsid w:val="00711151"/>
    <w:rsid w:val="00711417"/>
    <w:rsid w:val="00711C66"/>
    <w:rsid w:val="00711E0A"/>
    <w:rsid w:val="0071227A"/>
    <w:rsid w:val="00712CEE"/>
    <w:rsid w:val="007135FD"/>
    <w:rsid w:val="00713907"/>
    <w:rsid w:val="00713A75"/>
    <w:rsid w:val="00714583"/>
    <w:rsid w:val="0071634B"/>
    <w:rsid w:val="00716E9E"/>
    <w:rsid w:val="007176F0"/>
    <w:rsid w:val="0071771C"/>
    <w:rsid w:val="00717F64"/>
    <w:rsid w:val="00717F94"/>
    <w:rsid w:val="00720181"/>
    <w:rsid w:val="00720553"/>
    <w:rsid w:val="00720A91"/>
    <w:rsid w:val="0072188B"/>
    <w:rsid w:val="00721AAF"/>
    <w:rsid w:val="007222FB"/>
    <w:rsid w:val="00722327"/>
    <w:rsid w:val="00722ABF"/>
    <w:rsid w:val="00722E37"/>
    <w:rsid w:val="00723D09"/>
    <w:rsid w:val="00723D0D"/>
    <w:rsid w:val="007241B6"/>
    <w:rsid w:val="0072455E"/>
    <w:rsid w:val="00724DC8"/>
    <w:rsid w:val="00724E2C"/>
    <w:rsid w:val="00725012"/>
    <w:rsid w:val="0072505E"/>
    <w:rsid w:val="00725A93"/>
    <w:rsid w:val="0072734E"/>
    <w:rsid w:val="00727FDF"/>
    <w:rsid w:val="00730171"/>
    <w:rsid w:val="007302FD"/>
    <w:rsid w:val="00731967"/>
    <w:rsid w:val="00731C01"/>
    <w:rsid w:val="00731FD9"/>
    <w:rsid w:val="00732319"/>
    <w:rsid w:val="007326C2"/>
    <w:rsid w:val="00733D3E"/>
    <w:rsid w:val="00733FC9"/>
    <w:rsid w:val="00734577"/>
    <w:rsid w:val="00734796"/>
    <w:rsid w:val="007349CC"/>
    <w:rsid w:val="00734A46"/>
    <w:rsid w:val="00735309"/>
    <w:rsid w:val="00735DF3"/>
    <w:rsid w:val="007360AF"/>
    <w:rsid w:val="00736A8C"/>
    <w:rsid w:val="00736E97"/>
    <w:rsid w:val="007372E5"/>
    <w:rsid w:val="0073762C"/>
    <w:rsid w:val="0073768D"/>
    <w:rsid w:val="00737A1C"/>
    <w:rsid w:val="00737AE8"/>
    <w:rsid w:val="00737B33"/>
    <w:rsid w:val="0074003A"/>
    <w:rsid w:val="007401AD"/>
    <w:rsid w:val="00740323"/>
    <w:rsid w:val="007412E1"/>
    <w:rsid w:val="007444D1"/>
    <w:rsid w:val="007447A3"/>
    <w:rsid w:val="00744946"/>
    <w:rsid w:val="00744A06"/>
    <w:rsid w:val="00744CBA"/>
    <w:rsid w:val="00744F47"/>
    <w:rsid w:val="007455C0"/>
    <w:rsid w:val="0074617E"/>
    <w:rsid w:val="00746B25"/>
    <w:rsid w:val="00746C52"/>
    <w:rsid w:val="007475A7"/>
    <w:rsid w:val="00747A95"/>
    <w:rsid w:val="00747B58"/>
    <w:rsid w:val="007504C6"/>
    <w:rsid w:val="00750802"/>
    <w:rsid w:val="007508AB"/>
    <w:rsid w:val="00750DEC"/>
    <w:rsid w:val="0075108C"/>
    <w:rsid w:val="00751E3E"/>
    <w:rsid w:val="00752155"/>
    <w:rsid w:val="007521D3"/>
    <w:rsid w:val="00752240"/>
    <w:rsid w:val="007524BE"/>
    <w:rsid w:val="00752A59"/>
    <w:rsid w:val="007536D3"/>
    <w:rsid w:val="00753854"/>
    <w:rsid w:val="00753EB4"/>
    <w:rsid w:val="0075443C"/>
    <w:rsid w:val="007549C7"/>
    <w:rsid w:val="00754C36"/>
    <w:rsid w:val="00755228"/>
    <w:rsid w:val="007556E3"/>
    <w:rsid w:val="00755A66"/>
    <w:rsid w:val="007568F4"/>
    <w:rsid w:val="00756DD9"/>
    <w:rsid w:val="007601F8"/>
    <w:rsid w:val="007606EE"/>
    <w:rsid w:val="00760D20"/>
    <w:rsid w:val="00760E7F"/>
    <w:rsid w:val="00761523"/>
    <w:rsid w:val="007616A8"/>
    <w:rsid w:val="007628FE"/>
    <w:rsid w:val="00762AA0"/>
    <w:rsid w:val="0076348E"/>
    <w:rsid w:val="007635C3"/>
    <w:rsid w:val="0076426D"/>
    <w:rsid w:val="00765305"/>
    <w:rsid w:val="00765A0D"/>
    <w:rsid w:val="007664DC"/>
    <w:rsid w:val="00766598"/>
    <w:rsid w:val="00766A00"/>
    <w:rsid w:val="00766B28"/>
    <w:rsid w:val="007670F1"/>
    <w:rsid w:val="00771459"/>
    <w:rsid w:val="00771855"/>
    <w:rsid w:val="0077314D"/>
    <w:rsid w:val="00773DC2"/>
    <w:rsid w:val="0077412E"/>
    <w:rsid w:val="0077449B"/>
    <w:rsid w:val="00774901"/>
    <w:rsid w:val="00774E5C"/>
    <w:rsid w:val="007760DB"/>
    <w:rsid w:val="007765EC"/>
    <w:rsid w:val="007778BB"/>
    <w:rsid w:val="00780D7B"/>
    <w:rsid w:val="00781D3E"/>
    <w:rsid w:val="0078236B"/>
    <w:rsid w:val="007826B4"/>
    <w:rsid w:val="00782975"/>
    <w:rsid w:val="00782F12"/>
    <w:rsid w:val="00783005"/>
    <w:rsid w:val="00783109"/>
    <w:rsid w:val="00783591"/>
    <w:rsid w:val="00783D88"/>
    <w:rsid w:val="00784BE7"/>
    <w:rsid w:val="00785432"/>
    <w:rsid w:val="00785535"/>
    <w:rsid w:val="00785EA8"/>
    <w:rsid w:val="00786B50"/>
    <w:rsid w:val="00786BAE"/>
    <w:rsid w:val="00786DB5"/>
    <w:rsid w:val="00787285"/>
    <w:rsid w:val="00790ED6"/>
    <w:rsid w:val="007918BB"/>
    <w:rsid w:val="00791A9E"/>
    <w:rsid w:val="007926C9"/>
    <w:rsid w:val="00792BC7"/>
    <w:rsid w:val="00792BDF"/>
    <w:rsid w:val="00792F8E"/>
    <w:rsid w:val="00793606"/>
    <w:rsid w:val="0079451D"/>
    <w:rsid w:val="00795251"/>
    <w:rsid w:val="007968A5"/>
    <w:rsid w:val="0079726D"/>
    <w:rsid w:val="00797649"/>
    <w:rsid w:val="007A0597"/>
    <w:rsid w:val="007A0767"/>
    <w:rsid w:val="007A14B0"/>
    <w:rsid w:val="007A1EF7"/>
    <w:rsid w:val="007A1FF1"/>
    <w:rsid w:val="007A20D0"/>
    <w:rsid w:val="007A344B"/>
    <w:rsid w:val="007A39C2"/>
    <w:rsid w:val="007A3E85"/>
    <w:rsid w:val="007A4455"/>
    <w:rsid w:val="007A4CD9"/>
    <w:rsid w:val="007A4FB2"/>
    <w:rsid w:val="007A587A"/>
    <w:rsid w:val="007A5E40"/>
    <w:rsid w:val="007A665C"/>
    <w:rsid w:val="007A6B7D"/>
    <w:rsid w:val="007A6EEC"/>
    <w:rsid w:val="007A6EFE"/>
    <w:rsid w:val="007A7984"/>
    <w:rsid w:val="007A7CBB"/>
    <w:rsid w:val="007B09B4"/>
    <w:rsid w:val="007B0AAC"/>
    <w:rsid w:val="007B24D3"/>
    <w:rsid w:val="007B288A"/>
    <w:rsid w:val="007B2D49"/>
    <w:rsid w:val="007B36B7"/>
    <w:rsid w:val="007B5574"/>
    <w:rsid w:val="007B5BAD"/>
    <w:rsid w:val="007B6F4C"/>
    <w:rsid w:val="007B7392"/>
    <w:rsid w:val="007B743D"/>
    <w:rsid w:val="007C01A2"/>
    <w:rsid w:val="007C08D5"/>
    <w:rsid w:val="007C0D73"/>
    <w:rsid w:val="007C1B06"/>
    <w:rsid w:val="007C299B"/>
    <w:rsid w:val="007C2B7E"/>
    <w:rsid w:val="007C2BC5"/>
    <w:rsid w:val="007C3210"/>
    <w:rsid w:val="007C3468"/>
    <w:rsid w:val="007C5689"/>
    <w:rsid w:val="007C59B7"/>
    <w:rsid w:val="007C5DBD"/>
    <w:rsid w:val="007C6431"/>
    <w:rsid w:val="007C682C"/>
    <w:rsid w:val="007C6AE4"/>
    <w:rsid w:val="007C7168"/>
    <w:rsid w:val="007C73C4"/>
    <w:rsid w:val="007C76F4"/>
    <w:rsid w:val="007C7821"/>
    <w:rsid w:val="007C7997"/>
    <w:rsid w:val="007D065C"/>
    <w:rsid w:val="007D1375"/>
    <w:rsid w:val="007D2057"/>
    <w:rsid w:val="007D27B9"/>
    <w:rsid w:val="007D2BF0"/>
    <w:rsid w:val="007D40CE"/>
    <w:rsid w:val="007D4614"/>
    <w:rsid w:val="007D488D"/>
    <w:rsid w:val="007D4E19"/>
    <w:rsid w:val="007D5172"/>
    <w:rsid w:val="007D5629"/>
    <w:rsid w:val="007D6247"/>
    <w:rsid w:val="007D6AF5"/>
    <w:rsid w:val="007D6D27"/>
    <w:rsid w:val="007D6DF2"/>
    <w:rsid w:val="007D7993"/>
    <w:rsid w:val="007D7F23"/>
    <w:rsid w:val="007D7F8D"/>
    <w:rsid w:val="007E045C"/>
    <w:rsid w:val="007E0C37"/>
    <w:rsid w:val="007E0CA8"/>
    <w:rsid w:val="007E0F11"/>
    <w:rsid w:val="007E110D"/>
    <w:rsid w:val="007E1B47"/>
    <w:rsid w:val="007E1B7F"/>
    <w:rsid w:val="007E208E"/>
    <w:rsid w:val="007E3386"/>
    <w:rsid w:val="007E37C2"/>
    <w:rsid w:val="007E3A13"/>
    <w:rsid w:val="007E3AE5"/>
    <w:rsid w:val="007E3E10"/>
    <w:rsid w:val="007E3F2E"/>
    <w:rsid w:val="007E4382"/>
    <w:rsid w:val="007E4882"/>
    <w:rsid w:val="007E4A9F"/>
    <w:rsid w:val="007E5076"/>
    <w:rsid w:val="007E5545"/>
    <w:rsid w:val="007E5D8B"/>
    <w:rsid w:val="007E6A0D"/>
    <w:rsid w:val="007E781D"/>
    <w:rsid w:val="007F069B"/>
    <w:rsid w:val="007F0AD4"/>
    <w:rsid w:val="007F106B"/>
    <w:rsid w:val="007F2111"/>
    <w:rsid w:val="007F2836"/>
    <w:rsid w:val="007F28D8"/>
    <w:rsid w:val="007F3783"/>
    <w:rsid w:val="007F37AE"/>
    <w:rsid w:val="007F3A63"/>
    <w:rsid w:val="007F3FAC"/>
    <w:rsid w:val="007F57C0"/>
    <w:rsid w:val="007F6455"/>
    <w:rsid w:val="007F6479"/>
    <w:rsid w:val="007F6AD8"/>
    <w:rsid w:val="008002E2"/>
    <w:rsid w:val="008006EC"/>
    <w:rsid w:val="008012A0"/>
    <w:rsid w:val="00801A0F"/>
    <w:rsid w:val="00801CBF"/>
    <w:rsid w:val="00801DBA"/>
    <w:rsid w:val="008027C2"/>
    <w:rsid w:val="00802A47"/>
    <w:rsid w:val="008030ED"/>
    <w:rsid w:val="008035FE"/>
    <w:rsid w:val="00803A5F"/>
    <w:rsid w:val="008043F6"/>
    <w:rsid w:val="008048E3"/>
    <w:rsid w:val="00804B35"/>
    <w:rsid w:val="00805481"/>
    <w:rsid w:val="008057AE"/>
    <w:rsid w:val="00805E44"/>
    <w:rsid w:val="00806139"/>
    <w:rsid w:val="008064BA"/>
    <w:rsid w:val="008067DD"/>
    <w:rsid w:val="00806BB1"/>
    <w:rsid w:val="0080708F"/>
    <w:rsid w:val="00807469"/>
    <w:rsid w:val="00807F69"/>
    <w:rsid w:val="008104A8"/>
    <w:rsid w:val="00810661"/>
    <w:rsid w:val="008111DC"/>
    <w:rsid w:val="00811942"/>
    <w:rsid w:val="00811B2B"/>
    <w:rsid w:val="00811F70"/>
    <w:rsid w:val="008130D1"/>
    <w:rsid w:val="0081516A"/>
    <w:rsid w:val="0081524F"/>
    <w:rsid w:val="0081583C"/>
    <w:rsid w:val="008160F7"/>
    <w:rsid w:val="00816552"/>
    <w:rsid w:val="008166B9"/>
    <w:rsid w:val="00816E62"/>
    <w:rsid w:val="00816EBA"/>
    <w:rsid w:val="008177A4"/>
    <w:rsid w:val="00817F18"/>
    <w:rsid w:val="00820E69"/>
    <w:rsid w:val="00820FF5"/>
    <w:rsid w:val="00821AFF"/>
    <w:rsid w:val="00822917"/>
    <w:rsid w:val="008229C1"/>
    <w:rsid w:val="008229EC"/>
    <w:rsid w:val="0082435D"/>
    <w:rsid w:val="00826322"/>
    <w:rsid w:val="008270F1"/>
    <w:rsid w:val="0082753E"/>
    <w:rsid w:val="00827C6C"/>
    <w:rsid w:val="008303A1"/>
    <w:rsid w:val="00830E8B"/>
    <w:rsid w:val="008319E2"/>
    <w:rsid w:val="0083362E"/>
    <w:rsid w:val="00833D2A"/>
    <w:rsid w:val="0083470F"/>
    <w:rsid w:val="00834B7B"/>
    <w:rsid w:val="00835B6C"/>
    <w:rsid w:val="00835B94"/>
    <w:rsid w:val="0083687A"/>
    <w:rsid w:val="00836A64"/>
    <w:rsid w:val="00837098"/>
    <w:rsid w:val="00840902"/>
    <w:rsid w:val="00840D7C"/>
    <w:rsid w:val="00840E7B"/>
    <w:rsid w:val="008411AB"/>
    <w:rsid w:val="0084140D"/>
    <w:rsid w:val="00841C07"/>
    <w:rsid w:val="00841D63"/>
    <w:rsid w:val="00842386"/>
    <w:rsid w:val="008425E2"/>
    <w:rsid w:val="00842803"/>
    <w:rsid w:val="00842EA8"/>
    <w:rsid w:val="0084361A"/>
    <w:rsid w:val="00843A75"/>
    <w:rsid w:val="00843BA7"/>
    <w:rsid w:val="008440D9"/>
    <w:rsid w:val="008440EE"/>
    <w:rsid w:val="00845186"/>
    <w:rsid w:val="00845BFD"/>
    <w:rsid w:val="0084652E"/>
    <w:rsid w:val="008467B8"/>
    <w:rsid w:val="00846A00"/>
    <w:rsid w:val="00847137"/>
    <w:rsid w:val="008477EC"/>
    <w:rsid w:val="00847BA2"/>
    <w:rsid w:val="00850273"/>
    <w:rsid w:val="0085036F"/>
    <w:rsid w:val="00850599"/>
    <w:rsid w:val="00851130"/>
    <w:rsid w:val="00852385"/>
    <w:rsid w:val="00853A9B"/>
    <w:rsid w:val="00854372"/>
    <w:rsid w:val="008545F6"/>
    <w:rsid w:val="0085542D"/>
    <w:rsid w:val="0085575B"/>
    <w:rsid w:val="008558A5"/>
    <w:rsid w:val="00855A8C"/>
    <w:rsid w:val="00856ED1"/>
    <w:rsid w:val="00856F3A"/>
    <w:rsid w:val="00856FC8"/>
    <w:rsid w:val="008571A2"/>
    <w:rsid w:val="00857288"/>
    <w:rsid w:val="008572B0"/>
    <w:rsid w:val="00857A68"/>
    <w:rsid w:val="00857C58"/>
    <w:rsid w:val="008607FE"/>
    <w:rsid w:val="00862434"/>
    <w:rsid w:val="008625F4"/>
    <w:rsid w:val="0086261F"/>
    <w:rsid w:val="00862DFE"/>
    <w:rsid w:val="00862EBD"/>
    <w:rsid w:val="00863E12"/>
    <w:rsid w:val="00865889"/>
    <w:rsid w:val="00865903"/>
    <w:rsid w:val="00865A84"/>
    <w:rsid w:val="00866B8F"/>
    <w:rsid w:val="008672A3"/>
    <w:rsid w:val="00867357"/>
    <w:rsid w:val="0086784C"/>
    <w:rsid w:val="00867E4F"/>
    <w:rsid w:val="00870EEB"/>
    <w:rsid w:val="00870FF0"/>
    <w:rsid w:val="008710EA"/>
    <w:rsid w:val="0087120E"/>
    <w:rsid w:val="00871482"/>
    <w:rsid w:val="00871B54"/>
    <w:rsid w:val="00872CFA"/>
    <w:rsid w:val="00873E17"/>
    <w:rsid w:val="00873F3D"/>
    <w:rsid w:val="0087400D"/>
    <w:rsid w:val="00874D17"/>
    <w:rsid w:val="00875A5F"/>
    <w:rsid w:val="00875A8F"/>
    <w:rsid w:val="00875AAF"/>
    <w:rsid w:val="00875B97"/>
    <w:rsid w:val="00876B51"/>
    <w:rsid w:val="00876EE0"/>
    <w:rsid w:val="00876EED"/>
    <w:rsid w:val="008772FD"/>
    <w:rsid w:val="00877354"/>
    <w:rsid w:val="008778E2"/>
    <w:rsid w:val="00877A96"/>
    <w:rsid w:val="00877D84"/>
    <w:rsid w:val="00877E6C"/>
    <w:rsid w:val="00880402"/>
    <w:rsid w:val="00880CC5"/>
    <w:rsid w:val="00880CD7"/>
    <w:rsid w:val="008812C3"/>
    <w:rsid w:val="0088154A"/>
    <w:rsid w:val="0088175E"/>
    <w:rsid w:val="008817E8"/>
    <w:rsid w:val="00882479"/>
    <w:rsid w:val="00883172"/>
    <w:rsid w:val="008833AC"/>
    <w:rsid w:val="00884771"/>
    <w:rsid w:val="00884BDA"/>
    <w:rsid w:val="008864A9"/>
    <w:rsid w:val="00886D3C"/>
    <w:rsid w:val="00887010"/>
    <w:rsid w:val="00887708"/>
    <w:rsid w:val="00887912"/>
    <w:rsid w:val="00887938"/>
    <w:rsid w:val="00887C39"/>
    <w:rsid w:val="00887F74"/>
    <w:rsid w:val="008901AB"/>
    <w:rsid w:val="00891572"/>
    <w:rsid w:val="008916C8"/>
    <w:rsid w:val="00891C51"/>
    <w:rsid w:val="00891C7C"/>
    <w:rsid w:val="00891D4D"/>
    <w:rsid w:val="008925D3"/>
    <w:rsid w:val="00892C0A"/>
    <w:rsid w:val="00892C1F"/>
    <w:rsid w:val="00893352"/>
    <w:rsid w:val="00894138"/>
    <w:rsid w:val="0089466E"/>
    <w:rsid w:val="00895C4B"/>
    <w:rsid w:val="00895E41"/>
    <w:rsid w:val="008963C1"/>
    <w:rsid w:val="00896B9A"/>
    <w:rsid w:val="00896E46"/>
    <w:rsid w:val="00897233"/>
    <w:rsid w:val="00897C0C"/>
    <w:rsid w:val="00897C16"/>
    <w:rsid w:val="00897FE6"/>
    <w:rsid w:val="008A0744"/>
    <w:rsid w:val="008A0ED2"/>
    <w:rsid w:val="008A13AB"/>
    <w:rsid w:val="008A31EE"/>
    <w:rsid w:val="008A33F5"/>
    <w:rsid w:val="008A3458"/>
    <w:rsid w:val="008A355E"/>
    <w:rsid w:val="008A3899"/>
    <w:rsid w:val="008A4253"/>
    <w:rsid w:val="008A5325"/>
    <w:rsid w:val="008A5371"/>
    <w:rsid w:val="008A5444"/>
    <w:rsid w:val="008A5468"/>
    <w:rsid w:val="008A5A26"/>
    <w:rsid w:val="008A5A8A"/>
    <w:rsid w:val="008A615F"/>
    <w:rsid w:val="008A68C4"/>
    <w:rsid w:val="008A7FC8"/>
    <w:rsid w:val="008B0897"/>
    <w:rsid w:val="008B0B9B"/>
    <w:rsid w:val="008B0FD1"/>
    <w:rsid w:val="008B1F36"/>
    <w:rsid w:val="008B2718"/>
    <w:rsid w:val="008B334F"/>
    <w:rsid w:val="008B3765"/>
    <w:rsid w:val="008B441F"/>
    <w:rsid w:val="008B5B4E"/>
    <w:rsid w:val="008B5BAD"/>
    <w:rsid w:val="008B5F36"/>
    <w:rsid w:val="008B60B4"/>
    <w:rsid w:val="008B77D1"/>
    <w:rsid w:val="008B7E94"/>
    <w:rsid w:val="008C01D3"/>
    <w:rsid w:val="008C08B3"/>
    <w:rsid w:val="008C09AB"/>
    <w:rsid w:val="008C166D"/>
    <w:rsid w:val="008C1FB0"/>
    <w:rsid w:val="008C31F3"/>
    <w:rsid w:val="008C3A78"/>
    <w:rsid w:val="008C3E57"/>
    <w:rsid w:val="008C5464"/>
    <w:rsid w:val="008C59D2"/>
    <w:rsid w:val="008C5B59"/>
    <w:rsid w:val="008C6247"/>
    <w:rsid w:val="008C6890"/>
    <w:rsid w:val="008C696D"/>
    <w:rsid w:val="008C6992"/>
    <w:rsid w:val="008C6F30"/>
    <w:rsid w:val="008C7619"/>
    <w:rsid w:val="008C78ED"/>
    <w:rsid w:val="008D03E8"/>
    <w:rsid w:val="008D0C65"/>
    <w:rsid w:val="008D0D7D"/>
    <w:rsid w:val="008D1195"/>
    <w:rsid w:val="008D1635"/>
    <w:rsid w:val="008D186F"/>
    <w:rsid w:val="008D1986"/>
    <w:rsid w:val="008D1B0D"/>
    <w:rsid w:val="008D1DA3"/>
    <w:rsid w:val="008D30D5"/>
    <w:rsid w:val="008D3C16"/>
    <w:rsid w:val="008D40A5"/>
    <w:rsid w:val="008D4625"/>
    <w:rsid w:val="008D4E4E"/>
    <w:rsid w:val="008D55D0"/>
    <w:rsid w:val="008D65DE"/>
    <w:rsid w:val="008D6FE2"/>
    <w:rsid w:val="008D702C"/>
    <w:rsid w:val="008E0248"/>
    <w:rsid w:val="008E032C"/>
    <w:rsid w:val="008E07CF"/>
    <w:rsid w:val="008E0EFA"/>
    <w:rsid w:val="008E17A7"/>
    <w:rsid w:val="008E2861"/>
    <w:rsid w:val="008E3040"/>
    <w:rsid w:val="008E32BD"/>
    <w:rsid w:val="008E3BE7"/>
    <w:rsid w:val="008E43EE"/>
    <w:rsid w:val="008E4E00"/>
    <w:rsid w:val="008E4EF3"/>
    <w:rsid w:val="008E5ADB"/>
    <w:rsid w:val="008E60E9"/>
    <w:rsid w:val="008E6195"/>
    <w:rsid w:val="008E6B51"/>
    <w:rsid w:val="008E7C63"/>
    <w:rsid w:val="008F0524"/>
    <w:rsid w:val="008F0986"/>
    <w:rsid w:val="008F0B63"/>
    <w:rsid w:val="008F0EB1"/>
    <w:rsid w:val="008F10EF"/>
    <w:rsid w:val="008F11F9"/>
    <w:rsid w:val="008F15F0"/>
    <w:rsid w:val="008F160D"/>
    <w:rsid w:val="008F18F0"/>
    <w:rsid w:val="008F1F85"/>
    <w:rsid w:val="008F34B5"/>
    <w:rsid w:val="008F3CA6"/>
    <w:rsid w:val="008F4626"/>
    <w:rsid w:val="008F4C16"/>
    <w:rsid w:val="008F6824"/>
    <w:rsid w:val="008F7409"/>
    <w:rsid w:val="008F78C8"/>
    <w:rsid w:val="008F78EE"/>
    <w:rsid w:val="00900429"/>
    <w:rsid w:val="0090132F"/>
    <w:rsid w:val="0090141B"/>
    <w:rsid w:val="00901BB0"/>
    <w:rsid w:val="00902484"/>
    <w:rsid w:val="009032F6"/>
    <w:rsid w:val="009033F0"/>
    <w:rsid w:val="00903662"/>
    <w:rsid w:val="009037AA"/>
    <w:rsid w:val="00903A98"/>
    <w:rsid w:val="00903DAB"/>
    <w:rsid w:val="009051B5"/>
    <w:rsid w:val="009053CB"/>
    <w:rsid w:val="00905D4E"/>
    <w:rsid w:val="0090697F"/>
    <w:rsid w:val="00910534"/>
    <w:rsid w:val="009107AF"/>
    <w:rsid w:val="00910CCF"/>
    <w:rsid w:val="00911050"/>
    <w:rsid w:val="009110CB"/>
    <w:rsid w:val="00911163"/>
    <w:rsid w:val="00911279"/>
    <w:rsid w:val="00911FE3"/>
    <w:rsid w:val="0091273D"/>
    <w:rsid w:val="00912E01"/>
    <w:rsid w:val="00912F0C"/>
    <w:rsid w:val="0091357B"/>
    <w:rsid w:val="009137B9"/>
    <w:rsid w:val="00913A33"/>
    <w:rsid w:val="009146F7"/>
    <w:rsid w:val="009149DA"/>
    <w:rsid w:val="00914A1D"/>
    <w:rsid w:val="00914FCC"/>
    <w:rsid w:val="009159C8"/>
    <w:rsid w:val="00915EAA"/>
    <w:rsid w:val="009161F2"/>
    <w:rsid w:val="0091631E"/>
    <w:rsid w:val="00916D60"/>
    <w:rsid w:val="00916EA6"/>
    <w:rsid w:val="00916F0C"/>
    <w:rsid w:val="009171C6"/>
    <w:rsid w:val="0092143E"/>
    <w:rsid w:val="00924952"/>
    <w:rsid w:val="00924BA9"/>
    <w:rsid w:val="009251DD"/>
    <w:rsid w:val="009254CE"/>
    <w:rsid w:val="009256DF"/>
    <w:rsid w:val="00925A0A"/>
    <w:rsid w:val="0092605F"/>
    <w:rsid w:val="009267C8"/>
    <w:rsid w:val="00926C30"/>
    <w:rsid w:val="00930371"/>
    <w:rsid w:val="00930A0B"/>
    <w:rsid w:val="00930A8B"/>
    <w:rsid w:val="00930B2E"/>
    <w:rsid w:val="009318A5"/>
    <w:rsid w:val="00931BFA"/>
    <w:rsid w:val="00931E53"/>
    <w:rsid w:val="00932003"/>
    <w:rsid w:val="0093306C"/>
    <w:rsid w:val="0093310F"/>
    <w:rsid w:val="0093353C"/>
    <w:rsid w:val="00933839"/>
    <w:rsid w:val="00933840"/>
    <w:rsid w:val="009343A5"/>
    <w:rsid w:val="00934436"/>
    <w:rsid w:val="00934BAD"/>
    <w:rsid w:val="009354DD"/>
    <w:rsid w:val="00936661"/>
    <w:rsid w:val="00936C34"/>
    <w:rsid w:val="009373F0"/>
    <w:rsid w:val="009374E1"/>
    <w:rsid w:val="00937DE0"/>
    <w:rsid w:val="0094040D"/>
    <w:rsid w:val="009407D2"/>
    <w:rsid w:val="00940B6A"/>
    <w:rsid w:val="00940D11"/>
    <w:rsid w:val="00940D14"/>
    <w:rsid w:val="0094144C"/>
    <w:rsid w:val="00941485"/>
    <w:rsid w:val="009420A3"/>
    <w:rsid w:val="00942571"/>
    <w:rsid w:val="00942A74"/>
    <w:rsid w:val="00942E14"/>
    <w:rsid w:val="00942EB5"/>
    <w:rsid w:val="0094427B"/>
    <w:rsid w:val="00944455"/>
    <w:rsid w:val="009444DD"/>
    <w:rsid w:val="0094459F"/>
    <w:rsid w:val="00944965"/>
    <w:rsid w:val="0094549D"/>
    <w:rsid w:val="00945758"/>
    <w:rsid w:val="00946134"/>
    <w:rsid w:val="0094650F"/>
    <w:rsid w:val="009472DC"/>
    <w:rsid w:val="0094759D"/>
    <w:rsid w:val="009475F2"/>
    <w:rsid w:val="00947DF5"/>
    <w:rsid w:val="009509EB"/>
    <w:rsid w:val="009513B8"/>
    <w:rsid w:val="009518B7"/>
    <w:rsid w:val="00952AF7"/>
    <w:rsid w:val="00952BEC"/>
    <w:rsid w:val="00952D42"/>
    <w:rsid w:val="00953ED3"/>
    <w:rsid w:val="009543B1"/>
    <w:rsid w:val="00954E6C"/>
    <w:rsid w:val="00955CA3"/>
    <w:rsid w:val="00957998"/>
    <w:rsid w:val="00957E08"/>
    <w:rsid w:val="00960394"/>
    <w:rsid w:val="00961111"/>
    <w:rsid w:val="00961F03"/>
    <w:rsid w:val="00962441"/>
    <w:rsid w:val="00962AA8"/>
    <w:rsid w:val="00962C80"/>
    <w:rsid w:val="009634BD"/>
    <w:rsid w:val="00964117"/>
    <w:rsid w:val="00964163"/>
    <w:rsid w:val="00964CA2"/>
    <w:rsid w:val="00966723"/>
    <w:rsid w:val="0096679C"/>
    <w:rsid w:val="00966B8F"/>
    <w:rsid w:val="00967D5C"/>
    <w:rsid w:val="00967F06"/>
    <w:rsid w:val="009709F1"/>
    <w:rsid w:val="00970F51"/>
    <w:rsid w:val="00970FCD"/>
    <w:rsid w:val="00971487"/>
    <w:rsid w:val="009718C5"/>
    <w:rsid w:val="00971CAC"/>
    <w:rsid w:val="00972020"/>
    <w:rsid w:val="009734C5"/>
    <w:rsid w:val="00973905"/>
    <w:rsid w:val="00973B69"/>
    <w:rsid w:val="009742AE"/>
    <w:rsid w:val="009743C5"/>
    <w:rsid w:val="00974690"/>
    <w:rsid w:val="00974B32"/>
    <w:rsid w:val="0097644F"/>
    <w:rsid w:val="00976AAA"/>
    <w:rsid w:val="00976CF3"/>
    <w:rsid w:val="00977301"/>
    <w:rsid w:val="00977661"/>
    <w:rsid w:val="00977BFA"/>
    <w:rsid w:val="00977EBD"/>
    <w:rsid w:val="0098014F"/>
    <w:rsid w:val="0098044A"/>
    <w:rsid w:val="00980920"/>
    <w:rsid w:val="00980A63"/>
    <w:rsid w:val="009814DF"/>
    <w:rsid w:val="009828BB"/>
    <w:rsid w:val="00982BB1"/>
    <w:rsid w:val="009833E8"/>
    <w:rsid w:val="0098347E"/>
    <w:rsid w:val="00983551"/>
    <w:rsid w:val="00983996"/>
    <w:rsid w:val="009839D4"/>
    <w:rsid w:val="00983BEB"/>
    <w:rsid w:val="00985884"/>
    <w:rsid w:val="00985DDD"/>
    <w:rsid w:val="0098646B"/>
    <w:rsid w:val="00986C7D"/>
    <w:rsid w:val="00986E6E"/>
    <w:rsid w:val="009876F8"/>
    <w:rsid w:val="00987EF8"/>
    <w:rsid w:val="0099091E"/>
    <w:rsid w:val="00990AC1"/>
    <w:rsid w:val="00991314"/>
    <w:rsid w:val="009913D1"/>
    <w:rsid w:val="009918BF"/>
    <w:rsid w:val="00991B5C"/>
    <w:rsid w:val="00993061"/>
    <w:rsid w:val="009938AB"/>
    <w:rsid w:val="00993DC4"/>
    <w:rsid w:val="0099455E"/>
    <w:rsid w:val="00995E64"/>
    <w:rsid w:val="0099614B"/>
    <w:rsid w:val="0099638E"/>
    <w:rsid w:val="0099641A"/>
    <w:rsid w:val="00996A15"/>
    <w:rsid w:val="00996FA2"/>
    <w:rsid w:val="009A035A"/>
    <w:rsid w:val="009A0580"/>
    <w:rsid w:val="009A0F24"/>
    <w:rsid w:val="009A13F0"/>
    <w:rsid w:val="009A153E"/>
    <w:rsid w:val="009A1D50"/>
    <w:rsid w:val="009A1DD0"/>
    <w:rsid w:val="009A2C2B"/>
    <w:rsid w:val="009A2CEE"/>
    <w:rsid w:val="009A3006"/>
    <w:rsid w:val="009A4856"/>
    <w:rsid w:val="009A4895"/>
    <w:rsid w:val="009A6C9A"/>
    <w:rsid w:val="009A7714"/>
    <w:rsid w:val="009A795E"/>
    <w:rsid w:val="009B085B"/>
    <w:rsid w:val="009B0DB4"/>
    <w:rsid w:val="009B0F7D"/>
    <w:rsid w:val="009B205A"/>
    <w:rsid w:val="009B205F"/>
    <w:rsid w:val="009B2F3F"/>
    <w:rsid w:val="009B3011"/>
    <w:rsid w:val="009B3123"/>
    <w:rsid w:val="009B328D"/>
    <w:rsid w:val="009B35F5"/>
    <w:rsid w:val="009B3AA9"/>
    <w:rsid w:val="009B3BFB"/>
    <w:rsid w:val="009B3D57"/>
    <w:rsid w:val="009B45F8"/>
    <w:rsid w:val="009B4E5F"/>
    <w:rsid w:val="009B5156"/>
    <w:rsid w:val="009B53E3"/>
    <w:rsid w:val="009B5824"/>
    <w:rsid w:val="009B5B57"/>
    <w:rsid w:val="009B5CF9"/>
    <w:rsid w:val="009B5E2B"/>
    <w:rsid w:val="009B5F44"/>
    <w:rsid w:val="009B66A6"/>
    <w:rsid w:val="009B69D9"/>
    <w:rsid w:val="009B7282"/>
    <w:rsid w:val="009C054E"/>
    <w:rsid w:val="009C065F"/>
    <w:rsid w:val="009C0845"/>
    <w:rsid w:val="009C14FD"/>
    <w:rsid w:val="009C298E"/>
    <w:rsid w:val="009C2D8B"/>
    <w:rsid w:val="009C34EC"/>
    <w:rsid w:val="009C3CE1"/>
    <w:rsid w:val="009C3D95"/>
    <w:rsid w:val="009C469D"/>
    <w:rsid w:val="009C64C0"/>
    <w:rsid w:val="009C66F5"/>
    <w:rsid w:val="009C7754"/>
    <w:rsid w:val="009C77A3"/>
    <w:rsid w:val="009C77C7"/>
    <w:rsid w:val="009C7831"/>
    <w:rsid w:val="009C7B9A"/>
    <w:rsid w:val="009C7CFF"/>
    <w:rsid w:val="009D0739"/>
    <w:rsid w:val="009D07A7"/>
    <w:rsid w:val="009D1100"/>
    <w:rsid w:val="009D390D"/>
    <w:rsid w:val="009D4391"/>
    <w:rsid w:val="009D4E05"/>
    <w:rsid w:val="009D652B"/>
    <w:rsid w:val="009D68A7"/>
    <w:rsid w:val="009D6BC4"/>
    <w:rsid w:val="009D7FDD"/>
    <w:rsid w:val="009E15B1"/>
    <w:rsid w:val="009E16AB"/>
    <w:rsid w:val="009E1730"/>
    <w:rsid w:val="009E2DE9"/>
    <w:rsid w:val="009E32CF"/>
    <w:rsid w:val="009E38B1"/>
    <w:rsid w:val="009E3960"/>
    <w:rsid w:val="009E58BD"/>
    <w:rsid w:val="009E5F5C"/>
    <w:rsid w:val="009E640B"/>
    <w:rsid w:val="009E7013"/>
    <w:rsid w:val="009E770B"/>
    <w:rsid w:val="009E7F88"/>
    <w:rsid w:val="009F0299"/>
    <w:rsid w:val="009F030F"/>
    <w:rsid w:val="009F0888"/>
    <w:rsid w:val="009F08CA"/>
    <w:rsid w:val="009F10FA"/>
    <w:rsid w:val="009F18B3"/>
    <w:rsid w:val="009F18D6"/>
    <w:rsid w:val="009F1A4C"/>
    <w:rsid w:val="009F1B1D"/>
    <w:rsid w:val="009F1B76"/>
    <w:rsid w:val="009F1FEA"/>
    <w:rsid w:val="009F204C"/>
    <w:rsid w:val="009F28FC"/>
    <w:rsid w:val="009F2BC1"/>
    <w:rsid w:val="009F33DE"/>
    <w:rsid w:val="009F3E71"/>
    <w:rsid w:val="009F59B4"/>
    <w:rsid w:val="009F5E18"/>
    <w:rsid w:val="009F67B6"/>
    <w:rsid w:val="009F739F"/>
    <w:rsid w:val="009F7B88"/>
    <w:rsid w:val="009F7C3C"/>
    <w:rsid w:val="009F7DE9"/>
    <w:rsid w:val="00A00B82"/>
    <w:rsid w:val="00A015DC"/>
    <w:rsid w:val="00A019B9"/>
    <w:rsid w:val="00A0368C"/>
    <w:rsid w:val="00A04ACB"/>
    <w:rsid w:val="00A05CC6"/>
    <w:rsid w:val="00A0690B"/>
    <w:rsid w:val="00A076CD"/>
    <w:rsid w:val="00A078E4"/>
    <w:rsid w:val="00A0790C"/>
    <w:rsid w:val="00A07A90"/>
    <w:rsid w:val="00A102E6"/>
    <w:rsid w:val="00A11120"/>
    <w:rsid w:val="00A11200"/>
    <w:rsid w:val="00A11349"/>
    <w:rsid w:val="00A11762"/>
    <w:rsid w:val="00A1190E"/>
    <w:rsid w:val="00A11C7B"/>
    <w:rsid w:val="00A1217F"/>
    <w:rsid w:val="00A12C74"/>
    <w:rsid w:val="00A13924"/>
    <w:rsid w:val="00A142E9"/>
    <w:rsid w:val="00A14598"/>
    <w:rsid w:val="00A145A5"/>
    <w:rsid w:val="00A14A9C"/>
    <w:rsid w:val="00A14D5C"/>
    <w:rsid w:val="00A165CC"/>
    <w:rsid w:val="00A169F1"/>
    <w:rsid w:val="00A171F1"/>
    <w:rsid w:val="00A17799"/>
    <w:rsid w:val="00A2024E"/>
    <w:rsid w:val="00A205FA"/>
    <w:rsid w:val="00A214D3"/>
    <w:rsid w:val="00A219BC"/>
    <w:rsid w:val="00A219DA"/>
    <w:rsid w:val="00A21DBB"/>
    <w:rsid w:val="00A21EF7"/>
    <w:rsid w:val="00A221DF"/>
    <w:rsid w:val="00A227B7"/>
    <w:rsid w:val="00A22E68"/>
    <w:rsid w:val="00A23740"/>
    <w:rsid w:val="00A25DC9"/>
    <w:rsid w:val="00A26721"/>
    <w:rsid w:val="00A27123"/>
    <w:rsid w:val="00A27436"/>
    <w:rsid w:val="00A27627"/>
    <w:rsid w:val="00A27E77"/>
    <w:rsid w:val="00A3038B"/>
    <w:rsid w:val="00A3198E"/>
    <w:rsid w:val="00A3218F"/>
    <w:rsid w:val="00A332E6"/>
    <w:rsid w:val="00A3547D"/>
    <w:rsid w:val="00A35647"/>
    <w:rsid w:val="00A35D73"/>
    <w:rsid w:val="00A35F2A"/>
    <w:rsid w:val="00A3672A"/>
    <w:rsid w:val="00A36E2E"/>
    <w:rsid w:val="00A36FD6"/>
    <w:rsid w:val="00A378F9"/>
    <w:rsid w:val="00A40083"/>
    <w:rsid w:val="00A40320"/>
    <w:rsid w:val="00A4099C"/>
    <w:rsid w:val="00A40ACE"/>
    <w:rsid w:val="00A40AEB"/>
    <w:rsid w:val="00A40F52"/>
    <w:rsid w:val="00A41367"/>
    <w:rsid w:val="00A4208C"/>
    <w:rsid w:val="00A42BA1"/>
    <w:rsid w:val="00A42E03"/>
    <w:rsid w:val="00A42EA3"/>
    <w:rsid w:val="00A437D6"/>
    <w:rsid w:val="00A438AC"/>
    <w:rsid w:val="00A44832"/>
    <w:rsid w:val="00A44A19"/>
    <w:rsid w:val="00A45C07"/>
    <w:rsid w:val="00A46052"/>
    <w:rsid w:val="00A460F6"/>
    <w:rsid w:val="00A464D2"/>
    <w:rsid w:val="00A469BA"/>
    <w:rsid w:val="00A477EC"/>
    <w:rsid w:val="00A50883"/>
    <w:rsid w:val="00A50E91"/>
    <w:rsid w:val="00A51588"/>
    <w:rsid w:val="00A51AED"/>
    <w:rsid w:val="00A51CD9"/>
    <w:rsid w:val="00A52433"/>
    <w:rsid w:val="00A5254B"/>
    <w:rsid w:val="00A52797"/>
    <w:rsid w:val="00A52B16"/>
    <w:rsid w:val="00A53370"/>
    <w:rsid w:val="00A53399"/>
    <w:rsid w:val="00A53BA0"/>
    <w:rsid w:val="00A547BC"/>
    <w:rsid w:val="00A54A0A"/>
    <w:rsid w:val="00A55150"/>
    <w:rsid w:val="00A56BEB"/>
    <w:rsid w:val="00A577DE"/>
    <w:rsid w:val="00A600AE"/>
    <w:rsid w:val="00A6098F"/>
    <w:rsid w:val="00A60AA8"/>
    <w:rsid w:val="00A61071"/>
    <w:rsid w:val="00A616E8"/>
    <w:rsid w:val="00A622D6"/>
    <w:rsid w:val="00A63802"/>
    <w:rsid w:val="00A63881"/>
    <w:rsid w:val="00A63EA9"/>
    <w:rsid w:val="00A64090"/>
    <w:rsid w:val="00A64604"/>
    <w:rsid w:val="00A64A28"/>
    <w:rsid w:val="00A65536"/>
    <w:rsid w:val="00A658EE"/>
    <w:rsid w:val="00A65923"/>
    <w:rsid w:val="00A65B60"/>
    <w:rsid w:val="00A664AD"/>
    <w:rsid w:val="00A6676D"/>
    <w:rsid w:val="00A66AE9"/>
    <w:rsid w:val="00A66E12"/>
    <w:rsid w:val="00A67057"/>
    <w:rsid w:val="00A67B1C"/>
    <w:rsid w:val="00A70335"/>
    <w:rsid w:val="00A70405"/>
    <w:rsid w:val="00A7089E"/>
    <w:rsid w:val="00A709A9"/>
    <w:rsid w:val="00A71853"/>
    <w:rsid w:val="00A71CC9"/>
    <w:rsid w:val="00A71F64"/>
    <w:rsid w:val="00A72069"/>
    <w:rsid w:val="00A722D7"/>
    <w:rsid w:val="00A72788"/>
    <w:rsid w:val="00A72F9B"/>
    <w:rsid w:val="00A73176"/>
    <w:rsid w:val="00A73250"/>
    <w:rsid w:val="00A73260"/>
    <w:rsid w:val="00A73286"/>
    <w:rsid w:val="00A73A52"/>
    <w:rsid w:val="00A7409A"/>
    <w:rsid w:val="00A745EF"/>
    <w:rsid w:val="00A75C14"/>
    <w:rsid w:val="00A764B1"/>
    <w:rsid w:val="00A765CF"/>
    <w:rsid w:val="00A76686"/>
    <w:rsid w:val="00A769F2"/>
    <w:rsid w:val="00A76BF4"/>
    <w:rsid w:val="00A76E4B"/>
    <w:rsid w:val="00A77902"/>
    <w:rsid w:val="00A80531"/>
    <w:rsid w:val="00A80542"/>
    <w:rsid w:val="00A8089E"/>
    <w:rsid w:val="00A819C5"/>
    <w:rsid w:val="00A82249"/>
    <w:rsid w:val="00A82621"/>
    <w:rsid w:val="00A83840"/>
    <w:rsid w:val="00A83C8F"/>
    <w:rsid w:val="00A83E8D"/>
    <w:rsid w:val="00A83FF6"/>
    <w:rsid w:val="00A846D6"/>
    <w:rsid w:val="00A84719"/>
    <w:rsid w:val="00A84BEC"/>
    <w:rsid w:val="00A85101"/>
    <w:rsid w:val="00A85351"/>
    <w:rsid w:val="00A85888"/>
    <w:rsid w:val="00A85F5D"/>
    <w:rsid w:val="00A85FA4"/>
    <w:rsid w:val="00A86259"/>
    <w:rsid w:val="00A86365"/>
    <w:rsid w:val="00A8653F"/>
    <w:rsid w:val="00A8667A"/>
    <w:rsid w:val="00A86A94"/>
    <w:rsid w:val="00A86DDA"/>
    <w:rsid w:val="00A872EE"/>
    <w:rsid w:val="00A8767A"/>
    <w:rsid w:val="00A87AE5"/>
    <w:rsid w:val="00A908F9"/>
    <w:rsid w:val="00A910C0"/>
    <w:rsid w:val="00A9114E"/>
    <w:rsid w:val="00A91C1D"/>
    <w:rsid w:val="00A91CEA"/>
    <w:rsid w:val="00A91EB3"/>
    <w:rsid w:val="00A92586"/>
    <w:rsid w:val="00A92E83"/>
    <w:rsid w:val="00A93622"/>
    <w:rsid w:val="00A94144"/>
    <w:rsid w:val="00A94424"/>
    <w:rsid w:val="00A944BE"/>
    <w:rsid w:val="00A946B4"/>
    <w:rsid w:val="00A9497E"/>
    <w:rsid w:val="00A94AF8"/>
    <w:rsid w:val="00A94B88"/>
    <w:rsid w:val="00A94E7E"/>
    <w:rsid w:val="00A94EB8"/>
    <w:rsid w:val="00A954AF"/>
    <w:rsid w:val="00A9569A"/>
    <w:rsid w:val="00A9576F"/>
    <w:rsid w:val="00A95B1C"/>
    <w:rsid w:val="00A960E1"/>
    <w:rsid w:val="00A9627A"/>
    <w:rsid w:val="00A96586"/>
    <w:rsid w:val="00A96878"/>
    <w:rsid w:val="00A96994"/>
    <w:rsid w:val="00A978F9"/>
    <w:rsid w:val="00A97E13"/>
    <w:rsid w:val="00AA0528"/>
    <w:rsid w:val="00AA0953"/>
    <w:rsid w:val="00AA10B5"/>
    <w:rsid w:val="00AA16E0"/>
    <w:rsid w:val="00AA1D9A"/>
    <w:rsid w:val="00AA26EC"/>
    <w:rsid w:val="00AA36C9"/>
    <w:rsid w:val="00AA3BE3"/>
    <w:rsid w:val="00AA4097"/>
    <w:rsid w:val="00AA43FF"/>
    <w:rsid w:val="00AA4E6C"/>
    <w:rsid w:val="00AA6BA5"/>
    <w:rsid w:val="00AA6CA2"/>
    <w:rsid w:val="00AA7410"/>
    <w:rsid w:val="00AA7527"/>
    <w:rsid w:val="00AA7799"/>
    <w:rsid w:val="00AA788A"/>
    <w:rsid w:val="00AB1FA1"/>
    <w:rsid w:val="00AB25BE"/>
    <w:rsid w:val="00AB2DF5"/>
    <w:rsid w:val="00AB5184"/>
    <w:rsid w:val="00AB51DD"/>
    <w:rsid w:val="00AB659C"/>
    <w:rsid w:val="00AB66A9"/>
    <w:rsid w:val="00AB6E75"/>
    <w:rsid w:val="00AB7ED2"/>
    <w:rsid w:val="00AC189F"/>
    <w:rsid w:val="00AC1C3A"/>
    <w:rsid w:val="00AC237B"/>
    <w:rsid w:val="00AC3EEC"/>
    <w:rsid w:val="00AC4261"/>
    <w:rsid w:val="00AC42E4"/>
    <w:rsid w:val="00AC49A6"/>
    <w:rsid w:val="00AC4F96"/>
    <w:rsid w:val="00AC598F"/>
    <w:rsid w:val="00AC66EA"/>
    <w:rsid w:val="00AC6CFE"/>
    <w:rsid w:val="00AD039A"/>
    <w:rsid w:val="00AD16DA"/>
    <w:rsid w:val="00AD1C0B"/>
    <w:rsid w:val="00AD2295"/>
    <w:rsid w:val="00AD2555"/>
    <w:rsid w:val="00AD28AC"/>
    <w:rsid w:val="00AD3331"/>
    <w:rsid w:val="00AD4602"/>
    <w:rsid w:val="00AD5E6D"/>
    <w:rsid w:val="00AD61DC"/>
    <w:rsid w:val="00AD6263"/>
    <w:rsid w:val="00AD6BCD"/>
    <w:rsid w:val="00AE0BF8"/>
    <w:rsid w:val="00AE0D13"/>
    <w:rsid w:val="00AE1108"/>
    <w:rsid w:val="00AE226B"/>
    <w:rsid w:val="00AE241E"/>
    <w:rsid w:val="00AE2A28"/>
    <w:rsid w:val="00AE3DF8"/>
    <w:rsid w:val="00AE4622"/>
    <w:rsid w:val="00AE48F8"/>
    <w:rsid w:val="00AE6607"/>
    <w:rsid w:val="00AF1809"/>
    <w:rsid w:val="00AF1E39"/>
    <w:rsid w:val="00AF34D3"/>
    <w:rsid w:val="00AF364C"/>
    <w:rsid w:val="00AF442C"/>
    <w:rsid w:val="00AF463C"/>
    <w:rsid w:val="00AF59AA"/>
    <w:rsid w:val="00AF6698"/>
    <w:rsid w:val="00AF6D0F"/>
    <w:rsid w:val="00AF77B9"/>
    <w:rsid w:val="00AF7892"/>
    <w:rsid w:val="00AF7C07"/>
    <w:rsid w:val="00B00766"/>
    <w:rsid w:val="00B00791"/>
    <w:rsid w:val="00B015AC"/>
    <w:rsid w:val="00B01C75"/>
    <w:rsid w:val="00B02323"/>
    <w:rsid w:val="00B024C9"/>
    <w:rsid w:val="00B036C6"/>
    <w:rsid w:val="00B0392A"/>
    <w:rsid w:val="00B03E19"/>
    <w:rsid w:val="00B0590A"/>
    <w:rsid w:val="00B05D00"/>
    <w:rsid w:val="00B063EC"/>
    <w:rsid w:val="00B0645E"/>
    <w:rsid w:val="00B066F8"/>
    <w:rsid w:val="00B06BD4"/>
    <w:rsid w:val="00B06EBD"/>
    <w:rsid w:val="00B06F37"/>
    <w:rsid w:val="00B076B8"/>
    <w:rsid w:val="00B076E2"/>
    <w:rsid w:val="00B1053E"/>
    <w:rsid w:val="00B10A72"/>
    <w:rsid w:val="00B10ABE"/>
    <w:rsid w:val="00B114E4"/>
    <w:rsid w:val="00B115EB"/>
    <w:rsid w:val="00B1231A"/>
    <w:rsid w:val="00B123C8"/>
    <w:rsid w:val="00B13208"/>
    <w:rsid w:val="00B13CBA"/>
    <w:rsid w:val="00B14041"/>
    <w:rsid w:val="00B149C2"/>
    <w:rsid w:val="00B149CF"/>
    <w:rsid w:val="00B14D78"/>
    <w:rsid w:val="00B14D91"/>
    <w:rsid w:val="00B15260"/>
    <w:rsid w:val="00B15D4A"/>
    <w:rsid w:val="00B15D64"/>
    <w:rsid w:val="00B15DD4"/>
    <w:rsid w:val="00B16588"/>
    <w:rsid w:val="00B16B38"/>
    <w:rsid w:val="00B174AF"/>
    <w:rsid w:val="00B20421"/>
    <w:rsid w:val="00B20CE1"/>
    <w:rsid w:val="00B21529"/>
    <w:rsid w:val="00B21573"/>
    <w:rsid w:val="00B21F88"/>
    <w:rsid w:val="00B224F8"/>
    <w:rsid w:val="00B22A82"/>
    <w:rsid w:val="00B22B7F"/>
    <w:rsid w:val="00B23231"/>
    <w:rsid w:val="00B23658"/>
    <w:rsid w:val="00B23B14"/>
    <w:rsid w:val="00B23EA0"/>
    <w:rsid w:val="00B24F5A"/>
    <w:rsid w:val="00B2532C"/>
    <w:rsid w:val="00B26126"/>
    <w:rsid w:val="00B261FA"/>
    <w:rsid w:val="00B26B31"/>
    <w:rsid w:val="00B27103"/>
    <w:rsid w:val="00B27DF5"/>
    <w:rsid w:val="00B3146B"/>
    <w:rsid w:val="00B325EB"/>
    <w:rsid w:val="00B327B7"/>
    <w:rsid w:val="00B3391C"/>
    <w:rsid w:val="00B33D34"/>
    <w:rsid w:val="00B33F77"/>
    <w:rsid w:val="00B3410A"/>
    <w:rsid w:val="00B34141"/>
    <w:rsid w:val="00B34330"/>
    <w:rsid w:val="00B3568D"/>
    <w:rsid w:val="00B35EA2"/>
    <w:rsid w:val="00B363A9"/>
    <w:rsid w:val="00B363D7"/>
    <w:rsid w:val="00B36BEA"/>
    <w:rsid w:val="00B36DFF"/>
    <w:rsid w:val="00B36F85"/>
    <w:rsid w:val="00B40AFA"/>
    <w:rsid w:val="00B4135E"/>
    <w:rsid w:val="00B41583"/>
    <w:rsid w:val="00B4198D"/>
    <w:rsid w:val="00B41F08"/>
    <w:rsid w:val="00B41FAA"/>
    <w:rsid w:val="00B41FD4"/>
    <w:rsid w:val="00B4303F"/>
    <w:rsid w:val="00B43EFE"/>
    <w:rsid w:val="00B444CC"/>
    <w:rsid w:val="00B4540B"/>
    <w:rsid w:val="00B4554C"/>
    <w:rsid w:val="00B45F00"/>
    <w:rsid w:val="00B4633B"/>
    <w:rsid w:val="00B46FBB"/>
    <w:rsid w:val="00B470EB"/>
    <w:rsid w:val="00B474D6"/>
    <w:rsid w:val="00B47C38"/>
    <w:rsid w:val="00B50D1C"/>
    <w:rsid w:val="00B51006"/>
    <w:rsid w:val="00B5250D"/>
    <w:rsid w:val="00B5318B"/>
    <w:rsid w:val="00B53CA3"/>
    <w:rsid w:val="00B5443D"/>
    <w:rsid w:val="00B54597"/>
    <w:rsid w:val="00B551AB"/>
    <w:rsid w:val="00B55903"/>
    <w:rsid w:val="00B55911"/>
    <w:rsid w:val="00B55A9A"/>
    <w:rsid w:val="00B56731"/>
    <w:rsid w:val="00B56AE7"/>
    <w:rsid w:val="00B56BF8"/>
    <w:rsid w:val="00B56DF6"/>
    <w:rsid w:val="00B6035C"/>
    <w:rsid w:val="00B6044B"/>
    <w:rsid w:val="00B6074F"/>
    <w:rsid w:val="00B60CD3"/>
    <w:rsid w:val="00B60F1F"/>
    <w:rsid w:val="00B61247"/>
    <w:rsid w:val="00B61743"/>
    <w:rsid w:val="00B62777"/>
    <w:rsid w:val="00B63953"/>
    <w:rsid w:val="00B63CD6"/>
    <w:rsid w:val="00B64113"/>
    <w:rsid w:val="00B6515A"/>
    <w:rsid w:val="00B65451"/>
    <w:rsid w:val="00B662E7"/>
    <w:rsid w:val="00B66458"/>
    <w:rsid w:val="00B66BB5"/>
    <w:rsid w:val="00B66BE1"/>
    <w:rsid w:val="00B67270"/>
    <w:rsid w:val="00B67874"/>
    <w:rsid w:val="00B67AE1"/>
    <w:rsid w:val="00B701DF"/>
    <w:rsid w:val="00B70416"/>
    <w:rsid w:val="00B70542"/>
    <w:rsid w:val="00B70550"/>
    <w:rsid w:val="00B717DC"/>
    <w:rsid w:val="00B7226B"/>
    <w:rsid w:val="00B7266B"/>
    <w:rsid w:val="00B72A09"/>
    <w:rsid w:val="00B72A82"/>
    <w:rsid w:val="00B72A9C"/>
    <w:rsid w:val="00B72FAD"/>
    <w:rsid w:val="00B730CC"/>
    <w:rsid w:val="00B73483"/>
    <w:rsid w:val="00B748E9"/>
    <w:rsid w:val="00B7516E"/>
    <w:rsid w:val="00B756EB"/>
    <w:rsid w:val="00B75C7D"/>
    <w:rsid w:val="00B76423"/>
    <w:rsid w:val="00B76566"/>
    <w:rsid w:val="00B765F7"/>
    <w:rsid w:val="00B76F72"/>
    <w:rsid w:val="00B77535"/>
    <w:rsid w:val="00B776BC"/>
    <w:rsid w:val="00B809DA"/>
    <w:rsid w:val="00B80D6B"/>
    <w:rsid w:val="00B81509"/>
    <w:rsid w:val="00B81579"/>
    <w:rsid w:val="00B815CC"/>
    <w:rsid w:val="00B81666"/>
    <w:rsid w:val="00B816C7"/>
    <w:rsid w:val="00B81953"/>
    <w:rsid w:val="00B8218D"/>
    <w:rsid w:val="00B824F0"/>
    <w:rsid w:val="00B82CE3"/>
    <w:rsid w:val="00B82D28"/>
    <w:rsid w:val="00B82F3A"/>
    <w:rsid w:val="00B834AC"/>
    <w:rsid w:val="00B83C61"/>
    <w:rsid w:val="00B844F4"/>
    <w:rsid w:val="00B84CCE"/>
    <w:rsid w:val="00B85117"/>
    <w:rsid w:val="00B85829"/>
    <w:rsid w:val="00B85848"/>
    <w:rsid w:val="00B85998"/>
    <w:rsid w:val="00B85B0F"/>
    <w:rsid w:val="00B85EB0"/>
    <w:rsid w:val="00B86625"/>
    <w:rsid w:val="00B8684D"/>
    <w:rsid w:val="00B86A1A"/>
    <w:rsid w:val="00B86A5C"/>
    <w:rsid w:val="00B87788"/>
    <w:rsid w:val="00B87BB6"/>
    <w:rsid w:val="00B9066B"/>
    <w:rsid w:val="00B9088C"/>
    <w:rsid w:val="00B916DD"/>
    <w:rsid w:val="00B920A0"/>
    <w:rsid w:val="00B92D0F"/>
    <w:rsid w:val="00B93582"/>
    <w:rsid w:val="00B935CB"/>
    <w:rsid w:val="00B93602"/>
    <w:rsid w:val="00B937CF"/>
    <w:rsid w:val="00B9501D"/>
    <w:rsid w:val="00B9544B"/>
    <w:rsid w:val="00B95756"/>
    <w:rsid w:val="00B968AF"/>
    <w:rsid w:val="00B96962"/>
    <w:rsid w:val="00B96A15"/>
    <w:rsid w:val="00B96C05"/>
    <w:rsid w:val="00B9716E"/>
    <w:rsid w:val="00B97864"/>
    <w:rsid w:val="00B978D6"/>
    <w:rsid w:val="00B97B9B"/>
    <w:rsid w:val="00B97C3C"/>
    <w:rsid w:val="00B97D01"/>
    <w:rsid w:val="00B97F04"/>
    <w:rsid w:val="00BA05A8"/>
    <w:rsid w:val="00BA069F"/>
    <w:rsid w:val="00BA0B25"/>
    <w:rsid w:val="00BA2096"/>
    <w:rsid w:val="00BA2BDF"/>
    <w:rsid w:val="00BA3300"/>
    <w:rsid w:val="00BA3C76"/>
    <w:rsid w:val="00BA3D2E"/>
    <w:rsid w:val="00BA3D95"/>
    <w:rsid w:val="00BA513A"/>
    <w:rsid w:val="00BA5A39"/>
    <w:rsid w:val="00BA5B57"/>
    <w:rsid w:val="00BA6C5F"/>
    <w:rsid w:val="00BA6FE6"/>
    <w:rsid w:val="00BA70FC"/>
    <w:rsid w:val="00BA7FBC"/>
    <w:rsid w:val="00BB04D0"/>
    <w:rsid w:val="00BB0C50"/>
    <w:rsid w:val="00BB0C9F"/>
    <w:rsid w:val="00BB1618"/>
    <w:rsid w:val="00BB1772"/>
    <w:rsid w:val="00BB2B4A"/>
    <w:rsid w:val="00BB35A7"/>
    <w:rsid w:val="00BB42C6"/>
    <w:rsid w:val="00BB42D7"/>
    <w:rsid w:val="00BB448F"/>
    <w:rsid w:val="00BB46EC"/>
    <w:rsid w:val="00BB4757"/>
    <w:rsid w:val="00BB50DD"/>
    <w:rsid w:val="00BB5498"/>
    <w:rsid w:val="00BB594F"/>
    <w:rsid w:val="00BB5F2D"/>
    <w:rsid w:val="00BB626B"/>
    <w:rsid w:val="00BB726F"/>
    <w:rsid w:val="00BB728B"/>
    <w:rsid w:val="00BB7687"/>
    <w:rsid w:val="00BB76E0"/>
    <w:rsid w:val="00BB7C16"/>
    <w:rsid w:val="00BC0FA6"/>
    <w:rsid w:val="00BC111F"/>
    <w:rsid w:val="00BC11C5"/>
    <w:rsid w:val="00BC2489"/>
    <w:rsid w:val="00BC2D23"/>
    <w:rsid w:val="00BC2F91"/>
    <w:rsid w:val="00BC3602"/>
    <w:rsid w:val="00BC3D84"/>
    <w:rsid w:val="00BC3FC1"/>
    <w:rsid w:val="00BC60AB"/>
    <w:rsid w:val="00BC6569"/>
    <w:rsid w:val="00BC6C8B"/>
    <w:rsid w:val="00BC7694"/>
    <w:rsid w:val="00BD0671"/>
    <w:rsid w:val="00BD0703"/>
    <w:rsid w:val="00BD2E31"/>
    <w:rsid w:val="00BD2E7B"/>
    <w:rsid w:val="00BD3AF4"/>
    <w:rsid w:val="00BD4109"/>
    <w:rsid w:val="00BD52F7"/>
    <w:rsid w:val="00BD53ED"/>
    <w:rsid w:val="00BD54AB"/>
    <w:rsid w:val="00BD62C1"/>
    <w:rsid w:val="00BD65AF"/>
    <w:rsid w:val="00BD6C33"/>
    <w:rsid w:val="00BD711B"/>
    <w:rsid w:val="00BD7BCF"/>
    <w:rsid w:val="00BE0780"/>
    <w:rsid w:val="00BE1B84"/>
    <w:rsid w:val="00BE2B80"/>
    <w:rsid w:val="00BE31DE"/>
    <w:rsid w:val="00BE3B67"/>
    <w:rsid w:val="00BE3E9F"/>
    <w:rsid w:val="00BE4098"/>
    <w:rsid w:val="00BE4130"/>
    <w:rsid w:val="00BE484E"/>
    <w:rsid w:val="00BE4A69"/>
    <w:rsid w:val="00BE4B71"/>
    <w:rsid w:val="00BE542A"/>
    <w:rsid w:val="00BE578B"/>
    <w:rsid w:val="00BE5C0E"/>
    <w:rsid w:val="00BE5CE0"/>
    <w:rsid w:val="00BE665E"/>
    <w:rsid w:val="00BE672D"/>
    <w:rsid w:val="00BE68DB"/>
    <w:rsid w:val="00BE6D25"/>
    <w:rsid w:val="00BE725F"/>
    <w:rsid w:val="00BE74DB"/>
    <w:rsid w:val="00BE7601"/>
    <w:rsid w:val="00BE7D14"/>
    <w:rsid w:val="00BE7F8B"/>
    <w:rsid w:val="00BF0BA4"/>
    <w:rsid w:val="00BF0C77"/>
    <w:rsid w:val="00BF0ED4"/>
    <w:rsid w:val="00BF14D2"/>
    <w:rsid w:val="00BF1950"/>
    <w:rsid w:val="00BF1C4C"/>
    <w:rsid w:val="00BF24CA"/>
    <w:rsid w:val="00BF2C84"/>
    <w:rsid w:val="00BF4106"/>
    <w:rsid w:val="00BF4382"/>
    <w:rsid w:val="00BF4742"/>
    <w:rsid w:val="00BF47F1"/>
    <w:rsid w:val="00BF4AFE"/>
    <w:rsid w:val="00BF5122"/>
    <w:rsid w:val="00BF5554"/>
    <w:rsid w:val="00BF67C4"/>
    <w:rsid w:val="00BF691F"/>
    <w:rsid w:val="00C002A0"/>
    <w:rsid w:val="00C01928"/>
    <w:rsid w:val="00C02064"/>
    <w:rsid w:val="00C02BE0"/>
    <w:rsid w:val="00C02C97"/>
    <w:rsid w:val="00C041C7"/>
    <w:rsid w:val="00C04DF3"/>
    <w:rsid w:val="00C050F9"/>
    <w:rsid w:val="00C05C2A"/>
    <w:rsid w:val="00C06864"/>
    <w:rsid w:val="00C06FE1"/>
    <w:rsid w:val="00C07238"/>
    <w:rsid w:val="00C07483"/>
    <w:rsid w:val="00C07A6F"/>
    <w:rsid w:val="00C07C38"/>
    <w:rsid w:val="00C107A4"/>
    <w:rsid w:val="00C1080D"/>
    <w:rsid w:val="00C10D54"/>
    <w:rsid w:val="00C10FBC"/>
    <w:rsid w:val="00C11252"/>
    <w:rsid w:val="00C112B4"/>
    <w:rsid w:val="00C115E9"/>
    <w:rsid w:val="00C117D6"/>
    <w:rsid w:val="00C11802"/>
    <w:rsid w:val="00C11D6A"/>
    <w:rsid w:val="00C12179"/>
    <w:rsid w:val="00C12551"/>
    <w:rsid w:val="00C12620"/>
    <w:rsid w:val="00C14BBC"/>
    <w:rsid w:val="00C1540E"/>
    <w:rsid w:val="00C15420"/>
    <w:rsid w:val="00C155D1"/>
    <w:rsid w:val="00C155EF"/>
    <w:rsid w:val="00C15759"/>
    <w:rsid w:val="00C15AC5"/>
    <w:rsid w:val="00C15F20"/>
    <w:rsid w:val="00C169EA"/>
    <w:rsid w:val="00C16ACD"/>
    <w:rsid w:val="00C16AE1"/>
    <w:rsid w:val="00C16BDB"/>
    <w:rsid w:val="00C1710C"/>
    <w:rsid w:val="00C20B21"/>
    <w:rsid w:val="00C20D92"/>
    <w:rsid w:val="00C20ED3"/>
    <w:rsid w:val="00C21F73"/>
    <w:rsid w:val="00C229A5"/>
    <w:rsid w:val="00C24ED1"/>
    <w:rsid w:val="00C2596A"/>
    <w:rsid w:val="00C26611"/>
    <w:rsid w:val="00C27572"/>
    <w:rsid w:val="00C27821"/>
    <w:rsid w:val="00C27915"/>
    <w:rsid w:val="00C27D66"/>
    <w:rsid w:val="00C304D5"/>
    <w:rsid w:val="00C30F82"/>
    <w:rsid w:val="00C328EB"/>
    <w:rsid w:val="00C33570"/>
    <w:rsid w:val="00C33C42"/>
    <w:rsid w:val="00C33DA9"/>
    <w:rsid w:val="00C345B9"/>
    <w:rsid w:val="00C34B22"/>
    <w:rsid w:val="00C34FF2"/>
    <w:rsid w:val="00C354E7"/>
    <w:rsid w:val="00C357FE"/>
    <w:rsid w:val="00C3594E"/>
    <w:rsid w:val="00C35A26"/>
    <w:rsid w:val="00C3602A"/>
    <w:rsid w:val="00C369FF"/>
    <w:rsid w:val="00C36D19"/>
    <w:rsid w:val="00C36DF7"/>
    <w:rsid w:val="00C37280"/>
    <w:rsid w:val="00C3767C"/>
    <w:rsid w:val="00C37A1F"/>
    <w:rsid w:val="00C37D70"/>
    <w:rsid w:val="00C40042"/>
    <w:rsid w:val="00C40A44"/>
    <w:rsid w:val="00C40DC9"/>
    <w:rsid w:val="00C41250"/>
    <w:rsid w:val="00C4221E"/>
    <w:rsid w:val="00C42E51"/>
    <w:rsid w:val="00C42FA8"/>
    <w:rsid w:val="00C4310B"/>
    <w:rsid w:val="00C43F09"/>
    <w:rsid w:val="00C44190"/>
    <w:rsid w:val="00C44E83"/>
    <w:rsid w:val="00C45059"/>
    <w:rsid w:val="00C450BC"/>
    <w:rsid w:val="00C46819"/>
    <w:rsid w:val="00C46A3C"/>
    <w:rsid w:val="00C46B1A"/>
    <w:rsid w:val="00C46C9B"/>
    <w:rsid w:val="00C476F6"/>
    <w:rsid w:val="00C504B9"/>
    <w:rsid w:val="00C514C3"/>
    <w:rsid w:val="00C52010"/>
    <w:rsid w:val="00C5290E"/>
    <w:rsid w:val="00C52C3B"/>
    <w:rsid w:val="00C537C2"/>
    <w:rsid w:val="00C55F9F"/>
    <w:rsid w:val="00C55FBB"/>
    <w:rsid w:val="00C56186"/>
    <w:rsid w:val="00C56A51"/>
    <w:rsid w:val="00C56AA7"/>
    <w:rsid w:val="00C577A5"/>
    <w:rsid w:val="00C60515"/>
    <w:rsid w:val="00C609B2"/>
    <w:rsid w:val="00C616B0"/>
    <w:rsid w:val="00C61858"/>
    <w:rsid w:val="00C61930"/>
    <w:rsid w:val="00C61C09"/>
    <w:rsid w:val="00C61CB8"/>
    <w:rsid w:val="00C622FA"/>
    <w:rsid w:val="00C6328E"/>
    <w:rsid w:val="00C635E9"/>
    <w:rsid w:val="00C63DAC"/>
    <w:rsid w:val="00C64239"/>
    <w:rsid w:val="00C653A7"/>
    <w:rsid w:val="00C65C5F"/>
    <w:rsid w:val="00C6624A"/>
    <w:rsid w:val="00C66633"/>
    <w:rsid w:val="00C71883"/>
    <w:rsid w:val="00C73415"/>
    <w:rsid w:val="00C747D7"/>
    <w:rsid w:val="00C74806"/>
    <w:rsid w:val="00C75034"/>
    <w:rsid w:val="00C750F0"/>
    <w:rsid w:val="00C758EA"/>
    <w:rsid w:val="00C76A38"/>
    <w:rsid w:val="00C772FA"/>
    <w:rsid w:val="00C775E9"/>
    <w:rsid w:val="00C778E5"/>
    <w:rsid w:val="00C8001F"/>
    <w:rsid w:val="00C8004C"/>
    <w:rsid w:val="00C803AE"/>
    <w:rsid w:val="00C80A01"/>
    <w:rsid w:val="00C80EC3"/>
    <w:rsid w:val="00C80F2A"/>
    <w:rsid w:val="00C8140C"/>
    <w:rsid w:val="00C817E4"/>
    <w:rsid w:val="00C81826"/>
    <w:rsid w:val="00C81845"/>
    <w:rsid w:val="00C8239E"/>
    <w:rsid w:val="00C824D8"/>
    <w:rsid w:val="00C8250C"/>
    <w:rsid w:val="00C82601"/>
    <w:rsid w:val="00C826CE"/>
    <w:rsid w:val="00C82ADE"/>
    <w:rsid w:val="00C82BF3"/>
    <w:rsid w:val="00C82F13"/>
    <w:rsid w:val="00C837EA"/>
    <w:rsid w:val="00C842D2"/>
    <w:rsid w:val="00C855DB"/>
    <w:rsid w:val="00C855EB"/>
    <w:rsid w:val="00C858A6"/>
    <w:rsid w:val="00C8605F"/>
    <w:rsid w:val="00C86490"/>
    <w:rsid w:val="00C86B28"/>
    <w:rsid w:val="00C86B33"/>
    <w:rsid w:val="00C9088F"/>
    <w:rsid w:val="00C90C3A"/>
    <w:rsid w:val="00C90CBC"/>
    <w:rsid w:val="00C90D26"/>
    <w:rsid w:val="00C90F01"/>
    <w:rsid w:val="00C915AB"/>
    <w:rsid w:val="00C91DFD"/>
    <w:rsid w:val="00C9238A"/>
    <w:rsid w:val="00C92E00"/>
    <w:rsid w:val="00C92E68"/>
    <w:rsid w:val="00C93EAE"/>
    <w:rsid w:val="00C9452F"/>
    <w:rsid w:val="00C9474A"/>
    <w:rsid w:val="00C9515D"/>
    <w:rsid w:val="00C95BAD"/>
    <w:rsid w:val="00C95C0D"/>
    <w:rsid w:val="00C96F16"/>
    <w:rsid w:val="00C978A2"/>
    <w:rsid w:val="00C97ABB"/>
    <w:rsid w:val="00C97C04"/>
    <w:rsid w:val="00C97F6B"/>
    <w:rsid w:val="00CA055A"/>
    <w:rsid w:val="00CA0984"/>
    <w:rsid w:val="00CA1020"/>
    <w:rsid w:val="00CA1171"/>
    <w:rsid w:val="00CA1870"/>
    <w:rsid w:val="00CA1A6B"/>
    <w:rsid w:val="00CA2806"/>
    <w:rsid w:val="00CA2A30"/>
    <w:rsid w:val="00CA2CA0"/>
    <w:rsid w:val="00CA2DC7"/>
    <w:rsid w:val="00CA336E"/>
    <w:rsid w:val="00CA4226"/>
    <w:rsid w:val="00CA4711"/>
    <w:rsid w:val="00CA4A4E"/>
    <w:rsid w:val="00CA4EFB"/>
    <w:rsid w:val="00CA5AEA"/>
    <w:rsid w:val="00CA5C7E"/>
    <w:rsid w:val="00CA7B6D"/>
    <w:rsid w:val="00CB01E3"/>
    <w:rsid w:val="00CB0726"/>
    <w:rsid w:val="00CB1200"/>
    <w:rsid w:val="00CB15A3"/>
    <w:rsid w:val="00CB1E12"/>
    <w:rsid w:val="00CB2DDD"/>
    <w:rsid w:val="00CB5693"/>
    <w:rsid w:val="00CB5C7A"/>
    <w:rsid w:val="00CB5F13"/>
    <w:rsid w:val="00CB6E92"/>
    <w:rsid w:val="00CB6F33"/>
    <w:rsid w:val="00CB728C"/>
    <w:rsid w:val="00CB7633"/>
    <w:rsid w:val="00CB76E6"/>
    <w:rsid w:val="00CB7C27"/>
    <w:rsid w:val="00CC0107"/>
    <w:rsid w:val="00CC04E2"/>
    <w:rsid w:val="00CC0E42"/>
    <w:rsid w:val="00CC208B"/>
    <w:rsid w:val="00CC27FA"/>
    <w:rsid w:val="00CC2965"/>
    <w:rsid w:val="00CC2B21"/>
    <w:rsid w:val="00CC340F"/>
    <w:rsid w:val="00CC37E3"/>
    <w:rsid w:val="00CC380A"/>
    <w:rsid w:val="00CC3BEE"/>
    <w:rsid w:val="00CC41E5"/>
    <w:rsid w:val="00CC426E"/>
    <w:rsid w:val="00CC4947"/>
    <w:rsid w:val="00CC54B4"/>
    <w:rsid w:val="00CC58E8"/>
    <w:rsid w:val="00CC5A32"/>
    <w:rsid w:val="00CC60A3"/>
    <w:rsid w:val="00CC623C"/>
    <w:rsid w:val="00CC662A"/>
    <w:rsid w:val="00CC6ACD"/>
    <w:rsid w:val="00CC6B89"/>
    <w:rsid w:val="00CC6DCE"/>
    <w:rsid w:val="00CC6F52"/>
    <w:rsid w:val="00CC7E41"/>
    <w:rsid w:val="00CD0247"/>
    <w:rsid w:val="00CD0AEB"/>
    <w:rsid w:val="00CD144B"/>
    <w:rsid w:val="00CD218E"/>
    <w:rsid w:val="00CD30B5"/>
    <w:rsid w:val="00CD368E"/>
    <w:rsid w:val="00CD416B"/>
    <w:rsid w:val="00CD42AB"/>
    <w:rsid w:val="00CD4D23"/>
    <w:rsid w:val="00CD50FC"/>
    <w:rsid w:val="00CD517A"/>
    <w:rsid w:val="00CD570C"/>
    <w:rsid w:val="00CD584E"/>
    <w:rsid w:val="00CD5BA2"/>
    <w:rsid w:val="00CD61B1"/>
    <w:rsid w:val="00CD6834"/>
    <w:rsid w:val="00CD6CEB"/>
    <w:rsid w:val="00CD775F"/>
    <w:rsid w:val="00CD7F1E"/>
    <w:rsid w:val="00CE11C6"/>
    <w:rsid w:val="00CE1207"/>
    <w:rsid w:val="00CE1665"/>
    <w:rsid w:val="00CE16E7"/>
    <w:rsid w:val="00CE1BB7"/>
    <w:rsid w:val="00CE2089"/>
    <w:rsid w:val="00CE239A"/>
    <w:rsid w:val="00CE2BD6"/>
    <w:rsid w:val="00CE34B1"/>
    <w:rsid w:val="00CE3816"/>
    <w:rsid w:val="00CE4485"/>
    <w:rsid w:val="00CE4737"/>
    <w:rsid w:val="00CE4CBA"/>
    <w:rsid w:val="00CE50C1"/>
    <w:rsid w:val="00CE5934"/>
    <w:rsid w:val="00CE5981"/>
    <w:rsid w:val="00CE663A"/>
    <w:rsid w:val="00CE695A"/>
    <w:rsid w:val="00CF0B5B"/>
    <w:rsid w:val="00CF25AC"/>
    <w:rsid w:val="00CF2747"/>
    <w:rsid w:val="00CF2C38"/>
    <w:rsid w:val="00CF2C7D"/>
    <w:rsid w:val="00CF3021"/>
    <w:rsid w:val="00CF3FFC"/>
    <w:rsid w:val="00CF43FC"/>
    <w:rsid w:val="00CF49CE"/>
    <w:rsid w:val="00CF4EC4"/>
    <w:rsid w:val="00CF5281"/>
    <w:rsid w:val="00CF562F"/>
    <w:rsid w:val="00CF57D6"/>
    <w:rsid w:val="00CF67F5"/>
    <w:rsid w:val="00CF6831"/>
    <w:rsid w:val="00CF6B28"/>
    <w:rsid w:val="00CF6DCE"/>
    <w:rsid w:val="00CF748E"/>
    <w:rsid w:val="00D00137"/>
    <w:rsid w:val="00D002EE"/>
    <w:rsid w:val="00D0039A"/>
    <w:rsid w:val="00D006A0"/>
    <w:rsid w:val="00D00BF4"/>
    <w:rsid w:val="00D01285"/>
    <w:rsid w:val="00D0165E"/>
    <w:rsid w:val="00D01807"/>
    <w:rsid w:val="00D0216A"/>
    <w:rsid w:val="00D0288C"/>
    <w:rsid w:val="00D02F8A"/>
    <w:rsid w:val="00D03504"/>
    <w:rsid w:val="00D0357C"/>
    <w:rsid w:val="00D03E6A"/>
    <w:rsid w:val="00D04192"/>
    <w:rsid w:val="00D047F3"/>
    <w:rsid w:val="00D04A3E"/>
    <w:rsid w:val="00D04F65"/>
    <w:rsid w:val="00D0601F"/>
    <w:rsid w:val="00D0673D"/>
    <w:rsid w:val="00D06767"/>
    <w:rsid w:val="00D069AB"/>
    <w:rsid w:val="00D06B44"/>
    <w:rsid w:val="00D07A08"/>
    <w:rsid w:val="00D07A4A"/>
    <w:rsid w:val="00D07DB0"/>
    <w:rsid w:val="00D1055B"/>
    <w:rsid w:val="00D109AE"/>
    <w:rsid w:val="00D1178E"/>
    <w:rsid w:val="00D11DEE"/>
    <w:rsid w:val="00D11F92"/>
    <w:rsid w:val="00D12312"/>
    <w:rsid w:val="00D12A6E"/>
    <w:rsid w:val="00D13D40"/>
    <w:rsid w:val="00D145C8"/>
    <w:rsid w:val="00D14BEB"/>
    <w:rsid w:val="00D15157"/>
    <w:rsid w:val="00D15B06"/>
    <w:rsid w:val="00D1656D"/>
    <w:rsid w:val="00D165A9"/>
    <w:rsid w:val="00D16AB6"/>
    <w:rsid w:val="00D2124B"/>
    <w:rsid w:val="00D21699"/>
    <w:rsid w:val="00D21D9A"/>
    <w:rsid w:val="00D22FDF"/>
    <w:rsid w:val="00D23039"/>
    <w:rsid w:val="00D23054"/>
    <w:rsid w:val="00D230AC"/>
    <w:rsid w:val="00D231D4"/>
    <w:rsid w:val="00D2360B"/>
    <w:rsid w:val="00D23B38"/>
    <w:rsid w:val="00D24F3C"/>
    <w:rsid w:val="00D2525D"/>
    <w:rsid w:val="00D25A86"/>
    <w:rsid w:val="00D25CA4"/>
    <w:rsid w:val="00D265A2"/>
    <w:rsid w:val="00D26EA2"/>
    <w:rsid w:val="00D30209"/>
    <w:rsid w:val="00D30269"/>
    <w:rsid w:val="00D30364"/>
    <w:rsid w:val="00D306A8"/>
    <w:rsid w:val="00D30723"/>
    <w:rsid w:val="00D3104C"/>
    <w:rsid w:val="00D3153D"/>
    <w:rsid w:val="00D3157C"/>
    <w:rsid w:val="00D317C7"/>
    <w:rsid w:val="00D31C19"/>
    <w:rsid w:val="00D3222E"/>
    <w:rsid w:val="00D32ABB"/>
    <w:rsid w:val="00D3308A"/>
    <w:rsid w:val="00D33703"/>
    <w:rsid w:val="00D3375B"/>
    <w:rsid w:val="00D33EA5"/>
    <w:rsid w:val="00D3484D"/>
    <w:rsid w:val="00D35604"/>
    <w:rsid w:val="00D358C4"/>
    <w:rsid w:val="00D361EE"/>
    <w:rsid w:val="00D36598"/>
    <w:rsid w:val="00D41829"/>
    <w:rsid w:val="00D42728"/>
    <w:rsid w:val="00D431B8"/>
    <w:rsid w:val="00D446B0"/>
    <w:rsid w:val="00D44733"/>
    <w:rsid w:val="00D447E8"/>
    <w:rsid w:val="00D44A1F"/>
    <w:rsid w:val="00D45316"/>
    <w:rsid w:val="00D45BA9"/>
    <w:rsid w:val="00D45C5A"/>
    <w:rsid w:val="00D45EC9"/>
    <w:rsid w:val="00D4650B"/>
    <w:rsid w:val="00D46A4D"/>
    <w:rsid w:val="00D46F57"/>
    <w:rsid w:val="00D47C25"/>
    <w:rsid w:val="00D47F4D"/>
    <w:rsid w:val="00D50511"/>
    <w:rsid w:val="00D50B32"/>
    <w:rsid w:val="00D518AD"/>
    <w:rsid w:val="00D52325"/>
    <w:rsid w:val="00D523D9"/>
    <w:rsid w:val="00D52637"/>
    <w:rsid w:val="00D528CF"/>
    <w:rsid w:val="00D52ABA"/>
    <w:rsid w:val="00D537D7"/>
    <w:rsid w:val="00D5397B"/>
    <w:rsid w:val="00D54C78"/>
    <w:rsid w:val="00D54E9C"/>
    <w:rsid w:val="00D557C8"/>
    <w:rsid w:val="00D5622E"/>
    <w:rsid w:val="00D57C40"/>
    <w:rsid w:val="00D616F6"/>
    <w:rsid w:val="00D61A61"/>
    <w:rsid w:val="00D62612"/>
    <w:rsid w:val="00D626B0"/>
    <w:rsid w:val="00D62883"/>
    <w:rsid w:val="00D636E2"/>
    <w:rsid w:val="00D63F19"/>
    <w:rsid w:val="00D6463F"/>
    <w:rsid w:val="00D64959"/>
    <w:rsid w:val="00D66336"/>
    <w:rsid w:val="00D66AF9"/>
    <w:rsid w:val="00D66C2D"/>
    <w:rsid w:val="00D67A53"/>
    <w:rsid w:val="00D67BA9"/>
    <w:rsid w:val="00D67D93"/>
    <w:rsid w:val="00D707EB"/>
    <w:rsid w:val="00D714F9"/>
    <w:rsid w:val="00D717A6"/>
    <w:rsid w:val="00D71D66"/>
    <w:rsid w:val="00D72124"/>
    <w:rsid w:val="00D7222E"/>
    <w:rsid w:val="00D72461"/>
    <w:rsid w:val="00D7273E"/>
    <w:rsid w:val="00D7283D"/>
    <w:rsid w:val="00D728CE"/>
    <w:rsid w:val="00D72E2B"/>
    <w:rsid w:val="00D74132"/>
    <w:rsid w:val="00D7469C"/>
    <w:rsid w:val="00D74AAF"/>
    <w:rsid w:val="00D74AE7"/>
    <w:rsid w:val="00D7537D"/>
    <w:rsid w:val="00D755F2"/>
    <w:rsid w:val="00D75912"/>
    <w:rsid w:val="00D75CC7"/>
    <w:rsid w:val="00D762FA"/>
    <w:rsid w:val="00D7633B"/>
    <w:rsid w:val="00D76F2B"/>
    <w:rsid w:val="00D7752B"/>
    <w:rsid w:val="00D80F85"/>
    <w:rsid w:val="00D81DBF"/>
    <w:rsid w:val="00D82221"/>
    <w:rsid w:val="00D8271B"/>
    <w:rsid w:val="00D82E00"/>
    <w:rsid w:val="00D836E2"/>
    <w:rsid w:val="00D83A1E"/>
    <w:rsid w:val="00D83B10"/>
    <w:rsid w:val="00D844A6"/>
    <w:rsid w:val="00D84531"/>
    <w:rsid w:val="00D8498F"/>
    <w:rsid w:val="00D84BC0"/>
    <w:rsid w:val="00D84F93"/>
    <w:rsid w:val="00D851AC"/>
    <w:rsid w:val="00D856C2"/>
    <w:rsid w:val="00D85FAD"/>
    <w:rsid w:val="00D861B0"/>
    <w:rsid w:val="00D86B13"/>
    <w:rsid w:val="00D870EA"/>
    <w:rsid w:val="00D9003D"/>
    <w:rsid w:val="00D90415"/>
    <w:rsid w:val="00D9069B"/>
    <w:rsid w:val="00D913E3"/>
    <w:rsid w:val="00D914A9"/>
    <w:rsid w:val="00D91C6C"/>
    <w:rsid w:val="00D91D3D"/>
    <w:rsid w:val="00D91DE1"/>
    <w:rsid w:val="00D91F42"/>
    <w:rsid w:val="00D921A4"/>
    <w:rsid w:val="00D924B9"/>
    <w:rsid w:val="00D928DE"/>
    <w:rsid w:val="00D92907"/>
    <w:rsid w:val="00D92F93"/>
    <w:rsid w:val="00D93074"/>
    <w:rsid w:val="00D932D1"/>
    <w:rsid w:val="00D93B50"/>
    <w:rsid w:val="00D93E52"/>
    <w:rsid w:val="00D93FF5"/>
    <w:rsid w:val="00D94CA5"/>
    <w:rsid w:val="00D94E83"/>
    <w:rsid w:val="00D95715"/>
    <w:rsid w:val="00D95BA7"/>
    <w:rsid w:val="00D95EF1"/>
    <w:rsid w:val="00D965FA"/>
    <w:rsid w:val="00D96738"/>
    <w:rsid w:val="00D9693E"/>
    <w:rsid w:val="00D97035"/>
    <w:rsid w:val="00D97557"/>
    <w:rsid w:val="00D976D4"/>
    <w:rsid w:val="00D97794"/>
    <w:rsid w:val="00D978F2"/>
    <w:rsid w:val="00D97AA0"/>
    <w:rsid w:val="00D97C6D"/>
    <w:rsid w:val="00DA0D58"/>
    <w:rsid w:val="00DA1C37"/>
    <w:rsid w:val="00DA203C"/>
    <w:rsid w:val="00DA2447"/>
    <w:rsid w:val="00DA2A69"/>
    <w:rsid w:val="00DA404D"/>
    <w:rsid w:val="00DA4444"/>
    <w:rsid w:val="00DA5371"/>
    <w:rsid w:val="00DA577D"/>
    <w:rsid w:val="00DA5899"/>
    <w:rsid w:val="00DA5F4B"/>
    <w:rsid w:val="00DA6082"/>
    <w:rsid w:val="00DA6572"/>
    <w:rsid w:val="00DA6674"/>
    <w:rsid w:val="00DA6D99"/>
    <w:rsid w:val="00DA753C"/>
    <w:rsid w:val="00DA7A5A"/>
    <w:rsid w:val="00DA7B32"/>
    <w:rsid w:val="00DB015F"/>
    <w:rsid w:val="00DB04D0"/>
    <w:rsid w:val="00DB059C"/>
    <w:rsid w:val="00DB084F"/>
    <w:rsid w:val="00DB11DF"/>
    <w:rsid w:val="00DB1737"/>
    <w:rsid w:val="00DB26BA"/>
    <w:rsid w:val="00DB274C"/>
    <w:rsid w:val="00DB334C"/>
    <w:rsid w:val="00DB45F7"/>
    <w:rsid w:val="00DB4B31"/>
    <w:rsid w:val="00DB4EA5"/>
    <w:rsid w:val="00DB58F4"/>
    <w:rsid w:val="00DB5D03"/>
    <w:rsid w:val="00DB63E0"/>
    <w:rsid w:val="00DB6B2A"/>
    <w:rsid w:val="00DB6B33"/>
    <w:rsid w:val="00DB73C9"/>
    <w:rsid w:val="00DB7B9D"/>
    <w:rsid w:val="00DC0761"/>
    <w:rsid w:val="00DC16A2"/>
    <w:rsid w:val="00DC16D7"/>
    <w:rsid w:val="00DC1879"/>
    <w:rsid w:val="00DC18F3"/>
    <w:rsid w:val="00DC1A3B"/>
    <w:rsid w:val="00DC1DCA"/>
    <w:rsid w:val="00DC3539"/>
    <w:rsid w:val="00DC3C8D"/>
    <w:rsid w:val="00DC5378"/>
    <w:rsid w:val="00DC5E66"/>
    <w:rsid w:val="00DC6146"/>
    <w:rsid w:val="00DC6901"/>
    <w:rsid w:val="00DD01D2"/>
    <w:rsid w:val="00DD083D"/>
    <w:rsid w:val="00DD1AB9"/>
    <w:rsid w:val="00DD2455"/>
    <w:rsid w:val="00DD2FD4"/>
    <w:rsid w:val="00DD452D"/>
    <w:rsid w:val="00DD4BC0"/>
    <w:rsid w:val="00DD5D87"/>
    <w:rsid w:val="00DD5F4A"/>
    <w:rsid w:val="00DD617C"/>
    <w:rsid w:val="00DD666E"/>
    <w:rsid w:val="00DD6AB4"/>
    <w:rsid w:val="00DD7895"/>
    <w:rsid w:val="00DD7CB6"/>
    <w:rsid w:val="00DE02A1"/>
    <w:rsid w:val="00DE066D"/>
    <w:rsid w:val="00DE0FF8"/>
    <w:rsid w:val="00DE12BA"/>
    <w:rsid w:val="00DE1EAB"/>
    <w:rsid w:val="00DE20B7"/>
    <w:rsid w:val="00DE224B"/>
    <w:rsid w:val="00DE2403"/>
    <w:rsid w:val="00DE28CA"/>
    <w:rsid w:val="00DE2BE3"/>
    <w:rsid w:val="00DE2E2F"/>
    <w:rsid w:val="00DE39E5"/>
    <w:rsid w:val="00DE3FB9"/>
    <w:rsid w:val="00DE4053"/>
    <w:rsid w:val="00DE4DB2"/>
    <w:rsid w:val="00DE5762"/>
    <w:rsid w:val="00DE5E3C"/>
    <w:rsid w:val="00DE5ED2"/>
    <w:rsid w:val="00DE5EDC"/>
    <w:rsid w:val="00DE734A"/>
    <w:rsid w:val="00DE7446"/>
    <w:rsid w:val="00DE7A69"/>
    <w:rsid w:val="00DE7CFA"/>
    <w:rsid w:val="00DF0F17"/>
    <w:rsid w:val="00DF1BFE"/>
    <w:rsid w:val="00DF1C6E"/>
    <w:rsid w:val="00DF21CF"/>
    <w:rsid w:val="00DF2366"/>
    <w:rsid w:val="00DF2D23"/>
    <w:rsid w:val="00DF2E22"/>
    <w:rsid w:val="00DF3218"/>
    <w:rsid w:val="00DF4170"/>
    <w:rsid w:val="00DF4607"/>
    <w:rsid w:val="00DF509E"/>
    <w:rsid w:val="00DF52AD"/>
    <w:rsid w:val="00DF538A"/>
    <w:rsid w:val="00DF5637"/>
    <w:rsid w:val="00DF6225"/>
    <w:rsid w:val="00DF6C57"/>
    <w:rsid w:val="00DF7006"/>
    <w:rsid w:val="00DF7086"/>
    <w:rsid w:val="00DF7AFC"/>
    <w:rsid w:val="00DF7C4E"/>
    <w:rsid w:val="00DF7DCA"/>
    <w:rsid w:val="00DF7E62"/>
    <w:rsid w:val="00E00088"/>
    <w:rsid w:val="00E00431"/>
    <w:rsid w:val="00E006BD"/>
    <w:rsid w:val="00E017E3"/>
    <w:rsid w:val="00E023CD"/>
    <w:rsid w:val="00E026D7"/>
    <w:rsid w:val="00E02DBE"/>
    <w:rsid w:val="00E039E6"/>
    <w:rsid w:val="00E042B5"/>
    <w:rsid w:val="00E0586B"/>
    <w:rsid w:val="00E05A8E"/>
    <w:rsid w:val="00E05E40"/>
    <w:rsid w:val="00E05EEE"/>
    <w:rsid w:val="00E062ED"/>
    <w:rsid w:val="00E07601"/>
    <w:rsid w:val="00E078A8"/>
    <w:rsid w:val="00E10476"/>
    <w:rsid w:val="00E10E34"/>
    <w:rsid w:val="00E10FAA"/>
    <w:rsid w:val="00E11120"/>
    <w:rsid w:val="00E11F07"/>
    <w:rsid w:val="00E124B9"/>
    <w:rsid w:val="00E12D04"/>
    <w:rsid w:val="00E12E02"/>
    <w:rsid w:val="00E135FF"/>
    <w:rsid w:val="00E14130"/>
    <w:rsid w:val="00E149E8"/>
    <w:rsid w:val="00E14EEC"/>
    <w:rsid w:val="00E1571B"/>
    <w:rsid w:val="00E15957"/>
    <w:rsid w:val="00E15ABC"/>
    <w:rsid w:val="00E15F22"/>
    <w:rsid w:val="00E166A6"/>
    <w:rsid w:val="00E16B10"/>
    <w:rsid w:val="00E17394"/>
    <w:rsid w:val="00E22349"/>
    <w:rsid w:val="00E2287F"/>
    <w:rsid w:val="00E22CAA"/>
    <w:rsid w:val="00E22F2F"/>
    <w:rsid w:val="00E24462"/>
    <w:rsid w:val="00E250E8"/>
    <w:rsid w:val="00E2533B"/>
    <w:rsid w:val="00E2548A"/>
    <w:rsid w:val="00E25B9D"/>
    <w:rsid w:val="00E25BFA"/>
    <w:rsid w:val="00E26803"/>
    <w:rsid w:val="00E26D4B"/>
    <w:rsid w:val="00E271D4"/>
    <w:rsid w:val="00E30602"/>
    <w:rsid w:val="00E3257A"/>
    <w:rsid w:val="00E345D7"/>
    <w:rsid w:val="00E3579C"/>
    <w:rsid w:val="00E35A6D"/>
    <w:rsid w:val="00E35E17"/>
    <w:rsid w:val="00E3605B"/>
    <w:rsid w:val="00E36FE8"/>
    <w:rsid w:val="00E37414"/>
    <w:rsid w:val="00E37838"/>
    <w:rsid w:val="00E37C28"/>
    <w:rsid w:val="00E37D8C"/>
    <w:rsid w:val="00E37FE1"/>
    <w:rsid w:val="00E40844"/>
    <w:rsid w:val="00E40F5E"/>
    <w:rsid w:val="00E413C2"/>
    <w:rsid w:val="00E4176E"/>
    <w:rsid w:val="00E4187C"/>
    <w:rsid w:val="00E41C41"/>
    <w:rsid w:val="00E41CB4"/>
    <w:rsid w:val="00E41E27"/>
    <w:rsid w:val="00E4250A"/>
    <w:rsid w:val="00E42C03"/>
    <w:rsid w:val="00E42D64"/>
    <w:rsid w:val="00E42FBD"/>
    <w:rsid w:val="00E43466"/>
    <w:rsid w:val="00E44147"/>
    <w:rsid w:val="00E4456D"/>
    <w:rsid w:val="00E4485C"/>
    <w:rsid w:val="00E44F80"/>
    <w:rsid w:val="00E45202"/>
    <w:rsid w:val="00E45D70"/>
    <w:rsid w:val="00E476CC"/>
    <w:rsid w:val="00E50020"/>
    <w:rsid w:val="00E500EC"/>
    <w:rsid w:val="00E5149D"/>
    <w:rsid w:val="00E51816"/>
    <w:rsid w:val="00E51EC9"/>
    <w:rsid w:val="00E51FEE"/>
    <w:rsid w:val="00E52419"/>
    <w:rsid w:val="00E52634"/>
    <w:rsid w:val="00E52E47"/>
    <w:rsid w:val="00E5308F"/>
    <w:rsid w:val="00E54714"/>
    <w:rsid w:val="00E54C04"/>
    <w:rsid w:val="00E557B8"/>
    <w:rsid w:val="00E55C59"/>
    <w:rsid w:val="00E55C81"/>
    <w:rsid w:val="00E56065"/>
    <w:rsid w:val="00E5622B"/>
    <w:rsid w:val="00E57454"/>
    <w:rsid w:val="00E578E8"/>
    <w:rsid w:val="00E57DAA"/>
    <w:rsid w:val="00E60D24"/>
    <w:rsid w:val="00E6119D"/>
    <w:rsid w:val="00E61CBD"/>
    <w:rsid w:val="00E62795"/>
    <w:rsid w:val="00E62822"/>
    <w:rsid w:val="00E62CBB"/>
    <w:rsid w:val="00E63250"/>
    <w:rsid w:val="00E64DEC"/>
    <w:rsid w:val="00E65679"/>
    <w:rsid w:val="00E656A3"/>
    <w:rsid w:val="00E65A94"/>
    <w:rsid w:val="00E667BF"/>
    <w:rsid w:val="00E66FA5"/>
    <w:rsid w:val="00E67AC7"/>
    <w:rsid w:val="00E67B34"/>
    <w:rsid w:val="00E70602"/>
    <w:rsid w:val="00E708CC"/>
    <w:rsid w:val="00E70E19"/>
    <w:rsid w:val="00E7126B"/>
    <w:rsid w:val="00E71574"/>
    <w:rsid w:val="00E71DC2"/>
    <w:rsid w:val="00E71F4A"/>
    <w:rsid w:val="00E721E4"/>
    <w:rsid w:val="00E72A95"/>
    <w:rsid w:val="00E72D26"/>
    <w:rsid w:val="00E73407"/>
    <w:rsid w:val="00E740C1"/>
    <w:rsid w:val="00E7422A"/>
    <w:rsid w:val="00E74B41"/>
    <w:rsid w:val="00E7526E"/>
    <w:rsid w:val="00E75652"/>
    <w:rsid w:val="00E75CAA"/>
    <w:rsid w:val="00E75D8A"/>
    <w:rsid w:val="00E76002"/>
    <w:rsid w:val="00E7702B"/>
    <w:rsid w:val="00E770BF"/>
    <w:rsid w:val="00E77989"/>
    <w:rsid w:val="00E77EE8"/>
    <w:rsid w:val="00E8067F"/>
    <w:rsid w:val="00E8084B"/>
    <w:rsid w:val="00E8092D"/>
    <w:rsid w:val="00E80DB8"/>
    <w:rsid w:val="00E811E5"/>
    <w:rsid w:val="00E81863"/>
    <w:rsid w:val="00E819B9"/>
    <w:rsid w:val="00E82EE0"/>
    <w:rsid w:val="00E83A13"/>
    <w:rsid w:val="00E83CFF"/>
    <w:rsid w:val="00E847F3"/>
    <w:rsid w:val="00E84CCF"/>
    <w:rsid w:val="00E84D39"/>
    <w:rsid w:val="00E8600E"/>
    <w:rsid w:val="00E86195"/>
    <w:rsid w:val="00E86B03"/>
    <w:rsid w:val="00E90345"/>
    <w:rsid w:val="00E90C07"/>
    <w:rsid w:val="00E90DB9"/>
    <w:rsid w:val="00E914C4"/>
    <w:rsid w:val="00E91D00"/>
    <w:rsid w:val="00E92790"/>
    <w:rsid w:val="00E934EC"/>
    <w:rsid w:val="00E9406C"/>
    <w:rsid w:val="00E950FF"/>
    <w:rsid w:val="00E95139"/>
    <w:rsid w:val="00E953D4"/>
    <w:rsid w:val="00E95D5C"/>
    <w:rsid w:val="00E961D8"/>
    <w:rsid w:val="00E9662A"/>
    <w:rsid w:val="00E97B05"/>
    <w:rsid w:val="00EA03A8"/>
    <w:rsid w:val="00EA061C"/>
    <w:rsid w:val="00EA07A1"/>
    <w:rsid w:val="00EA0C6B"/>
    <w:rsid w:val="00EA10C7"/>
    <w:rsid w:val="00EA1767"/>
    <w:rsid w:val="00EA21B4"/>
    <w:rsid w:val="00EA2A38"/>
    <w:rsid w:val="00EA2C85"/>
    <w:rsid w:val="00EA397B"/>
    <w:rsid w:val="00EA48DB"/>
    <w:rsid w:val="00EA5303"/>
    <w:rsid w:val="00EA53A1"/>
    <w:rsid w:val="00EA5434"/>
    <w:rsid w:val="00EA5B3E"/>
    <w:rsid w:val="00EA6C36"/>
    <w:rsid w:val="00EA6EA5"/>
    <w:rsid w:val="00EA7143"/>
    <w:rsid w:val="00EA792B"/>
    <w:rsid w:val="00EA7CE0"/>
    <w:rsid w:val="00EB0485"/>
    <w:rsid w:val="00EB0FA2"/>
    <w:rsid w:val="00EB1AD7"/>
    <w:rsid w:val="00EB1E6F"/>
    <w:rsid w:val="00EB3C8B"/>
    <w:rsid w:val="00EB3CCA"/>
    <w:rsid w:val="00EB431D"/>
    <w:rsid w:val="00EB469D"/>
    <w:rsid w:val="00EB47EA"/>
    <w:rsid w:val="00EB4F91"/>
    <w:rsid w:val="00EB50D2"/>
    <w:rsid w:val="00EB57F5"/>
    <w:rsid w:val="00EB584F"/>
    <w:rsid w:val="00EB6474"/>
    <w:rsid w:val="00EB67D2"/>
    <w:rsid w:val="00EB7CE4"/>
    <w:rsid w:val="00EC024B"/>
    <w:rsid w:val="00EC0252"/>
    <w:rsid w:val="00EC06C0"/>
    <w:rsid w:val="00EC0DED"/>
    <w:rsid w:val="00EC185F"/>
    <w:rsid w:val="00EC279E"/>
    <w:rsid w:val="00EC2859"/>
    <w:rsid w:val="00EC3203"/>
    <w:rsid w:val="00EC32CC"/>
    <w:rsid w:val="00EC3414"/>
    <w:rsid w:val="00EC3521"/>
    <w:rsid w:val="00EC3872"/>
    <w:rsid w:val="00EC3935"/>
    <w:rsid w:val="00EC39B1"/>
    <w:rsid w:val="00EC4092"/>
    <w:rsid w:val="00EC514B"/>
    <w:rsid w:val="00EC52AB"/>
    <w:rsid w:val="00EC5D65"/>
    <w:rsid w:val="00EC6FB1"/>
    <w:rsid w:val="00EC7180"/>
    <w:rsid w:val="00EC7927"/>
    <w:rsid w:val="00EC79DB"/>
    <w:rsid w:val="00EC7D7A"/>
    <w:rsid w:val="00EC7DB1"/>
    <w:rsid w:val="00ED0A8A"/>
    <w:rsid w:val="00ED1AC5"/>
    <w:rsid w:val="00ED2095"/>
    <w:rsid w:val="00ED2118"/>
    <w:rsid w:val="00ED264D"/>
    <w:rsid w:val="00ED338C"/>
    <w:rsid w:val="00ED3921"/>
    <w:rsid w:val="00ED3F44"/>
    <w:rsid w:val="00ED3FF6"/>
    <w:rsid w:val="00ED469A"/>
    <w:rsid w:val="00ED4EA5"/>
    <w:rsid w:val="00ED588C"/>
    <w:rsid w:val="00ED63F6"/>
    <w:rsid w:val="00ED7383"/>
    <w:rsid w:val="00ED7FFA"/>
    <w:rsid w:val="00EE0154"/>
    <w:rsid w:val="00EE0AE4"/>
    <w:rsid w:val="00EE0B90"/>
    <w:rsid w:val="00EE0D81"/>
    <w:rsid w:val="00EE1790"/>
    <w:rsid w:val="00EE1B4E"/>
    <w:rsid w:val="00EE1F8C"/>
    <w:rsid w:val="00EE1F8E"/>
    <w:rsid w:val="00EE2537"/>
    <w:rsid w:val="00EE2952"/>
    <w:rsid w:val="00EE2B14"/>
    <w:rsid w:val="00EE31D6"/>
    <w:rsid w:val="00EE360E"/>
    <w:rsid w:val="00EE37EE"/>
    <w:rsid w:val="00EE3E19"/>
    <w:rsid w:val="00EE425C"/>
    <w:rsid w:val="00EE4D3F"/>
    <w:rsid w:val="00EF023F"/>
    <w:rsid w:val="00EF02F0"/>
    <w:rsid w:val="00EF0862"/>
    <w:rsid w:val="00EF113E"/>
    <w:rsid w:val="00EF11F2"/>
    <w:rsid w:val="00EF2113"/>
    <w:rsid w:val="00EF2305"/>
    <w:rsid w:val="00EF2927"/>
    <w:rsid w:val="00EF3019"/>
    <w:rsid w:val="00EF3655"/>
    <w:rsid w:val="00EF3923"/>
    <w:rsid w:val="00EF3B61"/>
    <w:rsid w:val="00EF4A40"/>
    <w:rsid w:val="00EF4B69"/>
    <w:rsid w:val="00EF51C2"/>
    <w:rsid w:val="00EF5903"/>
    <w:rsid w:val="00EF5AD2"/>
    <w:rsid w:val="00EF721E"/>
    <w:rsid w:val="00EF7DB8"/>
    <w:rsid w:val="00EF7DF2"/>
    <w:rsid w:val="00EF7FE1"/>
    <w:rsid w:val="00F00245"/>
    <w:rsid w:val="00F0033E"/>
    <w:rsid w:val="00F00706"/>
    <w:rsid w:val="00F00EC7"/>
    <w:rsid w:val="00F0190E"/>
    <w:rsid w:val="00F0276F"/>
    <w:rsid w:val="00F02B60"/>
    <w:rsid w:val="00F02BB0"/>
    <w:rsid w:val="00F02D1C"/>
    <w:rsid w:val="00F047AD"/>
    <w:rsid w:val="00F04896"/>
    <w:rsid w:val="00F04ECF"/>
    <w:rsid w:val="00F06492"/>
    <w:rsid w:val="00F06B04"/>
    <w:rsid w:val="00F06E47"/>
    <w:rsid w:val="00F073E1"/>
    <w:rsid w:val="00F07474"/>
    <w:rsid w:val="00F074C2"/>
    <w:rsid w:val="00F075FF"/>
    <w:rsid w:val="00F10097"/>
    <w:rsid w:val="00F1099F"/>
    <w:rsid w:val="00F11709"/>
    <w:rsid w:val="00F11794"/>
    <w:rsid w:val="00F11905"/>
    <w:rsid w:val="00F11AF0"/>
    <w:rsid w:val="00F12132"/>
    <w:rsid w:val="00F122EB"/>
    <w:rsid w:val="00F12900"/>
    <w:rsid w:val="00F129E8"/>
    <w:rsid w:val="00F12B2F"/>
    <w:rsid w:val="00F12E2F"/>
    <w:rsid w:val="00F135F4"/>
    <w:rsid w:val="00F13FE9"/>
    <w:rsid w:val="00F140BD"/>
    <w:rsid w:val="00F1434C"/>
    <w:rsid w:val="00F162E1"/>
    <w:rsid w:val="00F16C86"/>
    <w:rsid w:val="00F16D9B"/>
    <w:rsid w:val="00F17036"/>
    <w:rsid w:val="00F172AC"/>
    <w:rsid w:val="00F172BF"/>
    <w:rsid w:val="00F17558"/>
    <w:rsid w:val="00F17864"/>
    <w:rsid w:val="00F20329"/>
    <w:rsid w:val="00F2191C"/>
    <w:rsid w:val="00F22721"/>
    <w:rsid w:val="00F22DF1"/>
    <w:rsid w:val="00F23633"/>
    <w:rsid w:val="00F23ED9"/>
    <w:rsid w:val="00F23F7D"/>
    <w:rsid w:val="00F248FE"/>
    <w:rsid w:val="00F24C65"/>
    <w:rsid w:val="00F2504A"/>
    <w:rsid w:val="00F2687D"/>
    <w:rsid w:val="00F26A78"/>
    <w:rsid w:val="00F26AC5"/>
    <w:rsid w:val="00F271EF"/>
    <w:rsid w:val="00F27304"/>
    <w:rsid w:val="00F27509"/>
    <w:rsid w:val="00F2782F"/>
    <w:rsid w:val="00F27D83"/>
    <w:rsid w:val="00F27E79"/>
    <w:rsid w:val="00F3026C"/>
    <w:rsid w:val="00F308F9"/>
    <w:rsid w:val="00F30CD1"/>
    <w:rsid w:val="00F313A5"/>
    <w:rsid w:val="00F31818"/>
    <w:rsid w:val="00F31CD5"/>
    <w:rsid w:val="00F31FD8"/>
    <w:rsid w:val="00F32716"/>
    <w:rsid w:val="00F32CED"/>
    <w:rsid w:val="00F32DFF"/>
    <w:rsid w:val="00F32EC5"/>
    <w:rsid w:val="00F33397"/>
    <w:rsid w:val="00F336CE"/>
    <w:rsid w:val="00F3453A"/>
    <w:rsid w:val="00F34B37"/>
    <w:rsid w:val="00F34E0A"/>
    <w:rsid w:val="00F35666"/>
    <w:rsid w:val="00F35A31"/>
    <w:rsid w:val="00F35AA5"/>
    <w:rsid w:val="00F3607C"/>
    <w:rsid w:val="00F360B8"/>
    <w:rsid w:val="00F364EB"/>
    <w:rsid w:val="00F36E55"/>
    <w:rsid w:val="00F377BD"/>
    <w:rsid w:val="00F3789F"/>
    <w:rsid w:val="00F400C5"/>
    <w:rsid w:val="00F40BEB"/>
    <w:rsid w:val="00F41466"/>
    <w:rsid w:val="00F4147C"/>
    <w:rsid w:val="00F41647"/>
    <w:rsid w:val="00F4261B"/>
    <w:rsid w:val="00F429C2"/>
    <w:rsid w:val="00F42C78"/>
    <w:rsid w:val="00F42D83"/>
    <w:rsid w:val="00F43378"/>
    <w:rsid w:val="00F4373F"/>
    <w:rsid w:val="00F44168"/>
    <w:rsid w:val="00F44948"/>
    <w:rsid w:val="00F44AF7"/>
    <w:rsid w:val="00F44DBD"/>
    <w:rsid w:val="00F452C1"/>
    <w:rsid w:val="00F454E4"/>
    <w:rsid w:val="00F458BD"/>
    <w:rsid w:val="00F459C9"/>
    <w:rsid w:val="00F45AB1"/>
    <w:rsid w:val="00F45ED6"/>
    <w:rsid w:val="00F471DD"/>
    <w:rsid w:val="00F47A3B"/>
    <w:rsid w:val="00F5035C"/>
    <w:rsid w:val="00F504DE"/>
    <w:rsid w:val="00F50549"/>
    <w:rsid w:val="00F50AA0"/>
    <w:rsid w:val="00F50D13"/>
    <w:rsid w:val="00F51BBB"/>
    <w:rsid w:val="00F52D62"/>
    <w:rsid w:val="00F52EE4"/>
    <w:rsid w:val="00F544E7"/>
    <w:rsid w:val="00F546D7"/>
    <w:rsid w:val="00F55FA3"/>
    <w:rsid w:val="00F5649C"/>
    <w:rsid w:val="00F565ED"/>
    <w:rsid w:val="00F56AC7"/>
    <w:rsid w:val="00F56E01"/>
    <w:rsid w:val="00F57177"/>
    <w:rsid w:val="00F572E2"/>
    <w:rsid w:val="00F57460"/>
    <w:rsid w:val="00F57F5F"/>
    <w:rsid w:val="00F601DD"/>
    <w:rsid w:val="00F62AEC"/>
    <w:rsid w:val="00F62CBB"/>
    <w:rsid w:val="00F62D36"/>
    <w:rsid w:val="00F63505"/>
    <w:rsid w:val="00F63A89"/>
    <w:rsid w:val="00F63F3F"/>
    <w:rsid w:val="00F643DD"/>
    <w:rsid w:val="00F651E1"/>
    <w:rsid w:val="00F65C88"/>
    <w:rsid w:val="00F662E1"/>
    <w:rsid w:val="00F6712F"/>
    <w:rsid w:val="00F67A1D"/>
    <w:rsid w:val="00F67F87"/>
    <w:rsid w:val="00F708EB"/>
    <w:rsid w:val="00F70A31"/>
    <w:rsid w:val="00F711C5"/>
    <w:rsid w:val="00F728FA"/>
    <w:rsid w:val="00F72922"/>
    <w:rsid w:val="00F72923"/>
    <w:rsid w:val="00F72CBF"/>
    <w:rsid w:val="00F73233"/>
    <w:rsid w:val="00F735B6"/>
    <w:rsid w:val="00F73C9E"/>
    <w:rsid w:val="00F74098"/>
    <w:rsid w:val="00F7416B"/>
    <w:rsid w:val="00F74420"/>
    <w:rsid w:val="00F74A86"/>
    <w:rsid w:val="00F74C6D"/>
    <w:rsid w:val="00F7587F"/>
    <w:rsid w:val="00F760C8"/>
    <w:rsid w:val="00F76765"/>
    <w:rsid w:val="00F76C44"/>
    <w:rsid w:val="00F777D2"/>
    <w:rsid w:val="00F77D69"/>
    <w:rsid w:val="00F77E2A"/>
    <w:rsid w:val="00F8019E"/>
    <w:rsid w:val="00F81459"/>
    <w:rsid w:val="00F81553"/>
    <w:rsid w:val="00F81575"/>
    <w:rsid w:val="00F81962"/>
    <w:rsid w:val="00F81B32"/>
    <w:rsid w:val="00F82B59"/>
    <w:rsid w:val="00F82D14"/>
    <w:rsid w:val="00F82D76"/>
    <w:rsid w:val="00F831E7"/>
    <w:rsid w:val="00F83906"/>
    <w:rsid w:val="00F84175"/>
    <w:rsid w:val="00F8439E"/>
    <w:rsid w:val="00F84697"/>
    <w:rsid w:val="00F85098"/>
    <w:rsid w:val="00F850FB"/>
    <w:rsid w:val="00F8537C"/>
    <w:rsid w:val="00F85FFC"/>
    <w:rsid w:val="00F86482"/>
    <w:rsid w:val="00F87B3E"/>
    <w:rsid w:val="00F918C9"/>
    <w:rsid w:val="00F918D7"/>
    <w:rsid w:val="00F91A3B"/>
    <w:rsid w:val="00F92767"/>
    <w:rsid w:val="00F92E85"/>
    <w:rsid w:val="00F9326B"/>
    <w:rsid w:val="00F948F0"/>
    <w:rsid w:val="00F9551F"/>
    <w:rsid w:val="00F95BB1"/>
    <w:rsid w:val="00F95FC2"/>
    <w:rsid w:val="00F96218"/>
    <w:rsid w:val="00F962D6"/>
    <w:rsid w:val="00F969B6"/>
    <w:rsid w:val="00F96B88"/>
    <w:rsid w:val="00F96C1D"/>
    <w:rsid w:val="00F96D48"/>
    <w:rsid w:val="00F971A0"/>
    <w:rsid w:val="00FA0E13"/>
    <w:rsid w:val="00FA12F3"/>
    <w:rsid w:val="00FA13A6"/>
    <w:rsid w:val="00FA1598"/>
    <w:rsid w:val="00FA1AA5"/>
    <w:rsid w:val="00FA2131"/>
    <w:rsid w:val="00FA24E1"/>
    <w:rsid w:val="00FA2522"/>
    <w:rsid w:val="00FA32D2"/>
    <w:rsid w:val="00FA3550"/>
    <w:rsid w:val="00FA3796"/>
    <w:rsid w:val="00FA4444"/>
    <w:rsid w:val="00FA45C2"/>
    <w:rsid w:val="00FA4C7A"/>
    <w:rsid w:val="00FA5895"/>
    <w:rsid w:val="00FA6184"/>
    <w:rsid w:val="00FA72A6"/>
    <w:rsid w:val="00FB052C"/>
    <w:rsid w:val="00FB0535"/>
    <w:rsid w:val="00FB09E6"/>
    <w:rsid w:val="00FB12D6"/>
    <w:rsid w:val="00FB16B5"/>
    <w:rsid w:val="00FB2573"/>
    <w:rsid w:val="00FB3000"/>
    <w:rsid w:val="00FB31A0"/>
    <w:rsid w:val="00FB4477"/>
    <w:rsid w:val="00FB4D20"/>
    <w:rsid w:val="00FB4F5E"/>
    <w:rsid w:val="00FB550E"/>
    <w:rsid w:val="00FB616C"/>
    <w:rsid w:val="00FB772F"/>
    <w:rsid w:val="00FC0217"/>
    <w:rsid w:val="00FC07FD"/>
    <w:rsid w:val="00FC0983"/>
    <w:rsid w:val="00FC16F3"/>
    <w:rsid w:val="00FC1827"/>
    <w:rsid w:val="00FC23AB"/>
    <w:rsid w:val="00FC24B4"/>
    <w:rsid w:val="00FC2555"/>
    <w:rsid w:val="00FC319B"/>
    <w:rsid w:val="00FC340B"/>
    <w:rsid w:val="00FC3640"/>
    <w:rsid w:val="00FC36B6"/>
    <w:rsid w:val="00FC3ECB"/>
    <w:rsid w:val="00FC5107"/>
    <w:rsid w:val="00FC5FAF"/>
    <w:rsid w:val="00FC615D"/>
    <w:rsid w:val="00FC6BB7"/>
    <w:rsid w:val="00FC7A0B"/>
    <w:rsid w:val="00FC7A5F"/>
    <w:rsid w:val="00FC7BB4"/>
    <w:rsid w:val="00FD06C5"/>
    <w:rsid w:val="00FD2A0D"/>
    <w:rsid w:val="00FD3BAE"/>
    <w:rsid w:val="00FD49BF"/>
    <w:rsid w:val="00FD4EBE"/>
    <w:rsid w:val="00FD5332"/>
    <w:rsid w:val="00FD5E13"/>
    <w:rsid w:val="00FD6BFA"/>
    <w:rsid w:val="00FD6E57"/>
    <w:rsid w:val="00FD71A8"/>
    <w:rsid w:val="00FD782E"/>
    <w:rsid w:val="00FE07A6"/>
    <w:rsid w:val="00FE119A"/>
    <w:rsid w:val="00FE2599"/>
    <w:rsid w:val="00FE360F"/>
    <w:rsid w:val="00FE3797"/>
    <w:rsid w:val="00FE3BE6"/>
    <w:rsid w:val="00FE3C1D"/>
    <w:rsid w:val="00FE3F08"/>
    <w:rsid w:val="00FE44FF"/>
    <w:rsid w:val="00FE453E"/>
    <w:rsid w:val="00FE47CC"/>
    <w:rsid w:val="00FE4989"/>
    <w:rsid w:val="00FE4B00"/>
    <w:rsid w:val="00FE5183"/>
    <w:rsid w:val="00FE528E"/>
    <w:rsid w:val="00FE54DB"/>
    <w:rsid w:val="00FE6847"/>
    <w:rsid w:val="00FE6E91"/>
    <w:rsid w:val="00FE72FB"/>
    <w:rsid w:val="00FF04DC"/>
    <w:rsid w:val="00FF12F3"/>
    <w:rsid w:val="00FF20B5"/>
    <w:rsid w:val="00FF2C9B"/>
    <w:rsid w:val="00FF3F89"/>
    <w:rsid w:val="00FF56EF"/>
    <w:rsid w:val="00FF6D32"/>
    <w:rsid w:val="00FF6D5B"/>
    <w:rsid w:val="00FF6ED2"/>
    <w:rsid w:val="00FF740C"/>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3B70B-93DE-48D3-ADE9-0503F817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53F"/>
    <w:rPr>
      <w:sz w:val="24"/>
      <w:szCs w:val="24"/>
    </w:rPr>
  </w:style>
  <w:style w:type="paragraph" w:styleId="Heading1">
    <w:name w:val="heading 1"/>
    <w:basedOn w:val="Normal"/>
    <w:next w:val="Normal"/>
    <w:link w:val="Heading1Char"/>
    <w:uiPriority w:val="9"/>
    <w:qFormat/>
    <w:rsid w:val="00D928DE"/>
    <w:pPr>
      <w:spacing w:line="240" w:lineRule="auto"/>
      <w:jc w:val="both"/>
      <w:outlineLvl w:val="0"/>
    </w:pPr>
    <w:rPr>
      <w:rFonts w:eastAsia="Times New Roman" w:cs="Arial"/>
      <w:b/>
      <w:bCs/>
      <w:color w:val="000000"/>
      <w:u w:val="single"/>
      <w:lang w:eastAsia="en-GB"/>
    </w:rPr>
  </w:style>
  <w:style w:type="paragraph" w:styleId="Heading2">
    <w:name w:val="heading 2"/>
    <w:basedOn w:val="Normal"/>
    <w:next w:val="Normal"/>
    <w:link w:val="Heading2Char"/>
    <w:uiPriority w:val="9"/>
    <w:unhideWhenUsed/>
    <w:qFormat/>
    <w:rsid w:val="00D928DE"/>
    <w:pPr>
      <w:outlineLvl w:val="1"/>
    </w:pPr>
    <w:rPr>
      <w:u w:val="single"/>
    </w:rPr>
  </w:style>
  <w:style w:type="paragraph" w:styleId="Heading3">
    <w:name w:val="heading 3"/>
    <w:basedOn w:val="Heading2"/>
    <w:next w:val="Normal"/>
    <w:link w:val="Heading3Char"/>
    <w:uiPriority w:val="9"/>
    <w:unhideWhenUsed/>
    <w:qFormat/>
    <w:rsid w:val="00B65451"/>
    <w:pPr>
      <w:ind w:firstLine="360"/>
      <w:outlineLvl w:val="2"/>
    </w:pPr>
    <w:rPr>
      <w:b/>
      <w:u w:val="none"/>
    </w:rPr>
  </w:style>
  <w:style w:type="paragraph" w:styleId="Heading4">
    <w:name w:val="heading 4"/>
    <w:basedOn w:val="Heading3"/>
    <w:next w:val="Normal"/>
    <w:link w:val="Heading4Char"/>
    <w:uiPriority w:val="9"/>
    <w:unhideWhenUsed/>
    <w:qFormat/>
    <w:rsid w:val="00F735B6"/>
    <w:pPr>
      <w:ind w:firstLine="720"/>
      <w:outlineLvl w:val="3"/>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EF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374EF4"/>
    <w:pPr>
      <w:ind w:left="720"/>
      <w:contextualSpacing/>
    </w:pPr>
  </w:style>
  <w:style w:type="paragraph" w:styleId="DocumentMap">
    <w:name w:val="Document Map"/>
    <w:basedOn w:val="Normal"/>
    <w:link w:val="DocumentMapChar"/>
    <w:uiPriority w:val="99"/>
    <w:semiHidden/>
    <w:unhideWhenUsed/>
    <w:rsid w:val="00047BE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47BE9"/>
    <w:rPr>
      <w:rFonts w:ascii="Tahoma" w:hAnsi="Tahoma" w:cs="Tahoma"/>
      <w:sz w:val="16"/>
      <w:szCs w:val="16"/>
    </w:rPr>
  </w:style>
  <w:style w:type="character" w:customStyle="1" w:styleId="Heading1Char">
    <w:name w:val="Heading 1 Char"/>
    <w:basedOn w:val="DefaultParagraphFont"/>
    <w:link w:val="Heading1"/>
    <w:uiPriority w:val="9"/>
    <w:rsid w:val="00D928DE"/>
    <w:rPr>
      <w:rFonts w:eastAsia="Times New Roman" w:cs="Arial"/>
      <w:b/>
      <w:bCs/>
      <w:color w:val="000000"/>
      <w:sz w:val="24"/>
      <w:szCs w:val="24"/>
      <w:u w:val="single"/>
      <w:lang w:eastAsia="en-GB"/>
    </w:rPr>
  </w:style>
  <w:style w:type="character" w:customStyle="1" w:styleId="Heading2Char">
    <w:name w:val="Heading 2 Char"/>
    <w:basedOn w:val="DefaultParagraphFont"/>
    <w:link w:val="Heading2"/>
    <w:uiPriority w:val="9"/>
    <w:rsid w:val="00D928DE"/>
    <w:rPr>
      <w:sz w:val="24"/>
      <w:szCs w:val="24"/>
      <w:u w:val="single"/>
    </w:rPr>
  </w:style>
  <w:style w:type="paragraph" w:styleId="TOCHeading">
    <w:name w:val="TOC Heading"/>
    <w:basedOn w:val="Heading1"/>
    <w:next w:val="Normal"/>
    <w:uiPriority w:val="39"/>
    <w:semiHidden/>
    <w:unhideWhenUsed/>
    <w:qFormat/>
    <w:rsid w:val="00A26721"/>
    <w:pPr>
      <w:keepNext/>
      <w:keepLines/>
      <w:spacing w:before="480" w:after="0" w:line="276" w:lineRule="auto"/>
      <w:jc w:val="left"/>
      <w:outlineLvl w:val="9"/>
    </w:pPr>
    <w:rPr>
      <w:rFonts w:asciiTheme="majorHAnsi" w:eastAsiaTheme="majorEastAsia" w:hAnsiTheme="majorHAnsi" w:cstheme="majorBidi"/>
      <w:color w:val="365F91" w:themeColor="accent1" w:themeShade="BF"/>
      <w:sz w:val="28"/>
      <w:szCs w:val="28"/>
      <w:u w:val="none"/>
      <w:lang w:val="en-US" w:eastAsia="ja-JP"/>
    </w:rPr>
  </w:style>
  <w:style w:type="paragraph" w:styleId="TOC1">
    <w:name w:val="toc 1"/>
    <w:basedOn w:val="Normal"/>
    <w:next w:val="Normal"/>
    <w:autoRedefine/>
    <w:uiPriority w:val="39"/>
    <w:unhideWhenUsed/>
    <w:rsid w:val="00A26721"/>
    <w:pPr>
      <w:spacing w:after="100"/>
    </w:pPr>
  </w:style>
  <w:style w:type="paragraph" w:styleId="TOC2">
    <w:name w:val="toc 2"/>
    <w:basedOn w:val="Normal"/>
    <w:next w:val="Normal"/>
    <w:autoRedefine/>
    <w:uiPriority w:val="39"/>
    <w:unhideWhenUsed/>
    <w:rsid w:val="00A26721"/>
    <w:pPr>
      <w:spacing w:after="100"/>
      <w:ind w:left="240"/>
    </w:pPr>
  </w:style>
  <w:style w:type="character" w:styleId="Hyperlink">
    <w:name w:val="Hyperlink"/>
    <w:basedOn w:val="DefaultParagraphFont"/>
    <w:uiPriority w:val="99"/>
    <w:unhideWhenUsed/>
    <w:rsid w:val="00A26721"/>
    <w:rPr>
      <w:color w:val="0000FF" w:themeColor="hyperlink"/>
      <w:u w:val="single"/>
    </w:rPr>
  </w:style>
  <w:style w:type="paragraph" w:styleId="BalloonText">
    <w:name w:val="Balloon Text"/>
    <w:basedOn w:val="Normal"/>
    <w:link w:val="BalloonTextChar"/>
    <w:uiPriority w:val="99"/>
    <w:semiHidden/>
    <w:unhideWhenUsed/>
    <w:rsid w:val="00A26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721"/>
    <w:rPr>
      <w:rFonts w:ascii="Tahoma" w:hAnsi="Tahoma" w:cs="Tahoma"/>
      <w:sz w:val="16"/>
      <w:szCs w:val="16"/>
    </w:rPr>
  </w:style>
  <w:style w:type="character" w:customStyle="1" w:styleId="Heading3Char">
    <w:name w:val="Heading 3 Char"/>
    <w:basedOn w:val="DefaultParagraphFont"/>
    <w:link w:val="Heading3"/>
    <w:uiPriority w:val="9"/>
    <w:rsid w:val="00B65451"/>
    <w:rPr>
      <w:b/>
      <w:sz w:val="24"/>
      <w:szCs w:val="24"/>
    </w:rPr>
  </w:style>
  <w:style w:type="paragraph" w:styleId="FootnoteText">
    <w:name w:val="footnote text"/>
    <w:basedOn w:val="Normal"/>
    <w:link w:val="FootnoteTextChar"/>
    <w:uiPriority w:val="99"/>
    <w:unhideWhenUsed/>
    <w:rsid w:val="00026ECA"/>
    <w:pPr>
      <w:spacing w:after="0" w:line="240" w:lineRule="auto"/>
    </w:pPr>
    <w:rPr>
      <w:sz w:val="20"/>
      <w:szCs w:val="20"/>
    </w:rPr>
  </w:style>
  <w:style w:type="character" w:customStyle="1" w:styleId="FootnoteTextChar">
    <w:name w:val="Footnote Text Char"/>
    <w:basedOn w:val="DefaultParagraphFont"/>
    <w:link w:val="FootnoteText"/>
    <w:uiPriority w:val="99"/>
    <w:rsid w:val="00026ECA"/>
    <w:rPr>
      <w:sz w:val="20"/>
      <w:szCs w:val="20"/>
    </w:rPr>
  </w:style>
  <w:style w:type="character" w:styleId="FootnoteReference">
    <w:name w:val="footnote reference"/>
    <w:basedOn w:val="DefaultParagraphFont"/>
    <w:uiPriority w:val="99"/>
    <w:semiHidden/>
    <w:unhideWhenUsed/>
    <w:rsid w:val="00026ECA"/>
    <w:rPr>
      <w:vertAlign w:val="superscript"/>
    </w:rPr>
  </w:style>
  <w:style w:type="paragraph" w:customStyle="1" w:styleId="Figheader">
    <w:name w:val="Fig header"/>
    <w:basedOn w:val="Normal"/>
    <w:link w:val="FigheaderChar"/>
    <w:qFormat/>
    <w:rsid w:val="00C050F9"/>
    <w:pPr>
      <w:spacing w:after="0"/>
      <w:ind w:firstLine="720"/>
      <w:jc w:val="both"/>
    </w:pPr>
    <w:rPr>
      <w:i/>
      <w:u w:val="single"/>
    </w:rPr>
  </w:style>
  <w:style w:type="paragraph" w:customStyle="1" w:styleId="Figfootnote">
    <w:name w:val="Fig footnote"/>
    <w:basedOn w:val="Normal"/>
    <w:link w:val="FigfootnoteChar"/>
    <w:qFormat/>
    <w:rsid w:val="00177F73"/>
    <w:pPr>
      <w:spacing w:after="0"/>
      <w:jc w:val="both"/>
    </w:pPr>
    <w:rPr>
      <w:i/>
      <w:sz w:val="20"/>
      <w:szCs w:val="20"/>
    </w:rPr>
  </w:style>
  <w:style w:type="character" w:customStyle="1" w:styleId="FigheaderChar">
    <w:name w:val="Fig header Char"/>
    <w:basedOn w:val="DefaultParagraphFont"/>
    <w:link w:val="Figheader"/>
    <w:rsid w:val="00C050F9"/>
    <w:rPr>
      <w:i/>
      <w:sz w:val="24"/>
      <w:szCs w:val="24"/>
      <w:u w:val="single"/>
    </w:rPr>
  </w:style>
  <w:style w:type="character" w:customStyle="1" w:styleId="FigfootnoteChar">
    <w:name w:val="Fig footnote Char"/>
    <w:basedOn w:val="DefaultParagraphFont"/>
    <w:link w:val="Figfootnote"/>
    <w:rsid w:val="00177F73"/>
    <w:rPr>
      <w:i/>
      <w:sz w:val="20"/>
      <w:szCs w:val="20"/>
    </w:rPr>
  </w:style>
  <w:style w:type="paragraph" w:styleId="Header">
    <w:name w:val="header"/>
    <w:basedOn w:val="Normal"/>
    <w:link w:val="HeaderChar"/>
    <w:uiPriority w:val="99"/>
    <w:unhideWhenUsed/>
    <w:rsid w:val="00152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85A"/>
    <w:rPr>
      <w:sz w:val="24"/>
      <w:szCs w:val="24"/>
    </w:rPr>
  </w:style>
  <w:style w:type="paragraph" w:styleId="Footer">
    <w:name w:val="footer"/>
    <w:basedOn w:val="Normal"/>
    <w:link w:val="FooterChar"/>
    <w:uiPriority w:val="99"/>
    <w:unhideWhenUsed/>
    <w:rsid w:val="00152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85A"/>
    <w:rPr>
      <w:sz w:val="24"/>
      <w:szCs w:val="24"/>
    </w:rPr>
  </w:style>
  <w:style w:type="character" w:customStyle="1" w:styleId="Heading4Char">
    <w:name w:val="Heading 4 Char"/>
    <w:basedOn w:val="DefaultParagraphFont"/>
    <w:link w:val="Heading4"/>
    <w:uiPriority w:val="9"/>
    <w:rsid w:val="00F735B6"/>
    <w:rPr>
      <w:i/>
      <w:sz w:val="24"/>
      <w:szCs w:val="24"/>
    </w:rPr>
  </w:style>
  <w:style w:type="paragraph" w:styleId="TOC3">
    <w:name w:val="toc 3"/>
    <w:basedOn w:val="Normal"/>
    <w:next w:val="Normal"/>
    <w:autoRedefine/>
    <w:uiPriority w:val="39"/>
    <w:unhideWhenUsed/>
    <w:rsid w:val="00BE74DB"/>
    <w:pPr>
      <w:spacing w:after="100"/>
      <w:ind w:left="480"/>
    </w:pPr>
  </w:style>
  <w:style w:type="character" w:styleId="Strong">
    <w:name w:val="Strong"/>
    <w:basedOn w:val="DefaultParagraphFont"/>
    <w:uiPriority w:val="22"/>
    <w:qFormat/>
    <w:rsid w:val="00BD65AF"/>
    <w:rPr>
      <w:b/>
      <w:bCs/>
    </w:rPr>
  </w:style>
  <w:style w:type="paragraph" w:customStyle="1" w:styleId="Default">
    <w:name w:val="Default"/>
    <w:rsid w:val="003935D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pPr>
      <w:spacing w:line="240" w:lineRule="auto"/>
    </w:pPr>
    <w:rPr>
      <w:sz w:val="20"/>
      <w:szCs w:val="20"/>
    </w:rPr>
  </w:style>
  <w:style w:type="character" w:customStyle="1" w:styleId="CommentTextChar">
    <w:name w:val="Comment Text Char"/>
    <w:basedOn w:val="DefaultParagraphFont"/>
    <w:link w:val="CommentText"/>
    <w:uiPriority w:val="99"/>
    <w:semiHidden/>
    <w:rsid w:val="00F12132"/>
    <w:rPr>
      <w:sz w:val="20"/>
      <w:szCs w:val="20"/>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basedOn w:val="CommentTextChar"/>
    <w:link w:val="CommentSubject"/>
    <w:uiPriority w:val="99"/>
    <w:semiHidden/>
    <w:rsid w:val="00F121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39537">
      <w:bodyDiv w:val="1"/>
      <w:marLeft w:val="0"/>
      <w:marRight w:val="0"/>
      <w:marTop w:val="0"/>
      <w:marBottom w:val="0"/>
      <w:divBdr>
        <w:top w:val="none" w:sz="0" w:space="0" w:color="auto"/>
        <w:left w:val="none" w:sz="0" w:space="0" w:color="auto"/>
        <w:bottom w:val="none" w:sz="0" w:space="0" w:color="auto"/>
        <w:right w:val="none" w:sz="0" w:space="0" w:color="auto"/>
      </w:divBdr>
    </w:div>
    <w:div w:id="283848619">
      <w:bodyDiv w:val="1"/>
      <w:marLeft w:val="0"/>
      <w:marRight w:val="0"/>
      <w:marTop w:val="0"/>
      <w:marBottom w:val="0"/>
      <w:divBdr>
        <w:top w:val="none" w:sz="0" w:space="0" w:color="auto"/>
        <w:left w:val="none" w:sz="0" w:space="0" w:color="auto"/>
        <w:bottom w:val="none" w:sz="0" w:space="0" w:color="auto"/>
        <w:right w:val="none" w:sz="0" w:space="0" w:color="auto"/>
      </w:divBdr>
    </w:div>
    <w:div w:id="300112342">
      <w:bodyDiv w:val="1"/>
      <w:marLeft w:val="0"/>
      <w:marRight w:val="0"/>
      <w:marTop w:val="0"/>
      <w:marBottom w:val="0"/>
      <w:divBdr>
        <w:top w:val="none" w:sz="0" w:space="0" w:color="auto"/>
        <w:left w:val="none" w:sz="0" w:space="0" w:color="auto"/>
        <w:bottom w:val="none" w:sz="0" w:space="0" w:color="auto"/>
        <w:right w:val="none" w:sz="0" w:space="0" w:color="auto"/>
      </w:divBdr>
    </w:div>
    <w:div w:id="829519574">
      <w:bodyDiv w:val="1"/>
      <w:marLeft w:val="0"/>
      <w:marRight w:val="0"/>
      <w:marTop w:val="0"/>
      <w:marBottom w:val="0"/>
      <w:divBdr>
        <w:top w:val="none" w:sz="0" w:space="0" w:color="auto"/>
        <w:left w:val="none" w:sz="0" w:space="0" w:color="auto"/>
        <w:bottom w:val="none" w:sz="0" w:space="0" w:color="auto"/>
        <w:right w:val="none" w:sz="0" w:space="0" w:color="auto"/>
      </w:divBdr>
    </w:div>
    <w:div w:id="1409379264">
      <w:bodyDiv w:val="1"/>
      <w:marLeft w:val="0"/>
      <w:marRight w:val="0"/>
      <w:marTop w:val="0"/>
      <w:marBottom w:val="0"/>
      <w:divBdr>
        <w:top w:val="none" w:sz="0" w:space="0" w:color="auto"/>
        <w:left w:val="none" w:sz="0" w:space="0" w:color="auto"/>
        <w:bottom w:val="none" w:sz="0" w:space="0" w:color="auto"/>
        <w:right w:val="none" w:sz="0" w:space="0" w:color="auto"/>
      </w:divBdr>
    </w:div>
    <w:div w:id="1593707087">
      <w:bodyDiv w:val="1"/>
      <w:marLeft w:val="0"/>
      <w:marRight w:val="0"/>
      <w:marTop w:val="0"/>
      <w:marBottom w:val="0"/>
      <w:divBdr>
        <w:top w:val="none" w:sz="0" w:space="0" w:color="auto"/>
        <w:left w:val="none" w:sz="0" w:space="0" w:color="auto"/>
        <w:bottom w:val="none" w:sz="0" w:space="0" w:color="auto"/>
        <w:right w:val="none" w:sz="0" w:space="0" w:color="auto"/>
      </w:divBdr>
    </w:div>
    <w:div w:id="201179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ou.or.ug/bou/media/statements/IMF_BoU-Conference_March-2014.html" TargetMode="External"/><Relationship Id="rId2" Type="http://schemas.openxmlformats.org/officeDocument/2006/relationships/hyperlink" Target="http://www.imf.org/external/np/pdr/conc/" TargetMode="External"/><Relationship Id="rId1" Type="http://schemas.openxmlformats.org/officeDocument/2006/relationships/hyperlink" Target="http://www.theigc.org/sites/default/files/sessions/Chris%20Adam%20%26%20David%20Bevan_StateCapabilities_AGF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CDC2A-8019-41E9-8DFF-5FE2F578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17791</Words>
  <Characters>101411</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LSE</Company>
  <LinksUpToDate>false</LinksUpToDate>
  <CharactersWithSpaces>118965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LANGFORD</dc:creator>
  <cp:lastModifiedBy>Andrew Ssali</cp:lastModifiedBy>
  <cp:revision>5</cp:revision>
  <cp:lastPrinted>2018-03-29T06:10:00Z</cp:lastPrinted>
  <dcterms:created xsi:type="dcterms:W3CDTF">2014-04-04T05:57:00Z</dcterms:created>
  <dcterms:modified xsi:type="dcterms:W3CDTF">2018-03-29T06:11:00Z</dcterms:modified>
</cp:coreProperties>
</file>