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156416330"/>
        <w:docPartObj>
          <w:docPartGallery w:val="Cover Pages"/>
          <w:docPartUnique/>
        </w:docPartObj>
      </w:sdtPr>
      <w:sdtEndPr/>
      <w:sdtContent>
        <w:p w14:paraId="5312CDE9" w14:textId="79DB6A3D" w:rsidR="00D92AE0" w:rsidRPr="00F10F3B" w:rsidRDefault="00D224E0" w:rsidP="00F10F3B">
          <w:pPr>
            <w:spacing w:after="160" w:line="259" w:lineRule="auto"/>
            <w:jc w:val="both"/>
            <w:rPr>
              <w:rFonts w:ascii="Times New Roman" w:hAnsi="Times New Roman" w:cs="Times New Roman"/>
            </w:rPr>
          </w:pPr>
          <w:r w:rsidRPr="00F10F3B">
            <w:rPr>
              <w:rFonts w:ascii="Times New Roman" w:hAnsi="Times New Roman" w:cs="Times New Roman"/>
              <w:noProof/>
              <w:lang w:eastAsia="en-GB"/>
            </w:rPr>
            <mc:AlternateContent>
              <mc:Choice Requires="wpg">
                <w:drawing>
                  <wp:anchor distT="0" distB="0" distL="114300" distR="114300" simplePos="0" relativeHeight="251743232" behindDoc="0" locked="0" layoutInCell="1" allowOverlap="1" wp14:anchorId="051EB61E" wp14:editId="78BAE659">
                    <wp:simplePos x="0" y="0"/>
                    <wp:positionH relativeFrom="column">
                      <wp:posOffset>-495300</wp:posOffset>
                    </wp:positionH>
                    <wp:positionV relativeFrom="paragraph">
                      <wp:posOffset>-923925</wp:posOffset>
                    </wp:positionV>
                    <wp:extent cx="7125970" cy="10692130"/>
                    <wp:effectExtent l="0" t="0" r="36830" b="0"/>
                    <wp:wrapNone/>
                    <wp:docPr id="115"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25970" cy="10692130"/>
                              <a:chOff x="1004" y="-390"/>
                              <a:chExt cx="11222" cy="16838"/>
                            </a:xfrm>
                          </wpg:grpSpPr>
                          <wps:wsp>
                            <wps:cNvPr id="116" name="Freeform 154"/>
                            <wps:cNvSpPr>
                              <a:spLocks/>
                            </wps:cNvSpPr>
                            <wps:spPr bwMode="auto">
                              <a:xfrm>
                                <a:off x="7188" y="-390"/>
                                <a:ext cx="5038" cy="16838"/>
                              </a:xfrm>
                              <a:custGeom>
                                <a:avLst/>
                                <a:gdLst>
                                  <a:gd name="T0" fmla="+- 0 680 680"/>
                                  <a:gd name="T1" fmla="*/ T0 w 4701"/>
                                  <a:gd name="T2" fmla="*/ 16838 h 16838"/>
                                  <a:gd name="T3" fmla="+- 0 5381 680"/>
                                  <a:gd name="T4" fmla="*/ T3 w 4701"/>
                                  <a:gd name="T5" fmla="*/ 16838 h 16838"/>
                                  <a:gd name="T6" fmla="+- 0 5381 680"/>
                                  <a:gd name="T7" fmla="*/ T6 w 4701"/>
                                  <a:gd name="T8" fmla="*/ 0 h 16838"/>
                                  <a:gd name="T9" fmla="+- 0 680 680"/>
                                  <a:gd name="T10" fmla="*/ T9 w 4701"/>
                                  <a:gd name="T11" fmla="*/ 0 h 16838"/>
                                  <a:gd name="T12" fmla="+- 0 680 680"/>
                                  <a:gd name="T13" fmla="*/ T12 w 4701"/>
                                  <a:gd name="T14" fmla="*/ 16838 h 16838"/>
                                </a:gdLst>
                                <a:ahLst/>
                                <a:cxnLst>
                                  <a:cxn ang="0">
                                    <a:pos x="T1" y="T2"/>
                                  </a:cxn>
                                  <a:cxn ang="0">
                                    <a:pos x="T4" y="T5"/>
                                  </a:cxn>
                                  <a:cxn ang="0">
                                    <a:pos x="T7" y="T8"/>
                                  </a:cxn>
                                  <a:cxn ang="0">
                                    <a:pos x="T10" y="T11"/>
                                  </a:cxn>
                                  <a:cxn ang="0">
                                    <a:pos x="T13" y="T14"/>
                                  </a:cxn>
                                </a:cxnLst>
                                <a:rect l="0" t="0" r="r" b="b"/>
                                <a:pathLst>
                                  <a:path w="4701" h="16838">
                                    <a:moveTo>
                                      <a:pt x="0" y="16838"/>
                                    </a:moveTo>
                                    <a:lnTo>
                                      <a:pt x="4701" y="16838"/>
                                    </a:lnTo>
                                    <a:lnTo>
                                      <a:pt x="4701" y="0"/>
                                    </a:lnTo>
                                    <a:lnTo>
                                      <a:pt x="0" y="0"/>
                                    </a:lnTo>
                                    <a:lnTo>
                                      <a:pt x="0" y="16838"/>
                                    </a:lnTo>
                                  </a:path>
                                </a:pathLst>
                              </a:custGeom>
                              <a:solidFill>
                                <a:schemeClr val="accent4">
                                  <a:lumMod val="40000"/>
                                  <a:lumOff val="6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227"/>
                            <wpg:cNvGrpSpPr>
                              <a:grpSpLocks/>
                            </wpg:cNvGrpSpPr>
                            <wpg:grpSpPr bwMode="auto">
                              <a:xfrm>
                                <a:off x="1349" y="815"/>
                                <a:ext cx="9828" cy="1710"/>
                                <a:chOff x="1349" y="815"/>
                                <a:chExt cx="9828" cy="1710"/>
                              </a:xfrm>
                            </wpg:grpSpPr>
                            <wps:wsp>
                              <wps:cNvPr id="118" name="Text Box 161"/>
                              <wps:cNvSpPr txBox="1">
                                <a:spLocks noChangeArrowheads="1"/>
                              </wps:cNvSpPr>
                              <wps:spPr bwMode="auto">
                                <a:xfrm>
                                  <a:off x="8849" y="860"/>
                                  <a:ext cx="2328" cy="1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p w14:paraId="15B1F676" w14:textId="77777777" w:rsidR="0096340A" w:rsidRDefault="0096340A">
                                    <w:r w:rsidRPr="00D31687">
                                      <w:rPr>
                                        <w:rFonts w:ascii="Arial Unicode MS" w:eastAsia="Arial Unicode MS" w:hAnsi="Arial Unicode MS" w:cs="Arial Unicode MS"/>
                                        <w:noProof/>
                                        <w:sz w:val="32"/>
                                        <w:lang w:eastAsia="en-GB"/>
                                      </w:rPr>
                                      <w:drawing>
                                        <wp:inline distT="0" distB="0" distL="0" distR="0" wp14:anchorId="70353D0A" wp14:editId="45739906">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119" name="Text Box 162"/>
                              <wps:cNvSpPr txBox="1">
                                <a:spLocks noChangeArrowheads="1"/>
                              </wps:cNvSpPr>
                              <wps:spPr bwMode="auto">
                                <a:xfrm>
                                  <a:off x="1349" y="815"/>
                                  <a:ext cx="1881" cy="1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14:paraId="7EC266B3" w14:textId="77777777" w:rsidR="0096340A" w:rsidRDefault="0096340A" w:rsidP="003F6E47">
                                    <w:r w:rsidRPr="00D31687">
                                      <w:rPr>
                                        <w:rFonts w:ascii="Arial Unicode MS" w:eastAsia="Arial Unicode MS" w:hAnsi="Arial Unicode MS" w:cs="Arial Unicode MS"/>
                                        <w:noProof/>
                                        <w:sz w:val="32"/>
                                        <w:lang w:eastAsia="en-GB"/>
                                      </w:rPr>
                                      <w:drawing>
                                        <wp:inline distT="0" distB="0" distL="0" distR="0" wp14:anchorId="05D29D26" wp14:editId="7BE37C4B">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grpSp>
                          <wpg:grpSp>
                            <wpg:cNvPr id="120" name="Group 234"/>
                            <wpg:cNvGrpSpPr>
                              <a:grpSpLocks/>
                            </wpg:cNvGrpSpPr>
                            <wpg:grpSpPr bwMode="auto">
                              <a:xfrm>
                                <a:off x="1004" y="5876"/>
                                <a:ext cx="11222" cy="8464"/>
                                <a:chOff x="1004" y="5876"/>
                                <a:chExt cx="11222" cy="8464"/>
                              </a:xfrm>
                            </wpg:grpSpPr>
                            <wpg:grpSp>
                              <wpg:cNvPr id="121" name="Group 229"/>
                              <wpg:cNvGrpSpPr>
                                <a:grpSpLocks/>
                              </wpg:cNvGrpSpPr>
                              <wpg:grpSpPr bwMode="auto">
                                <a:xfrm>
                                  <a:off x="1004" y="5876"/>
                                  <a:ext cx="11222" cy="2844"/>
                                  <a:chOff x="1004" y="5876"/>
                                  <a:chExt cx="11222" cy="2844"/>
                                </a:xfrm>
                              </wpg:grpSpPr>
                              <wps:wsp>
                                <wps:cNvPr id="122" name="Text Box 163"/>
                                <wps:cNvSpPr txBox="1">
                                  <a:spLocks noChangeArrowheads="1"/>
                                </wps:cNvSpPr>
                                <wps:spPr bwMode="auto">
                                  <a:xfrm>
                                    <a:off x="7188" y="6270"/>
                                    <a:ext cx="5038" cy="2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2430A3" w14:textId="3D62E76E" w:rsidR="0096340A" w:rsidRPr="00D92AE0" w:rsidRDefault="0096340A" w:rsidP="003F6E47">
                                      <w:pPr>
                                        <w:spacing w:before="59" w:after="0"/>
                                        <w:ind w:left="142" w:right="-20"/>
                                        <w:jc w:val="center"/>
                                        <w:rPr>
                                          <w:b/>
                                        </w:rPr>
                                      </w:pPr>
                                      <w:r w:rsidRPr="00D92AE0">
                                        <w:rPr>
                                          <w:rFonts w:ascii="Times New Roman" w:eastAsia="Arial" w:hAnsi="Times New Roman"/>
                                          <w:b/>
                                          <w:color w:val="000000" w:themeColor="text1"/>
                                          <w:position w:val="-1"/>
                                          <w:sz w:val="52"/>
                                          <w:szCs w:val="34"/>
                                        </w:rPr>
                                        <w:t xml:space="preserve">Policy and Strategic Direction Thematic Report </w:t>
                                      </w:r>
                                    </w:p>
                                  </w:txbxContent>
                                </wps:txbx>
                                <wps:bodyPr rot="0" vert="horz" wrap="square" lIns="91440" tIns="45720" rIns="91440" bIns="45720" anchor="t" anchorCtr="0" upright="1">
                                  <a:noAutofit/>
                                </wps:bodyPr>
                              </wps:wsp>
                              <wps:wsp>
                                <wps:cNvPr id="123" name="Text Box 215"/>
                                <wps:cNvSpPr txBox="1">
                                  <a:spLocks noChangeArrowheads="1"/>
                                </wps:cNvSpPr>
                                <wps:spPr bwMode="auto">
                                  <a:xfrm>
                                    <a:off x="1004" y="5876"/>
                                    <a:ext cx="5850" cy="2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5BCB" w14:textId="77777777" w:rsidR="0096340A" w:rsidRPr="00D92AE0" w:rsidRDefault="0096340A" w:rsidP="00D92AE0">
                                      <w:pPr>
                                        <w:jc w:val="center"/>
                                        <w:rPr>
                                          <w:rFonts w:ascii="Times New Roman" w:eastAsia="Times New Roman" w:hAnsi="Times New Roman"/>
                                          <w:color w:val="000000" w:themeColor="text1"/>
                                          <w:spacing w:val="-9"/>
                                          <w:sz w:val="52"/>
                                          <w:szCs w:val="52"/>
                                        </w:rPr>
                                      </w:pPr>
                                      <w:r w:rsidRPr="00D92AE0">
                                        <w:rPr>
                                          <w:rFonts w:ascii="Times New Roman" w:eastAsia="Times New Roman" w:hAnsi="Times New Roman"/>
                                          <w:color w:val="000000" w:themeColor="text1"/>
                                          <w:spacing w:val="-9"/>
                                          <w:sz w:val="52"/>
                                          <w:szCs w:val="52"/>
                                        </w:rPr>
                                        <w:t xml:space="preserve">Mid-Term Review of the Second National Development Plan (NDPII) </w:t>
                                      </w:r>
                                    </w:p>
                                    <w:p w14:paraId="222AB1C8" w14:textId="09D42DDA" w:rsidR="0096340A" w:rsidRPr="00FC3BD2" w:rsidRDefault="0096340A" w:rsidP="00D92AE0">
                                      <w:pPr>
                                        <w:jc w:val="center"/>
                                        <w:rPr>
                                          <w:sz w:val="28"/>
                                        </w:rPr>
                                      </w:pPr>
                                      <w:r w:rsidRPr="00D92AE0">
                                        <w:rPr>
                                          <w:rFonts w:ascii="Times New Roman" w:eastAsia="Times New Roman" w:hAnsi="Times New Roman"/>
                                          <w:color w:val="000000" w:themeColor="text1"/>
                                          <w:spacing w:val="-9"/>
                                          <w:sz w:val="52"/>
                                          <w:szCs w:val="52"/>
                                        </w:rPr>
                                        <w:t>2015/16-2019/20</w:t>
                                      </w:r>
                                    </w:p>
                                  </w:txbxContent>
                                </wps:txbx>
                                <wps:bodyPr rot="0" vert="horz" wrap="square" lIns="91440" tIns="45720" rIns="91440" bIns="45720" anchor="t" anchorCtr="0" upright="1">
                                  <a:noAutofit/>
                                </wps:bodyPr>
                              </wps:wsp>
                            </wpg:grpSp>
                            <wps:wsp>
                              <wps:cNvPr id="124" name="Text Box 216"/>
                              <wps:cNvSpPr txBox="1">
                                <a:spLocks noChangeArrowheads="1"/>
                              </wps:cNvSpPr>
                              <wps:spPr bwMode="auto">
                                <a:xfrm>
                                  <a:off x="1304" y="11765"/>
                                  <a:ext cx="4538" cy="6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8E7C0D" w14:textId="1655441A" w:rsidR="0096340A" w:rsidRPr="00D224E0" w:rsidRDefault="00C91329" w:rsidP="003F6E47">
                                    <w:pPr>
                                      <w:spacing w:before="59" w:after="0"/>
                                      <w:ind w:left="142" w:right="-20"/>
                                      <w:jc w:val="center"/>
                                      <w:rPr>
                                        <w:sz w:val="2"/>
                                      </w:rPr>
                                    </w:pPr>
                                    <w:r>
                                      <w:rPr>
                                        <w:rFonts w:ascii="Times New Roman" w:eastAsia="Arial" w:hAnsi="Times New Roman"/>
                                        <w:color w:val="000000" w:themeColor="text1"/>
                                        <w:position w:val="-1"/>
                                        <w:sz w:val="28"/>
                                        <w:szCs w:val="34"/>
                                      </w:rPr>
                                      <w:t>March</w:t>
                                    </w:r>
                                    <w:r w:rsidRPr="00D224E0">
                                      <w:rPr>
                                        <w:rFonts w:ascii="Times New Roman" w:eastAsia="Arial" w:hAnsi="Times New Roman"/>
                                        <w:color w:val="000000" w:themeColor="text1"/>
                                        <w:position w:val="-1"/>
                                        <w:sz w:val="28"/>
                                        <w:szCs w:val="34"/>
                                      </w:rPr>
                                      <w:t xml:space="preserve"> </w:t>
                                    </w:r>
                                    <w:r w:rsidR="0096340A" w:rsidRPr="00D224E0">
                                      <w:rPr>
                                        <w:rFonts w:ascii="Times New Roman" w:eastAsia="Arial" w:hAnsi="Times New Roman"/>
                                        <w:color w:val="000000" w:themeColor="text1"/>
                                        <w:position w:val="-1"/>
                                        <w:sz w:val="28"/>
                                        <w:szCs w:val="34"/>
                                      </w:rPr>
                                      <w:t>2019</w:t>
                                    </w:r>
                                  </w:p>
                                </w:txbxContent>
                              </wps:txbx>
                              <wps:bodyPr rot="0" vert="horz" wrap="square" lIns="91440" tIns="45720" rIns="91440" bIns="45720" anchor="t" anchorCtr="0" upright="1">
                                <a:noAutofit/>
                              </wps:bodyPr>
                            </wps:wsp>
                            <wpg:grpSp>
                              <wpg:cNvPr id="125" name="Group 233"/>
                              <wpg:cNvGrpSpPr>
                                <a:grpSpLocks/>
                              </wpg:cNvGrpSpPr>
                              <wpg:grpSpPr bwMode="auto">
                                <a:xfrm>
                                  <a:off x="7173" y="10630"/>
                                  <a:ext cx="4703" cy="3710"/>
                                  <a:chOff x="7173" y="10630"/>
                                  <a:chExt cx="4703" cy="3710"/>
                                </a:xfrm>
                              </wpg:grpSpPr>
                              <wpg:grpSp>
                                <wpg:cNvPr id="126" name="Group 232"/>
                                <wpg:cNvGrpSpPr>
                                  <a:grpSpLocks/>
                                </wpg:cNvGrpSpPr>
                                <wpg:grpSpPr bwMode="auto">
                                  <a:xfrm>
                                    <a:off x="7248" y="12385"/>
                                    <a:ext cx="4628" cy="1344"/>
                                    <a:chOff x="7248" y="12385"/>
                                    <a:chExt cx="4628" cy="1344"/>
                                  </a:xfrm>
                                </wpg:grpSpPr>
                                <wps:wsp>
                                  <wps:cNvPr id="127" name="Text Box 223"/>
                                  <wps:cNvSpPr txBox="1">
                                    <a:spLocks noChangeArrowheads="1"/>
                                  </wps:cNvSpPr>
                                  <wps:spPr bwMode="auto">
                                    <a:xfrm>
                                      <a:off x="7248" y="12715"/>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6FDDEE"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wps:txbx>
                                  <wps:bodyPr rot="0" vert="horz" wrap="square" lIns="91440" tIns="45720" rIns="91440" bIns="45720" anchor="t" anchorCtr="0" upright="1">
                                    <a:noAutofit/>
                                  </wps:bodyPr>
                                </wps:wsp>
                                <wps:wsp>
                                  <wps:cNvPr id="128" name="Text Box 224"/>
                                  <wps:cNvSpPr txBox="1">
                                    <a:spLocks noChangeArrowheads="1"/>
                                  </wps:cNvSpPr>
                                  <wps:spPr bwMode="auto">
                                    <a:xfrm>
                                      <a:off x="9731" y="12385"/>
                                      <a:ext cx="2145" cy="1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D9454" w14:textId="77777777" w:rsidR="0096340A" w:rsidRDefault="0096340A" w:rsidP="003F6E47">
                                        <w:pPr>
                                          <w:spacing w:before="59" w:after="0"/>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0E38C829" wp14:editId="33638937">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0D80401F"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g:grpSp>
                                <wpg:cNvPr id="129" name="Group 231"/>
                                <wpg:cNvGrpSpPr>
                                  <a:grpSpLocks/>
                                </wpg:cNvGrpSpPr>
                                <wpg:grpSpPr bwMode="auto">
                                  <a:xfrm>
                                    <a:off x="7233" y="10630"/>
                                    <a:ext cx="4283" cy="1554"/>
                                    <a:chOff x="7233" y="10630"/>
                                    <a:chExt cx="4283" cy="1554"/>
                                  </a:xfrm>
                                </wpg:grpSpPr>
                                <wps:wsp>
                                  <wps:cNvPr id="130" name="Text Box 218"/>
                                  <wps:cNvSpPr txBox="1">
                                    <a:spLocks noChangeArrowheads="1"/>
                                  </wps:cNvSpPr>
                                  <wps:spPr bwMode="auto">
                                    <a:xfrm>
                                      <a:off x="7233" y="11080"/>
                                      <a:ext cx="2618" cy="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3BEED" w14:textId="77777777" w:rsidR="0096340A" w:rsidRPr="00027FB2" w:rsidRDefault="0096340A" w:rsidP="003F6E47">
                                        <w:pPr>
                                          <w:spacing w:before="59" w:after="0"/>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1B104991"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s:wsp>
                                  <wps:cNvPr id="131" name="Text Box 219"/>
                                  <wps:cNvSpPr txBox="1">
                                    <a:spLocks noChangeArrowheads="1"/>
                                  </wps:cNvSpPr>
                                  <wps:spPr bwMode="auto">
                                    <a:xfrm>
                                      <a:off x="9716" y="10630"/>
                                      <a:ext cx="1800" cy="1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9ACC" w14:textId="77777777" w:rsidR="0096340A" w:rsidRDefault="0096340A" w:rsidP="003F6E47">
                                        <w:pPr>
                                          <w:spacing w:before="59" w:after="0"/>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4570BB20" wp14:editId="10C79451">
                                              <wp:extent cx="885257" cy="857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417467EA"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wps:txbx>
                                  <wps:bodyPr rot="0" vert="horz" wrap="square" lIns="91440" tIns="45720" rIns="91440" bIns="45720" anchor="t" anchorCtr="0" upright="1">
                                    <a:noAutofit/>
                                  </wps:bodyPr>
                                </wps:wsp>
                              </wpg:grpSp>
                              <wps:wsp>
                                <wps:cNvPr id="132" name="Text Box 225"/>
                                <wps:cNvSpPr txBox="1">
                                  <a:spLocks noChangeArrowheads="1"/>
                                </wps:cNvSpPr>
                                <wps:spPr bwMode="auto">
                                  <a:xfrm>
                                    <a:off x="7173" y="13720"/>
                                    <a:ext cx="4602"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1AB29"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wps:txbx>
                                <wps:bodyPr rot="0" vert="horz" wrap="square" lIns="91440" tIns="45720" rIns="91440" bIns="45720" anchor="t" anchorCtr="0" upright="1">
                                  <a:noAutofit/>
                                </wps:bodyPr>
                              </wps:wsp>
                            </wpg:grpSp>
                            <wps:wsp>
                              <wps:cNvPr id="133" name="AutoShape 226"/>
                              <wps:cNvCnPr>
                                <a:cxnSpLocks noChangeShapeType="1"/>
                              </wps:cNvCnPr>
                              <wps:spPr bwMode="auto">
                                <a:xfrm flipV="1">
                                  <a:off x="7173" y="9691"/>
                                  <a:ext cx="5053" cy="14"/>
                                </a:xfrm>
                                <a:prstGeom prst="straightConnector1">
                                  <a:avLst/>
                                </a:prstGeom>
                                <a:noFill/>
                                <a:ln w="57150" cmpd="sng">
                                  <a:solidFill>
                                    <a:srgbClr val="0070C0"/>
                                  </a:solidFill>
                                  <a:round/>
                                  <a:headEnd type="none" w="med" len="med"/>
                                  <a:tailEnd type="none"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51EB61E" id="Group 235" o:spid="_x0000_s1026" style="position:absolute;left:0;text-align:left;margin-left:-39pt;margin-top:-72.75pt;width:561.1pt;height:841.9pt;z-index:251743232" coordorigin="1004,-390" coordsize="11222,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">
                    <v:shape id="Freeform 154" o:spid="_x0000_s1027" style="position:absolute;left:7188;top:-390;width:5038;height:16838;visibility:visible;mso-wrap-style:square;v-text-anchor:top" coordsize="4701,16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" path="m,16838r4701,l4701,,,,,16838e" fillcolor="#ffe599 [1303]" stroked="f">
                      <v:path arrowok="t" o:connecttype="custom" o:connectlocs="0,16838;5038,16838;5038,0;0,0;0,16838" o:connectangles="0,0,0,0,0"/>
                    </v:shape>
                    <v:group id="Group 227" o:spid="_x0000_s1028" style="position:absolute;left:1349;top:815;width:9828;height:1710" coordorigin="1349,815" coordsize="9828,1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">
                      <v:shapetype id="_x0000_t202" coordsize="21600,21600" o:spt="202" path="m,l,21600r21600,l21600,xe">
                        <v:stroke joinstyle="miter"/>
                        <v:path gradientshapeok="t" o:connecttype="rect"/>
                      </v:shapetype>
                      <v:shape id="Text Box 161" o:spid="_x0000_s1029" type="#_x0000_t202" style="position:absolute;left:8849;top:860;width:2328;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" filled="f" stroked="f" strokecolor="white [3212]">
                        <v:textbox>
                          <w:txbxContent>
                            <w:p w14:paraId="15B1F676" w14:textId="77777777" w:rsidR="0096340A" w:rsidRDefault="0096340A">
                              <w:r w:rsidRPr="00D31687">
                                <w:rPr>
                                  <w:rFonts w:ascii="Arial Unicode MS" w:eastAsia="Arial Unicode MS" w:hAnsi="Arial Unicode MS" w:cs="Arial Unicode MS"/>
                                  <w:noProof/>
                                  <w:sz w:val="32"/>
                                  <w:lang w:eastAsia="en-GB"/>
                                </w:rPr>
                                <w:drawing>
                                  <wp:inline distT="0" distB="0" distL="0" distR="0" wp14:anchorId="70353D0A" wp14:editId="45739906">
                                    <wp:extent cx="1304925" cy="87630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304925" cy="876300"/>
                                            </a:xfrm>
                                            <a:prstGeom prst="rect">
                                              <a:avLst/>
                                            </a:prstGeom>
                                            <a:noFill/>
                                            <a:ln>
                                              <a:noFill/>
                                            </a:ln>
                                          </pic:spPr>
                                        </pic:pic>
                                      </a:graphicData>
                                    </a:graphic>
                                  </wp:inline>
                                </w:drawing>
                              </w:r>
                            </w:p>
                          </w:txbxContent>
                        </v:textbox>
                      </v:shape>
                      <v:shape id="Text Box 162" o:spid="_x0000_s1030" type="#_x0000_t202" style="position:absolute;left:1349;top:815;width:1881;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" filled="f" stroked="f" strokecolor="black [3213]">
                        <v:textbox>
                          <w:txbxContent>
                            <w:p w14:paraId="7EC266B3" w14:textId="77777777" w:rsidR="0096340A" w:rsidRDefault="0096340A" w:rsidP="003F6E47">
                              <w:r w:rsidRPr="00D31687">
                                <w:rPr>
                                  <w:rFonts w:ascii="Arial Unicode MS" w:eastAsia="Arial Unicode MS" w:hAnsi="Arial Unicode MS" w:cs="Arial Unicode MS"/>
                                  <w:noProof/>
                                  <w:sz w:val="32"/>
                                  <w:lang w:eastAsia="en-GB"/>
                                </w:rPr>
                                <w:drawing>
                                  <wp:inline distT="0" distB="0" distL="0" distR="0" wp14:anchorId="05D29D26" wp14:editId="7BE37C4B">
                                    <wp:extent cx="1038225" cy="1038225"/>
                                    <wp:effectExtent l="0" t="0" r="9525" b="9525"/>
                                    <wp:docPr id="45" name="Picture 45" descr="C:\Users\smdhizaala\Documents\Server\desk\Flash, April 2010\NP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mdhizaala\Documents\Server\desk\Flash, April 2010\NPA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inline>
                                </w:drawing>
                              </w:r>
                            </w:p>
                          </w:txbxContent>
                        </v:textbox>
                      </v:shape>
                    </v:group>
                    <v:group id="Group 234" o:spid="_x0000_s1031" style="position:absolute;left:1004;top:5876;width:11222;height:8464" coordorigin="1004,5876" coordsize="11222,8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oup 229" o:spid="_x0000_s1032" style="position:absolute;left:1004;top:5876;width:11222;height:2844" coordorigin="1004,5876" coordsize="11222,28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Text Box 163" o:spid="_x0000_s1033" type="#_x0000_t202" style="position:absolute;left:7188;top:6270;width:5038;height:2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" stroked="f">
                          <v:textbox>
                            <w:txbxContent>
                              <w:p w14:paraId="612430A3" w14:textId="3D62E76E" w:rsidR="0096340A" w:rsidRPr="00D92AE0" w:rsidRDefault="0096340A" w:rsidP="003F6E47">
                                <w:pPr>
                                  <w:spacing w:before="59" w:after="0"/>
                                  <w:ind w:left="142" w:right="-20"/>
                                  <w:jc w:val="center"/>
                                  <w:rPr>
                                    <w:b/>
                                  </w:rPr>
                                </w:pPr>
                                <w:r w:rsidRPr="00D92AE0">
                                  <w:rPr>
                                    <w:rFonts w:ascii="Times New Roman" w:eastAsia="Arial" w:hAnsi="Times New Roman"/>
                                    <w:b/>
                                    <w:color w:val="000000" w:themeColor="text1"/>
                                    <w:position w:val="-1"/>
                                    <w:sz w:val="52"/>
                                    <w:szCs w:val="34"/>
                                  </w:rPr>
                                  <w:t xml:space="preserve">Policy and Strategic Direction Thematic Report </w:t>
                                </w:r>
                              </w:p>
                            </w:txbxContent>
                          </v:textbox>
                        </v:shape>
                        <v:shape id="Text Box 215" o:spid="_x0000_s1034" type="#_x0000_t202" style="position:absolute;left:1004;top:5876;width:5850;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" filled="f" stroked="f">
                          <v:textbox>
                            <w:txbxContent>
                              <w:p w14:paraId="08BE5BCB" w14:textId="77777777" w:rsidR="0096340A" w:rsidRPr="00D92AE0" w:rsidRDefault="0096340A" w:rsidP="00D92AE0">
                                <w:pPr>
                                  <w:jc w:val="center"/>
                                  <w:rPr>
                                    <w:rFonts w:ascii="Times New Roman" w:eastAsia="Times New Roman" w:hAnsi="Times New Roman"/>
                                    <w:color w:val="000000" w:themeColor="text1"/>
                                    <w:spacing w:val="-9"/>
                                    <w:sz w:val="52"/>
                                    <w:szCs w:val="52"/>
                                  </w:rPr>
                                </w:pPr>
                                <w:r w:rsidRPr="00D92AE0">
                                  <w:rPr>
                                    <w:rFonts w:ascii="Times New Roman" w:eastAsia="Times New Roman" w:hAnsi="Times New Roman"/>
                                    <w:color w:val="000000" w:themeColor="text1"/>
                                    <w:spacing w:val="-9"/>
                                    <w:sz w:val="52"/>
                                    <w:szCs w:val="52"/>
                                  </w:rPr>
                                  <w:t xml:space="preserve">Mid-Term Review of the Second National Development Plan (NDPII) </w:t>
                                </w:r>
                              </w:p>
                              <w:p w14:paraId="222AB1C8" w14:textId="09D42DDA" w:rsidR="0096340A" w:rsidRPr="00FC3BD2" w:rsidRDefault="0096340A" w:rsidP="00D92AE0">
                                <w:pPr>
                                  <w:jc w:val="center"/>
                                  <w:rPr>
                                    <w:sz w:val="28"/>
                                  </w:rPr>
                                </w:pPr>
                                <w:r w:rsidRPr="00D92AE0">
                                  <w:rPr>
                                    <w:rFonts w:ascii="Times New Roman" w:eastAsia="Times New Roman" w:hAnsi="Times New Roman"/>
                                    <w:color w:val="000000" w:themeColor="text1"/>
                                    <w:spacing w:val="-9"/>
                                    <w:sz w:val="52"/>
                                    <w:szCs w:val="52"/>
                                  </w:rPr>
                                  <w:t>2015/16-2019/20</w:t>
                                </w:r>
                              </w:p>
                            </w:txbxContent>
                          </v:textbox>
                        </v:shape>
                      </v:group>
                      <v:shape id="Text Box 216" o:spid="_x0000_s1035" type="#_x0000_t202" style="position:absolute;left:1304;top:11765;width:4538;height:6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" stroked="f">
                        <v:textbox>
                          <w:txbxContent>
                            <w:p w14:paraId="368E7C0D" w14:textId="1655441A" w:rsidR="0096340A" w:rsidRPr="00D224E0" w:rsidRDefault="00C91329" w:rsidP="003F6E47">
                              <w:pPr>
                                <w:spacing w:before="59" w:after="0"/>
                                <w:ind w:left="142" w:right="-20"/>
                                <w:jc w:val="center"/>
                                <w:rPr>
                                  <w:sz w:val="2"/>
                                </w:rPr>
                              </w:pPr>
                              <w:r>
                                <w:rPr>
                                  <w:rFonts w:ascii="Times New Roman" w:eastAsia="Arial" w:hAnsi="Times New Roman"/>
                                  <w:color w:val="000000" w:themeColor="text1"/>
                                  <w:position w:val="-1"/>
                                  <w:sz w:val="28"/>
                                  <w:szCs w:val="34"/>
                                </w:rPr>
                                <w:t>March</w:t>
                              </w:r>
                              <w:r w:rsidRPr="00D224E0">
                                <w:rPr>
                                  <w:rFonts w:ascii="Times New Roman" w:eastAsia="Arial" w:hAnsi="Times New Roman"/>
                                  <w:color w:val="000000" w:themeColor="text1"/>
                                  <w:position w:val="-1"/>
                                  <w:sz w:val="28"/>
                                  <w:szCs w:val="34"/>
                                </w:rPr>
                                <w:t xml:space="preserve"> </w:t>
                              </w:r>
                              <w:r w:rsidR="0096340A" w:rsidRPr="00D224E0">
                                <w:rPr>
                                  <w:rFonts w:ascii="Times New Roman" w:eastAsia="Arial" w:hAnsi="Times New Roman"/>
                                  <w:color w:val="000000" w:themeColor="text1"/>
                                  <w:position w:val="-1"/>
                                  <w:sz w:val="28"/>
                                  <w:szCs w:val="34"/>
                                </w:rPr>
                                <w:t>2019</w:t>
                              </w:r>
                            </w:p>
                          </w:txbxContent>
                        </v:textbox>
                      </v:shape>
                      <v:group id="Group 233" o:spid="_x0000_s1036" style="position:absolute;left:7173;top:10630;width:4703;height:3710" coordorigin="7173,10630" coordsize="4703,3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group id="Group 232" o:spid="_x0000_s1037" style="position:absolute;left:7248;top:12385;width:4628;height:1344" coordorigin="7248,12385" coordsize="4628,1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Text Box 223" o:spid="_x0000_s1038" type="#_x0000_t202" style="position:absolute;left:7248;top:12715;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" filled="f" stroked="f">
                            <v:textbox>
                              <w:txbxContent>
                                <w:p w14:paraId="2A6FDDEE"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r w:rsidRPr="00027FB2">
                                    <w:rPr>
                                      <w:rFonts w:ascii="Times New Roman" w:eastAsia="Arial" w:hAnsi="Times New Roman"/>
                                      <w:color w:val="000000" w:themeColor="text1"/>
                                      <w:position w:val="-1"/>
                                      <w:sz w:val="28"/>
                                      <w:szCs w:val="34"/>
                                    </w:rPr>
                                    <w:t>In Association with</w:t>
                                  </w:r>
                                </w:p>
                              </w:txbxContent>
                            </v:textbox>
                          </v:shape>
                          <v:shape id="Text Box 224" o:spid="_x0000_s1039" type="#_x0000_t202" style="position:absolute;left:9731;top:12385;width:2145;height:1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" filled="f" stroked="f">
                            <v:textbox>
                              <w:txbxContent>
                                <w:p w14:paraId="778D9454" w14:textId="77777777" w:rsidR="0096340A" w:rsidRDefault="0096340A" w:rsidP="003F6E47">
                                  <w:pPr>
                                    <w:spacing w:before="59" w:after="0"/>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0E38C829" wp14:editId="33638937">
                                        <wp:extent cx="960120" cy="695412"/>
                                        <wp:effectExtent l="0" t="0" r="0" b="0"/>
                                        <wp:docPr id="3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bwMode="auto">
                                                <a:xfrm>
                                                  <a:off x="0" y="0"/>
                                                  <a:ext cx="960120" cy="695412"/>
                                                </a:xfrm>
                                                <a:prstGeom prst="rect">
                                                  <a:avLst/>
                                                </a:prstGeom>
                                                <a:noFill/>
                                                <a:ln w="9525">
                                                  <a:noFill/>
                                                  <a:miter lim="800000"/>
                                                  <a:headEnd/>
                                                  <a:tailEnd/>
                                                </a:ln>
                                              </pic:spPr>
                                            </pic:pic>
                                          </a:graphicData>
                                        </a:graphic>
                                      </wp:inline>
                                    </w:drawing>
                                  </w:r>
                                </w:p>
                                <w:p w14:paraId="0D80401F"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v:textbox>
                          </v:shape>
                        </v:group>
                        <v:group id="Group 231" o:spid="_x0000_s1040" style="position:absolute;left:7233;top:10630;width:4283;height:1554" coordorigin="7233,10630" coordsize="4283,1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Text Box 218" o:spid="_x0000_s1041" type="#_x0000_t202" style="position:absolute;left:7233;top:11080;width:2618;height: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NVd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" filled="f" stroked="f">
                            <v:textbox>
                              <w:txbxContent>
                                <w:p w14:paraId="0C93BEED" w14:textId="77777777" w:rsidR="0096340A" w:rsidRPr="00027FB2" w:rsidRDefault="0096340A" w:rsidP="003F6E47">
                                  <w:pPr>
                                    <w:spacing w:before="59" w:after="0"/>
                                    <w:ind w:left="142" w:right="-20"/>
                                    <w:rPr>
                                      <w:rFonts w:ascii="Times New Roman" w:eastAsia="Arial" w:hAnsi="Times New Roman"/>
                                      <w:color w:val="000000" w:themeColor="text1"/>
                                      <w:position w:val="-1"/>
                                      <w:sz w:val="28"/>
                                      <w:szCs w:val="34"/>
                                    </w:rPr>
                                  </w:pPr>
                                  <w:r w:rsidRPr="00027FB2">
                                    <w:rPr>
                                      <w:rFonts w:ascii="Times New Roman" w:eastAsia="Arial" w:hAnsi="Times New Roman"/>
                                      <w:color w:val="000000" w:themeColor="text1"/>
                                      <w:position w:val="-1"/>
                                      <w:sz w:val="28"/>
                                      <w:szCs w:val="34"/>
                                    </w:rPr>
                                    <w:t>Prepared by</w:t>
                                  </w:r>
                                </w:p>
                                <w:p w14:paraId="1B104991"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v:textbox>
                          </v:shape>
                          <v:shape id="Text Box 219" o:spid="_x0000_s1042" type="#_x0000_t202" style="position:absolute;left:9716;top:10630;width:1800;height:1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" filled="f" stroked="f">
                            <v:textbox>
                              <w:txbxContent>
                                <w:p w14:paraId="4EB99ACC" w14:textId="77777777" w:rsidR="0096340A" w:rsidRDefault="0096340A" w:rsidP="003F6E47">
                                  <w:pPr>
                                    <w:spacing w:before="59" w:after="0"/>
                                    <w:ind w:left="142" w:right="-20"/>
                                    <w:rPr>
                                      <w:rFonts w:ascii="Times New Roman" w:eastAsia="Arial" w:hAnsi="Times New Roman"/>
                                      <w:color w:val="000000" w:themeColor="text1"/>
                                      <w:position w:val="-1"/>
                                      <w:sz w:val="36"/>
                                      <w:szCs w:val="34"/>
                                    </w:rPr>
                                  </w:pPr>
                                  <w:r w:rsidRPr="008A105A">
                                    <w:rPr>
                                      <w:noProof/>
                                      <w:lang w:eastAsia="en-GB"/>
                                    </w:rPr>
                                    <w:drawing>
                                      <wp:inline distT="0" distB="0" distL="0" distR="0" wp14:anchorId="4570BB20" wp14:editId="10C79451">
                                        <wp:extent cx="885257" cy="8572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bwMode="auto">
                                                <a:xfrm>
                                                  <a:off x="0" y="0"/>
                                                  <a:ext cx="898979" cy="870538"/>
                                                </a:xfrm>
                                                <a:prstGeom prst="rect">
                                                  <a:avLst/>
                                                </a:prstGeom>
                                                <a:noFill/>
                                                <a:ln w="9525">
                                                  <a:noFill/>
                                                  <a:miter lim="800000"/>
                                                  <a:headEnd/>
                                                  <a:tailEnd/>
                                                </a:ln>
                                              </pic:spPr>
                                            </pic:pic>
                                          </a:graphicData>
                                        </a:graphic>
                                      </wp:inline>
                                    </w:drawing>
                                  </w:r>
                                </w:p>
                                <w:p w14:paraId="417467EA"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p>
                              </w:txbxContent>
                            </v:textbox>
                          </v:shape>
                        </v:group>
                        <v:shape id="Text Box 225" o:spid="_x0000_s1043" type="#_x0000_t202" style="position:absolute;left:7173;top:13720;width:4602;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" filled="f" stroked="f">
                          <v:textbox>
                            <w:txbxContent>
                              <w:p w14:paraId="5391AB29" w14:textId="77777777" w:rsidR="0096340A" w:rsidRPr="00D51DFF" w:rsidRDefault="0096340A" w:rsidP="003F6E47">
                                <w:pPr>
                                  <w:spacing w:before="59" w:after="0"/>
                                  <w:ind w:left="142" w:right="-20"/>
                                  <w:jc w:val="center"/>
                                  <w:rPr>
                                    <w:rFonts w:ascii="Times New Roman" w:eastAsia="Arial" w:hAnsi="Times New Roman"/>
                                    <w:color w:val="000000" w:themeColor="text1"/>
                                    <w:position w:val="-1"/>
                                    <w:sz w:val="36"/>
                                    <w:szCs w:val="34"/>
                                  </w:rPr>
                                </w:pPr>
                                <w:r>
                                  <w:rPr>
                                    <w:rFonts w:ascii="Times New Roman" w:eastAsia="Arial" w:hAnsi="Times New Roman"/>
                                    <w:color w:val="000000" w:themeColor="text1"/>
                                    <w:position w:val="-1"/>
                                    <w:sz w:val="28"/>
                                    <w:szCs w:val="34"/>
                                  </w:rPr>
                                  <w:t xml:space="preserve">For </w:t>
                                </w:r>
                                <w:r w:rsidRPr="00027FB2">
                                  <w:rPr>
                                    <w:rFonts w:ascii="Times New Roman" w:eastAsia="Arial" w:hAnsi="Times New Roman"/>
                                    <w:color w:val="000000" w:themeColor="text1"/>
                                    <w:position w:val="-1"/>
                                    <w:sz w:val="28"/>
                                    <w:szCs w:val="34"/>
                                  </w:rPr>
                                  <w:t>the National Planning Authority</w:t>
                                </w:r>
                              </w:p>
                            </w:txbxContent>
                          </v:textbox>
                        </v:shape>
                      </v:group>
                      <v:shapetype id="_x0000_t32" coordsize="21600,21600" o:spt="32" o:oned="t" path="m,l21600,21600e" filled="f">
                        <v:path arrowok="t" fillok="f" o:connecttype="none"/>
                        <o:lock v:ext="edit" shapetype="t"/>
                      </v:shapetype>
                      <v:shape id="AutoShape 226" o:spid="_x0000_s1044" type="#_x0000_t32" style="position:absolute;left:7173;top:9691;width:5053;height: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" strokecolor="#0070c0" strokeweight="4.5pt"/>
                    </v:group>
                  </v:group>
                </w:pict>
              </mc:Fallback>
            </mc:AlternateContent>
          </w:r>
          <w:r w:rsidR="00D92AE0" w:rsidRPr="00F10F3B">
            <w:rPr>
              <w:rFonts w:ascii="Times New Roman" w:hAnsi="Times New Roman" w:cs="Times New Roman"/>
            </w:rPr>
            <w:br w:type="page"/>
          </w:r>
        </w:p>
      </w:sdtContent>
    </w:sdt>
    <w:p w14:paraId="4FBA6F6A" w14:textId="569FD5BE" w:rsidR="00FD6444" w:rsidRPr="005A6015" w:rsidRDefault="00FD6444" w:rsidP="00B86D0C">
      <w:pPr>
        <w:pStyle w:val="TOCHeading"/>
        <w:rPr>
          <w:b/>
          <w:color w:val="000000" w:themeColor="text1"/>
          <w:sz w:val="28"/>
        </w:rPr>
      </w:pPr>
      <w:r w:rsidRPr="005A6015">
        <w:rPr>
          <w:b/>
          <w:color w:val="000000" w:themeColor="text1"/>
          <w:sz w:val="28"/>
        </w:rPr>
        <w:lastRenderedPageBreak/>
        <w:t>Table of Contents</w:t>
      </w:r>
    </w:p>
    <w:p w14:paraId="74A15F1C" w14:textId="756FC244" w:rsidR="005A6015" w:rsidRDefault="00FD6444">
      <w:pPr>
        <w:pStyle w:val="TOC1"/>
        <w:tabs>
          <w:tab w:val="right" w:leader="dot" w:pos="9016"/>
        </w:tabs>
        <w:rPr>
          <w:rFonts w:asciiTheme="minorHAnsi" w:eastAsiaTheme="minorEastAsia" w:hAnsiTheme="minorHAnsi" w:cstheme="minorBidi"/>
          <w:b w:val="0"/>
          <w:bCs w:val="0"/>
          <w:noProof/>
          <w:sz w:val="22"/>
          <w:szCs w:val="22"/>
          <w:lang w:eastAsia="en-GB"/>
        </w:rPr>
      </w:pPr>
      <w:r>
        <w:rPr>
          <w:rFonts w:asciiTheme="minorHAnsi" w:hAnsiTheme="minorHAnsi"/>
          <w:caps/>
          <w:sz w:val="20"/>
          <w:lang w:val="en-US"/>
        </w:rPr>
        <w:fldChar w:fldCharType="begin"/>
      </w:r>
      <w:r>
        <w:rPr>
          <w:lang w:val="en-US"/>
        </w:rPr>
        <w:instrText xml:space="preserve"> TOC \o "1-2" \h \z \u </w:instrText>
      </w:r>
      <w:r>
        <w:rPr>
          <w:rFonts w:asciiTheme="minorHAnsi" w:hAnsiTheme="minorHAnsi"/>
          <w:caps/>
          <w:sz w:val="20"/>
          <w:lang w:val="en-US"/>
        </w:rPr>
        <w:fldChar w:fldCharType="separate"/>
      </w:r>
      <w:hyperlink w:anchor="_Toc9269370" w:history="1">
        <w:r w:rsidR="005A6015" w:rsidRPr="00CC64D8">
          <w:rPr>
            <w:rStyle w:val="Hyperlink"/>
            <w:noProof/>
          </w:rPr>
          <w:t>List of Tables</w:t>
        </w:r>
        <w:r w:rsidR="005A6015">
          <w:rPr>
            <w:noProof/>
            <w:webHidden/>
          </w:rPr>
          <w:tab/>
        </w:r>
        <w:r w:rsidR="005A6015">
          <w:rPr>
            <w:noProof/>
            <w:webHidden/>
          </w:rPr>
          <w:fldChar w:fldCharType="begin"/>
        </w:r>
        <w:r w:rsidR="005A6015">
          <w:rPr>
            <w:noProof/>
            <w:webHidden/>
          </w:rPr>
          <w:instrText xml:space="preserve"> PAGEREF _Toc9269370 \h </w:instrText>
        </w:r>
        <w:r w:rsidR="005A6015">
          <w:rPr>
            <w:noProof/>
            <w:webHidden/>
          </w:rPr>
        </w:r>
        <w:r w:rsidR="005A6015">
          <w:rPr>
            <w:noProof/>
            <w:webHidden/>
          </w:rPr>
          <w:fldChar w:fldCharType="separate"/>
        </w:r>
        <w:r w:rsidR="00A057A7">
          <w:rPr>
            <w:noProof/>
            <w:webHidden/>
          </w:rPr>
          <w:t>ii</w:t>
        </w:r>
        <w:r w:rsidR="005A6015">
          <w:rPr>
            <w:noProof/>
            <w:webHidden/>
          </w:rPr>
          <w:fldChar w:fldCharType="end"/>
        </w:r>
      </w:hyperlink>
    </w:p>
    <w:p w14:paraId="6DCABD77" w14:textId="1CF0EBAB" w:rsidR="005A6015" w:rsidRDefault="006575DD">
      <w:pPr>
        <w:pStyle w:val="TOC1"/>
        <w:tabs>
          <w:tab w:val="right" w:leader="dot" w:pos="9016"/>
        </w:tabs>
        <w:rPr>
          <w:rFonts w:asciiTheme="minorHAnsi" w:eastAsiaTheme="minorEastAsia" w:hAnsiTheme="minorHAnsi" w:cstheme="minorBidi"/>
          <w:b w:val="0"/>
          <w:bCs w:val="0"/>
          <w:noProof/>
          <w:sz w:val="22"/>
          <w:szCs w:val="22"/>
          <w:lang w:eastAsia="en-GB"/>
        </w:rPr>
      </w:pPr>
      <w:hyperlink w:anchor="_Toc9269371" w:history="1">
        <w:r w:rsidR="005A6015" w:rsidRPr="00CC64D8">
          <w:rPr>
            <w:rStyle w:val="Hyperlink"/>
            <w:noProof/>
          </w:rPr>
          <w:t>List of Figures</w:t>
        </w:r>
        <w:r w:rsidR="005A6015">
          <w:rPr>
            <w:noProof/>
            <w:webHidden/>
          </w:rPr>
          <w:tab/>
        </w:r>
        <w:r w:rsidR="005A6015">
          <w:rPr>
            <w:noProof/>
            <w:webHidden/>
          </w:rPr>
          <w:fldChar w:fldCharType="begin"/>
        </w:r>
        <w:r w:rsidR="005A6015">
          <w:rPr>
            <w:noProof/>
            <w:webHidden/>
          </w:rPr>
          <w:instrText xml:space="preserve"> PAGEREF _Toc9269371 \h </w:instrText>
        </w:r>
        <w:r w:rsidR="005A6015">
          <w:rPr>
            <w:noProof/>
            <w:webHidden/>
          </w:rPr>
        </w:r>
        <w:r w:rsidR="005A6015">
          <w:rPr>
            <w:noProof/>
            <w:webHidden/>
          </w:rPr>
          <w:fldChar w:fldCharType="separate"/>
        </w:r>
        <w:r w:rsidR="00A057A7">
          <w:rPr>
            <w:noProof/>
            <w:webHidden/>
          </w:rPr>
          <w:t>iii</w:t>
        </w:r>
        <w:r w:rsidR="005A6015">
          <w:rPr>
            <w:noProof/>
            <w:webHidden/>
          </w:rPr>
          <w:fldChar w:fldCharType="end"/>
        </w:r>
      </w:hyperlink>
    </w:p>
    <w:p w14:paraId="15D367A8" w14:textId="18F190BE" w:rsidR="005A6015" w:rsidRDefault="006575DD">
      <w:pPr>
        <w:pStyle w:val="TOC1"/>
        <w:tabs>
          <w:tab w:val="right" w:leader="dot" w:pos="9016"/>
        </w:tabs>
        <w:rPr>
          <w:rFonts w:asciiTheme="minorHAnsi" w:eastAsiaTheme="minorEastAsia" w:hAnsiTheme="minorHAnsi" w:cstheme="minorBidi"/>
          <w:b w:val="0"/>
          <w:bCs w:val="0"/>
          <w:noProof/>
          <w:sz w:val="22"/>
          <w:szCs w:val="22"/>
          <w:lang w:eastAsia="en-GB"/>
        </w:rPr>
      </w:pPr>
      <w:hyperlink w:anchor="_Toc9269372" w:history="1">
        <w:r w:rsidR="005A6015" w:rsidRPr="00CC64D8">
          <w:rPr>
            <w:rStyle w:val="Hyperlink"/>
            <w:noProof/>
          </w:rPr>
          <w:t>Acronyms</w:t>
        </w:r>
        <w:r w:rsidR="005A6015">
          <w:rPr>
            <w:noProof/>
            <w:webHidden/>
          </w:rPr>
          <w:tab/>
        </w:r>
        <w:r w:rsidR="005A6015">
          <w:rPr>
            <w:noProof/>
            <w:webHidden/>
          </w:rPr>
          <w:fldChar w:fldCharType="begin"/>
        </w:r>
        <w:r w:rsidR="005A6015">
          <w:rPr>
            <w:noProof/>
            <w:webHidden/>
          </w:rPr>
          <w:instrText xml:space="preserve"> PAGEREF _Toc9269372 \h </w:instrText>
        </w:r>
        <w:r w:rsidR="005A6015">
          <w:rPr>
            <w:noProof/>
            <w:webHidden/>
          </w:rPr>
        </w:r>
        <w:r w:rsidR="005A6015">
          <w:rPr>
            <w:noProof/>
            <w:webHidden/>
          </w:rPr>
          <w:fldChar w:fldCharType="separate"/>
        </w:r>
        <w:r w:rsidR="00A057A7">
          <w:rPr>
            <w:noProof/>
            <w:webHidden/>
          </w:rPr>
          <w:t>iv</w:t>
        </w:r>
        <w:r w:rsidR="005A6015">
          <w:rPr>
            <w:noProof/>
            <w:webHidden/>
          </w:rPr>
          <w:fldChar w:fldCharType="end"/>
        </w:r>
      </w:hyperlink>
    </w:p>
    <w:p w14:paraId="6A3C6162" w14:textId="72D92932" w:rsidR="005A6015" w:rsidRDefault="006575DD">
      <w:pPr>
        <w:pStyle w:val="TOC1"/>
        <w:tabs>
          <w:tab w:val="right" w:leader="dot" w:pos="9016"/>
        </w:tabs>
        <w:rPr>
          <w:rFonts w:asciiTheme="minorHAnsi" w:eastAsiaTheme="minorEastAsia" w:hAnsiTheme="minorHAnsi" w:cstheme="minorBidi"/>
          <w:b w:val="0"/>
          <w:bCs w:val="0"/>
          <w:noProof/>
          <w:sz w:val="22"/>
          <w:szCs w:val="22"/>
          <w:lang w:eastAsia="en-GB"/>
        </w:rPr>
      </w:pPr>
      <w:hyperlink w:anchor="_Toc9269373" w:history="1">
        <w:r w:rsidR="005A6015" w:rsidRPr="00CC64D8">
          <w:rPr>
            <w:rStyle w:val="Hyperlink"/>
            <w:noProof/>
          </w:rPr>
          <w:t>Executive Summary</w:t>
        </w:r>
        <w:r w:rsidR="005A6015">
          <w:rPr>
            <w:noProof/>
            <w:webHidden/>
          </w:rPr>
          <w:tab/>
        </w:r>
        <w:r w:rsidR="005A6015">
          <w:rPr>
            <w:noProof/>
            <w:webHidden/>
          </w:rPr>
          <w:fldChar w:fldCharType="begin"/>
        </w:r>
        <w:r w:rsidR="005A6015">
          <w:rPr>
            <w:noProof/>
            <w:webHidden/>
          </w:rPr>
          <w:instrText xml:space="preserve"> PAGEREF _Toc9269373 \h </w:instrText>
        </w:r>
        <w:r w:rsidR="005A6015">
          <w:rPr>
            <w:noProof/>
            <w:webHidden/>
          </w:rPr>
        </w:r>
        <w:r w:rsidR="005A6015">
          <w:rPr>
            <w:noProof/>
            <w:webHidden/>
          </w:rPr>
          <w:fldChar w:fldCharType="separate"/>
        </w:r>
        <w:r w:rsidR="00A057A7">
          <w:rPr>
            <w:noProof/>
            <w:webHidden/>
          </w:rPr>
          <w:t>vi</w:t>
        </w:r>
        <w:r w:rsidR="005A6015">
          <w:rPr>
            <w:noProof/>
            <w:webHidden/>
          </w:rPr>
          <w:fldChar w:fldCharType="end"/>
        </w:r>
      </w:hyperlink>
    </w:p>
    <w:p w14:paraId="2970E623" w14:textId="1040DEC4" w:rsidR="005A6015" w:rsidRDefault="006575DD">
      <w:pPr>
        <w:pStyle w:val="TOC1"/>
        <w:tabs>
          <w:tab w:val="left" w:pos="660"/>
          <w:tab w:val="right" w:leader="dot" w:pos="9016"/>
        </w:tabs>
        <w:rPr>
          <w:rFonts w:asciiTheme="minorHAnsi" w:eastAsiaTheme="minorEastAsia" w:hAnsiTheme="minorHAnsi" w:cstheme="minorBidi"/>
          <w:b w:val="0"/>
          <w:bCs w:val="0"/>
          <w:noProof/>
          <w:sz w:val="22"/>
          <w:szCs w:val="22"/>
          <w:lang w:eastAsia="en-GB"/>
        </w:rPr>
      </w:pPr>
      <w:hyperlink w:anchor="_Toc9269374" w:history="1">
        <w:r w:rsidR="005A6015" w:rsidRPr="00CC64D8">
          <w:rPr>
            <w:rStyle w:val="Hyperlink"/>
            <w:noProof/>
          </w:rPr>
          <w:t>1.0</w:t>
        </w:r>
        <w:r w:rsidR="005A6015">
          <w:rPr>
            <w:rFonts w:asciiTheme="minorHAnsi" w:eastAsiaTheme="minorEastAsia" w:hAnsiTheme="minorHAnsi" w:cstheme="minorBidi"/>
            <w:b w:val="0"/>
            <w:bCs w:val="0"/>
            <w:noProof/>
            <w:sz w:val="22"/>
            <w:szCs w:val="22"/>
            <w:lang w:eastAsia="en-GB"/>
          </w:rPr>
          <w:tab/>
        </w:r>
        <w:r w:rsidR="005A6015" w:rsidRPr="00CC64D8">
          <w:rPr>
            <w:rStyle w:val="Hyperlink"/>
            <w:noProof/>
          </w:rPr>
          <w:t>Introduction</w:t>
        </w:r>
        <w:r w:rsidR="005A6015">
          <w:rPr>
            <w:noProof/>
            <w:webHidden/>
          </w:rPr>
          <w:tab/>
        </w:r>
        <w:r w:rsidR="005A6015">
          <w:rPr>
            <w:noProof/>
            <w:webHidden/>
          </w:rPr>
          <w:fldChar w:fldCharType="begin"/>
        </w:r>
        <w:r w:rsidR="005A6015">
          <w:rPr>
            <w:noProof/>
            <w:webHidden/>
          </w:rPr>
          <w:instrText xml:space="preserve"> PAGEREF _Toc9269374 \h </w:instrText>
        </w:r>
        <w:r w:rsidR="005A6015">
          <w:rPr>
            <w:noProof/>
            <w:webHidden/>
          </w:rPr>
        </w:r>
        <w:r w:rsidR="005A6015">
          <w:rPr>
            <w:noProof/>
            <w:webHidden/>
          </w:rPr>
          <w:fldChar w:fldCharType="separate"/>
        </w:r>
        <w:r w:rsidR="00A057A7">
          <w:rPr>
            <w:noProof/>
            <w:webHidden/>
          </w:rPr>
          <w:t>1</w:t>
        </w:r>
        <w:r w:rsidR="005A6015">
          <w:rPr>
            <w:noProof/>
            <w:webHidden/>
          </w:rPr>
          <w:fldChar w:fldCharType="end"/>
        </w:r>
      </w:hyperlink>
    </w:p>
    <w:p w14:paraId="6B399804" w14:textId="03EF3A5B"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75" w:history="1">
        <w:r w:rsidR="005A6015" w:rsidRPr="00CC64D8">
          <w:rPr>
            <w:rStyle w:val="Hyperlink"/>
            <w:rFonts w:cs="Times New Roman"/>
            <w:noProof/>
          </w:rPr>
          <w:t>1.1</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Methodology</w:t>
        </w:r>
        <w:r w:rsidR="005A6015">
          <w:rPr>
            <w:noProof/>
            <w:webHidden/>
          </w:rPr>
          <w:tab/>
        </w:r>
        <w:r w:rsidR="005A6015">
          <w:rPr>
            <w:noProof/>
            <w:webHidden/>
          </w:rPr>
          <w:fldChar w:fldCharType="begin"/>
        </w:r>
        <w:r w:rsidR="005A6015">
          <w:rPr>
            <w:noProof/>
            <w:webHidden/>
          </w:rPr>
          <w:instrText xml:space="preserve"> PAGEREF _Toc9269375 \h </w:instrText>
        </w:r>
        <w:r w:rsidR="005A6015">
          <w:rPr>
            <w:noProof/>
            <w:webHidden/>
          </w:rPr>
        </w:r>
        <w:r w:rsidR="005A6015">
          <w:rPr>
            <w:noProof/>
            <w:webHidden/>
          </w:rPr>
          <w:fldChar w:fldCharType="separate"/>
        </w:r>
        <w:r w:rsidR="00A057A7">
          <w:rPr>
            <w:noProof/>
            <w:webHidden/>
          </w:rPr>
          <w:t>1</w:t>
        </w:r>
        <w:r w:rsidR="005A6015">
          <w:rPr>
            <w:noProof/>
            <w:webHidden/>
          </w:rPr>
          <w:fldChar w:fldCharType="end"/>
        </w:r>
      </w:hyperlink>
    </w:p>
    <w:p w14:paraId="1B89C059" w14:textId="58E06D23"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76" w:history="1">
        <w:r w:rsidR="005A6015" w:rsidRPr="00CC64D8">
          <w:rPr>
            <w:rStyle w:val="Hyperlink"/>
            <w:rFonts w:cs="Times New Roman"/>
            <w:noProof/>
          </w:rPr>
          <w:t>1.2</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Background</w:t>
        </w:r>
        <w:r w:rsidR="005A6015">
          <w:rPr>
            <w:noProof/>
            <w:webHidden/>
          </w:rPr>
          <w:tab/>
        </w:r>
        <w:r w:rsidR="005A6015">
          <w:rPr>
            <w:noProof/>
            <w:webHidden/>
          </w:rPr>
          <w:fldChar w:fldCharType="begin"/>
        </w:r>
        <w:r w:rsidR="005A6015">
          <w:rPr>
            <w:noProof/>
            <w:webHidden/>
          </w:rPr>
          <w:instrText xml:space="preserve"> PAGEREF _Toc9269376 \h </w:instrText>
        </w:r>
        <w:r w:rsidR="005A6015">
          <w:rPr>
            <w:noProof/>
            <w:webHidden/>
          </w:rPr>
        </w:r>
        <w:r w:rsidR="005A6015">
          <w:rPr>
            <w:noProof/>
            <w:webHidden/>
          </w:rPr>
          <w:fldChar w:fldCharType="separate"/>
        </w:r>
        <w:r w:rsidR="00A057A7">
          <w:rPr>
            <w:noProof/>
            <w:webHidden/>
          </w:rPr>
          <w:t>2</w:t>
        </w:r>
        <w:r w:rsidR="005A6015">
          <w:rPr>
            <w:noProof/>
            <w:webHidden/>
          </w:rPr>
          <w:fldChar w:fldCharType="end"/>
        </w:r>
      </w:hyperlink>
    </w:p>
    <w:p w14:paraId="0EA4E995" w14:textId="6CA87E1C"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77" w:history="1">
        <w:r w:rsidR="005A6015" w:rsidRPr="00CC64D8">
          <w:rPr>
            <w:rStyle w:val="Hyperlink"/>
            <w:rFonts w:cs="Times New Roman"/>
            <w:noProof/>
          </w:rPr>
          <w:t>1.3</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Key stakeholders</w:t>
        </w:r>
        <w:r w:rsidR="005A6015">
          <w:rPr>
            <w:noProof/>
            <w:webHidden/>
          </w:rPr>
          <w:tab/>
        </w:r>
        <w:r w:rsidR="005A6015">
          <w:rPr>
            <w:noProof/>
            <w:webHidden/>
          </w:rPr>
          <w:fldChar w:fldCharType="begin"/>
        </w:r>
        <w:r w:rsidR="005A6015">
          <w:rPr>
            <w:noProof/>
            <w:webHidden/>
          </w:rPr>
          <w:instrText xml:space="preserve"> PAGEREF _Toc9269377 \h </w:instrText>
        </w:r>
        <w:r w:rsidR="005A6015">
          <w:rPr>
            <w:noProof/>
            <w:webHidden/>
          </w:rPr>
        </w:r>
        <w:r w:rsidR="005A6015">
          <w:rPr>
            <w:noProof/>
            <w:webHidden/>
          </w:rPr>
          <w:fldChar w:fldCharType="separate"/>
        </w:r>
        <w:r w:rsidR="00A057A7">
          <w:rPr>
            <w:noProof/>
            <w:webHidden/>
          </w:rPr>
          <w:t>3</w:t>
        </w:r>
        <w:r w:rsidR="005A6015">
          <w:rPr>
            <w:noProof/>
            <w:webHidden/>
          </w:rPr>
          <w:fldChar w:fldCharType="end"/>
        </w:r>
      </w:hyperlink>
    </w:p>
    <w:p w14:paraId="67A1A509" w14:textId="309C6026"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78" w:history="1">
        <w:r w:rsidR="005A6015" w:rsidRPr="00CC64D8">
          <w:rPr>
            <w:rStyle w:val="Hyperlink"/>
            <w:rFonts w:cs="Times New Roman"/>
            <w:noProof/>
          </w:rPr>
          <w:t>1.4</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Overarching structures informing NDPII’s Strategic Direction</w:t>
        </w:r>
        <w:r w:rsidR="005A6015">
          <w:rPr>
            <w:noProof/>
            <w:webHidden/>
          </w:rPr>
          <w:tab/>
        </w:r>
        <w:r w:rsidR="005A6015">
          <w:rPr>
            <w:noProof/>
            <w:webHidden/>
          </w:rPr>
          <w:fldChar w:fldCharType="begin"/>
        </w:r>
        <w:r w:rsidR="005A6015">
          <w:rPr>
            <w:noProof/>
            <w:webHidden/>
          </w:rPr>
          <w:instrText xml:space="preserve"> PAGEREF _Toc9269378 \h </w:instrText>
        </w:r>
        <w:r w:rsidR="005A6015">
          <w:rPr>
            <w:noProof/>
            <w:webHidden/>
          </w:rPr>
        </w:r>
        <w:r w:rsidR="005A6015">
          <w:rPr>
            <w:noProof/>
            <w:webHidden/>
          </w:rPr>
          <w:fldChar w:fldCharType="separate"/>
        </w:r>
        <w:r w:rsidR="00A057A7">
          <w:rPr>
            <w:noProof/>
            <w:webHidden/>
          </w:rPr>
          <w:t>5</w:t>
        </w:r>
        <w:r w:rsidR="005A6015">
          <w:rPr>
            <w:noProof/>
            <w:webHidden/>
          </w:rPr>
          <w:fldChar w:fldCharType="end"/>
        </w:r>
      </w:hyperlink>
    </w:p>
    <w:p w14:paraId="3F45350B" w14:textId="6E4E1492" w:rsidR="005A6015" w:rsidRDefault="006575DD">
      <w:pPr>
        <w:pStyle w:val="TOC1"/>
        <w:tabs>
          <w:tab w:val="left" w:pos="660"/>
          <w:tab w:val="right" w:leader="dot" w:pos="9016"/>
        </w:tabs>
        <w:rPr>
          <w:rFonts w:asciiTheme="minorHAnsi" w:eastAsiaTheme="minorEastAsia" w:hAnsiTheme="minorHAnsi" w:cstheme="minorBidi"/>
          <w:b w:val="0"/>
          <w:bCs w:val="0"/>
          <w:noProof/>
          <w:sz w:val="22"/>
          <w:szCs w:val="22"/>
          <w:lang w:eastAsia="en-GB"/>
        </w:rPr>
      </w:pPr>
      <w:hyperlink w:anchor="_Toc9269379" w:history="1">
        <w:r w:rsidR="005A6015" w:rsidRPr="00CC64D8">
          <w:rPr>
            <w:rStyle w:val="Hyperlink"/>
            <w:noProof/>
          </w:rPr>
          <w:t>2.0</w:t>
        </w:r>
        <w:r w:rsidR="005A6015">
          <w:rPr>
            <w:rFonts w:asciiTheme="minorHAnsi" w:eastAsiaTheme="minorEastAsia" w:hAnsiTheme="minorHAnsi" w:cstheme="minorBidi"/>
            <w:b w:val="0"/>
            <w:bCs w:val="0"/>
            <w:noProof/>
            <w:sz w:val="22"/>
            <w:szCs w:val="22"/>
            <w:lang w:eastAsia="en-GB"/>
          </w:rPr>
          <w:tab/>
        </w:r>
        <w:r w:rsidR="005A6015" w:rsidRPr="00CC64D8">
          <w:rPr>
            <w:rStyle w:val="Hyperlink"/>
            <w:noProof/>
          </w:rPr>
          <w:t>Findings</w:t>
        </w:r>
        <w:r w:rsidR="005A6015">
          <w:rPr>
            <w:noProof/>
            <w:webHidden/>
          </w:rPr>
          <w:tab/>
        </w:r>
        <w:r w:rsidR="005A6015">
          <w:rPr>
            <w:noProof/>
            <w:webHidden/>
          </w:rPr>
          <w:fldChar w:fldCharType="begin"/>
        </w:r>
        <w:r w:rsidR="005A6015">
          <w:rPr>
            <w:noProof/>
            <w:webHidden/>
          </w:rPr>
          <w:instrText xml:space="preserve"> PAGEREF _Toc9269379 \h </w:instrText>
        </w:r>
        <w:r w:rsidR="005A6015">
          <w:rPr>
            <w:noProof/>
            <w:webHidden/>
          </w:rPr>
        </w:r>
        <w:r w:rsidR="005A6015">
          <w:rPr>
            <w:noProof/>
            <w:webHidden/>
          </w:rPr>
          <w:fldChar w:fldCharType="separate"/>
        </w:r>
        <w:r w:rsidR="00A057A7">
          <w:rPr>
            <w:noProof/>
            <w:webHidden/>
          </w:rPr>
          <w:t>6</w:t>
        </w:r>
        <w:r w:rsidR="005A6015">
          <w:rPr>
            <w:noProof/>
            <w:webHidden/>
          </w:rPr>
          <w:fldChar w:fldCharType="end"/>
        </w:r>
      </w:hyperlink>
    </w:p>
    <w:p w14:paraId="5D10BA9D" w14:textId="4BFAFE28"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0" w:history="1">
        <w:r w:rsidR="005A6015" w:rsidRPr="00CC64D8">
          <w:rPr>
            <w:rStyle w:val="Hyperlink"/>
            <w:rFonts w:cs="Times New Roman"/>
            <w:noProof/>
          </w:rPr>
          <w:t>2.1</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NDPII’s theory of change</w:t>
        </w:r>
        <w:r w:rsidR="005A6015">
          <w:rPr>
            <w:noProof/>
            <w:webHidden/>
          </w:rPr>
          <w:tab/>
        </w:r>
        <w:r w:rsidR="005A6015">
          <w:rPr>
            <w:noProof/>
            <w:webHidden/>
          </w:rPr>
          <w:fldChar w:fldCharType="begin"/>
        </w:r>
        <w:r w:rsidR="005A6015">
          <w:rPr>
            <w:noProof/>
            <w:webHidden/>
          </w:rPr>
          <w:instrText xml:space="preserve"> PAGEREF _Toc9269380 \h </w:instrText>
        </w:r>
        <w:r w:rsidR="005A6015">
          <w:rPr>
            <w:noProof/>
            <w:webHidden/>
          </w:rPr>
        </w:r>
        <w:r w:rsidR="005A6015">
          <w:rPr>
            <w:noProof/>
            <w:webHidden/>
          </w:rPr>
          <w:fldChar w:fldCharType="separate"/>
        </w:r>
        <w:r w:rsidR="00A057A7">
          <w:rPr>
            <w:noProof/>
            <w:webHidden/>
          </w:rPr>
          <w:t>6</w:t>
        </w:r>
        <w:r w:rsidR="005A6015">
          <w:rPr>
            <w:noProof/>
            <w:webHidden/>
          </w:rPr>
          <w:fldChar w:fldCharType="end"/>
        </w:r>
      </w:hyperlink>
    </w:p>
    <w:p w14:paraId="65D40E25" w14:textId="3350630F"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1" w:history="1">
        <w:r w:rsidR="005A6015" w:rsidRPr="00CC64D8">
          <w:rPr>
            <w:rStyle w:val="Hyperlink"/>
            <w:rFonts w:cs="Times New Roman"/>
            <w:noProof/>
          </w:rPr>
          <w:t>2.2</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Quality of Government policies, plans and strategies in relation to NDPII</w:t>
        </w:r>
        <w:r w:rsidR="005A6015">
          <w:rPr>
            <w:noProof/>
            <w:webHidden/>
          </w:rPr>
          <w:tab/>
        </w:r>
        <w:r w:rsidR="005A6015">
          <w:rPr>
            <w:noProof/>
            <w:webHidden/>
          </w:rPr>
          <w:fldChar w:fldCharType="begin"/>
        </w:r>
        <w:r w:rsidR="005A6015">
          <w:rPr>
            <w:noProof/>
            <w:webHidden/>
          </w:rPr>
          <w:instrText xml:space="preserve"> PAGEREF _Toc9269381 \h </w:instrText>
        </w:r>
        <w:r w:rsidR="005A6015">
          <w:rPr>
            <w:noProof/>
            <w:webHidden/>
          </w:rPr>
        </w:r>
        <w:r w:rsidR="005A6015">
          <w:rPr>
            <w:noProof/>
            <w:webHidden/>
          </w:rPr>
          <w:fldChar w:fldCharType="separate"/>
        </w:r>
        <w:r w:rsidR="00A057A7">
          <w:rPr>
            <w:noProof/>
            <w:webHidden/>
          </w:rPr>
          <w:t>14</w:t>
        </w:r>
        <w:r w:rsidR="005A6015">
          <w:rPr>
            <w:noProof/>
            <w:webHidden/>
          </w:rPr>
          <w:fldChar w:fldCharType="end"/>
        </w:r>
      </w:hyperlink>
    </w:p>
    <w:p w14:paraId="132F9DFA" w14:textId="29B8E403"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2" w:history="1">
        <w:r w:rsidR="005A6015" w:rsidRPr="00CC64D8">
          <w:rPr>
            <w:rStyle w:val="Hyperlink"/>
            <w:rFonts w:cs="Times New Roman"/>
            <w:noProof/>
          </w:rPr>
          <w:t>2.3</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Effectiveness of Government policy in achieving NDPII objectives</w:t>
        </w:r>
        <w:r w:rsidR="005A6015">
          <w:rPr>
            <w:noProof/>
            <w:webHidden/>
          </w:rPr>
          <w:tab/>
        </w:r>
        <w:r w:rsidR="005A6015">
          <w:rPr>
            <w:noProof/>
            <w:webHidden/>
          </w:rPr>
          <w:fldChar w:fldCharType="begin"/>
        </w:r>
        <w:r w:rsidR="005A6015">
          <w:rPr>
            <w:noProof/>
            <w:webHidden/>
          </w:rPr>
          <w:instrText xml:space="preserve"> PAGEREF _Toc9269382 \h </w:instrText>
        </w:r>
        <w:r w:rsidR="005A6015">
          <w:rPr>
            <w:noProof/>
            <w:webHidden/>
          </w:rPr>
        </w:r>
        <w:r w:rsidR="005A6015">
          <w:rPr>
            <w:noProof/>
            <w:webHidden/>
          </w:rPr>
          <w:fldChar w:fldCharType="separate"/>
        </w:r>
        <w:r w:rsidR="00A057A7">
          <w:rPr>
            <w:noProof/>
            <w:webHidden/>
          </w:rPr>
          <w:t>21</w:t>
        </w:r>
        <w:r w:rsidR="005A6015">
          <w:rPr>
            <w:noProof/>
            <w:webHidden/>
          </w:rPr>
          <w:fldChar w:fldCharType="end"/>
        </w:r>
      </w:hyperlink>
    </w:p>
    <w:p w14:paraId="24CC2EF4" w14:textId="418518EB"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3" w:history="1">
        <w:r w:rsidR="005A6015" w:rsidRPr="00CC64D8">
          <w:rPr>
            <w:rStyle w:val="Hyperlink"/>
            <w:rFonts w:cs="Times New Roman"/>
            <w:noProof/>
          </w:rPr>
          <w:t>2.4</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Alignment of Government plans, policies and strategies to NDPII</w:t>
        </w:r>
        <w:r w:rsidR="005A6015">
          <w:rPr>
            <w:noProof/>
            <w:webHidden/>
          </w:rPr>
          <w:tab/>
        </w:r>
        <w:r w:rsidR="005A6015">
          <w:rPr>
            <w:noProof/>
            <w:webHidden/>
          </w:rPr>
          <w:fldChar w:fldCharType="begin"/>
        </w:r>
        <w:r w:rsidR="005A6015">
          <w:rPr>
            <w:noProof/>
            <w:webHidden/>
          </w:rPr>
          <w:instrText xml:space="preserve"> PAGEREF _Toc9269383 \h </w:instrText>
        </w:r>
        <w:r w:rsidR="005A6015">
          <w:rPr>
            <w:noProof/>
            <w:webHidden/>
          </w:rPr>
        </w:r>
        <w:r w:rsidR="005A6015">
          <w:rPr>
            <w:noProof/>
            <w:webHidden/>
          </w:rPr>
          <w:fldChar w:fldCharType="separate"/>
        </w:r>
        <w:r w:rsidR="00A057A7">
          <w:rPr>
            <w:noProof/>
            <w:webHidden/>
          </w:rPr>
          <w:t>30</w:t>
        </w:r>
        <w:r w:rsidR="005A6015">
          <w:rPr>
            <w:noProof/>
            <w:webHidden/>
          </w:rPr>
          <w:fldChar w:fldCharType="end"/>
        </w:r>
      </w:hyperlink>
    </w:p>
    <w:p w14:paraId="483203C8" w14:textId="374690F3"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4" w:history="1">
        <w:r w:rsidR="005A6015" w:rsidRPr="00CC64D8">
          <w:rPr>
            <w:rStyle w:val="Hyperlink"/>
            <w:rFonts w:cs="Times New Roman"/>
            <w:noProof/>
          </w:rPr>
          <w:t>2.5</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Suitability of NDPII’s Strategic Direction</w:t>
        </w:r>
        <w:r w:rsidR="005A6015">
          <w:rPr>
            <w:noProof/>
            <w:webHidden/>
          </w:rPr>
          <w:tab/>
        </w:r>
        <w:r w:rsidR="005A6015">
          <w:rPr>
            <w:noProof/>
            <w:webHidden/>
          </w:rPr>
          <w:fldChar w:fldCharType="begin"/>
        </w:r>
        <w:r w:rsidR="005A6015">
          <w:rPr>
            <w:noProof/>
            <w:webHidden/>
          </w:rPr>
          <w:instrText xml:space="preserve"> PAGEREF _Toc9269384 \h </w:instrText>
        </w:r>
        <w:r w:rsidR="005A6015">
          <w:rPr>
            <w:noProof/>
            <w:webHidden/>
          </w:rPr>
        </w:r>
        <w:r w:rsidR="005A6015">
          <w:rPr>
            <w:noProof/>
            <w:webHidden/>
          </w:rPr>
          <w:fldChar w:fldCharType="separate"/>
        </w:r>
        <w:r w:rsidR="00A057A7">
          <w:rPr>
            <w:noProof/>
            <w:webHidden/>
          </w:rPr>
          <w:t>36</w:t>
        </w:r>
        <w:r w:rsidR="005A6015">
          <w:rPr>
            <w:noProof/>
            <w:webHidden/>
          </w:rPr>
          <w:fldChar w:fldCharType="end"/>
        </w:r>
      </w:hyperlink>
    </w:p>
    <w:p w14:paraId="41C7F1E3" w14:textId="397E6350" w:rsidR="005A6015" w:rsidRDefault="006575DD">
      <w:pPr>
        <w:pStyle w:val="TOC2"/>
        <w:tabs>
          <w:tab w:val="left" w:pos="880"/>
          <w:tab w:val="right" w:leader="dot" w:pos="9016"/>
        </w:tabs>
        <w:rPr>
          <w:rFonts w:asciiTheme="minorHAnsi" w:eastAsiaTheme="minorEastAsia" w:hAnsiTheme="minorHAnsi" w:cstheme="minorBidi"/>
          <w:noProof/>
          <w:sz w:val="22"/>
          <w:szCs w:val="22"/>
          <w:lang w:eastAsia="en-GB"/>
        </w:rPr>
      </w:pPr>
      <w:hyperlink w:anchor="_Toc9269385" w:history="1">
        <w:r w:rsidR="005A6015" w:rsidRPr="00CC64D8">
          <w:rPr>
            <w:rStyle w:val="Hyperlink"/>
            <w:rFonts w:cs="Times New Roman"/>
            <w:noProof/>
          </w:rPr>
          <w:t>2.6</w:t>
        </w:r>
        <w:r w:rsidR="005A6015">
          <w:rPr>
            <w:rFonts w:asciiTheme="minorHAnsi" w:eastAsiaTheme="minorEastAsia" w:hAnsiTheme="minorHAnsi" w:cstheme="minorBidi"/>
            <w:noProof/>
            <w:sz w:val="22"/>
            <w:szCs w:val="22"/>
            <w:lang w:eastAsia="en-GB"/>
          </w:rPr>
          <w:tab/>
        </w:r>
        <w:r w:rsidR="005A6015" w:rsidRPr="00CC64D8">
          <w:rPr>
            <w:rStyle w:val="Hyperlink"/>
            <w:rFonts w:cs="Times New Roman"/>
            <w:noProof/>
          </w:rPr>
          <w:t>Policy and Strategic Direction of NDP3</w:t>
        </w:r>
        <w:r w:rsidR="005A6015">
          <w:rPr>
            <w:noProof/>
            <w:webHidden/>
          </w:rPr>
          <w:tab/>
        </w:r>
        <w:r w:rsidR="005A6015">
          <w:rPr>
            <w:noProof/>
            <w:webHidden/>
          </w:rPr>
          <w:fldChar w:fldCharType="begin"/>
        </w:r>
        <w:r w:rsidR="005A6015">
          <w:rPr>
            <w:noProof/>
            <w:webHidden/>
          </w:rPr>
          <w:instrText xml:space="preserve"> PAGEREF _Toc9269385 \h </w:instrText>
        </w:r>
        <w:r w:rsidR="005A6015">
          <w:rPr>
            <w:noProof/>
            <w:webHidden/>
          </w:rPr>
        </w:r>
        <w:r w:rsidR="005A6015">
          <w:rPr>
            <w:noProof/>
            <w:webHidden/>
          </w:rPr>
          <w:fldChar w:fldCharType="separate"/>
        </w:r>
        <w:r w:rsidR="00A057A7">
          <w:rPr>
            <w:noProof/>
            <w:webHidden/>
          </w:rPr>
          <w:t>39</w:t>
        </w:r>
        <w:r w:rsidR="005A6015">
          <w:rPr>
            <w:noProof/>
            <w:webHidden/>
          </w:rPr>
          <w:fldChar w:fldCharType="end"/>
        </w:r>
      </w:hyperlink>
    </w:p>
    <w:p w14:paraId="2E977053" w14:textId="74A4D911" w:rsidR="005A6015" w:rsidRDefault="006575DD">
      <w:pPr>
        <w:pStyle w:val="TOC1"/>
        <w:tabs>
          <w:tab w:val="left" w:pos="660"/>
          <w:tab w:val="right" w:leader="dot" w:pos="9016"/>
        </w:tabs>
        <w:rPr>
          <w:rFonts w:asciiTheme="minorHAnsi" w:eastAsiaTheme="minorEastAsia" w:hAnsiTheme="minorHAnsi" w:cstheme="minorBidi"/>
          <w:b w:val="0"/>
          <w:bCs w:val="0"/>
          <w:noProof/>
          <w:sz w:val="22"/>
          <w:szCs w:val="22"/>
          <w:lang w:eastAsia="en-GB"/>
        </w:rPr>
      </w:pPr>
      <w:hyperlink w:anchor="_Toc9269386" w:history="1">
        <w:r w:rsidR="005A6015" w:rsidRPr="00CC64D8">
          <w:rPr>
            <w:rStyle w:val="Hyperlink"/>
            <w:noProof/>
          </w:rPr>
          <w:t>3.0</w:t>
        </w:r>
        <w:r w:rsidR="005A6015">
          <w:rPr>
            <w:rFonts w:asciiTheme="minorHAnsi" w:eastAsiaTheme="minorEastAsia" w:hAnsiTheme="minorHAnsi" w:cstheme="minorBidi"/>
            <w:b w:val="0"/>
            <w:bCs w:val="0"/>
            <w:noProof/>
            <w:sz w:val="22"/>
            <w:szCs w:val="22"/>
            <w:lang w:eastAsia="en-GB"/>
          </w:rPr>
          <w:tab/>
        </w:r>
        <w:r w:rsidR="005A6015" w:rsidRPr="00CC64D8">
          <w:rPr>
            <w:rStyle w:val="Hyperlink"/>
            <w:noProof/>
          </w:rPr>
          <w:t>Conclusions and recommendations</w:t>
        </w:r>
        <w:r w:rsidR="005A6015">
          <w:rPr>
            <w:noProof/>
            <w:webHidden/>
          </w:rPr>
          <w:tab/>
        </w:r>
        <w:r w:rsidR="005A6015">
          <w:rPr>
            <w:noProof/>
            <w:webHidden/>
          </w:rPr>
          <w:fldChar w:fldCharType="begin"/>
        </w:r>
        <w:r w:rsidR="005A6015">
          <w:rPr>
            <w:noProof/>
            <w:webHidden/>
          </w:rPr>
          <w:instrText xml:space="preserve"> PAGEREF _Toc9269386 \h </w:instrText>
        </w:r>
        <w:r w:rsidR="005A6015">
          <w:rPr>
            <w:noProof/>
            <w:webHidden/>
          </w:rPr>
        </w:r>
        <w:r w:rsidR="005A6015">
          <w:rPr>
            <w:noProof/>
            <w:webHidden/>
          </w:rPr>
          <w:fldChar w:fldCharType="separate"/>
        </w:r>
        <w:r w:rsidR="00A057A7">
          <w:rPr>
            <w:noProof/>
            <w:webHidden/>
          </w:rPr>
          <w:t>50</w:t>
        </w:r>
        <w:r w:rsidR="005A6015">
          <w:rPr>
            <w:noProof/>
            <w:webHidden/>
          </w:rPr>
          <w:fldChar w:fldCharType="end"/>
        </w:r>
      </w:hyperlink>
    </w:p>
    <w:p w14:paraId="02BCF859" w14:textId="6FBC5184" w:rsidR="005A6015" w:rsidRDefault="006575DD">
      <w:pPr>
        <w:pStyle w:val="TOC1"/>
        <w:tabs>
          <w:tab w:val="right" w:leader="dot" w:pos="9016"/>
        </w:tabs>
        <w:rPr>
          <w:rFonts w:asciiTheme="minorHAnsi" w:eastAsiaTheme="minorEastAsia" w:hAnsiTheme="minorHAnsi" w:cstheme="minorBidi"/>
          <w:b w:val="0"/>
          <w:bCs w:val="0"/>
          <w:noProof/>
          <w:sz w:val="22"/>
          <w:szCs w:val="22"/>
          <w:lang w:eastAsia="en-GB"/>
        </w:rPr>
      </w:pPr>
      <w:hyperlink w:anchor="_Toc9269387" w:history="1">
        <w:r w:rsidR="005A6015" w:rsidRPr="00CC64D8">
          <w:rPr>
            <w:rStyle w:val="Hyperlink"/>
            <w:noProof/>
          </w:rPr>
          <w:t>References</w:t>
        </w:r>
        <w:r w:rsidR="005A6015">
          <w:rPr>
            <w:noProof/>
            <w:webHidden/>
          </w:rPr>
          <w:tab/>
        </w:r>
        <w:r w:rsidR="005A6015">
          <w:rPr>
            <w:noProof/>
            <w:webHidden/>
          </w:rPr>
          <w:fldChar w:fldCharType="begin"/>
        </w:r>
        <w:r w:rsidR="005A6015">
          <w:rPr>
            <w:noProof/>
            <w:webHidden/>
          </w:rPr>
          <w:instrText xml:space="preserve"> PAGEREF _Toc9269387 \h </w:instrText>
        </w:r>
        <w:r w:rsidR="005A6015">
          <w:rPr>
            <w:noProof/>
            <w:webHidden/>
          </w:rPr>
        </w:r>
        <w:r w:rsidR="005A6015">
          <w:rPr>
            <w:noProof/>
            <w:webHidden/>
          </w:rPr>
          <w:fldChar w:fldCharType="separate"/>
        </w:r>
        <w:r w:rsidR="00A057A7">
          <w:rPr>
            <w:noProof/>
            <w:webHidden/>
          </w:rPr>
          <w:t>58</w:t>
        </w:r>
        <w:r w:rsidR="005A6015">
          <w:rPr>
            <w:noProof/>
            <w:webHidden/>
          </w:rPr>
          <w:fldChar w:fldCharType="end"/>
        </w:r>
      </w:hyperlink>
    </w:p>
    <w:p w14:paraId="269019CB" w14:textId="042EDE79" w:rsidR="005A6015" w:rsidRDefault="006575DD">
      <w:pPr>
        <w:pStyle w:val="TOC1"/>
        <w:tabs>
          <w:tab w:val="right" w:leader="dot" w:pos="9016"/>
        </w:tabs>
        <w:rPr>
          <w:rFonts w:asciiTheme="minorHAnsi" w:eastAsiaTheme="minorEastAsia" w:hAnsiTheme="minorHAnsi" w:cstheme="minorBidi"/>
          <w:b w:val="0"/>
          <w:bCs w:val="0"/>
          <w:noProof/>
          <w:sz w:val="22"/>
          <w:szCs w:val="22"/>
          <w:lang w:eastAsia="en-GB"/>
        </w:rPr>
      </w:pPr>
      <w:hyperlink w:anchor="_Toc9269388" w:history="1">
        <w:r w:rsidR="005A6015" w:rsidRPr="00CC64D8">
          <w:rPr>
            <w:rStyle w:val="Hyperlink"/>
            <w:noProof/>
          </w:rPr>
          <w:t>Annexes</w:t>
        </w:r>
        <w:r w:rsidR="005A6015">
          <w:rPr>
            <w:noProof/>
            <w:webHidden/>
          </w:rPr>
          <w:tab/>
        </w:r>
        <w:r w:rsidR="005A6015">
          <w:rPr>
            <w:noProof/>
            <w:webHidden/>
          </w:rPr>
          <w:fldChar w:fldCharType="begin"/>
        </w:r>
        <w:r w:rsidR="005A6015">
          <w:rPr>
            <w:noProof/>
            <w:webHidden/>
          </w:rPr>
          <w:instrText xml:space="preserve"> PAGEREF _Toc9269388 \h </w:instrText>
        </w:r>
        <w:r w:rsidR="005A6015">
          <w:rPr>
            <w:noProof/>
            <w:webHidden/>
          </w:rPr>
        </w:r>
        <w:r w:rsidR="005A6015">
          <w:rPr>
            <w:noProof/>
            <w:webHidden/>
          </w:rPr>
          <w:fldChar w:fldCharType="separate"/>
        </w:r>
        <w:r w:rsidR="00A057A7">
          <w:rPr>
            <w:noProof/>
            <w:webHidden/>
          </w:rPr>
          <w:t>63</w:t>
        </w:r>
        <w:r w:rsidR="005A6015">
          <w:rPr>
            <w:noProof/>
            <w:webHidden/>
          </w:rPr>
          <w:fldChar w:fldCharType="end"/>
        </w:r>
      </w:hyperlink>
    </w:p>
    <w:p w14:paraId="013A41B7" w14:textId="0E5BFA98" w:rsidR="005A6015" w:rsidRDefault="006575DD">
      <w:pPr>
        <w:pStyle w:val="TOC2"/>
        <w:tabs>
          <w:tab w:val="right" w:leader="dot" w:pos="9016"/>
        </w:tabs>
        <w:rPr>
          <w:rFonts w:asciiTheme="minorHAnsi" w:eastAsiaTheme="minorEastAsia" w:hAnsiTheme="minorHAnsi" w:cstheme="minorBidi"/>
          <w:noProof/>
          <w:sz w:val="22"/>
          <w:szCs w:val="22"/>
          <w:lang w:eastAsia="en-GB"/>
        </w:rPr>
      </w:pPr>
      <w:hyperlink w:anchor="_Toc9269389" w:history="1">
        <w:r w:rsidR="005A6015" w:rsidRPr="00CC64D8">
          <w:rPr>
            <w:rStyle w:val="Hyperlink"/>
            <w:rFonts w:cs="Times New Roman"/>
            <w:noProof/>
          </w:rPr>
          <w:t>Annex 1: List of people interviewed</w:t>
        </w:r>
        <w:r w:rsidR="005A6015">
          <w:rPr>
            <w:noProof/>
            <w:webHidden/>
          </w:rPr>
          <w:tab/>
        </w:r>
        <w:r w:rsidR="005A6015">
          <w:rPr>
            <w:noProof/>
            <w:webHidden/>
          </w:rPr>
          <w:fldChar w:fldCharType="begin"/>
        </w:r>
        <w:r w:rsidR="005A6015">
          <w:rPr>
            <w:noProof/>
            <w:webHidden/>
          </w:rPr>
          <w:instrText xml:space="preserve"> PAGEREF _Toc9269389 \h </w:instrText>
        </w:r>
        <w:r w:rsidR="005A6015">
          <w:rPr>
            <w:noProof/>
            <w:webHidden/>
          </w:rPr>
        </w:r>
        <w:r w:rsidR="005A6015">
          <w:rPr>
            <w:noProof/>
            <w:webHidden/>
          </w:rPr>
          <w:fldChar w:fldCharType="separate"/>
        </w:r>
        <w:r w:rsidR="00A057A7">
          <w:rPr>
            <w:noProof/>
            <w:webHidden/>
          </w:rPr>
          <w:t>63</w:t>
        </w:r>
        <w:r w:rsidR="005A6015">
          <w:rPr>
            <w:noProof/>
            <w:webHidden/>
          </w:rPr>
          <w:fldChar w:fldCharType="end"/>
        </w:r>
      </w:hyperlink>
    </w:p>
    <w:p w14:paraId="32F7C01B" w14:textId="6EF8B9F2" w:rsidR="005A6015" w:rsidRDefault="006575DD">
      <w:pPr>
        <w:pStyle w:val="TOC2"/>
        <w:tabs>
          <w:tab w:val="right" w:leader="dot" w:pos="9016"/>
        </w:tabs>
        <w:rPr>
          <w:rFonts w:asciiTheme="minorHAnsi" w:eastAsiaTheme="minorEastAsia" w:hAnsiTheme="minorHAnsi" w:cstheme="minorBidi"/>
          <w:noProof/>
          <w:sz w:val="22"/>
          <w:szCs w:val="22"/>
          <w:lang w:eastAsia="en-GB"/>
        </w:rPr>
      </w:pPr>
      <w:hyperlink w:anchor="_Toc9269390" w:history="1">
        <w:r w:rsidR="005A6015" w:rsidRPr="00CC64D8">
          <w:rPr>
            <w:rStyle w:val="Hyperlink"/>
            <w:rFonts w:cs="Times New Roman"/>
            <w:noProof/>
          </w:rPr>
          <w:t>Annex 2: Lines of enquiry</w:t>
        </w:r>
        <w:r w:rsidR="005A6015">
          <w:rPr>
            <w:noProof/>
            <w:webHidden/>
          </w:rPr>
          <w:tab/>
        </w:r>
        <w:r w:rsidR="005A6015">
          <w:rPr>
            <w:noProof/>
            <w:webHidden/>
          </w:rPr>
          <w:fldChar w:fldCharType="begin"/>
        </w:r>
        <w:r w:rsidR="005A6015">
          <w:rPr>
            <w:noProof/>
            <w:webHidden/>
          </w:rPr>
          <w:instrText xml:space="preserve"> PAGEREF _Toc9269390 \h </w:instrText>
        </w:r>
        <w:r w:rsidR="005A6015">
          <w:rPr>
            <w:noProof/>
            <w:webHidden/>
          </w:rPr>
        </w:r>
        <w:r w:rsidR="005A6015">
          <w:rPr>
            <w:noProof/>
            <w:webHidden/>
          </w:rPr>
          <w:fldChar w:fldCharType="separate"/>
        </w:r>
        <w:r w:rsidR="00A057A7">
          <w:rPr>
            <w:noProof/>
            <w:webHidden/>
          </w:rPr>
          <w:t>64</w:t>
        </w:r>
        <w:r w:rsidR="005A6015">
          <w:rPr>
            <w:noProof/>
            <w:webHidden/>
          </w:rPr>
          <w:fldChar w:fldCharType="end"/>
        </w:r>
      </w:hyperlink>
    </w:p>
    <w:p w14:paraId="65918F3E" w14:textId="13049BA2" w:rsidR="005A6015" w:rsidRDefault="006575DD">
      <w:pPr>
        <w:pStyle w:val="TOC2"/>
        <w:tabs>
          <w:tab w:val="right" w:leader="dot" w:pos="9016"/>
        </w:tabs>
        <w:rPr>
          <w:rFonts w:asciiTheme="minorHAnsi" w:eastAsiaTheme="minorEastAsia" w:hAnsiTheme="minorHAnsi" w:cstheme="minorBidi"/>
          <w:noProof/>
          <w:sz w:val="22"/>
          <w:szCs w:val="22"/>
          <w:lang w:eastAsia="en-GB"/>
        </w:rPr>
      </w:pPr>
      <w:hyperlink w:anchor="_Toc9269391" w:history="1">
        <w:r w:rsidR="005A6015" w:rsidRPr="00CC64D8">
          <w:rPr>
            <w:rStyle w:val="Hyperlink"/>
            <w:rFonts w:cs="Times New Roman"/>
            <w:noProof/>
          </w:rPr>
          <w:t>Annex 3: Quality of Government policies, plans and strategies in relation to NDPII</w:t>
        </w:r>
        <w:r w:rsidR="005A6015">
          <w:rPr>
            <w:noProof/>
            <w:webHidden/>
          </w:rPr>
          <w:tab/>
        </w:r>
        <w:r w:rsidR="005A6015">
          <w:rPr>
            <w:noProof/>
            <w:webHidden/>
          </w:rPr>
          <w:fldChar w:fldCharType="begin"/>
        </w:r>
        <w:r w:rsidR="005A6015">
          <w:rPr>
            <w:noProof/>
            <w:webHidden/>
          </w:rPr>
          <w:instrText xml:space="preserve"> PAGEREF _Toc9269391 \h </w:instrText>
        </w:r>
        <w:r w:rsidR="005A6015">
          <w:rPr>
            <w:noProof/>
            <w:webHidden/>
          </w:rPr>
        </w:r>
        <w:r w:rsidR="005A6015">
          <w:rPr>
            <w:noProof/>
            <w:webHidden/>
          </w:rPr>
          <w:fldChar w:fldCharType="separate"/>
        </w:r>
        <w:r w:rsidR="00A057A7">
          <w:rPr>
            <w:noProof/>
            <w:webHidden/>
          </w:rPr>
          <w:t>65</w:t>
        </w:r>
        <w:r w:rsidR="005A6015">
          <w:rPr>
            <w:noProof/>
            <w:webHidden/>
          </w:rPr>
          <w:fldChar w:fldCharType="end"/>
        </w:r>
      </w:hyperlink>
    </w:p>
    <w:p w14:paraId="1C313526" w14:textId="712C309B" w:rsidR="005A6015" w:rsidRDefault="006575DD">
      <w:pPr>
        <w:pStyle w:val="TOC2"/>
        <w:tabs>
          <w:tab w:val="right" w:leader="dot" w:pos="9016"/>
        </w:tabs>
        <w:rPr>
          <w:rFonts w:asciiTheme="minorHAnsi" w:eastAsiaTheme="minorEastAsia" w:hAnsiTheme="minorHAnsi" w:cstheme="minorBidi"/>
          <w:noProof/>
          <w:sz w:val="22"/>
          <w:szCs w:val="22"/>
          <w:lang w:eastAsia="en-GB"/>
        </w:rPr>
      </w:pPr>
      <w:hyperlink w:anchor="_Toc9269392" w:history="1">
        <w:r w:rsidR="005A6015" w:rsidRPr="00CC64D8">
          <w:rPr>
            <w:rStyle w:val="Hyperlink"/>
            <w:rFonts w:cs="Times New Roman"/>
            <w:noProof/>
          </w:rPr>
          <w:t>Annex 4: Effectiveness of Government policy in achieving inclusive development</w:t>
        </w:r>
        <w:r w:rsidR="005A6015">
          <w:rPr>
            <w:noProof/>
            <w:webHidden/>
          </w:rPr>
          <w:tab/>
        </w:r>
        <w:r w:rsidR="005A6015">
          <w:rPr>
            <w:noProof/>
            <w:webHidden/>
          </w:rPr>
          <w:fldChar w:fldCharType="begin"/>
        </w:r>
        <w:r w:rsidR="005A6015">
          <w:rPr>
            <w:noProof/>
            <w:webHidden/>
          </w:rPr>
          <w:instrText xml:space="preserve"> PAGEREF _Toc9269392 \h </w:instrText>
        </w:r>
        <w:r w:rsidR="005A6015">
          <w:rPr>
            <w:noProof/>
            <w:webHidden/>
          </w:rPr>
        </w:r>
        <w:r w:rsidR="005A6015">
          <w:rPr>
            <w:noProof/>
            <w:webHidden/>
          </w:rPr>
          <w:fldChar w:fldCharType="separate"/>
        </w:r>
        <w:r w:rsidR="00A057A7">
          <w:rPr>
            <w:noProof/>
            <w:webHidden/>
          </w:rPr>
          <w:t>68</w:t>
        </w:r>
        <w:r w:rsidR="005A6015">
          <w:rPr>
            <w:noProof/>
            <w:webHidden/>
          </w:rPr>
          <w:fldChar w:fldCharType="end"/>
        </w:r>
      </w:hyperlink>
    </w:p>
    <w:p w14:paraId="26D0B917" w14:textId="1EB48734" w:rsidR="005A6015" w:rsidRDefault="006575DD">
      <w:pPr>
        <w:pStyle w:val="TOC2"/>
        <w:tabs>
          <w:tab w:val="right" w:leader="dot" w:pos="9016"/>
        </w:tabs>
        <w:rPr>
          <w:rFonts w:asciiTheme="minorHAnsi" w:eastAsiaTheme="minorEastAsia" w:hAnsiTheme="minorHAnsi" w:cstheme="minorBidi"/>
          <w:noProof/>
          <w:sz w:val="22"/>
          <w:szCs w:val="22"/>
          <w:lang w:eastAsia="en-GB"/>
        </w:rPr>
      </w:pPr>
      <w:hyperlink w:anchor="_Toc9269393" w:history="1">
        <w:r w:rsidR="005A6015" w:rsidRPr="00CC64D8">
          <w:rPr>
            <w:rStyle w:val="Hyperlink"/>
            <w:rFonts w:cs="Times New Roman"/>
            <w:noProof/>
          </w:rPr>
          <w:t>Annex 5: Alignment of sector plans and budgets to NDPII (FY2014/15-17/18)</w:t>
        </w:r>
        <w:r w:rsidR="005A6015">
          <w:rPr>
            <w:noProof/>
            <w:webHidden/>
          </w:rPr>
          <w:tab/>
        </w:r>
        <w:r w:rsidR="005A6015">
          <w:rPr>
            <w:noProof/>
            <w:webHidden/>
          </w:rPr>
          <w:fldChar w:fldCharType="begin"/>
        </w:r>
        <w:r w:rsidR="005A6015">
          <w:rPr>
            <w:noProof/>
            <w:webHidden/>
          </w:rPr>
          <w:instrText xml:space="preserve"> PAGEREF _Toc9269393 \h </w:instrText>
        </w:r>
        <w:r w:rsidR="005A6015">
          <w:rPr>
            <w:noProof/>
            <w:webHidden/>
          </w:rPr>
        </w:r>
        <w:r w:rsidR="005A6015">
          <w:rPr>
            <w:noProof/>
            <w:webHidden/>
          </w:rPr>
          <w:fldChar w:fldCharType="separate"/>
        </w:r>
        <w:r w:rsidR="00A057A7">
          <w:rPr>
            <w:noProof/>
            <w:webHidden/>
          </w:rPr>
          <w:t>69</w:t>
        </w:r>
        <w:r w:rsidR="005A6015">
          <w:rPr>
            <w:noProof/>
            <w:webHidden/>
          </w:rPr>
          <w:fldChar w:fldCharType="end"/>
        </w:r>
      </w:hyperlink>
    </w:p>
    <w:p w14:paraId="4CD7CB8A" w14:textId="721A43A1" w:rsidR="00FD6444" w:rsidRPr="00FD6444" w:rsidRDefault="00FD6444" w:rsidP="00C207FD">
      <w:pPr>
        <w:spacing w:line="360" w:lineRule="auto"/>
        <w:rPr>
          <w:lang w:val="en-US"/>
        </w:rPr>
      </w:pPr>
      <w:r>
        <w:rPr>
          <w:lang w:val="en-US"/>
        </w:rPr>
        <w:fldChar w:fldCharType="end"/>
      </w:r>
    </w:p>
    <w:p w14:paraId="5E4EC508" w14:textId="43AD4F64" w:rsidR="006C67BD" w:rsidRPr="00F10F3B" w:rsidRDefault="00FD6444" w:rsidP="00B86D0C">
      <w:pPr>
        <w:pStyle w:val="Heading1"/>
      </w:pPr>
      <w:bookmarkStart w:id="0" w:name="_Toc3454205"/>
      <w:bookmarkStart w:id="1" w:name="_Toc9269370"/>
      <w:r>
        <w:lastRenderedPageBreak/>
        <w:t xml:space="preserve">List of </w:t>
      </w:r>
      <w:r w:rsidR="00DE3410" w:rsidRPr="00F10F3B">
        <w:t>Tables</w:t>
      </w:r>
      <w:bookmarkEnd w:id="0"/>
      <w:bookmarkEnd w:id="1"/>
    </w:p>
    <w:p w14:paraId="4A3BB7EE" w14:textId="37580811" w:rsidR="009D0863" w:rsidRPr="00F10F3B" w:rsidRDefault="00F8585B" w:rsidP="00587EDE">
      <w:pPr>
        <w:pStyle w:val="TableofFigures"/>
        <w:tabs>
          <w:tab w:val="right" w:leader="dot" w:pos="9016"/>
        </w:tabs>
        <w:jc w:val="both"/>
        <w:rPr>
          <w:rFonts w:eastAsiaTheme="minorEastAsia" w:cs="Times New Roman"/>
          <w:noProof/>
          <w:lang w:eastAsia="en-GB"/>
        </w:rPr>
      </w:pPr>
      <w:r w:rsidRPr="00F10F3B">
        <w:rPr>
          <w:rFonts w:cs="Times New Roman"/>
        </w:rPr>
        <w:fldChar w:fldCharType="begin"/>
      </w:r>
      <w:r w:rsidRPr="00F10F3B">
        <w:rPr>
          <w:rFonts w:cs="Times New Roman"/>
        </w:rPr>
        <w:instrText xml:space="preserve"> TOC \h \z \c "Table" </w:instrText>
      </w:r>
      <w:r w:rsidRPr="00F10F3B">
        <w:rPr>
          <w:rFonts w:cs="Times New Roman"/>
        </w:rPr>
        <w:fldChar w:fldCharType="separate"/>
      </w:r>
      <w:hyperlink w:anchor="_Toc536205949" w:history="1">
        <w:r w:rsidR="009D0863" w:rsidRPr="00F10F3B">
          <w:rPr>
            <w:rStyle w:val="Hyperlink"/>
            <w:rFonts w:cs="Times New Roman"/>
            <w:noProof/>
          </w:rPr>
          <w:t>Table 1: NDPI and NDPII</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_Toc536205949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3</w:t>
        </w:r>
        <w:r w:rsidR="009D0863" w:rsidRPr="00F10F3B">
          <w:rPr>
            <w:rFonts w:cs="Times New Roman"/>
            <w:noProof/>
            <w:webHidden/>
          </w:rPr>
          <w:fldChar w:fldCharType="end"/>
        </w:r>
      </w:hyperlink>
    </w:p>
    <w:p w14:paraId="700BF7CE" w14:textId="224B8713"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0" w:history="1">
        <w:r w:rsidR="009D0863" w:rsidRPr="00F10F3B">
          <w:rPr>
            <w:rStyle w:val="Hyperlink"/>
            <w:rFonts w:cs="Times New Roman"/>
            <w:noProof/>
          </w:rPr>
          <w:t>Table 2: NDPII's Theory of Change</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_Toc536205950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9</w:t>
        </w:r>
        <w:r w:rsidR="009D0863" w:rsidRPr="00F10F3B">
          <w:rPr>
            <w:rFonts w:cs="Times New Roman"/>
            <w:noProof/>
            <w:webHidden/>
          </w:rPr>
          <w:fldChar w:fldCharType="end"/>
        </w:r>
      </w:hyperlink>
    </w:p>
    <w:p w14:paraId="162E970B" w14:textId="2CD9785A"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1" w:history="1">
        <w:r w:rsidR="009D0863" w:rsidRPr="00F10F3B">
          <w:rPr>
            <w:rStyle w:val="Hyperlink"/>
            <w:rFonts w:cs="Times New Roman"/>
            <w:noProof/>
          </w:rPr>
          <w:t>Table 3: Best practice in policy, law and regulation making</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_Toc536205951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15</w:t>
        </w:r>
        <w:r w:rsidR="009D0863" w:rsidRPr="00F10F3B">
          <w:rPr>
            <w:rFonts w:cs="Times New Roman"/>
            <w:noProof/>
            <w:webHidden/>
          </w:rPr>
          <w:fldChar w:fldCharType="end"/>
        </w:r>
      </w:hyperlink>
    </w:p>
    <w:p w14:paraId="1465488E" w14:textId="27F91903"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2" w:history="1">
        <w:r w:rsidR="009D0863" w:rsidRPr="00F10F3B">
          <w:rPr>
            <w:rStyle w:val="Hyperlink"/>
            <w:rFonts w:cs="Times New Roman"/>
            <w:noProof/>
          </w:rPr>
          <w:t>Table 4: Policy quality determinants</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_Toc536205952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16</w:t>
        </w:r>
        <w:r w:rsidR="009D0863" w:rsidRPr="00F10F3B">
          <w:rPr>
            <w:rFonts w:cs="Times New Roman"/>
            <w:noProof/>
            <w:webHidden/>
          </w:rPr>
          <w:fldChar w:fldCharType="end"/>
        </w:r>
      </w:hyperlink>
    </w:p>
    <w:p w14:paraId="0C9D34F9" w14:textId="58FABD45"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3" w:history="1">
        <w:r w:rsidR="009D0863" w:rsidRPr="00F10F3B">
          <w:rPr>
            <w:rStyle w:val="Hyperlink"/>
            <w:rFonts w:cs="Times New Roman"/>
            <w:noProof/>
          </w:rPr>
          <w:t>Table 5: Pre-requisites for successful NDPII implementation</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_Toc536205953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19</w:t>
        </w:r>
        <w:r w:rsidR="009D0863" w:rsidRPr="00F10F3B">
          <w:rPr>
            <w:rFonts w:cs="Times New Roman"/>
            <w:noProof/>
            <w:webHidden/>
          </w:rPr>
          <w:fldChar w:fldCharType="end"/>
        </w:r>
      </w:hyperlink>
    </w:p>
    <w:p w14:paraId="0605EF94" w14:textId="63960EC2"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4" w:history="1">
        <w:r w:rsidR="009D0863" w:rsidRPr="00F10F3B">
          <w:rPr>
            <w:rStyle w:val="Hyperlink"/>
            <w:rFonts w:cs="Times New Roman"/>
            <w:noProof/>
          </w:rPr>
          <w:t>Table 6: Effectiveness of Government policy in achieving NDPII objectives</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_Toc536205954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24</w:t>
        </w:r>
        <w:r w:rsidR="009D0863" w:rsidRPr="00F10F3B">
          <w:rPr>
            <w:rFonts w:cs="Times New Roman"/>
            <w:noProof/>
            <w:webHidden/>
          </w:rPr>
          <w:fldChar w:fldCharType="end"/>
        </w:r>
      </w:hyperlink>
    </w:p>
    <w:p w14:paraId="2CC4C04E" w14:textId="20CA0956"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5" w:history="1">
        <w:r w:rsidR="009D0863" w:rsidRPr="00F10F3B">
          <w:rPr>
            <w:rStyle w:val="Hyperlink"/>
            <w:rFonts w:cs="Times New Roman"/>
            <w:noProof/>
          </w:rPr>
          <w:t>Table 7: Improving policy effectiveness</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_Toc536205955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29</w:t>
        </w:r>
        <w:r w:rsidR="009D0863" w:rsidRPr="00F10F3B">
          <w:rPr>
            <w:rFonts w:cs="Times New Roman"/>
            <w:noProof/>
            <w:webHidden/>
          </w:rPr>
          <w:fldChar w:fldCharType="end"/>
        </w:r>
      </w:hyperlink>
    </w:p>
    <w:p w14:paraId="13124B60" w14:textId="61900A63"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6" w:history="1">
        <w:r w:rsidR="009D0863" w:rsidRPr="00F10F3B">
          <w:rPr>
            <w:rStyle w:val="Hyperlink"/>
            <w:rFonts w:cs="Times New Roman"/>
            <w:noProof/>
          </w:rPr>
          <w:t>Table 8: Certificate of compliance assessments (2015/16-2017/18)</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_Toc536205956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31</w:t>
        </w:r>
        <w:r w:rsidR="009D0863" w:rsidRPr="00F10F3B">
          <w:rPr>
            <w:rFonts w:cs="Times New Roman"/>
            <w:noProof/>
            <w:webHidden/>
          </w:rPr>
          <w:fldChar w:fldCharType="end"/>
        </w:r>
      </w:hyperlink>
    </w:p>
    <w:p w14:paraId="3FE26FF3" w14:textId="7C70FDAC"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7" w:history="1">
        <w:r w:rsidR="009D0863" w:rsidRPr="00F10F3B">
          <w:rPr>
            <w:rStyle w:val="Hyperlink"/>
            <w:rFonts w:cs="Times New Roman"/>
            <w:noProof/>
          </w:rPr>
          <w:t>Table 9: Sector alignment FY15/16-17/18</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_Toc536205957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32</w:t>
        </w:r>
        <w:r w:rsidR="009D0863" w:rsidRPr="00F10F3B">
          <w:rPr>
            <w:rFonts w:cs="Times New Roman"/>
            <w:noProof/>
            <w:webHidden/>
          </w:rPr>
          <w:fldChar w:fldCharType="end"/>
        </w:r>
      </w:hyperlink>
    </w:p>
    <w:p w14:paraId="6CEDA174" w14:textId="1D5176FA"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8" w:history="1">
        <w:r w:rsidR="009D0863" w:rsidRPr="00F10F3B">
          <w:rPr>
            <w:rStyle w:val="Hyperlink"/>
            <w:rFonts w:cs="Times New Roman"/>
            <w:noProof/>
          </w:rPr>
          <w:t>Table 10: Alignment of Budget to NDPII Objectives</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_Toc536205958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34</w:t>
        </w:r>
        <w:r w:rsidR="009D0863" w:rsidRPr="00F10F3B">
          <w:rPr>
            <w:rFonts w:cs="Times New Roman"/>
            <w:noProof/>
            <w:webHidden/>
          </w:rPr>
          <w:fldChar w:fldCharType="end"/>
        </w:r>
      </w:hyperlink>
    </w:p>
    <w:p w14:paraId="7357D9B8" w14:textId="2621C96C" w:rsidR="009D0863" w:rsidRPr="00F10F3B" w:rsidRDefault="006575DD" w:rsidP="00587EDE">
      <w:pPr>
        <w:pStyle w:val="TableofFigures"/>
        <w:tabs>
          <w:tab w:val="right" w:leader="dot" w:pos="9016"/>
        </w:tabs>
        <w:jc w:val="both"/>
        <w:rPr>
          <w:rFonts w:eastAsiaTheme="minorEastAsia" w:cs="Times New Roman"/>
          <w:noProof/>
          <w:lang w:eastAsia="en-GB"/>
        </w:rPr>
      </w:pPr>
      <w:hyperlink w:anchor="_Toc536205959" w:history="1">
        <w:r w:rsidR="009D0863" w:rsidRPr="00F10F3B">
          <w:rPr>
            <w:rStyle w:val="Hyperlink"/>
            <w:rFonts w:cs="Times New Roman"/>
            <w:noProof/>
          </w:rPr>
          <w:t>Table 11: Compliance assessment at sector level</w:t>
        </w:r>
        <w:r w:rsidR="009D0863" w:rsidRPr="00F10F3B">
          <w:rPr>
            <w:rFonts w:cs="Times New Roman"/>
            <w:noProof/>
            <w:webHidden/>
          </w:rPr>
          <w:tab/>
        </w:r>
        <w:r w:rsidR="009D0863" w:rsidRPr="00F10F3B">
          <w:rPr>
            <w:rFonts w:cs="Times New Roman"/>
            <w:noProof/>
            <w:webHidden/>
          </w:rPr>
          <w:fldChar w:fldCharType="begin"/>
        </w:r>
        <w:r w:rsidR="009D0863" w:rsidRPr="00F10F3B">
          <w:rPr>
            <w:rFonts w:cs="Times New Roman"/>
            <w:noProof/>
            <w:webHidden/>
          </w:rPr>
          <w:instrText xml:space="preserve"> PAGEREF _Toc536205959 \h </w:instrText>
        </w:r>
        <w:r w:rsidR="009D0863" w:rsidRPr="00F10F3B">
          <w:rPr>
            <w:rFonts w:cs="Times New Roman"/>
            <w:noProof/>
            <w:webHidden/>
          </w:rPr>
        </w:r>
        <w:r w:rsidR="009D0863" w:rsidRPr="00F10F3B">
          <w:rPr>
            <w:rFonts w:cs="Times New Roman"/>
            <w:noProof/>
            <w:webHidden/>
          </w:rPr>
          <w:fldChar w:fldCharType="separate"/>
        </w:r>
        <w:r w:rsidR="00A057A7">
          <w:rPr>
            <w:rFonts w:cs="Times New Roman"/>
            <w:noProof/>
            <w:webHidden/>
          </w:rPr>
          <w:t>56</w:t>
        </w:r>
        <w:r w:rsidR="009D0863" w:rsidRPr="00F10F3B">
          <w:rPr>
            <w:rFonts w:cs="Times New Roman"/>
            <w:noProof/>
            <w:webHidden/>
          </w:rPr>
          <w:fldChar w:fldCharType="end"/>
        </w:r>
      </w:hyperlink>
    </w:p>
    <w:p w14:paraId="34ACCEF6" w14:textId="0144DF6B" w:rsidR="00F8585B" w:rsidRPr="00F10F3B" w:rsidRDefault="00F8585B" w:rsidP="00587EDE">
      <w:pPr>
        <w:spacing w:after="160" w:line="360" w:lineRule="auto"/>
        <w:jc w:val="both"/>
        <w:rPr>
          <w:rFonts w:ascii="Times New Roman" w:hAnsi="Times New Roman" w:cs="Times New Roman"/>
        </w:rPr>
      </w:pPr>
      <w:r w:rsidRPr="00F10F3B">
        <w:rPr>
          <w:rFonts w:ascii="Times New Roman" w:hAnsi="Times New Roman" w:cs="Times New Roman"/>
        </w:rPr>
        <w:fldChar w:fldCharType="end"/>
      </w:r>
    </w:p>
    <w:p w14:paraId="1E90762C" w14:textId="77777777" w:rsidR="00F10F3B" w:rsidRPr="00F10F3B" w:rsidRDefault="00F10F3B" w:rsidP="00587EDE">
      <w:pPr>
        <w:spacing w:after="160" w:line="360" w:lineRule="auto"/>
        <w:jc w:val="both"/>
        <w:rPr>
          <w:rFonts w:ascii="Times New Roman" w:eastAsiaTheme="majorEastAsia" w:hAnsi="Times New Roman" w:cs="Times New Roman"/>
          <w:b/>
          <w:sz w:val="28"/>
          <w:szCs w:val="32"/>
        </w:rPr>
      </w:pPr>
      <w:r w:rsidRPr="00F10F3B">
        <w:rPr>
          <w:rFonts w:ascii="Times New Roman" w:hAnsi="Times New Roman" w:cs="Times New Roman"/>
        </w:rPr>
        <w:br w:type="page"/>
      </w:r>
    </w:p>
    <w:p w14:paraId="008AE358" w14:textId="4B7D5304" w:rsidR="00CF7011" w:rsidRPr="00F10F3B" w:rsidRDefault="00FD6444" w:rsidP="00B86D0C">
      <w:pPr>
        <w:pStyle w:val="Heading1"/>
      </w:pPr>
      <w:bookmarkStart w:id="2" w:name="_Toc3454206"/>
      <w:bookmarkStart w:id="3" w:name="_Toc9269371"/>
      <w:r>
        <w:lastRenderedPageBreak/>
        <w:t xml:space="preserve">List of </w:t>
      </w:r>
      <w:r w:rsidR="00CF7011" w:rsidRPr="00F10F3B">
        <w:t>Figures</w:t>
      </w:r>
      <w:bookmarkEnd w:id="2"/>
      <w:bookmarkEnd w:id="3"/>
    </w:p>
    <w:p w14:paraId="19DB9625" w14:textId="1C5C6665" w:rsidR="00CF7011" w:rsidRPr="00F10F3B" w:rsidRDefault="00CF7011" w:rsidP="00587EDE">
      <w:pPr>
        <w:pStyle w:val="TableofFigures"/>
        <w:tabs>
          <w:tab w:val="right" w:leader="dot" w:pos="9016"/>
        </w:tabs>
        <w:jc w:val="both"/>
        <w:rPr>
          <w:rFonts w:eastAsiaTheme="minorEastAsia" w:cs="Times New Roman"/>
          <w:noProof/>
          <w:lang w:eastAsia="en-GB"/>
        </w:rPr>
      </w:pPr>
      <w:r w:rsidRPr="00F10F3B">
        <w:rPr>
          <w:rFonts w:cs="Times New Roman"/>
        </w:rPr>
        <w:fldChar w:fldCharType="begin"/>
      </w:r>
      <w:r w:rsidRPr="00F10F3B">
        <w:rPr>
          <w:rFonts w:cs="Times New Roman"/>
        </w:rPr>
        <w:instrText xml:space="preserve"> TOC \h \z \c "Figure" </w:instrText>
      </w:r>
      <w:r w:rsidRPr="00F10F3B">
        <w:rPr>
          <w:rFonts w:cs="Times New Roman"/>
        </w:rPr>
        <w:fldChar w:fldCharType="separate"/>
      </w:r>
      <w:hyperlink w:anchor="_Toc536126225" w:history="1">
        <w:r w:rsidRPr="00F10F3B">
          <w:rPr>
            <w:rStyle w:val="Hyperlink"/>
            <w:rFonts w:cs="Times New Roman"/>
            <w:noProof/>
          </w:rPr>
          <w:t>Figure 1: Policy management in Uganda</w:t>
        </w:r>
        <w:r w:rsidRPr="00F10F3B">
          <w:rPr>
            <w:rFonts w:cs="Times New Roman"/>
            <w:noProof/>
            <w:webHidden/>
          </w:rPr>
          <w:tab/>
        </w:r>
        <w:r w:rsidRPr="00F10F3B">
          <w:rPr>
            <w:rFonts w:cs="Times New Roman"/>
            <w:noProof/>
            <w:webHidden/>
          </w:rPr>
          <w:fldChar w:fldCharType="begin"/>
        </w:r>
        <w:r w:rsidRPr="00F10F3B">
          <w:rPr>
            <w:rFonts w:cs="Times New Roman"/>
            <w:noProof/>
            <w:webHidden/>
          </w:rPr>
          <w:instrText xml:space="preserve"> PAGEREF _Toc536126225 \h </w:instrText>
        </w:r>
        <w:r w:rsidRPr="00F10F3B">
          <w:rPr>
            <w:rFonts w:cs="Times New Roman"/>
            <w:noProof/>
            <w:webHidden/>
          </w:rPr>
        </w:r>
        <w:r w:rsidRPr="00F10F3B">
          <w:rPr>
            <w:rFonts w:cs="Times New Roman"/>
            <w:noProof/>
            <w:webHidden/>
          </w:rPr>
          <w:fldChar w:fldCharType="separate"/>
        </w:r>
        <w:r w:rsidR="00A057A7">
          <w:rPr>
            <w:rFonts w:cs="Times New Roman"/>
            <w:noProof/>
            <w:webHidden/>
          </w:rPr>
          <w:t>4</w:t>
        </w:r>
        <w:r w:rsidRPr="00F10F3B">
          <w:rPr>
            <w:rFonts w:cs="Times New Roman"/>
            <w:noProof/>
            <w:webHidden/>
          </w:rPr>
          <w:fldChar w:fldCharType="end"/>
        </w:r>
      </w:hyperlink>
    </w:p>
    <w:p w14:paraId="501EC217" w14:textId="0CEDB861" w:rsidR="00207846" w:rsidRPr="00F10F3B" w:rsidRDefault="00CF7011" w:rsidP="00587EDE">
      <w:pPr>
        <w:spacing w:after="160" w:line="360" w:lineRule="auto"/>
        <w:jc w:val="both"/>
        <w:rPr>
          <w:rFonts w:ascii="Times New Roman" w:hAnsi="Times New Roman" w:cs="Times New Roman"/>
        </w:rPr>
      </w:pPr>
      <w:r w:rsidRPr="00F10F3B">
        <w:rPr>
          <w:rFonts w:ascii="Times New Roman" w:hAnsi="Times New Roman" w:cs="Times New Roman"/>
        </w:rPr>
        <w:fldChar w:fldCharType="end"/>
      </w:r>
    </w:p>
    <w:p w14:paraId="425C0DCC" w14:textId="77777777" w:rsidR="00003E08" w:rsidRDefault="00003E08">
      <w:pPr>
        <w:spacing w:after="160" w:line="259" w:lineRule="auto"/>
        <w:rPr>
          <w:rFonts w:ascii="Times New Roman" w:eastAsiaTheme="majorEastAsia" w:hAnsi="Times New Roman" w:cs="Times New Roman"/>
          <w:b/>
          <w:color w:val="000000" w:themeColor="text1"/>
          <w:sz w:val="32"/>
          <w:szCs w:val="32"/>
          <w:lang w:val="en-US"/>
        </w:rPr>
      </w:pPr>
      <w:r>
        <w:rPr>
          <w:rFonts w:ascii="Times New Roman" w:eastAsiaTheme="majorEastAsia" w:hAnsi="Times New Roman" w:cs="Times New Roman"/>
          <w:b/>
          <w:color w:val="000000" w:themeColor="text1"/>
          <w:sz w:val="32"/>
          <w:szCs w:val="32"/>
          <w:lang w:val="en-US"/>
        </w:rPr>
        <w:br w:type="page"/>
      </w:r>
    </w:p>
    <w:p w14:paraId="058463A8" w14:textId="09A2FC5C" w:rsidR="00FA085F" w:rsidRPr="00F10F3B" w:rsidRDefault="00FA085F" w:rsidP="00B86D0C">
      <w:pPr>
        <w:pStyle w:val="Heading1"/>
      </w:pPr>
      <w:bookmarkStart w:id="4" w:name="_Toc3454207"/>
      <w:bookmarkStart w:id="5" w:name="_Toc9269372"/>
      <w:r w:rsidRPr="00F10F3B">
        <w:lastRenderedPageBreak/>
        <w:t>Acronyms</w:t>
      </w:r>
      <w:bookmarkEnd w:id="4"/>
      <w:bookmarkEnd w:id="5"/>
    </w:p>
    <w:p w14:paraId="0A015B74"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BUBU</w:t>
      </w:r>
      <w:r w:rsidRPr="00003E08">
        <w:rPr>
          <w:rFonts w:ascii="Times New Roman" w:hAnsi="Times New Roman" w:cs="Times New Roman"/>
          <w:sz w:val="24"/>
        </w:rPr>
        <w:tab/>
      </w:r>
      <w:r w:rsidRPr="00003E08">
        <w:rPr>
          <w:rFonts w:ascii="Times New Roman" w:hAnsi="Times New Roman" w:cs="Times New Roman"/>
          <w:sz w:val="24"/>
        </w:rPr>
        <w:tab/>
        <w:t>Buy Uganda Build Uganda</w:t>
      </w:r>
    </w:p>
    <w:p w14:paraId="711E1CAC" w14:textId="1DA8FA06"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CNDPF</w:t>
      </w:r>
      <w:r w:rsidRPr="00003E08">
        <w:rPr>
          <w:rFonts w:ascii="Times New Roman" w:hAnsi="Times New Roman" w:cs="Times New Roman"/>
          <w:sz w:val="24"/>
        </w:rPr>
        <w:tab/>
      </w:r>
      <w:bookmarkStart w:id="6" w:name="_GoBack"/>
      <w:bookmarkEnd w:id="6"/>
      <w:r w:rsidRPr="00003E08">
        <w:rPr>
          <w:rFonts w:ascii="Times New Roman" w:hAnsi="Times New Roman" w:cs="Times New Roman"/>
          <w:sz w:val="24"/>
        </w:rPr>
        <w:t>Comprehensive National Development Planning Framework</w:t>
      </w:r>
    </w:p>
    <w:p w14:paraId="2B3EE0C8"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CPI</w:t>
      </w:r>
      <w:r w:rsidRPr="00003E08">
        <w:rPr>
          <w:rFonts w:ascii="Times New Roman" w:hAnsi="Times New Roman" w:cs="Times New Roman"/>
          <w:sz w:val="24"/>
        </w:rPr>
        <w:tab/>
      </w:r>
      <w:r w:rsidRPr="00003E08">
        <w:rPr>
          <w:rFonts w:ascii="Times New Roman" w:hAnsi="Times New Roman" w:cs="Times New Roman"/>
          <w:sz w:val="24"/>
        </w:rPr>
        <w:tab/>
        <w:t>Corruption Perception Index</w:t>
      </w:r>
    </w:p>
    <w:p w14:paraId="26421A85"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GDP</w:t>
      </w:r>
      <w:r w:rsidRPr="00003E08">
        <w:rPr>
          <w:rFonts w:ascii="Times New Roman" w:hAnsi="Times New Roman" w:cs="Times New Roman"/>
          <w:sz w:val="24"/>
        </w:rPr>
        <w:tab/>
      </w:r>
      <w:r w:rsidRPr="00003E08">
        <w:rPr>
          <w:rFonts w:ascii="Times New Roman" w:hAnsi="Times New Roman" w:cs="Times New Roman"/>
          <w:sz w:val="24"/>
        </w:rPr>
        <w:tab/>
        <w:t>Gross Domestic Product</w:t>
      </w:r>
    </w:p>
    <w:p w14:paraId="51002D31"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GNI</w:t>
      </w:r>
      <w:r w:rsidRPr="00003E08">
        <w:rPr>
          <w:rFonts w:ascii="Times New Roman" w:hAnsi="Times New Roman" w:cs="Times New Roman"/>
          <w:sz w:val="24"/>
        </w:rPr>
        <w:tab/>
      </w:r>
      <w:r w:rsidRPr="00003E08">
        <w:rPr>
          <w:rFonts w:ascii="Times New Roman" w:hAnsi="Times New Roman" w:cs="Times New Roman"/>
          <w:sz w:val="24"/>
        </w:rPr>
        <w:tab/>
        <w:t>Gross National Income</w:t>
      </w:r>
    </w:p>
    <w:p w14:paraId="0ED29894"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HCI</w:t>
      </w:r>
      <w:r w:rsidRPr="00003E08">
        <w:rPr>
          <w:rFonts w:ascii="Times New Roman" w:hAnsi="Times New Roman" w:cs="Times New Roman"/>
          <w:sz w:val="24"/>
        </w:rPr>
        <w:tab/>
      </w:r>
      <w:r w:rsidRPr="00003E08">
        <w:rPr>
          <w:rFonts w:ascii="Times New Roman" w:hAnsi="Times New Roman" w:cs="Times New Roman"/>
          <w:sz w:val="24"/>
        </w:rPr>
        <w:tab/>
        <w:t>Human Capital Index</w:t>
      </w:r>
    </w:p>
    <w:p w14:paraId="40342F32"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MDA</w:t>
      </w:r>
      <w:r w:rsidRPr="00003E08">
        <w:rPr>
          <w:rFonts w:ascii="Times New Roman" w:hAnsi="Times New Roman" w:cs="Times New Roman"/>
          <w:sz w:val="24"/>
        </w:rPr>
        <w:tab/>
      </w:r>
      <w:r w:rsidRPr="00003E08">
        <w:rPr>
          <w:rFonts w:ascii="Times New Roman" w:hAnsi="Times New Roman" w:cs="Times New Roman"/>
          <w:sz w:val="24"/>
        </w:rPr>
        <w:tab/>
        <w:t>Ministry, Department, Agency</w:t>
      </w:r>
    </w:p>
    <w:p w14:paraId="2D036B4E" w14:textId="314DBB78"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MFPED</w:t>
      </w:r>
      <w:r w:rsidRPr="00003E08">
        <w:rPr>
          <w:rFonts w:ascii="Times New Roman" w:hAnsi="Times New Roman" w:cs="Times New Roman"/>
          <w:sz w:val="24"/>
        </w:rPr>
        <w:tab/>
        <w:t>Ministry of Finance, Planning and Economic Development</w:t>
      </w:r>
    </w:p>
    <w:p w14:paraId="77385684"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MIS</w:t>
      </w:r>
      <w:r w:rsidRPr="00003E08">
        <w:rPr>
          <w:rFonts w:ascii="Times New Roman" w:hAnsi="Times New Roman" w:cs="Times New Roman"/>
          <w:sz w:val="24"/>
        </w:rPr>
        <w:tab/>
      </w:r>
      <w:r w:rsidRPr="00003E08">
        <w:rPr>
          <w:rFonts w:ascii="Times New Roman" w:hAnsi="Times New Roman" w:cs="Times New Roman"/>
          <w:sz w:val="24"/>
        </w:rPr>
        <w:tab/>
        <w:t>Management Information System</w:t>
      </w:r>
    </w:p>
    <w:p w14:paraId="475BF539"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MTEF</w:t>
      </w:r>
      <w:r w:rsidRPr="00003E08">
        <w:rPr>
          <w:rFonts w:ascii="Times New Roman" w:hAnsi="Times New Roman" w:cs="Times New Roman"/>
          <w:sz w:val="24"/>
        </w:rPr>
        <w:tab/>
      </w:r>
      <w:r w:rsidRPr="00003E08">
        <w:rPr>
          <w:rFonts w:ascii="Times New Roman" w:hAnsi="Times New Roman" w:cs="Times New Roman"/>
          <w:sz w:val="24"/>
        </w:rPr>
        <w:tab/>
        <w:t>Medium Term Expenditure Framework</w:t>
      </w:r>
    </w:p>
    <w:p w14:paraId="2DDB5B82"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MTR</w:t>
      </w:r>
      <w:r w:rsidRPr="00003E08">
        <w:rPr>
          <w:rFonts w:ascii="Times New Roman" w:hAnsi="Times New Roman" w:cs="Times New Roman"/>
          <w:sz w:val="24"/>
        </w:rPr>
        <w:tab/>
      </w:r>
      <w:r w:rsidRPr="00003E08">
        <w:rPr>
          <w:rFonts w:ascii="Times New Roman" w:hAnsi="Times New Roman" w:cs="Times New Roman"/>
          <w:sz w:val="24"/>
        </w:rPr>
        <w:tab/>
        <w:t xml:space="preserve">Mid Term Review </w:t>
      </w:r>
    </w:p>
    <w:p w14:paraId="53524EDC"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NDPI</w:t>
      </w:r>
      <w:r w:rsidRPr="00003E08">
        <w:rPr>
          <w:rFonts w:ascii="Times New Roman" w:hAnsi="Times New Roman" w:cs="Times New Roman"/>
          <w:sz w:val="24"/>
        </w:rPr>
        <w:tab/>
      </w:r>
      <w:r w:rsidRPr="00003E08">
        <w:rPr>
          <w:rFonts w:ascii="Times New Roman" w:hAnsi="Times New Roman" w:cs="Times New Roman"/>
          <w:sz w:val="24"/>
        </w:rPr>
        <w:tab/>
        <w:t>National Development Plan I</w:t>
      </w:r>
    </w:p>
    <w:p w14:paraId="17A83673"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NDPII</w:t>
      </w:r>
      <w:r w:rsidRPr="00003E08">
        <w:rPr>
          <w:rFonts w:ascii="Times New Roman" w:hAnsi="Times New Roman" w:cs="Times New Roman"/>
          <w:sz w:val="24"/>
        </w:rPr>
        <w:tab/>
      </w:r>
      <w:r w:rsidRPr="00003E08">
        <w:rPr>
          <w:rFonts w:ascii="Times New Roman" w:hAnsi="Times New Roman" w:cs="Times New Roman"/>
          <w:sz w:val="24"/>
        </w:rPr>
        <w:tab/>
        <w:t>National Development Plan 2</w:t>
      </w:r>
    </w:p>
    <w:p w14:paraId="2B3D9C2A"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NPA</w:t>
      </w:r>
      <w:r w:rsidRPr="00003E08">
        <w:rPr>
          <w:rFonts w:ascii="Times New Roman" w:hAnsi="Times New Roman" w:cs="Times New Roman"/>
          <w:sz w:val="24"/>
        </w:rPr>
        <w:tab/>
      </w:r>
      <w:r w:rsidRPr="00003E08">
        <w:rPr>
          <w:rFonts w:ascii="Times New Roman" w:hAnsi="Times New Roman" w:cs="Times New Roman"/>
          <w:sz w:val="24"/>
        </w:rPr>
        <w:tab/>
        <w:t>National Planning Authority</w:t>
      </w:r>
    </w:p>
    <w:p w14:paraId="759CCE8C"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NRM</w:t>
      </w:r>
      <w:r w:rsidRPr="00003E08">
        <w:rPr>
          <w:rFonts w:ascii="Times New Roman" w:hAnsi="Times New Roman" w:cs="Times New Roman"/>
          <w:sz w:val="24"/>
        </w:rPr>
        <w:tab/>
      </w:r>
      <w:r w:rsidRPr="00003E08">
        <w:rPr>
          <w:rFonts w:ascii="Times New Roman" w:hAnsi="Times New Roman" w:cs="Times New Roman"/>
          <w:sz w:val="24"/>
        </w:rPr>
        <w:tab/>
        <w:t>National Resistance Movement</w:t>
      </w:r>
    </w:p>
    <w:p w14:paraId="1BACC227"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PEFA</w:t>
      </w:r>
      <w:r w:rsidRPr="00003E08">
        <w:rPr>
          <w:rFonts w:ascii="Times New Roman" w:hAnsi="Times New Roman" w:cs="Times New Roman"/>
          <w:sz w:val="24"/>
        </w:rPr>
        <w:tab/>
      </w:r>
      <w:r w:rsidRPr="00003E08">
        <w:rPr>
          <w:rFonts w:ascii="Times New Roman" w:hAnsi="Times New Roman" w:cs="Times New Roman"/>
          <w:sz w:val="24"/>
        </w:rPr>
        <w:tab/>
        <w:t xml:space="preserve">Public Expenditure and Financial Assessment </w:t>
      </w:r>
    </w:p>
    <w:p w14:paraId="4DA11E38"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PIM</w:t>
      </w:r>
      <w:r w:rsidRPr="00003E08">
        <w:rPr>
          <w:rFonts w:ascii="Times New Roman" w:hAnsi="Times New Roman" w:cs="Times New Roman"/>
          <w:sz w:val="24"/>
        </w:rPr>
        <w:tab/>
      </w:r>
      <w:r w:rsidRPr="00003E08">
        <w:rPr>
          <w:rFonts w:ascii="Times New Roman" w:hAnsi="Times New Roman" w:cs="Times New Roman"/>
          <w:sz w:val="24"/>
        </w:rPr>
        <w:tab/>
        <w:t>Public Investment Management</w:t>
      </w:r>
    </w:p>
    <w:p w14:paraId="39113232"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PS</w:t>
      </w:r>
      <w:r w:rsidRPr="00003E08">
        <w:rPr>
          <w:rFonts w:ascii="Times New Roman" w:hAnsi="Times New Roman" w:cs="Times New Roman"/>
          <w:sz w:val="24"/>
        </w:rPr>
        <w:tab/>
      </w:r>
      <w:r w:rsidRPr="00003E08">
        <w:rPr>
          <w:rFonts w:ascii="Times New Roman" w:hAnsi="Times New Roman" w:cs="Times New Roman"/>
          <w:sz w:val="24"/>
        </w:rPr>
        <w:tab/>
        <w:t>Policy and Strategic Direction</w:t>
      </w:r>
    </w:p>
    <w:p w14:paraId="63BF788F"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PSI</w:t>
      </w:r>
      <w:r w:rsidRPr="00003E08">
        <w:rPr>
          <w:rFonts w:ascii="Times New Roman" w:hAnsi="Times New Roman" w:cs="Times New Roman"/>
          <w:sz w:val="24"/>
        </w:rPr>
        <w:tab/>
      </w:r>
      <w:r w:rsidRPr="00003E08">
        <w:rPr>
          <w:rFonts w:ascii="Times New Roman" w:hAnsi="Times New Roman" w:cs="Times New Roman"/>
          <w:sz w:val="24"/>
        </w:rPr>
        <w:tab/>
        <w:t>Policy Supported Instrument (IMF)</w:t>
      </w:r>
    </w:p>
    <w:p w14:paraId="43810255"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SDG</w:t>
      </w:r>
      <w:r w:rsidRPr="00003E08">
        <w:rPr>
          <w:rFonts w:ascii="Times New Roman" w:hAnsi="Times New Roman" w:cs="Times New Roman"/>
          <w:sz w:val="24"/>
        </w:rPr>
        <w:tab/>
      </w:r>
      <w:r w:rsidRPr="00003E08">
        <w:rPr>
          <w:rFonts w:ascii="Times New Roman" w:hAnsi="Times New Roman" w:cs="Times New Roman"/>
          <w:sz w:val="24"/>
        </w:rPr>
        <w:tab/>
        <w:t>Sustainable Development Goal</w:t>
      </w:r>
    </w:p>
    <w:p w14:paraId="47433E6F" w14:textId="2B249DE3" w:rsidR="00022AF2" w:rsidRPr="00003E08" w:rsidRDefault="00587EDE" w:rsidP="00003E08">
      <w:pPr>
        <w:spacing w:line="360" w:lineRule="auto"/>
        <w:jc w:val="both"/>
        <w:rPr>
          <w:rFonts w:ascii="Times New Roman" w:hAnsi="Times New Roman" w:cs="Times New Roman"/>
          <w:sz w:val="24"/>
        </w:rPr>
      </w:pPr>
      <w:r w:rsidRPr="00003E08">
        <w:rPr>
          <w:rFonts w:ascii="Times New Roman" w:hAnsi="Times New Roman" w:cs="Times New Roman"/>
          <w:sz w:val="24"/>
        </w:rPr>
        <w:t>SMART</w:t>
      </w:r>
      <w:r w:rsidRPr="00003E08">
        <w:rPr>
          <w:rFonts w:ascii="Times New Roman" w:hAnsi="Times New Roman" w:cs="Times New Roman"/>
          <w:sz w:val="24"/>
        </w:rPr>
        <w:tab/>
      </w:r>
      <w:r w:rsidR="00022AF2" w:rsidRPr="00003E08">
        <w:rPr>
          <w:rFonts w:ascii="Times New Roman" w:hAnsi="Times New Roman" w:cs="Times New Roman"/>
          <w:sz w:val="24"/>
        </w:rPr>
        <w:t>Specific, Measurable, Achievable, Results-focused, Time-bound</w:t>
      </w:r>
    </w:p>
    <w:p w14:paraId="79BF1411"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UBOS</w:t>
      </w:r>
      <w:r w:rsidRPr="00003E08">
        <w:rPr>
          <w:rFonts w:ascii="Times New Roman" w:hAnsi="Times New Roman" w:cs="Times New Roman"/>
          <w:sz w:val="24"/>
        </w:rPr>
        <w:tab/>
      </w:r>
      <w:r w:rsidRPr="00003E08">
        <w:rPr>
          <w:rFonts w:ascii="Times New Roman" w:hAnsi="Times New Roman" w:cs="Times New Roman"/>
          <w:sz w:val="24"/>
        </w:rPr>
        <w:tab/>
        <w:t>Uganda Bureau of Statistics</w:t>
      </w:r>
    </w:p>
    <w:p w14:paraId="3271D806"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UDB</w:t>
      </w:r>
      <w:r w:rsidRPr="00003E08">
        <w:rPr>
          <w:rFonts w:ascii="Times New Roman" w:hAnsi="Times New Roman" w:cs="Times New Roman"/>
          <w:sz w:val="24"/>
        </w:rPr>
        <w:tab/>
      </w:r>
      <w:r w:rsidRPr="00003E08">
        <w:rPr>
          <w:rFonts w:ascii="Times New Roman" w:hAnsi="Times New Roman" w:cs="Times New Roman"/>
          <w:sz w:val="24"/>
        </w:rPr>
        <w:tab/>
        <w:t>Uganda Development Bank</w:t>
      </w:r>
    </w:p>
    <w:p w14:paraId="54791DCB"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UDC</w:t>
      </w:r>
      <w:r w:rsidRPr="00003E08">
        <w:rPr>
          <w:rFonts w:ascii="Times New Roman" w:hAnsi="Times New Roman" w:cs="Times New Roman"/>
          <w:sz w:val="24"/>
        </w:rPr>
        <w:tab/>
      </w:r>
      <w:r w:rsidRPr="00003E08">
        <w:rPr>
          <w:rFonts w:ascii="Times New Roman" w:hAnsi="Times New Roman" w:cs="Times New Roman"/>
          <w:sz w:val="24"/>
        </w:rPr>
        <w:tab/>
        <w:t>Uganda Development Corporation</w:t>
      </w:r>
    </w:p>
    <w:p w14:paraId="4578D6C1" w14:textId="77777777" w:rsidR="00022AF2" w:rsidRPr="00003E08" w:rsidRDefault="00022AF2" w:rsidP="00003E08">
      <w:pPr>
        <w:spacing w:line="360" w:lineRule="auto"/>
        <w:jc w:val="both"/>
        <w:rPr>
          <w:rFonts w:ascii="Times New Roman" w:hAnsi="Times New Roman" w:cs="Times New Roman"/>
          <w:sz w:val="24"/>
        </w:rPr>
      </w:pPr>
      <w:r w:rsidRPr="00003E08">
        <w:rPr>
          <w:rFonts w:ascii="Times New Roman" w:hAnsi="Times New Roman" w:cs="Times New Roman"/>
          <w:sz w:val="24"/>
        </w:rPr>
        <w:t>UIA</w:t>
      </w:r>
      <w:r w:rsidRPr="00003E08">
        <w:rPr>
          <w:rFonts w:ascii="Times New Roman" w:hAnsi="Times New Roman" w:cs="Times New Roman"/>
          <w:sz w:val="24"/>
        </w:rPr>
        <w:tab/>
      </w:r>
      <w:r w:rsidRPr="00003E08">
        <w:rPr>
          <w:rFonts w:ascii="Times New Roman" w:hAnsi="Times New Roman" w:cs="Times New Roman"/>
          <w:sz w:val="24"/>
        </w:rPr>
        <w:tab/>
        <w:t>Uganda Investment Authority</w:t>
      </w:r>
    </w:p>
    <w:p w14:paraId="49967844" w14:textId="07BDC328" w:rsidR="00003E08" w:rsidRPr="00F10F3B" w:rsidRDefault="00003E08" w:rsidP="00003E08">
      <w:pPr>
        <w:spacing w:line="360" w:lineRule="auto"/>
        <w:jc w:val="both"/>
        <w:rPr>
          <w:rFonts w:ascii="Times New Roman" w:eastAsiaTheme="majorEastAsia" w:hAnsi="Times New Roman" w:cs="Times New Roman"/>
          <w:b/>
          <w:sz w:val="28"/>
          <w:szCs w:val="32"/>
          <w:lang w:val="en-US"/>
        </w:rPr>
      </w:pPr>
      <w:r w:rsidRPr="00F10F3B">
        <w:rPr>
          <w:rFonts w:ascii="Times New Roman" w:eastAsiaTheme="majorEastAsia" w:hAnsi="Times New Roman" w:cs="Times New Roman"/>
          <w:b/>
          <w:color w:val="000000" w:themeColor="text1"/>
          <w:sz w:val="32"/>
          <w:szCs w:val="32"/>
          <w:lang w:val="en-US"/>
        </w:rPr>
        <w:lastRenderedPageBreak/>
        <w:t>Acknowledgements</w:t>
      </w:r>
    </w:p>
    <w:p w14:paraId="2C90B2CE" w14:textId="77777777" w:rsidR="00003E08" w:rsidRPr="00003E08" w:rsidRDefault="00003E08" w:rsidP="00003E08">
      <w:pPr>
        <w:spacing w:line="360" w:lineRule="auto"/>
        <w:jc w:val="both"/>
        <w:rPr>
          <w:rFonts w:ascii="Times New Roman" w:eastAsiaTheme="majorEastAsia" w:hAnsi="Times New Roman" w:cs="Times New Roman"/>
          <w:b/>
          <w:sz w:val="24"/>
          <w:szCs w:val="24"/>
        </w:rPr>
      </w:pPr>
      <w:r w:rsidRPr="00003E08">
        <w:rPr>
          <w:rFonts w:ascii="Times New Roman" w:hAnsi="Times New Roman" w:cs="Times New Roman"/>
          <w:sz w:val="24"/>
          <w:szCs w:val="24"/>
        </w:rPr>
        <w:t xml:space="preserve">The author(s) would like to acknowledge the support, time and resources from the National Planning Authority and staff from the Ministry of Trade, Industry and Cooperatives, Ministry of Gender, Labour and Social Development, Office of President who assisted in the development of this report. The authors are also grateful for the support, time and resources made available from other Ministry, Department and Agency staff who assisted in the production of other Thematic Reports, which this report in turn draws upon. </w:t>
      </w:r>
    </w:p>
    <w:p w14:paraId="4628441B" w14:textId="77777777" w:rsidR="00003E08" w:rsidRPr="00003E08" w:rsidRDefault="00003E08" w:rsidP="00003E08">
      <w:pPr>
        <w:spacing w:line="360" w:lineRule="auto"/>
        <w:jc w:val="both"/>
        <w:rPr>
          <w:rFonts w:ascii="Times New Roman" w:eastAsiaTheme="majorEastAsia" w:hAnsi="Times New Roman" w:cs="Times New Roman"/>
          <w:b/>
          <w:sz w:val="24"/>
          <w:szCs w:val="24"/>
        </w:rPr>
      </w:pPr>
      <w:r w:rsidRPr="00003E08">
        <w:rPr>
          <w:rFonts w:ascii="Times New Roman" w:hAnsi="Times New Roman" w:cs="Times New Roman"/>
          <w:sz w:val="24"/>
          <w:szCs w:val="24"/>
        </w:rPr>
        <w:br w:type="page"/>
      </w:r>
    </w:p>
    <w:p w14:paraId="1F2BD865" w14:textId="1666F2E6" w:rsidR="008469E2" w:rsidRPr="00B86D0C" w:rsidRDefault="008469E2" w:rsidP="00B86D0C">
      <w:pPr>
        <w:pStyle w:val="Heading1"/>
      </w:pPr>
      <w:bookmarkStart w:id="7" w:name="_Toc3454208"/>
      <w:bookmarkStart w:id="8" w:name="_Toc9269373"/>
      <w:r w:rsidRPr="00B86D0C">
        <w:lastRenderedPageBreak/>
        <w:t>Executive Summary</w:t>
      </w:r>
      <w:bookmarkEnd w:id="7"/>
      <w:bookmarkEnd w:id="8"/>
    </w:p>
    <w:p w14:paraId="136365B5" w14:textId="76A3E682" w:rsidR="006904D1" w:rsidRPr="00003E08" w:rsidRDefault="006904D1"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 xml:space="preserve">The </w:t>
      </w:r>
      <w:r w:rsidR="009A2561" w:rsidRPr="00003E08">
        <w:rPr>
          <w:rFonts w:ascii="Times New Roman" w:hAnsi="Times New Roman" w:cs="Times New Roman"/>
          <w:b/>
          <w:sz w:val="24"/>
          <w:szCs w:val="24"/>
        </w:rPr>
        <w:t>Government</w:t>
      </w:r>
      <w:r w:rsidRPr="00003E08">
        <w:rPr>
          <w:rFonts w:ascii="Times New Roman" w:hAnsi="Times New Roman" w:cs="Times New Roman"/>
          <w:b/>
          <w:sz w:val="24"/>
          <w:szCs w:val="24"/>
        </w:rPr>
        <w:t xml:space="preserve"> of Uganda, through the National Planning Authority, has commissioned a mid-term review of its National Development Plan II 2015/16-2019/20 (NDPII).</w:t>
      </w:r>
      <w:r w:rsidRPr="00003E08">
        <w:rPr>
          <w:rFonts w:ascii="Times New Roman" w:hAnsi="Times New Roman" w:cs="Times New Roman"/>
          <w:sz w:val="24"/>
          <w:szCs w:val="24"/>
        </w:rPr>
        <w:t xml:space="preserve"> The mid-term review covers the period 2014/15 to 2017/18. The mid-term review is comprised of six thematic reports: Economic Management, Institutional Framework, Development Partnerships, Political Economy, Results Framework and Policy and Strategic Direction. This is the Policy and Strategic Thematic Report. </w:t>
      </w:r>
    </w:p>
    <w:p w14:paraId="6741911E" w14:textId="37E6C7D2" w:rsidR="006904D1" w:rsidRPr="00003E08" w:rsidRDefault="006904D1"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The objective of this report is to present an assessment on the quality</w:t>
      </w:r>
      <w:r w:rsidR="009E683A" w:rsidRPr="00003E08">
        <w:rPr>
          <w:rFonts w:ascii="Times New Roman" w:hAnsi="Times New Roman" w:cs="Times New Roman"/>
          <w:b/>
          <w:sz w:val="24"/>
          <w:szCs w:val="24"/>
        </w:rPr>
        <w:t>, suitability</w:t>
      </w:r>
      <w:r w:rsidRPr="00003E08">
        <w:rPr>
          <w:rFonts w:ascii="Times New Roman" w:hAnsi="Times New Roman" w:cs="Times New Roman"/>
          <w:b/>
          <w:sz w:val="24"/>
          <w:szCs w:val="24"/>
        </w:rPr>
        <w:t xml:space="preserve"> and effectiveness of </w:t>
      </w:r>
      <w:r w:rsidR="00F07665" w:rsidRPr="00003E08">
        <w:rPr>
          <w:rFonts w:ascii="Times New Roman" w:hAnsi="Times New Roman" w:cs="Times New Roman"/>
          <w:b/>
          <w:sz w:val="24"/>
          <w:szCs w:val="24"/>
        </w:rPr>
        <w:t xml:space="preserve">NDPII’s </w:t>
      </w:r>
      <w:r w:rsidRPr="00003E08">
        <w:rPr>
          <w:rFonts w:ascii="Times New Roman" w:hAnsi="Times New Roman" w:cs="Times New Roman"/>
          <w:b/>
          <w:sz w:val="24"/>
          <w:szCs w:val="24"/>
        </w:rPr>
        <w:t>policy and strategic direction</w:t>
      </w:r>
      <w:r w:rsidR="00F07665" w:rsidRPr="00003E08">
        <w:rPr>
          <w:rFonts w:ascii="Times New Roman" w:hAnsi="Times New Roman" w:cs="Times New Roman"/>
          <w:b/>
          <w:sz w:val="24"/>
          <w:szCs w:val="24"/>
        </w:rPr>
        <w:t>,</w:t>
      </w:r>
      <w:r w:rsidRPr="00003E08">
        <w:rPr>
          <w:rFonts w:ascii="Times New Roman" w:hAnsi="Times New Roman" w:cs="Times New Roman"/>
          <w:b/>
          <w:sz w:val="24"/>
          <w:szCs w:val="24"/>
        </w:rPr>
        <w:t xml:space="preserve"> three years into implementation. </w:t>
      </w:r>
      <w:r w:rsidR="00B56CE8" w:rsidRPr="00003E08">
        <w:rPr>
          <w:rFonts w:ascii="Times New Roman" w:hAnsi="Times New Roman" w:cs="Times New Roman"/>
          <w:sz w:val="24"/>
          <w:szCs w:val="24"/>
        </w:rPr>
        <w:t>F</w:t>
      </w:r>
      <w:r w:rsidR="00752A1D" w:rsidRPr="00003E08">
        <w:rPr>
          <w:rFonts w:ascii="Times New Roman" w:hAnsi="Times New Roman" w:cs="Times New Roman"/>
          <w:sz w:val="24"/>
          <w:szCs w:val="24"/>
        </w:rPr>
        <w:t>ive</w:t>
      </w:r>
      <w:r w:rsidR="00B56CE8" w:rsidRPr="00003E08">
        <w:rPr>
          <w:rFonts w:ascii="Times New Roman" w:hAnsi="Times New Roman" w:cs="Times New Roman"/>
          <w:sz w:val="24"/>
          <w:szCs w:val="24"/>
        </w:rPr>
        <w:t xml:space="preserve"> areas of enquiry have been considered in this report: NDPII’s theory of change</w:t>
      </w:r>
      <w:r w:rsidR="00E35557" w:rsidRPr="00003E08">
        <w:rPr>
          <w:rFonts w:ascii="Times New Roman" w:hAnsi="Times New Roman" w:cs="Times New Roman"/>
          <w:sz w:val="24"/>
          <w:szCs w:val="24"/>
        </w:rPr>
        <w:t>;</w:t>
      </w:r>
      <w:r w:rsidR="00B56CE8" w:rsidRPr="00003E08">
        <w:rPr>
          <w:rFonts w:ascii="Times New Roman" w:hAnsi="Times New Roman" w:cs="Times New Roman"/>
          <w:sz w:val="24"/>
          <w:szCs w:val="24"/>
        </w:rPr>
        <w:t xml:space="preserve"> </w:t>
      </w:r>
      <w:r w:rsidR="007B514E" w:rsidRPr="00003E08">
        <w:rPr>
          <w:rFonts w:ascii="Times New Roman" w:hAnsi="Times New Roman" w:cs="Times New Roman"/>
          <w:sz w:val="24"/>
          <w:szCs w:val="24"/>
        </w:rPr>
        <w:t xml:space="preserve">the </w:t>
      </w:r>
      <w:r w:rsidR="00B56CE8" w:rsidRPr="00003E08">
        <w:rPr>
          <w:rFonts w:ascii="Times New Roman" w:hAnsi="Times New Roman" w:cs="Times New Roman"/>
          <w:sz w:val="24"/>
          <w:szCs w:val="24"/>
        </w:rPr>
        <w:t>qual</w:t>
      </w:r>
      <w:r w:rsidR="00290A79" w:rsidRPr="00003E08">
        <w:rPr>
          <w:rFonts w:ascii="Times New Roman" w:hAnsi="Times New Roman" w:cs="Times New Roman"/>
          <w:sz w:val="24"/>
          <w:szCs w:val="24"/>
        </w:rPr>
        <w:t xml:space="preserve">ity of </w:t>
      </w:r>
      <w:r w:rsidR="009A2561" w:rsidRPr="00003E08">
        <w:rPr>
          <w:rFonts w:ascii="Times New Roman" w:hAnsi="Times New Roman" w:cs="Times New Roman"/>
          <w:sz w:val="24"/>
          <w:szCs w:val="24"/>
        </w:rPr>
        <w:t>Government</w:t>
      </w:r>
      <w:r w:rsidR="00290A79" w:rsidRPr="00003E08">
        <w:rPr>
          <w:rFonts w:ascii="Times New Roman" w:hAnsi="Times New Roman" w:cs="Times New Roman"/>
          <w:sz w:val="24"/>
          <w:szCs w:val="24"/>
        </w:rPr>
        <w:t xml:space="preserve"> policies, plans and strategies</w:t>
      </w:r>
      <w:r w:rsidR="00E35557" w:rsidRPr="00003E08">
        <w:rPr>
          <w:rFonts w:ascii="Times New Roman" w:hAnsi="Times New Roman" w:cs="Times New Roman"/>
          <w:sz w:val="24"/>
          <w:szCs w:val="24"/>
        </w:rPr>
        <w:t>;</w:t>
      </w:r>
      <w:r w:rsidR="00290A79" w:rsidRPr="00003E08">
        <w:rPr>
          <w:rFonts w:ascii="Times New Roman" w:hAnsi="Times New Roman" w:cs="Times New Roman"/>
          <w:sz w:val="24"/>
          <w:szCs w:val="24"/>
        </w:rPr>
        <w:t xml:space="preserve"> effectiveness of </w:t>
      </w:r>
      <w:r w:rsidR="009A2561" w:rsidRPr="00003E08">
        <w:rPr>
          <w:rFonts w:ascii="Times New Roman" w:hAnsi="Times New Roman" w:cs="Times New Roman"/>
          <w:sz w:val="24"/>
          <w:szCs w:val="24"/>
        </w:rPr>
        <w:t>Government</w:t>
      </w:r>
      <w:r w:rsidR="00290A79" w:rsidRPr="00003E08">
        <w:rPr>
          <w:rFonts w:ascii="Times New Roman" w:hAnsi="Times New Roman" w:cs="Times New Roman"/>
          <w:sz w:val="24"/>
          <w:szCs w:val="24"/>
        </w:rPr>
        <w:t xml:space="preserve"> policy in achieving NDPII objectives</w:t>
      </w:r>
      <w:r w:rsidR="00A80F88" w:rsidRPr="00003E08">
        <w:rPr>
          <w:rFonts w:ascii="Times New Roman" w:hAnsi="Times New Roman" w:cs="Times New Roman"/>
          <w:sz w:val="24"/>
          <w:szCs w:val="24"/>
        </w:rPr>
        <w:t>;</w:t>
      </w:r>
      <w:r w:rsidR="00290A79" w:rsidRPr="00003E08">
        <w:rPr>
          <w:rFonts w:ascii="Times New Roman" w:hAnsi="Times New Roman" w:cs="Times New Roman"/>
          <w:sz w:val="24"/>
          <w:szCs w:val="24"/>
        </w:rPr>
        <w:t xml:space="preserve"> alignment of</w:t>
      </w:r>
      <w:r w:rsidR="007B514E" w:rsidRPr="00003E08">
        <w:rPr>
          <w:rFonts w:ascii="Times New Roman" w:hAnsi="Times New Roman" w:cs="Times New Roman"/>
          <w:sz w:val="24"/>
          <w:szCs w:val="24"/>
        </w:rPr>
        <w:t xml:space="preserve"> plans, policies and strategies to NDPII</w:t>
      </w:r>
      <w:r w:rsidR="00A80F88" w:rsidRPr="00003E08">
        <w:rPr>
          <w:rFonts w:ascii="Times New Roman" w:hAnsi="Times New Roman" w:cs="Times New Roman"/>
          <w:sz w:val="24"/>
          <w:szCs w:val="24"/>
        </w:rPr>
        <w:t xml:space="preserve"> and suitability of NDPII’s strategic direction.</w:t>
      </w:r>
    </w:p>
    <w:p w14:paraId="021053E9" w14:textId="1542D25C" w:rsidR="009A0D5E" w:rsidRPr="00003E08" w:rsidRDefault="00C85906"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The theory of change presented in NDPII is coherent and testable. Uptake of lessons learned from NDPI by planners has led to a better designed NDPII</w:t>
      </w:r>
      <w:r w:rsidR="00DC7499" w:rsidRPr="00003E08">
        <w:rPr>
          <w:rFonts w:ascii="Times New Roman" w:hAnsi="Times New Roman" w:cs="Times New Roman"/>
          <w:b/>
          <w:sz w:val="24"/>
          <w:szCs w:val="24"/>
        </w:rPr>
        <w:t>. The logi</w:t>
      </w:r>
      <w:r w:rsidR="00552171" w:rsidRPr="00003E08">
        <w:rPr>
          <w:rFonts w:ascii="Times New Roman" w:hAnsi="Times New Roman" w:cs="Times New Roman"/>
          <w:b/>
          <w:sz w:val="24"/>
          <w:szCs w:val="24"/>
        </w:rPr>
        <w:t>c and evidence base for NDPII’s theory of change is clearer than NDPI</w:t>
      </w:r>
      <w:r w:rsidR="00216E54" w:rsidRPr="00003E08">
        <w:rPr>
          <w:rFonts w:ascii="Times New Roman" w:hAnsi="Times New Roman" w:cs="Times New Roman"/>
          <w:b/>
          <w:sz w:val="24"/>
          <w:szCs w:val="24"/>
        </w:rPr>
        <w:t>.</w:t>
      </w:r>
      <w:r w:rsidR="00216E54" w:rsidRPr="00003E08">
        <w:rPr>
          <w:rFonts w:ascii="Times New Roman" w:hAnsi="Times New Roman" w:cs="Times New Roman"/>
          <w:sz w:val="24"/>
          <w:szCs w:val="24"/>
        </w:rPr>
        <w:t xml:space="preserve"> </w:t>
      </w:r>
      <w:r w:rsidR="00EB7AA3" w:rsidRPr="00003E08">
        <w:rPr>
          <w:rFonts w:ascii="Times New Roman" w:hAnsi="Times New Roman" w:cs="Times New Roman"/>
          <w:sz w:val="24"/>
          <w:szCs w:val="24"/>
        </w:rPr>
        <w:t>NDPII has sought to focus attention on a small number of sectors which will have the greatest multiplier effects for the country. This is a positive step.</w:t>
      </w:r>
      <w:r w:rsidR="00A31154" w:rsidRPr="00003E08">
        <w:rPr>
          <w:rFonts w:ascii="Times New Roman" w:hAnsi="Times New Roman" w:cs="Times New Roman"/>
          <w:sz w:val="24"/>
          <w:szCs w:val="24"/>
        </w:rPr>
        <w:t xml:space="preserve"> Improvements to the logic of NDPII could however be made in the remaining two years of NDPII and in future development plans. </w:t>
      </w:r>
      <w:r w:rsidR="004B0E7B" w:rsidRPr="00003E08">
        <w:rPr>
          <w:rFonts w:ascii="Times New Roman" w:hAnsi="Times New Roman" w:cs="Times New Roman"/>
          <w:sz w:val="24"/>
          <w:szCs w:val="24"/>
        </w:rPr>
        <w:t xml:space="preserve">Actions that the </w:t>
      </w:r>
      <w:r w:rsidR="009A2561" w:rsidRPr="00003E08">
        <w:rPr>
          <w:rFonts w:ascii="Times New Roman" w:hAnsi="Times New Roman" w:cs="Times New Roman"/>
          <w:sz w:val="24"/>
          <w:szCs w:val="24"/>
        </w:rPr>
        <w:t>Government</w:t>
      </w:r>
      <w:r w:rsidR="004B0E7B" w:rsidRPr="00003E08">
        <w:rPr>
          <w:rFonts w:ascii="Times New Roman" w:hAnsi="Times New Roman" w:cs="Times New Roman"/>
          <w:sz w:val="24"/>
          <w:szCs w:val="24"/>
        </w:rPr>
        <w:t xml:space="preserve"> may wish to consider include</w:t>
      </w:r>
      <w:r w:rsidR="008E44DF" w:rsidRPr="00003E08">
        <w:rPr>
          <w:rFonts w:ascii="Times New Roman" w:hAnsi="Times New Roman" w:cs="Times New Roman"/>
          <w:sz w:val="24"/>
          <w:szCs w:val="24"/>
        </w:rPr>
        <w:t>:</w:t>
      </w:r>
      <w:r w:rsidR="004B0E7B" w:rsidRPr="00003E08">
        <w:rPr>
          <w:rFonts w:ascii="Times New Roman" w:hAnsi="Times New Roman" w:cs="Times New Roman"/>
          <w:sz w:val="24"/>
          <w:szCs w:val="24"/>
        </w:rPr>
        <w:t xml:space="preserve"> explicitly stating </w:t>
      </w:r>
      <w:r w:rsidR="00AE67BE" w:rsidRPr="00003E08">
        <w:rPr>
          <w:rFonts w:ascii="Times New Roman" w:hAnsi="Times New Roman" w:cs="Times New Roman"/>
          <w:sz w:val="24"/>
          <w:szCs w:val="24"/>
        </w:rPr>
        <w:t xml:space="preserve">and monitoring </w:t>
      </w:r>
      <w:r w:rsidR="004B0E7B" w:rsidRPr="00003E08">
        <w:rPr>
          <w:rFonts w:ascii="Times New Roman" w:hAnsi="Times New Roman" w:cs="Times New Roman"/>
          <w:sz w:val="24"/>
          <w:szCs w:val="24"/>
        </w:rPr>
        <w:t xml:space="preserve">what </w:t>
      </w:r>
      <w:r w:rsidR="004B0E7B" w:rsidRPr="00003E08">
        <w:rPr>
          <w:rFonts w:ascii="Times New Roman" w:hAnsi="Times New Roman" w:cs="Times New Roman"/>
          <w:i/>
          <w:sz w:val="24"/>
          <w:szCs w:val="24"/>
        </w:rPr>
        <w:t xml:space="preserve">assumptions </w:t>
      </w:r>
      <w:r w:rsidR="004B0E7B" w:rsidRPr="00003E08">
        <w:rPr>
          <w:rFonts w:ascii="Times New Roman" w:hAnsi="Times New Roman" w:cs="Times New Roman"/>
          <w:sz w:val="24"/>
          <w:szCs w:val="24"/>
        </w:rPr>
        <w:t>are in place for each building block of the theory of change to hold true</w:t>
      </w:r>
      <w:r w:rsidR="008E44DF" w:rsidRPr="00003E08">
        <w:rPr>
          <w:rFonts w:ascii="Times New Roman" w:hAnsi="Times New Roman" w:cs="Times New Roman"/>
          <w:sz w:val="24"/>
          <w:szCs w:val="24"/>
        </w:rPr>
        <w:t>,</w:t>
      </w:r>
      <w:r w:rsidR="004B0E7B" w:rsidRPr="00003E08">
        <w:rPr>
          <w:rFonts w:ascii="Times New Roman" w:hAnsi="Times New Roman" w:cs="Times New Roman"/>
          <w:sz w:val="24"/>
          <w:szCs w:val="24"/>
        </w:rPr>
        <w:t xml:space="preserve"> </w:t>
      </w:r>
      <w:r w:rsidR="00A63EB5" w:rsidRPr="00003E08">
        <w:rPr>
          <w:rFonts w:ascii="Times New Roman" w:hAnsi="Times New Roman" w:cs="Times New Roman"/>
          <w:sz w:val="24"/>
          <w:szCs w:val="24"/>
        </w:rPr>
        <w:t xml:space="preserve">developing an adjustment strategy to allow the </w:t>
      </w:r>
      <w:r w:rsidR="009A2561" w:rsidRPr="00003E08">
        <w:rPr>
          <w:rFonts w:ascii="Times New Roman" w:hAnsi="Times New Roman" w:cs="Times New Roman"/>
          <w:sz w:val="24"/>
          <w:szCs w:val="24"/>
        </w:rPr>
        <w:t>Government</w:t>
      </w:r>
      <w:r w:rsidR="00A63EB5" w:rsidRPr="00003E08">
        <w:rPr>
          <w:rFonts w:ascii="Times New Roman" w:hAnsi="Times New Roman" w:cs="Times New Roman"/>
          <w:sz w:val="24"/>
          <w:szCs w:val="24"/>
        </w:rPr>
        <w:t xml:space="preserve"> to </w:t>
      </w:r>
      <w:r w:rsidR="00AE67BE" w:rsidRPr="00003E08">
        <w:rPr>
          <w:rFonts w:ascii="Times New Roman" w:hAnsi="Times New Roman" w:cs="Times New Roman"/>
          <w:sz w:val="24"/>
          <w:szCs w:val="24"/>
        </w:rPr>
        <w:t>adjust the plan in-line with financial resources and the external environment</w:t>
      </w:r>
      <w:r w:rsidR="008E44DF" w:rsidRPr="00003E08">
        <w:rPr>
          <w:rFonts w:ascii="Times New Roman" w:hAnsi="Times New Roman" w:cs="Times New Roman"/>
          <w:sz w:val="24"/>
          <w:szCs w:val="24"/>
        </w:rPr>
        <w:t xml:space="preserve"> and strengthening the clustering of sectors</w:t>
      </w:r>
      <w:r w:rsidR="00AE67BE" w:rsidRPr="00003E08">
        <w:rPr>
          <w:rFonts w:ascii="Times New Roman" w:hAnsi="Times New Roman" w:cs="Times New Roman"/>
          <w:sz w:val="24"/>
          <w:szCs w:val="24"/>
        </w:rPr>
        <w:t xml:space="preserve">. </w:t>
      </w:r>
      <w:r w:rsidR="00693A0A" w:rsidRPr="00003E08">
        <w:rPr>
          <w:rFonts w:ascii="Times New Roman" w:hAnsi="Times New Roman" w:cs="Times New Roman"/>
          <w:sz w:val="24"/>
          <w:szCs w:val="24"/>
        </w:rPr>
        <w:t xml:space="preserve">To increase the success rate of meeting targets, greater emphasis should also be given </w:t>
      </w:r>
      <w:r w:rsidR="00A46C01" w:rsidRPr="00003E08">
        <w:rPr>
          <w:rFonts w:ascii="Times New Roman" w:hAnsi="Times New Roman" w:cs="Times New Roman"/>
          <w:sz w:val="24"/>
          <w:szCs w:val="24"/>
        </w:rPr>
        <w:t xml:space="preserve">to </w:t>
      </w:r>
      <w:r w:rsidR="00A46C01" w:rsidRPr="00003E08">
        <w:rPr>
          <w:rFonts w:ascii="Times New Roman" w:hAnsi="Times New Roman" w:cs="Times New Roman"/>
          <w:i/>
          <w:sz w:val="24"/>
          <w:szCs w:val="24"/>
        </w:rPr>
        <w:t>how</w:t>
      </w:r>
      <w:r w:rsidR="00A46C01" w:rsidRPr="00003E08">
        <w:rPr>
          <w:rFonts w:ascii="Times New Roman" w:hAnsi="Times New Roman" w:cs="Times New Roman"/>
          <w:sz w:val="24"/>
          <w:szCs w:val="24"/>
        </w:rPr>
        <w:t xml:space="preserve"> </w:t>
      </w:r>
      <w:r w:rsidR="00693A0A" w:rsidRPr="00003E08">
        <w:rPr>
          <w:rFonts w:ascii="Times New Roman" w:hAnsi="Times New Roman" w:cs="Times New Roman"/>
          <w:sz w:val="24"/>
          <w:szCs w:val="24"/>
        </w:rPr>
        <w:t xml:space="preserve">the binding constraints </w:t>
      </w:r>
      <w:r w:rsidR="00A46C01" w:rsidRPr="00003E08">
        <w:rPr>
          <w:rFonts w:ascii="Times New Roman" w:hAnsi="Times New Roman" w:cs="Times New Roman"/>
          <w:sz w:val="24"/>
          <w:szCs w:val="24"/>
        </w:rPr>
        <w:t>will be addressed (e.g.</w:t>
      </w:r>
      <w:r w:rsidR="009A0D5E" w:rsidRPr="00003E08">
        <w:rPr>
          <w:rFonts w:ascii="Times New Roman" w:hAnsi="Times New Roman" w:cs="Times New Roman"/>
          <w:sz w:val="24"/>
          <w:szCs w:val="24"/>
        </w:rPr>
        <w:t xml:space="preserve"> weak project management)</w:t>
      </w:r>
      <w:r w:rsidR="00A46C01" w:rsidRPr="00003E08">
        <w:rPr>
          <w:rFonts w:ascii="Times New Roman" w:hAnsi="Times New Roman" w:cs="Times New Roman"/>
          <w:sz w:val="24"/>
          <w:szCs w:val="24"/>
        </w:rPr>
        <w:t xml:space="preserve">, </w:t>
      </w:r>
      <w:r w:rsidR="00871D43" w:rsidRPr="00003E08">
        <w:rPr>
          <w:rFonts w:ascii="Times New Roman" w:hAnsi="Times New Roman" w:cs="Times New Roman"/>
          <w:sz w:val="24"/>
          <w:szCs w:val="24"/>
        </w:rPr>
        <w:t xml:space="preserve">which in turn would help deliver the development strategies. </w:t>
      </w:r>
    </w:p>
    <w:p w14:paraId="0D62DB81" w14:textId="2BE01490" w:rsidR="00633B6D" w:rsidRPr="00003E08" w:rsidRDefault="00443672"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 xml:space="preserve">Improvements in the quality of </w:t>
      </w:r>
      <w:r w:rsidR="009A2561" w:rsidRPr="00003E08">
        <w:rPr>
          <w:rFonts w:ascii="Times New Roman" w:hAnsi="Times New Roman" w:cs="Times New Roman"/>
          <w:b/>
          <w:sz w:val="24"/>
          <w:szCs w:val="24"/>
        </w:rPr>
        <w:t>Government</w:t>
      </w:r>
      <w:r w:rsidRPr="00003E08">
        <w:rPr>
          <w:rFonts w:ascii="Times New Roman" w:hAnsi="Times New Roman" w:cs="Times New Roman"/>
          <w:b/>
          <w:sz w:val="24"/>
          <w:szCs w:val="24"/>
        </w:rPr>
        <w:t xml:space="preserve"> policies, plans and strategies could help improve implementation of NDPII and future plans. </w:t>
      </w:r>
      <w:r w:rsidR="006F30E7" w:rsidRPr="00003E08">
        <w:rPr>
          <w:rFonts w:ascii="Times New Roman" w:hAnsi="Times New Roman" w:cs="Times New Roman"/>
          <w:sz w:val="24"/>
          <w:szCs w:val="24"/>
        </w:rPr>
        <w:t>A sample analysis of 64 policies revealed that most had done a good or excellent job at identifying the problem that needs to be addressed. However, in most cases improvements are needed in the communication and dissemination of the policy and in ensuring cross-analysis against other policies takes place.</w:t>
      </w:r>
      <w:r w:rsidR="00941A13" w:rsidRPr="00003E08">
        <w:rPr>
          <w:rFonts w:ascii="Times New Roman" w:hAnsi="Times New Roman" w:cs="Times New Roman"/>
          <w:sz w:val="24"/>
          <w:szCs w:val="24"/>
        </w:rPr>
        <w:t xml:space="preserve"> It is recommended that the </w:t>
      </w:r>
      <w:r w:rsidR="009A2561" w:rsidRPr="00003E08">
        <w:rPr>
          <w:rFonts w:ascii="Times New Roman" w:hAnsi="Times New Roman" w:cs="Times New Roman"/>
          <w:sz w:val="24"/>
          <w:szCs w:val="24"/>
        </w:rPr>
        <w:t>Government</w:t>
      </w:r>
      <w:r w:rsidR="00941A13" w:rsidRPr="00003E08">
        <w:rPr>
          <w:rFonts w:ascii="Times New Roman" w:hAnsi="Times New Roman" w:cs="Times New Roman"/>
          <w:sz w:val="24"/>
          <w:szCs w:val="24"/>
        </w:rPr>
        <w:t xml:space="preserve"> renews its commitment to develop the capacity of the </w:t>
      </w:r>
      <w:r w:rsidR="00941A13" w:rsidRPr="00003E08">
        <w:rPr>
          <w:rFonts w:ascii="Times New Roman" w:hAnsi="Times New Roman" w:cs="Times New Roman"/>
          <w:sz w:val="24"/>
          <w:szCs w:val="24"/>
        </w:rPr>
        <w:lastRenderedPageBreak/>
        <w:t xml:space="preserve">policy analyst cadre, guidance on what good policies, plans and strategies look like, and when each intervention (or alternatives) are appropriate. </w:t>
      </w:r>
    </w:p>
    <w:p w14:paraId="5CCE9317" w14:textId="248BACB2" w:rsidR="00633B6D" w:rsidRPr="00003E08" w:rsidRDefault="00633B6D"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 xml:space="preserve">Several key policies to guide the delivery of NDPII objectives have not yet been developed and/or aligned to NDPII. </w:t>
      </w:r>
      <w:r w:rsidRPr="00003E08">
        <w:rPr>
          <w:rFonts w:ascii="Times New Roman" w:hAnsi="Times New Roman" w:cs="Times New Roman"/>
          <w:sz w:val="24"/>
          <w:szCs w:val="24"/>
        </w:rPr>
        <w:t>The development and/or improvement of six key policies, with linked funding may help increase the likelihood of delivering on NDPII’s targets. The six key policy areas identified in this MTR includes the need for: a comprehensive industrialisation strategy; an improved budget strategy which focuses more explicitly on improving domestic revenue mobilisation and aligning financial resources to NDPII; an inclusive growth index, improved regional and local development planning and fiscal decentralisation; continued investment in green growth policies; and an explicit human capital development strategy.</w:t>
      </w:r>
    </w:p>
    <w:p w14:paraId="023943E3" w14:textId="77777777" w:rsidR="008A2611" w:rsidRPr="00003E08" w:rsidRDefault="008A2611" w:rsidP="00003E08">
      <w:pPr>
        <w:spacing w:line="360" w:lineRule="auto"/>
        <w:jc w:val="both"/>
        <w:rPr>
          <w:rFonts w:ascii="Times New Roman" w:hAnsi="Times New Roman" w:cs="Times New Roman"/>
          <w:b/>
          <w:sz w:val="24"/>
          <w:szCs w:val="24"/>
        </w:rPr>
      </w:pPr>
      <w:r w:rsidRPr="00003E08">
        <w:rPr>
          <w:rFonts w:ascii="Times New Roman" w:hAnsi="Times New Roman" w:cs="Times New Roman"/>
          <w:b/>
          <w:sz w:val="24"/>
          <w:szCs w:val="24"/>
        </w:rPr>
        <w:t>NDPII identifies 11 pre-requisites required for successful NDPII implementation. This is a positive step and builds on the identification of pre-conditions needed for effective implementation under NDPI.</w:t>
      </w:r>
      <w:r w:rsidRPr="00003E08">
        <w:rPr>
          <w:rFonts w:ascii="Times New Roman" w:hAnsi="Times New Roman" w:cs="Times New Roman"/>
          <w:sz w:val="24"/>
          <w:szCs w:val="24"/>
        </w:rPr>
        <w:t xml:space="preserve"> A review, however, on the status of the pre-conditions reveals that more work needs to be done to ensure that these are in place and/or being developed. In particular, there is a need to increase meaningful engagement with the private sector and civil society and invest in building good governance – political will, ownership, reduced corruption, effective use of M&amp;E and information for decision-making. Whilst these are not small tasks, incremental efforts can and should be made in the remaining years of NDPII to ensure that NDPII has a greater chance of success.</w:t>
      </w:r>
    </w:p>
    <w:p w14:paraId="7BD28F66" w14:textId="1210DF68" w:rsidR="00807998" w:rsidRPr="00003E08" w:rsidRDefault="00732FC5"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Economic growth has fluctuated over the review period and is below the NDPII target of 6.3%. Growth has also not been as inclusive as desired</w:t>
      </w:r>
      <w:r w:rsidRPr="00003E08">
        <w:rPr>
          <w:rFonts w:ascii="Times New Roman" w:hAnsi="Times New Roman" w:cs="Times New Roman"/>
          <w:sz w:val="24"/>
          <w:szCs w:val="24"/>
        </w:rPr>
        <w:t xml:space="preserve"> – GDP per capita is below the NDPII targets and Uganda has seen a decline in the growth and development index by 4.2%. Agriculture value addition, mineral beneficiation, manufacturing and private-sector activities have also performed at a slower rate than expected. The implementation of </w:t>
      </w:r>
      <w:r w:rsidR="009A2561" w:rsidRPr="00003E08">
        <w:rPr>
          <w:rFonts w:ascii="Times New Roman" w:hAnsi="Times New Roman" w:cs="Times New Roman"/>
          <w:sz w:val="24"/>
          <w:szCs w:val="24"/>
        </w:rPr>
        <w:t>Government</w:t>
      </w:r>
      <w:r w:rsidRPr="00003E08">
        <w:rPr>
          <w:rFonts w:ascii="Times New Roman" w:hAnsi="Times New Roman" w:cs="Times New Roman"/>
          <w:sz w:val="24"/>
          <w:szCs w:val="24"/>
        </w:rPr>
        <w:t xml:space="preserve"> policy has not, to date, delivered the desired results under NDPII. Weaker than expected performance has been the result of slow or ineffective policy implementation (in turn the result of insufficient funding, leadership, buy-in, capacity, underutilised acquired capacity, policy gaps/inconsistencies, and/or poor performance management), a challenging operating context over the MTR period (e.g. drought) and persistent weaknesses in the efficiency and effectiveness of </w:t>
      </w:r>
      <w:r w:rsidR="009A2561" w:rsidRPr="00003E08">
        <w:rPr>
          <w:rFonts w:ascii="Times New Roman" w:hAnsi="Times New Roman" w:cs="Times New Roman"/>
          <w:sz w:val="24"/>
          <w:szCs w:val="24"/>
        </w:rPr>
        <w:t>Government</w:t>
      </w:r>
      <w:r w:rsidRPr="00003E08">
        <w:rPr>
          <w:rFonts w:ascii="Times New Roman" w:hAnsi="Times New Roman" w:cs="Times New Roman"/>
          <w:sz w:val="24"/>
          <w:szCs w:val="24"/>
        </w:rPr>
        <w:t>.</w:t>
      </w:r>
      <w:r w:rsidR="00EC64EF" w:rsidRPr="00003E08">
        <w:rPr>
          <w:rFonts w:ascii="Times New Roman" w:hAnsi="Times New Roman" w:cs="Times New Roman"/>
          <w:sz w:val="24"/>
          <w:szCs w:val="24"/>
        </w:rPr>
        <w:t xml:space="preserve"> To improve the effectiveness of NPII’s policy and strategic direction, </w:t>
      </w:r>
      <w:r w:rsidR="009A2561" w:rsidRPr="00003E08">
        <w:rPr>
          <w:rFonts w:ascii="Times New Roman" w:hAnsi="Times New Roman" w:cs="Times New Roman"/>
          <w:sz w:val="24"/>
          <w:szCs w:val="24"/>
        </w:rPr>
        <w:t>Government</w:t>
      </w:r>
      <w:r w:rsidR="00EC64EF" w:rsidRPr="00003E08">
        <w:rPr>
          <w:rFonts w:ascii="Times New Roman" w:hAnsi="Times New Roman" w:cs="Times New Roman"/>
          <w:sz w:val="24"/>
          <w:szCs w:val="24"/>
        </w:rPr>
        <w:t xml:space="preserve"> could continue </w:t>
      </w:r>
      <w:r w:rsidR="002E330D" w:rsidRPr="00003E08">
        <w:rPr>
          <w:rFonts w:ascii="Times New Roman" w:hAnsi="Times New Roman" w:cs="Times New Roman"/>
          <w:sz w:val="24"/>
          <w:szCs w:val="24"/>
        </w:rPr>
        <w:t>to invest in improving the quality of policy</w:t>
      </w:r>
      <w:r w:rsidR="00EC64EF" w:rsidRPr="00003E08">
        <w:rPr>
          <w:rFonts w:ascii="Times New Roman" w:hAnsi="Times New Roman" w:cs="Times New Roman"/>
          <w:sz w:val="24"/>
          <w:szCs w:val="24"/>
        </w:rPr>
        <w:t xml:space="preserve">, invest in </w:t>
      </w:r>
      <w:r w:rsidR="002E330D" w:rsidRPr="00003E08">
        <w:rPr>
          <w:rFonts w:ascii="Times New Roman" w:hAnsi="Times New Roman" w:cs="Times New Roman"/>
          <w:sz w:val="24"/>
          <w:szCs w:val="24"/>
        </w:rPr>
        <w:t xml:space="preserve">improving public investment management (across the full project management cycle) and in the timeliness and certainty of fund release to sub-national </w:t>
      </w:r>
      <w:r w:rsidR="009A2561" w:rsidRPr="00003E08">
        <w:rPr>
          <w:rFonts w:ascii="Times New Roman" w:hAnsi="Times New Roman" w:cs="Times New Roman"/>
          <w:sz w:val="24"/>
          <w:szCs w:val="24"/>
        </w:rPr>
        <w:t>Government</w:t>
      </w:r>
      <w:r w:rsidR="002E330D" w:rsidRPr="00003E08">
        <w:rPr>
          <w:rFonts w:ascii="Times New Roman" w:hAnsi="Times New Roman" w:cs="Times New Roman"/>
          <w:sz w:val="24"/>
          <w:szCs w:val="24"/>
        </w:rPr>
        <w:t>s and MDAs</w:t>
      </w:r>
      <w:r w:rsidR="00EC64EF" w:rsidRPr="00003E08">
        <w:rPr>
          <w:rFonts w:ascii="Times New Roman" w:hAnsi="Times New Roman" w:cs="Times New Roman"/>
          <w:sz w:val="24"/>
          <w:szCs w:val="24"/>
        </w:rPr>
        <w:t>.</w:t>
      </w:r>
      <w:r w:rsidR="00E66B86" w:rsidRPr="00003E08">
        <w:rPr>
          <w:rFonts w:ascii="Times New Roman" w:hAnsi="Times New Roman" w:cs="Times New Roman"/>
          <w:sz w:val="24"/>
          <w:szCs w:val="24"/>
        </w:rPr>
        <w:t xml:space="preserve"> Engaging</w:t>
      </w:r>
      <w:r w:rsidR="002E330D" w:rsidRPr="00003E08">
        <w:rPr>
          <w:rFonts w:ascii="Times New Roman" w:hAnsi="Times New Roman" w:cs="Times New Roman"/>
          <w:sz w:val="24"/>
          <w:szCs w:val="24"/>
        </w:rPr>
        <w:t xml:space="preserve"> </w:t>
      </w:r>
      <w:r w:rsidR="002E330D" w:rsidRPr="00003E08">
        <w:rPr>
          <w:rFonts w:ascii="Times New Roman" w:hAnsi="Times New Roman" w:cs="Times New Roman"/>
          <w:sz w:val="24"/>
          <w:szCs w:val="24"/>
        </w:rPr>
        <w:lastRenderedPageBreak/>
        <w:t xml:space="preserve">more </w:t>
      </w:r>
      <w:r w:rsidR="002E330D" w:rsidRPr="00003E08">
        <w:rPr>
          <w:rFonts w:ascii="Times New Roman" w:hAnsi="Times New Roman" w:cs="Times New Roman"/>
          <w:i/>
          <w:sz w:val="24"/>
          <w:szCs w:val="24"/>
        </w:rPr>
        <w:t xml:space="preserve">consistently </w:t>
      </w:r>
      <w:r w:rsidR="002E330D" w:rsidRPr="00003E08">
        <w:rPr>
          <w:rFonts w:ascii="Times New Roman" w:hAnsi="Times New Roman" w:cs="Times New Roman"/>
          <w:sz w:val="24"/>
          <w:szCs w:val="24"/>
        </w:rPr>
        <w:t xml:space="preserve">and </w:t>
      </w:r>
      <w:r w:rsidR="002E330D" w:rsidRPr="00003E08">
        <w:rPr>
          <w:rFonts w:ascii="Times New Roman" w:hAnsi="Times New Roman" w:cs="Times New Roman"/>
          <w:i/>
          <w:sz w:val="24"/>
          <w:szCs w:val="24"/>
        </w:rPr>
        <w:t xml:space="preserve">closely </w:t>
      </w:r>
      <w:r w:rsidR="002E330D" w:rsidRPr="00003E08">
        <w:rPr>
          <w:rFonts w:ascii="Times New Roman" w:hAnsi="Times New Roman" w:cs="Times New Roman"/>
          <w:sz w:val="24"/>
          <w:szCs w:val="24"/>
        </w:rPr>
        <w:t xml:space="preserve">with implementers of public policy </w:t>
      </w:r>
      <w:r w:rsidR="00E66B86" w:rsidRPr="00003E08">
        <w:rPr>
          <w:rFonts w:ascii="Times New Roman" w:hAnsi="Times New Roman" w:cs="Times New Roman"/>
          <w:sz w:val="24"/>
          <w:szCs w:val="24"/>
        </w:rPr>
        <w:t xml:space="preserve">and </w:t>
      </w:r>
      <w:r w:rsidR="002E330D" w:rsidRPr="00003E08">
        <w:rPr>
          <w:rFonts w:ascii="Times New Roman" w:hAnsi="Times New Roman" w:cs="Times New Roman"/>
          <w:sz w:val="24"/>
          <w:szCs w:val="24"/>
        </w:rPr>
        <w:t xml:space="preserve">ensuring that there is continuity of action </w:t>
      </w:r>
      <w:r w:rsidR="00E66B86" w:rsidRPr="00003E08">
        <w:rPr>
          <w:rFonts w:ascii="Times New Roman" w:hAnsi="Times New Roman" w:cs="Times New Roman"/>
          <w:sz w:val="24"/>
          <w:szCs w:val="24"/>
        </w:rPr>
        <w:t xml:space="preserve">may also help to improve policy implementation. </w:t>
      </w:r>
      <w:r w:rsidR="002E330D" w:rsidRPr="00003E08">
        <w:rPr>
          <w:rFonts w:ascii="Times New Roman" w:hAnsi="Times New Roman" w:cs="Times New Roman"/>
          <w:sz w:val="24"/>
          <w:szCs w:val="24"/>
        </w:rPr>
        <w:t xml:space="preserve">  </w:t>
      </w:r>
    </w:p>
    <w:p w14:paraId="439A7B53" w14:textId="4DB1F0B3" w:rsidR="00D64EC4" w:rsidRPr="00003E08" w:rsidRDefault="00FB0106"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 xml:space="preserve">Over the MTR period the number of sector and MDA plans aligned to NDPII has increased. There has been a concerted effort, across </w:t>
      </w:r>
      <w:r w:rsidR="009A2561" w:rsidRPr="00003E08">
        <w:rPr>
          <w:rFonts w:ascii="Times New Roman" w:hAnsi="Times New Roman" w:cs="Times New Roman"/>
          <w:b/>
          <w:sz w:val="24"/>
          <w:szCs w:val="24"/>
        </w:rPr>
        <w:t>Government</w:t>
      </w:r>
      <w:r w:rsidRPr="00003E08">
        <w:rPr>
          <w:rFonts w:ascii="Times New Roman" w:hAnsi="Times New Roman" w:cs="Times New Roman"/>
          <w:b/>
          <w:sz w:val="24"/>
          <w:szCs w:val="24"/>
        </w:rPr>
        <w:t xml:space="preserve"> to produce sector plans that are aligned to NDPII.</w:t>
      </w:r>
      <w:r w:rsidRPr="00003E08">
        <w:rPr>
          <w:rFonts w:ascii="Times New Roman" w:hAnsi="Times New Roman" w:cs="Times New Roman"/>
          <w:sz w:val="24"/>
          <w:szCs w:val="24"/>
        </w:rPr>
        <w:t xml:space="preserve"> This is a positive step. However, more needs to be done. In some cases, strategies are still missing e.g. industrialisation and should, ideally, be developed. There is also value in continuing to invest in strengthening sectoral, local </w:t>
      </w:r>
      <w:r w:rsidR="009A2561" w:rsidRPr="00003E08">
        <w:rPr>
          <w:rFonts w:ascii="Times New Roman" w:hAnsi="Times New Roman" w:cs="Times New Roman"/>
          <w:sz w:val="24"/>
          <w:szCs w:val="24"/>
        </w:rPr>
        <w:t>Government</w:t>
      </w:r>
      <w:r w:rsidRPr="00003E08">
        <w:rPr>
          <w:rFonts w:ascii="Times New Roman" w:hAnsi="Times New Roman" w:cs="Times New Roman"/>
          <w:sz w:val="24"/>
          <w:szCs w:val="24"/>
        </w:rPr>
        <w:t xml:space="preserve"> and MDA level capacities in planning, budgeting, monitoring, learning and evaluating actions. </w:t>
      </w:r>
    </w:p>
    <w:p w14:paraId="0DF889C5" w14:textId="4B22F28A" w:rsidR="00FB4C86" w:rsidRPr="00003E08" w:rsidRDefault="00D64EC4" w:rsidP="00003E08">
      <w:pPr>
        <w:spacing w:line="360" w:lineRule="auto"/>
        <w:jc w:val="both"/>
        <w:rPr>
          <w:rFonts w:ascii="Times New Roman" w:hAnsi="Times New Roman" w:cs="Times New Roman"/>
          <w:sz w:val="24"/>
          <w:szCs w:val="24"/>
        </w:rPr>
      </w:pPr>
      <w:r w:rsidRPr="00003E08">
        <w:rPr>
          <w:rFonts w:ascii="Times New Roman" w:hAnsi="Times New Roman" w:cs="Times New Roman"/>
          <w:b/>
          <w:sz w:val="24"/>
          <w:szCs w:val="24"/>
        </w:rPr>
        <w:t xml:space="preserve">At the MTR point of NDPII there is a </w:t>
      </w:r>
      <w:r w:rsidR="00AD0CC4" w:rsidRPr="00003E08">
        <w:rPr>
          <w:rFonts w:ascii="Times New Roman" w:hAnsi="Times New Roman" w:cs="Times New Roman"/>
          <w:b/>
          <w:sz w:val="24"/>
          <w:szCs w:val="24"/>
        </w:rPr>
        <w:t xml:space="preserve">disconnect between planning and budgeting. The annual budget does not fully align with NDPII priorities, and the annual budget has not been translated into sector specific interventions to deliver the NDPII targets. </w:t>
      </w:r>
      <w:r w:rsidR="00AD0CC4" w:rsidRPr="00003E08">
        <w:rPr>
          <w:rFonts w:ascii="Times New Roman" w:hAnsi="Times New Roman" w:cs="Times New Roman"/>
          <w:sz w:val="24"/>
          <w:szCs w:val="24"/>
        </w:rPr>
        <w:t>The degree of alignment between planning and budgeting has also decreased across the MTR period. The overall score for alignment in 2016/17 was ‘moderately satisfactory’; in 2017/18 alignment was rated ‘unsat</w:t>
      </w:r>
      <w:r w:rsidR="00D9640E" w:rsidRPr="00003E08">
        <w:rPr>
          <w:rFonts w:ascii="Times New Roman" w:hAnsi="Times New Roman" w:cs="Times New Roman"/>
          <w:sz w:val="24"/>
          <w:szCs w:val="24"/>
        </w:rPr>
        <w:t>isfactory’. It is important that</w:t>
      </w:r>
      <w:r w:rsidR="00AD0CC4" w:rsidRPr="00003E08">
        <w:rPr>
          <w:rFonts w:ascii="Times New Roman" w:hAnsi="Times New Roman" w:cs="Times New Roman"/>
          <w:sz w:val="24"/>
          <w:szCs w:val="24"/>
        </w:rPr>
        <w:t xml:space="preserve"> this trend is reversed in the remaining two years of NDPII, and in future plans, to ensure that implementation of the NDPII is fully supported. </w:t>
      </w:r>
      <w:r w:rsidR="00FB4C86" w:rsidRPr="00003E08">
        <w:rPr>
          <w:rFonts w:ascii="Times New Roman" w:hAnsi="Times New Roman" w:cs="Times New Roman"/>
          <w:sz w:val="24"/>
          <w:szCs w:val="24"/>
        </w:rPr>
        <w:t>To improve alignment</w:t>
      </w:r>
      <w:r w:rsidR="00092288" w:rsidRPr="00003E08">
        <w:rPr>
          <w:rFonts w:ascii="Times New Roman" w:hAnsi="Times New Roman" w:cs="Times New Roman"/>
          <w:sz w:val="24"/>
          <w:szCs w:val="24"/>
        </w:rPr>
        <w:t xml:space="preserve"> </w:t>
      </w:r>
      <w:r w:rsidR="00FB4C86" w:rsidRPr="00003E08">
        <w:rPr>
          <w:rFonts w:ascii="Times New Roman" w:hAnsi="Times New Roman" w:cs="Times New Roman"/>
          <w:sz w:val="24"/>
          <w:szCs w:val="24"/>
        </w:rPr>
        <w:t xml:space="preserve">the </w:t>
      </w:r>
      <w:r w:rsidR="009A2561" w:rsidRPr="00003E08">
        <w:rPr>
          <w:rFonts w:ascii="Times New Roman" w:hAnsi="Times New Roman" w:cs="Times New Roman"/>
          <w:sz w:val="24"/>
          <w:szCs w:val="24"/>
        </w:rPr>
        <w:t>Government</w:t>
      </w:r>
      <w:r w:rsidR="00FB4C86" w:rsidRPr="00003E08">
        <w:rPr>
          <w:rFonts w:ascii="Times New Roman" w:hAnsi="Times New Roman" w:cs="Times New Roman"/>
          <w:sz w:val="24"/>
          <w:szCs w:val="24"/>
        </w:rPr>
        <w:t xml:space="preserve"> could</w:t>
      </w:r>
      <w:r w:rsidR="00D71974" w:rsidRPr="00003E08">
        <w:rPr>
          <w:rFonts w:ascii="Times New Roman" w:hAnsi="Times New Roman" w:cs="Times New Roman"/>
          <w:sz w:val="24"/>
          <w:szCs w:val="24"/>
        </w:rPr>
        <w:t>:</w:t>
      </w:r>
      <w:r w:rsidR="00FB4C86" w:rsidRPr="00003E08">
        <w:rPr>
          <w:rFonts w:ascii="Times New Roman" w:hAnsi="Times New Roman" w:cs="Times New Roman"/>
          <w:sz w:val="24"/>
          <w:szCs w:val="24"/>
        </w:rPr>
        <w:t xml:space="preserve"> include NDPII processes into the Budget Calendar</w:t>
      </w:r>
      <w:r w:rsidR="00092288" w:rsidRPr="00003E08">
        <w:rPr>
          <w:rFonts w:ascii="Times New Roman" w:hAnsi="Times New Roman" w:cs="Times New Roman"/>
          <w:sz w:val="24"/>
          <w:szCs w:val="24"/>
        </w:rPr>
        <w:t xml:space="preserve">, </w:t>
      </w:r>
      <w:r w:rsidR="00FB4C86" w:rsidRPr="00003E08">
        <w:rPr>
          <w:rFonts w:ascii="Times New Roman" w:hAnsi="Times New Roman" w:cs="Times New Roman"/>
          <w:sz w:val="24"/>
          <w:szCs w:val="24"/>
        </w:rPr>
        <w:t>strengthen</w:t>
      </w:r>
      <w:r w:rsidR="00092288" w:rsidRPr="00003E08">
        <w:rPr>
          <w:rFonts w:ascii="Times New Roman" w:hAnsi="Times New Roman" w:cs="Times New Roman"/>
          <w:sz w:val="24"/>
          <w:szCs w:val="24"/>
        </w:rPr>
        <w:t xml:space="preserve"> </w:t>
      </w:r>
      <w:r w:rsidR="00FB4C86" w:rsidRPr="00003E08">
        <w:rPr>
          <w:rFonts w:ascii="Times New Roman" w:hAnsi="Times New Roman" w:cs="Times New Roman"/>
          <w:sz w:val="24"/>
          <w:szCs w:val="24"/>
        </w:rPr>
        <w:t>public investment management</w:t>
      </w:r>
      <w:r w:rsidR="00092288" w:rsidRPr="00003E08">
        <w:rPr>
          <w:rFonts w:ascii="Times New Roman" w:hAnsi="Times New Roman" w:cs="Times New Roman"/>
          <w:sz w:val="24"/>
          <w:szCs w:val="24"/>
        </w:rPr>
        <w:t>,</w:t>
      </w:r>
      <w:r w:rsidR="00FB4C86" w:rsidRPr="00003E08">
        <w:rPr>
          <w:rFonts w:ascii="Times New Roman" w:hAnsi="Times New Roman" w:cs="Times New Roman"/>
          <w:sz w:val="24"/>
          <w:szCs w:val="24"/>
        </w:rPr>
        <w:t xml:space="preserve"> focus efforts in the budget strategy and budget allocations on improving domestic resource mobilisation and reducing corruption, consider sanctions/penalties for sector agencies who significantly deviate from planned and approved development priorities under the NDPII and work closely with stakeholders across </w:t>
      </w:r>
      <w:r w:rsidR="009A2561" w:rsidRPr="00003E08">
        <w:rPr>
          <w:rFonts w:ascii="Times New Roman" w:hAnsi="Times New Roman" w:cs="Times New Roman"/>
          <w:sz w:val="24"/>
          <w:szCs w:val="24"/>
        </w:rPr>
        <w:t>Government</w:t>
      </w:r>
      <w:r w:rsidR="00FB4C86" w:rsidRPr="00003E08">
        <w:rPr>
          <w:rFonts w:ascii="Times New Roman" w:hAnsi="Times New Roman" w:cs="Times New Roman"/>
          <w:sz w:val="24"/>
          <w:szCs w:val="24"/>
        </w:rPr>
        <w:t xml:space="preserve"> on ensu</w:t>
      </w:r>
      <w:r w:rsidR="00D71974" w:rsidRPr="00003E08">
        <w:rPr>
          <w:rFonts w:ascii="Times New Roman" w:hAnsi="Times New Roman" w:cs="Times New Roman"/>
          <w:sz w:val="24"/>
          <w:szCs w:val="24"/>
        </w:rPr>
        <w:t>r</w:t>
      </w:r>
      <w:r w:rsidR="00FB4C86" w:rsidRPr="00003E08">
        <w:rPr>
          <w:rFonts w:ascii="Times New Roman" w:hAnsi="Times New Roman" w:cs="Times New Roman"/>
          <w:sz w:val="24"/>
          <w:szCs w:val="24"/>
        </w:rPr>
        <w:t xml:space="preserve">ing buy-in and commitment to NDPII. </w:t>
      </w:r>
    </w:p>
    <w:p w14:paraId="66E7289A" w14:textId="3FD31495" w:rsidR="00E66B86" w:rsidRPr="00003E08" w:rsidRDefault="00F02955" w:rsidP="00003E08">
      <w:pPr>
        <w:spacing w:line="360" w:lineRule="auto"/>
        <w:jc w:val="both"/>
        <w:rPr>
          <w:rFonts w:ascii="Times New Roman" w:eastAsiaTheme="majorEastAsia" w:hAnsi="Times New Roman" w:cs="Times New Roman"/>
          <w:b/>
          <w:sz w:val="24"/>
          <w:szCs w:val="24"/>
        </w:rPr>
      </w:pPr>
      <w:r w:rsidRPr="00003E08">
        <w:rPr>
          <w:rFonts w:ascii="Times New Roman" w:hAnsi="Times New Roman" w:cs="Times New Roman"/>
          <w:b/>
          <w:sz w:val="24"/>
          <w:szCs w:val="24"/>
        </w:rPr>
        <w:t xml:space="preserve">The level of understanding of NDPII vis-à-vis NDPI by stakeholders appears to be higher. </w:t>
      </w:r>
      <w:r w:rsidRPr="00003E08">
        <w:rPr>
          <w:rFonts w:ascii="Times New Roman" w:hAnsi="Times New Roman" w:cs="Times New Roman"/>
          <w:sz w:val="24"/>
          <w:szCs w:val="24"/>
        </w:rPr>
        <w:t xml:space="preserve">Discussions with stakeholders during this MTR revealed that there is a common understanding on the priorities of NDPII and some evidence of the broad policy and strategic directions it espouses. Stakeholders noted that NDPII is more succinct and focused than NDPI. Non-state actors, the private sector and development partners have however expressed that they would like to work with Government in a more meaningful way moving forward. To improve buy-in and support to NDPII, it is recommended that the Government considers strengthening the co-ordination of development partners, enhances the involvement of development partners in preparing NDPIII, streamlines joint sector working groups and ensures that partnership dialogue within the NPF is inclusive and result-orientated. To enhance the level of commitment and buy-in to </w:t>
      </w:r>
      <w:r w:rsidR="00CD00C0" w:rsidRPr="00003E08">
        <w:rPr>
          <w:rFonts w:ascii="Times New Roman" w:hAnsi="Times New Roman" w:cs="Times New Roman"/>
          <w:sz w:val="24"/>
          <w:szCs w:val="24"/>
        </w:rPr>
        <w:t xml:space="preserve">NDPII across </w:t>
      </w:r>
      <w:r w:rsidRPr="00003E08">
        <w:rPr>
          <w:rFonts w:ascii="Times New Roman" w:hAnsi="Times New Roman" w:cs="Times New Roman"/>
          <w:sz w:val="24"/>
          <w:szCs w:val="24"/>
        </w:rPr>
        <w:t>Government</w:t>
      </w:r>
      <w:r w:rsidR="003D6CA0" w:rsidRPr="00003E08">
        <w:rPr>
          <w:rFonts w:ascii="Times New Roman" w:hAnsi="Times New Roman" w:cs="Times New Roman"/>
          <w:sz w:val="24"/>
          <w:szCs w:val="24"/>
        </w:rPr>
        <w:t xml:space="preserve">, the </w:t>
      </w:r>
      <w:r w:rsidRPr="00003E08">
        <w:rPr>
          <w:rFonts w:ascii="Times New Roman" w:hAnsi="Times New Roman" w:cs="Times New Roman"/>
          <w:sz w:val="24"/>
          <w:szCs w:val="24"/>
        </w:rPr>
        <w:t xml:space="preserve">communication plan outlined in the NDPII </w:t>
      </w:r>
      <w:r w:rsidR="009C5EBE" w:rsidRPr="00003E08">
        <w:rPr>
          <w:rFonts w:ascii="Times New Roman" w:hAnsi="Times New Roman" w:cs="Times New Roman"/>
          <w:sz w:val="24"/>
          <w:szCs w:val="24"/>
        </w:rPr>
        <w:t>Implementation Strategy</w:t>
      </w:r>
      <w:r w:rsidR="003D6CA0" w:rsidRPr="00003E08">
        <w:rPr>
          <w:rFonts w:ascii="Times New Roman" w:hAnsi="Times New Roman" w:cs="Times New Roman"/>
          <w:sz w:val="24"/>
          <w:szCs w:val="24"/>
        </w:rPr>
        <w:t xml:space="preserve"> could be revisited and revised. A</w:t>
      </w:r>
      <w:r w:rsidRPr="00003E08">
        <w:rPr>
          <w:rFonts w:ascii="Times New Roman" w:hAnsi="Times New Roman" w:cs="Times New Roman"/>
          <w:sz w:val="24"/>
          <w:szCs w:val="24"/>
        </w:rPr>
        <w:t xml:space="preserve"> series of small meetings with </w:t>
      </w:r>
      <w:r w:rsidR="002B6645" w:rsidRPr="00003E08">
        <w:rPr>
          <w:rFonts w:ascii="Times New Roman" w:hAnsi="Times New Roman" w:cs="Times New Roman"/>
          <w:sz w:val="24"/>
          <w:szCs w:val="24"/>
        </w:rPr>
        <w:lastRenderedPageBreak/>
        <w:t>MDAs</w:t>
      </w:r>
      <w:r w:rsidR="003D6CA0" w:rsidRPr="00003E08">
        <w:rPr>
          <w:rFonts w:ascii="Times New Roman" w:hAnsi="Times New Roman" w:cs="Times New Roman"/>
          <w:sz w:val="24"/>
          <w:szCs w:val="24"/>
        </w:rPr>
        <w:t>, parliamentarians and local governments</w:t>
      </w:r>
      <w:r w:rsidRPr="00003E08">
        <w:rPr>
          <w:rFonts w:ascii="Times New Roman" w:hAnsi="Times New Roman" w:cs="Times New Roman"/>
          <w:sz w:val="24"/>
          <w:szCs w:val="24"/>
        </w:rPr>
        <w:t>, in addition to larger forums</w:t>
      </w:r>
      <w:r w:rsidR="003D6CA0" w:rsidRPr="00003E08">
        <w:rPr>
          <w:rFonts w:ascii="Times New Roman" w:hAnsi="Times New Roman" w:cs="Times New Roman"/>
          <w:sz w:val="24"/>
          <w:szCs w:val="24"/>
        </w:rPr>
        <w:t xml:space="preserve"> may be appropriate.</w:t>
      </w:r>
      <w:r w:rsidRPr="00003E08">
        <w:rPr>
          <w:rFonts w:ascii="Times New Roman" w:hAnsi="Times New Roman" w:cs="Times New Roman"/>
          <w:sz w:val="24"/>
          <w:szCs w:val="24"/>
        </w:rPr>
        <w:t xml:space="preserve"> Focused, meaningful discussions should also be </w:t>
      </w:r>
      <w:r w:rsidR="003D6CA0" w:rsidRPr="00003E08">
        <w:rPr>
          <w:rFonts w:ascii="Times New Roman" w:hAnsi="Times New Roman" w:cs="Times New Roman"/>
          <w:sz w:val="24"/>
          <w:szCs w:val="24"/>
        </w:rPr>
        <w:t xml:space="preserve">held </w:t>
      </w:r>
      <w:r w:rsidRPr="00003E08">
        <w:rPr>
          <w:rFonts w:ascii="Times New Roman" w:hAnsi="Times New Roman" w:cs="Times New Roman"/>
          <w:sz w:val="24"/>
          <w:szCs w:val="24"/>
        </w:rPr>
        <w:t>more frequent</w:t>
      </w:r>
      <w:r w:rsidR="003D6CA0" w:rsidRPr="00003E08">
        <w:rPr>
          <w:rFonts w:ascii="Times New Roman" w:hAnsi="Times New Roman" w:cs="Times New Roman"/>
          <w:sz w:val="24"/>
          <w:szCs w:val="24"/>
        </w:rPr>
        <w:t>ly</w:t>
      </w:r>
      <w:r w:rsidRPr="00003E08">
        <w:rPr>
          <w:rFonts w:ascii="Times New Roman" w:hAnsi="Times New Roman" w:cs="Times New Roman"/>
          <w:sz w:val="24"/>
          <w:szCs w:val="24"/>
        </w:rPr>
        <w:t xml:space="preserve"> with civil society and the private sector</w:t>
      </w:r>
      <w:r w:rsidR="003D6CA0" w:rsidRPr="00003E08">
        <w:rPr>
          <w:rFonts w:ascii="Times New Roman" w:hAnsi="Times New Roman" w:cs="Times New Roman"/>
          <w:sz w:val="24"/>
          <w:szCs w:val="24"/>
        </w:rPr>
        <w:t xml:space="preserve"> to support the successful implementation of NDPII and future development plans. </w:t>
      </w:r>
    </w:p>
    <w:p w14:paraId="0086B7D8" w14:textId="77777777" w:rsidR="000B2D5A" w:rsidRPr="00003E08" w:rsidRDefault="00E66B86" w:rsidP="00003E08">
      <w:pPr>
        <w:spacing w:line="360" w:lineRule="auto"/>
        <w:jc w:val="both"/>
        <w:rPr>
          <w:rFonts w:ascii="Times New Roman" w:hAnsi="Times New Roman" w:cs="Times New Roman"/>
          <w:sz w:val="24"/>
          <w:szCs w:val="24"/>
        </w:rPr>
        <w:sectPr w:rsidR="000B2D5A" w:rsidRPr="00003E08" w:rsidSect="000B2D5A">
          <w:footerReference w:type="default" r:id="rId12"/>
          <w:footerReference w:type="first" r:id="rId13"/>
          <w:pgSz w:w="11906" w:h="16838"/>
          <w:pgMar w:top="1440" w:right="1440" w:bottom="1440" w:left="1440" w:header="708" w:footer="708" w:gutter="0"/>
          <w:pgNumType w:fmt="lowerRoman" w:start="0"/>
          <w:cols w:space="708"/>
          <w:titlePg/>
          <w:docGrid w:linePitch="360"/>
        </w:sectPr>
      </w:pPr>
      <w:r w:rsidRPr="00003E08">
        <w:rPr>
          <w:rFonts w:ascii="Times New Roman" w:hAnsi="Times New Roman" w:cs="Times New Roman"/>
          <w:sz w:val="24"/>
          <w:szCs w:val="24"/>
        </w:rPr>
        <w:br w:type="page"/>
      </w:r>
    </w:p>
    <w:p w14:paraId="5EAF1A94" w14:textId="69FE6CC8" w:rsidR="00846E60" w:rsidRPr="00003E08" w:rsidRDefault="00846E60" w:rsidP="00B86D0C">
      <w:pPr>
        <w:pStyle w:val="Heading1"/>
        <w:numPr>
          <w:ilvl w:val="0"/>
          <w:numId w:val="45"/>
        </w:numPr>
      </w:pPr>
      <w:bookmarkStart w:id="9" w:name="_Toc3454209"/>
      <w:bookmarkStart w:id="10" w:name="_Toc9269374"/>
      <w:r w:rsidRPr="00003E08">
        <w:lastRenderedPageBreak/>
        <w:t>Introduction</w:t>
      </w:r>
      <w:bookmarkEnd w:id="9"/>
      <w:bookmarkEnd w:id="10"/>
    </w:p>
    <w:p w14:paraId="32356A1B" w14:textId="125C53F6" w:rsidR="0066799C" w:rsidRPr="00003E08" w:rsidRDefault="009951BD"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b/>
          <w:sz w:val="24"/>
          <w:szCs w:val="24"/>
        </w:rPr>
        <w:t xml:space="preserve">The </w:t>
      </w:r>
      <w:r w:rsidR="009A2561" w:rsidRPr="00003E08">
        <w:rPr>
          <w:rFonts w:ascii="Times New Roman" w:hAnsi="Times New Roman" w:cs="Times New Roman"/>
          <w:b/>
          <w:sz w:val="24"/>
          <w:szCs w:val="24"/>
        </w:rPr>
        <w:t>Government</w:t>
      </w:r>
      <w:r w:rsidRPr="00003E08">
        <w:rPr>
          <w:rFonts w:ascii="Times New Roman" w:hAnsi="Times New Roman" w:cs="Times New Roman"/>
          <w:b/>
          <w:sz w:val="24"/>
          <w:szCs w:val="24"/>
        </w:rPr>
        <w:t xml:space="preserve"> of Uganda</w:t>
      </w:r>
      <w:r w:rsidR="00563560" w:rsidRPr="00003E08">
        <w:rPr>
          <w:rFonts w:ascii="Times New Roman" w:hAnsi="Times New Roman" w:cs="Times New Roman"/>
          <w:b/>
          <w:sz w:val="24"/>
          <w:szCs w:val="24"/>
        </w:rPr>
        <w:t>, through the National Planning Authority,</w:t>
      </w:r>
      <w:r w:rsidRPr="00003E08">
        <w:rPr>
          <w:rFonts w:ascii="Times New Roman" w:hAnsi="Times New Roman" w:cs="Times New Roman"/>
          <w:b/>
          <w:sz w:val="24"/>
          <w:szCs w:val="24"/>
        </w:rPr>
        <w:t xml:space="preserve"> has commissioned a mid-term review of its National Development Plan II </w:t>
      </w:r>
      <w:r w:rsidR="002F141A" w:rsidRPr="00003E08">
        <w:rPr>
          <w:rFonts w:ascii="Times New Roman" w:hAnsi="Times New Roman" w:cs="Times New Roman"/>
          <w:b/>
          <w:sz w:val="24"/>
          <w:szCs w:val="24"/>
        </w:rPr>
        <w:t>201</w:t>
      </w:r>
      <w:r w:rsidR="00A01041" w:rsidRPr="00003E08">
        <w:rPr>
          <w:rFonts w:ascii="Times New Roman" w:hAnsi="Times New Roman" w:cs="Times New Roman"/>
          <w:b/>
          <w:sz w:val="24"/>
          <w:szCs w:val="24"/>
        </w:rPr>
        <w:t>5</w:t>
      </w:r>
      <w:r w:rsidR="002F141A" w:rsidRPr="00003E08">
        <w:rPr>
          <w:rFonts w:ascii="Times New Roman" w:hAnsi="Times New Roman" w:cs="Times New Roman"/>
          <w:b/>
          <w:sz w:val="24"/>
          <w:szCs w:val="24"/>
        </w:rPr>
        <w:t>/1</w:t>
      </w:r>
      <w:r w:rsidR="00A01041" w:rsidRPr="00003E08">
        <w:rPr>
          <w:rFonts w:ascii="Times New Roman" w:hAnsi="Times New Roman" w:cs="Times New Roman"/>
          <w:b/>
          <w:sz w:val="24"/>
          <w:szCs w:val="24"/>
        </w:rPr>
        <w:t>6</w:t>
      </w:r>
      <w:r w:rsidR="002F141A" w:rsidRPr="00003E08">
        <w:rPr>
          <w:rFonts w:ascii="Times New Roman" w:hAnsi="Times New Roman" w:cs="Times New Roman"/>
          <w:b/>
          <w:sz w:val="24"/>
          <w:szCs w:val="24"/>
        </w:rPr>
        <w:t>-</w:t>
      </w:r>
      <w:r w:rsidR="00A01041" w:rsidRPr="00003E08">
        <w:rPr>
          <w:rFonts w:ascii="Times New Roman" w:hAnsi="Times New Roman" w:cs="Times New Roman"/>
          <w:b/>
          <w:sz w:val="24"/>
          <w:szCs w:val="24"/>
        </w:rPr>
        <w:t xml:space="preserve">2019/20 </w:t>
      </w:r>
      <w:r w:rsidRPr="00003E08">
        <w:rPr>
          <w:rFonts w:ascii="Times New Roman" w:hAnsi="Times New Roman" w:cs="Times New Roman"/>
          <w:b/>
          <w:sz w:val="24"/>
          <w:szCs w:val="24"/>
        </w:rPr>
        <w:t>(NDPII).</w:t>
      </w:r>
      <w:r w:rsidRPr="00003E08">
        <w:rPr>
          <w:rFonts w:ascii="Times New Roman" w:hAnsi="Times New Roman" w:cs="Times New Roman"/>
          <w:sz w:val="24"/>
          <w:szCs w:val="24"/>
        </w:rPr>
        <w:t xml:space="preserve"> The mid-term review covers the period 2014/15 to 2017/18. </w:t>
      </w:r>
      <w:r w:rsidR="0066799C" w:rsidRPr="00003E08">
        <w:rPr>
          <w:rFonts w:ascii="Times New Roman" w:hAnsi="Times New Roman" w:cs="Times New Roman"/>
          <w:sz w:val="24"/>
          <w:szCs w:val="24"/>
        </w:rPr>
        <w:t>Th</w:t>
      </w:r>
      <w:r w:rsidR="00457E2C" w:rsidRPr="00003E08">
        <w:rPr>
          <w:rFonts w:ascii="Times New Roman" w:hAnsi="Times New Roman" w:cs="Times New Roman"/>
          <w:sz w:val="24"/>
          <w:szCs w:val="24"/>
        </w:rPr>
        <w:t>e</w:t>
      </w:r>
      <w:r w:rsidR="0066799C" w:rsidRPr="00003E08">
        <w:rPr>
          <w:rFonts w:ascii="Times New Roman" w:hAnsi="Times New Roman" w:cs="Times New Roman"/>
          <w:sz w:val="24"/>
          <w:szCs w:val="24"/>
        </w:rPr>
        <w:t xml:space="preserve"> mid-term review, conducted by a team of independent consultants</w:t>
      </w:r>
      <w:r w:rsidR="00457E2C" w:rsidRPr="00003E08">
        <w:rPr>
          <w:rFonts w:ascii="Times New Roman" w:hAnsi="Times New Roman" w:cs="Times New Roman"/>
          <w:sz w:val="24"/>
          <w:szCs w:val="24"/>
        </w:rPr>
        <w:t>,</w:t>
      </w:r>
      <w:r w:rsidR="0066799C" w:rsidRPr="00003E08">
        <w:rPr>
          <w:rFonts w:ascii="Times New Roman" w:hAnsi="Times New Roman" w:cs="Times New Roman"/>
          <w:sz w:val="24"/>
          <w:szCs w:val="24"/>
        </w:rPr>
        <w:t xml:space="preserve"> is comprised of six </w:t>
      </w:r>
      <w:r w:rsidR="00D4624B" w:rsidRPr="00003E08">
        <w:rPr>
          <w:rFonts w:ascii="Times New Roman" w:hAnsi="Times New Roman" w:cs="Times New Roman"/>
          <w:sz w:val="24"/>
          <w:szCs w:val="24"/>
        </w:rPr>
        <w:t xml:space="preserve">thematic </w:t>
      </w:r>
      <w:r w:rsidR="00457E2C" w:rsidRPr="00003E08">
        <w:rPr>
          <w:rFonts w:ascii="Times New Roman" w:hAnsi="Times New Roman" w:cs="Times New Roman"/>
          <w:sz w:val="24"/>
          <w:szCs w:val="24"/>
        </w:rPr>
        <w:t>reports</w:t>
      </w:r>
      <w:r w:rsidR="00D4624B" w:rsidRPr="00003E08">
        <w:rPr>
          <w:rFonts w:ascii="Times New Roman" w:hAnsi="Times New Roman" w:cs="Times New Roman"/>
          <w:sz w:val="24"/>
          <w:szCs w:val="24"/>
        </w:rPr>
        <w:t xml:space="preserve">: </w:t>
      </w:r>
      <w:r w:rsidR="00457E2C" w:rsidRPr="00003E08">
        <w:rPr>
          <w:rFonts w:ascii="Times New Roman" w:hAnsi="Times New Roman" w:cs="Times New Roman"/>
          <w:sz w:val="24"/>
          <w:szCs w:val="24"/>
        </w:rPr>
        <w:t>E</w:t>
      </w:r>
      <w:r w:rsidR="00D4624B" w:rsidRPr="00003E08">
        <w:rPr>
          <w:rFonts w:ascii="Times New Roman" w:hAnsi="Times New Roman" w:cs="Times New Roman"/>
          <w:sz w:val="24"/>
          <w:szCs w:val="24"/>
        </w:rPr>
        <w:t xml:space="preserve">conomic </w:t>
      </w:r>
      <w:r w:rsidR="00457E2C" w:rsidRPr="00003E08">
        <w:rPr>
          <w:rFonts w:ascii="Times New Roman" w:hAnsi="Times New Roman" w:cs="Times New Roman"/>
          <w:sz w:val="24"/>
          <w:szCs w:val="24"/>
        </w:rPr>
        <w:t>M</w:t>
      </w:r>
      <w:r w:rsidR="00D4624B" w:rsidRPr="00003E08">
        <w:rPr>
          <w:rFonts w:ascii="Times New Roman" w:hAnsi="Times New Roman" w:cs="Times New Roman"/>
          <w:sz w:val="24"/>
          <w:szCs w:val="24"/>
        </w:rPr>
        <w:t xml:space="preserve">anagement, </w:t>
      </w:r>
      <w:r w:rsidR="00457E2C" w:rsidRPr="00003E08">
        <w:rPr>
          <w:rFonts w:ascii="Times New Roman" w:hAnsi="Times New Roman" w:cs="Times New Roman"/>
          <w:sz w:val="24"/>
          <w:szCs w:val="24"/>
        </w:rPr>
        <w:t>I</w:t>
      </w:r>
      <w:r w:rsidR="00D4624B" w:rsidRPr="00003E08">
        <w:rPr>
          <w:rFonts w:ascii="Times New Roman" w:hAnsi="Times New Roman" w:cs="Times New Roman"/>
          <w:sz w:val="24"/>
          <w:szCs w:val="24"/>
        </w:rPr>
        <w:t xml:space="preserve">nstitutional </w:t>
      </w:r>
      <w:r w:rsidR="00457E2C" w:rsidRPr="00003E08">
        <w:rPr>
          <w:rFonts w:ascii="Times New Roman" w:hAnsi="Times New Roman" w:cs="Times New Roman"/>
          <w:sz w:val="24"/>
          <w:szCs w:val="24"/>
        </w:rPr>
        <w:t>F</w:t>
      </w:r>
      <w:r w:rsidR="00D4624B" w:rsidRPr="00003E08">
        <w:rPr>
          <w:rFonts w:ascii="Times New Roman" w:hAnsi="Times New Roman" w:cs="Times New Roman"/>
          <w:sz w:val="24"/>
          <w:szCs w:val="24"/>
        </w:rPr>
        <w:t xml:space="preserve">ramework, </w:t>
      </w:r>
      <w:r w:rsidR="00457E2C" w:rsidRPr="00003E08">
        <w:rPr>
          <w:rFonts w:ascii="Times New Roman" w:hAnsi="Times New Roman" w:cs="Times New Roman"/>
          <w:sz w:val="24"/>
          <w:szCs w:val="24"/>
        </w:rPr>
        <w:t>D</w:t>
      </w:r>
      <w:r w:rsidR="00D4624B" w:rsidRPr="00003E08">
        <w:rPr>
          <w:rFonts w:ascii="Times New Roman" w:hAnsi="Times New Roman" w:cs="Times New Roman"/>
          <w:sz w:val="24"/>
          <w:szCs w:val="24"/>
        </w:rPr>
        <w:t xml:space="preserve">evelopment </w:t>
      </w:r>
      <w:r w:rsidR="00457E2C" w:rsidRPr="00003E08">
        <w:rPr>
          <w:rFonts w:ascii="Times New Roman" w:hAnsi="Times New Roman" w:cs="Times New Roman"/>
          <w:sz w:val="24"/>
          <w:szCs w:val="24"/>
        </w:rPr>
        <w:t>P</w:t>
      </w:r>
      <w:r w:rsidR="00D4624B" w:rsidRPr="00003E08">
        <w:rPr>
          <w:rFonts w:ascii="Times New Roman" w:hAnsi="Times New Roman" w:cs="Times New Roman"/>
          <w:sz w:val="24"/>
          <w:szCs w:val="24"/>
        </w:rPr>
        <w:t xml:space="preserve">artnerships, </w:t>
      </w:r>
      <w:r w:rsidR="00457E2C" w:rsidRPr="00003E08">
        <w:rPr>
          <w:rFonts w:ascii="Times New Roman" w:hAnsi="Times New Roman" w:cs="Times New Roman"/>
          <w:sz w:val="24"/>
          <w:szCs w:val="24"/>
        </w:rPr>
        <w:t>P</w:t>
      </w:r>
      <w:r w:rsidR="00D4624B" w:rsidRPr="00003E08">
        <w:rPr>
          <w:rFonts w:ascii="Times New Roman" w:hAnsi="Times New Roman" w:cs="Times New Roman"/>
          <w:sz w:val="24"/>
          <w:szCs w:val="24"/>
        </w:rPr>
        <w:t xml:space="preserve">olitical </w:t>
      </w:r>
      <w:r w:rsidR="00457E2C" w:rsidRPr="00003E08">
        <w:rPr>
          <w:rFonts w:ascii="Times New Roman" w:hAnsi="Times New Roman" w:cs="Times New Roman"/>
          <w:sz w:val="24"/>
          <w:szCs w:val="24"/>
        </w:rPr>
        <w:t>E</w:t>
      </w:r>
      <w:r w:rsidR="00D4624B" w:rsidRPr="00003E08">
        <w:rPr>
          <w:rFonts w:ascii="Times New Roman" w:hAnsi="Times New Roman" w:cs="Times New Roman"/>
          <w:sz w:val="24"/>
          <w:szCs w:val="24"/>
        </w:rPr>
        <w:t xml:space="preserve">conomy, </w:t>
      </w:r>
      <w:r w:rsidR="00457E2C" w:rsidRPr="00003E08">
        <w:rPr>
          <w:rFonts w:ascii="Times New Roman" w:hAnsi="Times New Roman" w:cs="Times New Roman"/>
          <w:sz w:val="24"/>
          <w:szCs w:val="24"/>
        </w:rPr>
        <w:t>R</w:t>
      </w:r>
      <w:r w:rsidR="00D4624B" w:rsidRPr="00003E08">
        <w:rPr>
          <w:rFonts w:ascii="Times New Roman" w:hAnsi="Times New Roman" w:cs="Times New Roman"/>
          <w:sz w:val="24"/>
          <w:szCs w:val="24"/>
        </w:rPr>
        <w:t xml:space="preserve">esults </w:t>
      </w:r>
      <w:r w:rsidR="00457E2C" w:rsidRPr="00003E08">
        <w:rPr>
          <w:rFonts w:ascii="Times New Roman" w:hAnsi="Times New Roman" w:cs="Times New Roman"/>
          <w:sz w:val="24"/>
          <w:szCs w:val="24"/>
        </w:rPr>
        <w:t>F</w:t>
      </w:r>
      <w:r w:rsidR="00D4624B" w:rsidRPr="00003E08">
        <w:rPr>
          <w:rFonts w:ascii="Times New Roman" w:hAnsi="Times New Roman" w:cs="Times New Roman"/>
          <w:sz w:val="24"/>
          <w:szCs w:val="24"/>
        </w:rPr>
        <w:t xml:space="preserve">ramework and </w:t>
      </w:r>
      <w:r w:rsidR="00457E2C" w:rsidRPr="00003E08">
        <w:rPr>
          <w:rFonts w:ascii="Times New Roman" w:hAnsi="Times New Roman" w:cs="Times New Roman"/>
          <w:sz w:val="24"/>
          <w:szCs w:val="24"/>
        </w:rPr>
        <w:t>P</w:t>
      </w:r>
      <w:r w:rsidR="00D4624B" w:rsidRPr="00003E08">
        <w:rPr>
          <w:rFonts w:ascii="Times New Roman" w:hAnsi="Times New Roman" w:cs="Times New Roman"/>
          <w:sz w:val="24"/>
          <w:szCs w:val="24"/>
        </w:rPr>
        <w:t xml:space="preserve">olicy </w:t>
      </w:r>
      <w:r w:rsidR="00457E2C" w:rsidRPr="00003E08">
        <w:rPr>
          <w:rFonts w:ascii="Times New Roman" w:hAnsi="Times New Roman" w:cs="Times New Roman"/>
          <w:sz w:val="24"/>
          <w:szCs w:val="24"/>
        </w:rPr>
        <w:t>a</w:t>
      </w:r>
      <w:r w:rsidR="00D4624B" w:rsidRPr="00003E08">
        <w:rPr>
          <w:rFonts w:ascii="Times New Roman" w:hAnsi="Times New Roman" w:cs="Times New Roman"/>
          <w:sz w:val="24"/>
          <w:szCs w:val="24"/>
        </w:rPr>
        <w:t xml:space="preserve">nd </w:t>
      </w:r>
      <w:r w:rsidR="00457E2C" w:rsidRPr="00003E08">
        <w:rPr>
          <w:rFonts w:ascii="Times New Roman" w:hAnsi="Times New Roman" w:cs="Times New Roman"/>
          <w:sz w:val="24"/>
          <w:szCs w:val="24"/>
        </w:rPr>
        <w:t>S</w:t>
      </w:r>
      <w:r w:rsidR="00D4624B" w:rsidRPr="00003E08">
        <w:rPr>
          <w:rFonts w:ascii="Times New Roman" w:hAnsi="Times New Roman" w:cs="Times New Roman"/>
          <w:sz w:val="24"/>
          <w:szCs w:val="24"/>
        </w:rPr>
        <w:t xml:space="preserve">trategic </w:t>
      </w:r>
      <w:r w:rsidR="00457E2C" w:rsidRPr="00003E08">
        <w:rPr>
          <w:rFonts w:ascii="Times New Roman" w:hAnsi="Times New Roman" w:cs="Times New Roman"/>
          <w:sz w:val="24"/>
          <w:szCs w:val="24"/>
        </w:rPr>
        <w:t>D</w:t>
      </w:r>
      <w:r w:rsidR="00D4624B" w:rsidRPr="00003E08">
        <w:rPr>
          <w:rFonts w:ascii="Times New Roman" w:hAnsi="Times New Roman" w:cs="Times New Roman"/>
          <w:sz w:val="24"/>
          <w:szCs w:val="24"/>
        </w:rPr>
        <w:t xml:space="preserve">irection. </w:t>
      </w:r>
      <w:r w:rsidR="00032A37" w:rsidRPr="00003E08">
        <w:rPr>
          <w:rFonts w:ascii="Times New Roman" w:hAnsi="Times New Roman" w:cs="Times New Roman"/>
          <w:sz w:val="24"/>
          <w:szCs w:val="24"/>
        </w:rPr>
        <w:t xml:space="preserve">This is the Policy and Strategic Thematic Report. </w:t>
      </w:r>
    </w:p>
    <w:p w14:paraId="63FA7052" w14:textId="54539041" w:rsidR="003A38B6" w:rsidRPr="00003E08" w:rsidRDefault="00D64C10"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b/>
          <w:sz w:val="24"/>
          <w:szCs w:val="24"/>
        </w:rPr>
        <w:t xml:space="preserve">The </w:t>
      </w:r>
      <w:r w:rsidR="00404A18" w:rsidRPr="00003E08">
        <w:rPr>
          <w:rFonts w:ascii="Times New Roman" w:hAnsi="Times New Roman" w:cs="Times New Roman"/>
          <w:b/>
          <w:sz w:val="24"/>
          <w:szCs w:val="24"/>
        </w:rPr>
        <w:t xml:space="preserve">objective of </w:t>
      </w:r>
      <w:r w:rsidRPr="00003E08">
        <w:rPr>
          <w:rFonts w:ascii="Times New Roman" w:hAnsi="Times New Roman" w:cs="Times New Roman"/>
          <w:b/>
          <w:sz w:val="24"/>
          <w:szCs w:val="24"/>
        </w:rPr>
        <w:t xml:space="preserve">this report is </w:t>
      </w:r>
      <w:r w:rsidR="00AD548C" w:rsidRPr="00003E08">
        <w:rPr>
          <w:rFonts w:ascii="Times New Roman" w:hAnsi="Times New Roman" w:cs="Times New Roman"/>
          <w:b/>
          <w:sz w:val="24"/>
          <w:szCs w:val="24"/>
        </w:rPr>
        <w:t xml:space="preserve">to </w:t>
      </w:r>
      <w:r w:rsidR="00404A18" w:rsidRPr="00003E08">
        <w:rPr>
          <w:rFonts w:ascii="Times New Roman" w:hAnsi="Times New Roman" w:cs="Times New Roman"/>
          <w:b/>
          <w:sz w:val="24"/>
          <w:szCs w:val="24"/>
        </w:rPr>
        <w:t xml:space="preserve">present an assessment </w:t>
      </w:r>
      <w:r w:rsidR="00AD548C" w:rsidRPr="00003E08">
        <w:rPr>
          <w:rFonts w:ascii="Times New Roman" w:hAnsi="Times New Roman" w:cs="Times New Roman"/>
          <w:b/>
          <w:sz w:val="24"/>
          <w:szCs w:val="24"/>
        </w:rPr>
        <w:t>on the quality</w:t>
      </w:r>
      <w:r w:rsidR="00BD2CE3" w:rsidRPr="00003E08">
        <w:rPr>
          <w:rFonts w:ascii="Times New Roman" w:hAnsi="Times New Roman" w:cs="Times New Roman"/>
          <w:b/>
          <w:sz w:val="24"/>
          <w:szCs w:val="24"/>
        </w:rPr>
        <w:t>, suitability</w:t>
      </w:r>
      <w:r w:rsidR="00AD548C" w:rsidRPr="00003E08">
        <w:rPr>
          <w:rFonts w:ascii="Times New Roman" w:hAnsi="Times New Roman" w:cs="Times New Roman"/>
          <w:b/>
          <w:sz w:val="24"/>
          <w:szCs w:val="24"/>
        </w:rPr>
        <w:t xml:space="preserve"> and </w:t>
      </w:r>
      <w:r w:rsidRPr="00003E08">
        <w:rPr>
          <w:rFonts w:ascii="Times New Roman" w:hAnsi="Times New Roman" w:cs="Times New Roman"/>
          <w:b/>
          <w:sz w:val="24"/>
          <w:szCs w:val="24"/>
        </w:rPr>
        <w:t xml:space="preserve">effectiveness of </w:t>
      </w:r>
      <w:r w:rsidR="00F07665" w:rsidRPr="00003E08">
        <w:rPr>
          <w:rFonts w:ascii="Times New Roman" w:hAnsi="Times New Roman" w:cs="Times New Roman"/>
          <w:b/>
          <w:sz w:val="24"/>
          <w:szCs w:val="24"/>
        </w:rPr>
        <w:t xml:space="preserve">NDPII’s </w:t>
      </w:r>
      <w:r w:rsidRPr="00003E08">
        <w:rPr>
          <w:rFonts w:ascii="Times New Roman" w:hAnsi="Times New Roman" w:cs="Times New Roman"/>
          <w:b/>
          <w:sz w:val="24"/>
          <w:szCs w:val="24"/>
        </w:rPr>
        <w:t>policy and strategic direction</w:t>
      </w:r>
      <w:r w:rsidR="00043824" w:rsidRPr="00003E08">
        <w:rPr>
          <w:rFonts w:ascii="Times New Roman" w:hAnsi="Times New Roman" w:cs="Times New Roman"/>
          <w:b/>
          <w:sz w:val="24"/>
          <w:szCs w:val="24"/>
        </w:rPr>
        <w:t>, three years into implem</w:t>
      </w:r>
      <w:r w:rsidR="0024249A" w:rsidRPr="00003E08">
        <w:rPr>
          <w:rFonts w:ascii="Times New Roman" w:hAnsi="Times New Roman" w:cs="Times New Roman"/>
          <w:b/>
          <w:sz w:val="24"/>
          <w:szCs w:val="24"/>
        </w:rPr>
        <w:t>entation.</w:t>
      </w:r>
      <w:r w:rsidR="00AD548C" w:rsidRPr="00003E08">
        <w:rPr>
          <w:rFonts w:ascii="Times New Roman" w:hAnsi="Times New Roman" w:cs="Times New Roman"/>
          <w:b/>
          <w:sz w:val="24"/>
          <w:szCs w:val="24"/>
        </w:rPr>
        <w:t xml:space="preserve"> </w:t>
      </w:r>
      <w:r w:rsidR="003A38B6" w:rsidRPr="00003E08">
        <w:rPr>
          <w:rFonts w:ascii="Times New Roman" w:hAnsi="Times New Roman" w:cs="Times New Roman"/>
          <w:sz w:val="24"/>
          <w:szCs w:val="24"/>
        </w:rPr>
        <w:t xml:space="preserve">Policy and strategic direction </w:t>
      </w:r>
      <w:r w:rsidR="00E35B9F" w:rsidRPr="00003E08">
        <w:rPr>
          <w:rFonts w:ascii="Times New Roman" w:hAnsi="Times New Roman" w:cs="Times New Roman"/>
          <w:sz w:val="24"/>
          <w:szCs w:val="24"/>
        </w:rPr>
        <w:t>are</w:t>
      </w:r>
      <w:r w:rsidR="003A38B6" w:rsidRPr="00003E08">
        <w:rPr>
          <w:rFonts w:ascii="Times New Roman" w:hAnsi="Times New Roman" w:cs="Times New Roman"/>
          <w:sz w:val="24"/>
          <w:szCs w:val="24"/>
        </w:rPr>
        <w:t xml:space="preserve"> defined as</w:t>
      </w:r>
      <w:r w:rsidR="00AB0CC3" w:rsidRPr="00003E08">
        <w:rPr>
          <w:rFonts w:ascii="Times New Roman" w:hAnsi="Times New Roman" w:cs="Times New Roman"/>
          <w:sz w:val="24"/>
          <w:szCs w:val="24"/>
        </w:rPr>
        <w:t xml:space="preserve"> </w:t>
      </w:r>
      <w:r w:rsidR="00CE6DF9" w:rsidRPr="00003E08">
        <w:rPr>
          <w:rFonts w:ascii="Times New Roman" w:hAnsi="Times New Roman" w:cs="Times New Roman"/>
          <w:sz w:val="24"/>
          <w:szCs w:val="24"/>
        </w:rPr>
        <w:t xml:space="preserve">the </w:t>
      </w:r>
      <w:r w:rsidR="00AB0CC3" w:rsidRPr="00003E08">
        <w:rPr>
          <w:rFonts w:ascii="Times New Roman" w:hAnsi="Times New Roman" w:cs="Times New Roman"/>
          <w:sz w:val="24"/>
          <w:szCs w:val="24"/>
        </w:rPr>
        <w:t>guidance given to the country on its development path.</w:t>
      </w:r>
      <w:r w:rsidR="006E0A3A" w:rsidRPr="00003E08">
        <w:rPr>
          <w:rFonts w:ascii="Times New Roman" w:hAnsi="Times New Roman" w:cs="Times New Roman"/>
          <w:sz w:val="24"/>
          <w:szCs w:val="24"/>
        </w:rPr>
        <w:t xml:space="preserve"> </w:t>
      </w:r>
      <w:r w:rsidR="007802A9" w:rsidRPr="00003E08">
        <w:rPr>
          <w:rFonts w:ascii="Times New Roman" w:hAnsi="Times New Roman" w:cs="Times New Roman"/>
          <w:sz w:val="24"/>
          <w:szCs w:val="24"/>
        </w:rPr>
        <w:t>Effective implementation of the guidance given in NDPII</w:t>
      </w:r>
      <w:r w:rsidR="007F5DE8" w:rsidRPr="00003E08">
        <w:rPr>
          <w:rFonts w:ascii="Times New Roman" w:hAnsi="Times New Roman" w:cs="Times New Roman"/>
          <w:sz w:val="24"/>
          <w:szCs w:val="24"/>
        </w:rPr>
        <w:t>,</w:t>
      </w:r>
      <w:r w:rsidR="007802A9" w:rsidRPr="00003E08">
        <w:rPr>
          <w:rFonts w:ascii="Times New Roman" w:hAnsi="Times New Roman" w:cs="Times New Roman"/>
          <w:sz w:val="24"/>
          <w:szCs w:val="24"/>
        </w:rPr>
        <w:t xml:space="preserve"> by </w:t>
      </w:r>
      <w:r w:rsidR="009A2561" w:rsidRPr="00003E08">
        <w:rPr>
          <w:rFonts w:ascii="Times New Roman" w:hAnsi="Times New Roman" w:cs="Times New Roman"/>
          <w:sz w:val="24"/>
          <w:szCs w:val="24"/>
        </w:rPr>
        <w:t>Government</w:t>
      </w:r>
      <w:r w:rsidR="007802A9" w:rsidRPr="00003E08">
        <w:rPr>
          <w:rFonts w:ascii="Times New Roman" w:hAnsi="Times New Roman" w:cs="Times New Roman"/>
          <w:sz w:val="24"/>
          <w:szCs w:val="24"/>
        </w:rPr>
        <w:t xml:space="preserve">, citizens, private sector, academia and </w:t>
      </w:r>
      <w:r w:rsidR="007F5DE8" w:rsidRPr="00003E08">
        <w:rPr>
          <w:rFonts w:ascii="Times New Roman" w:hAnsi="Times New Roman" w:cs="Times New Roman"/>
          <w:sz w:val="24"/>
          <w:szCs w:val="24"/>
        </w:rPr>
        <w:t>development partners,</w:t>
      </w:r>
      <w:r w:rsidR="007802A9" w:rsidRPr="00003E08">
        <w:rPr>
          <w:rFonts w:ascii="Times New Roman" w:hAnsi="Times New Roman" w:cs="Times New Roman"/>
          <w:sz w:val="24"/>
          <w:szCs w:val="24"/>
        </w:rPr>
        <w:t xml:space="preserve"> is assumed to support Uganda achieve its goal of becoming a lower middle-income country by 2020. </w:t>
      </w:r>
      <w:r w:rsidR="00DF2880" w:rsidRPr="00003E08">
        <w:rPr>
          <w:rFonts w:ascii="Times New Roman" w:hAnsi="Times New Roman" w:cs="Times New Roman"/>
          <w:sz w:val="24"/>
          <w:szCs w:val="24"/>
        </w:rPr>
        <w:t xml:space="preserve">This </w:t>
      </w:r>
      <w:r w:rsidR="002011F3" w:rsidRPr="00003E08">
        <w:rPr>
          <w:rFonts w:ascii="Times New Roman" w:hAnsi="Times New Roman" w:cs="Times New Roman"/>
          <w:sz w:val="24"/>
          <w:szCs w:val="24"/>
        </w:rPr>
        <w:t>mid-term review</w:t>
      </w:r>
      <w:r w:rsidR="00DF2880" w:rsidRPr="00003E08">
        <w:rPr>
          <w:rFonts w:ascii="Times New Roman" w:hAnsi="Times New Roman" w:cs="Times New Roman"/>
          <w:sz w:val="24"/>
          <w:szCs w:val="24"/>
        </w:rPr>
        <w:t xml:space="preserve"> </w:t>
      </w:r>
      <w:r w:rsidR="007F5DE8" w:rsidRPr="00003E08">
        <w:rPr>
          <w:rFonts w:ascii="Times New Roman" w:hAnsi="Times New Roman" w:cs="Times New Roman"/>
          <w:sz w:val="24"/>
          <w:szCs w:val="24"/>
        </w:rPr>
        <w:t xml:space="preserve">reports </w:t>
      </w:r>
      <w:r w:rsidR="00ED2FF1" w:rsidRPr="00003E08">
        <w:rPr>
          <w:rFonts w:ascii="Times New Roman" w:hAnsi="Times New Roman" w:cs="Times New Roman"/>
          <w:sz w:val="24"/>
          <w:szCs w:val="24"/>
        </w:rPr>
        <w:t xml:space="preserve">provides the </w:t>
      </w:r>
      <w:r w:rsidR="009A2561" w:rsidRPr="00003E08">
        <w:rPr>
          <w:rFonts w:ascii="Times New Roman" w:hAnsi="Times New Roman" w:cs="Times New Roman"/>
          <w:sz w:val="24"/>
          <w:szCs w:val="24"/>
        </w:rPr>
        <w:t>Government</w:t>
      </w:r>
      <w:r w:rsidR="00ED2FF1" w:rsidRPr="00003E08">
        <w:rPr>
          <w:rFonts w:ascii="Times New Roman" w:hAnsi="Times New Roman" w:cs="Times New Roman"/>
          <w:sz w:val="24"/>
          <w:szCs w:val="24"/>
        </w:rPr>
        <w:t xml:space="preserve"> with a stock-take on how effective the policy and strategic direction of NDPII </w:t>
      </w:r>
      <w:r w:rsidR="00EF02A0" w:rsidRPr="00003E08">
        <w:rPr>
          <w:rFonts w:ascii="Times New Roman" w:hAnsi="Times New Roman" w:cs="Times New Roman"/>
          <w:sz w:val="24"/>
          <w:szCs w:val="24"/>
        </w:rPr>
        <w:t>to-date has been</w:t>
      </w:r>
      <w:r w:rsidR="00ED2FF1" w:rsidRPr="00003E08">
        <w:rPr>
          <w:rFonts w:ascii="Times New Roman" w:hAnsi="Times New Roman" w:cs="Times New Roman"/>
          <w:sz w:val="24"/>
          <w:szCs w:val="24"/>
        </w:rPr>
        <w:t xml:space="preserve">. </w:t>
      </w:r>
    </w:p>
    <w:p w14:paraId="02A6F5C2" w14:textId="06D8A612" w:rsidR="00E67407" w:rsidRPr="00003E08" w:rsidRDefault="00404A18"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b/>
          <w:sz w:val="24"/>
          <w:szCs w:val="24"/>
        </w:rPr>
        <w:t>This report is structured into three parts</w:t>
      </w:r>
      <w:r w:rsidRPr="00003E08">
        <w:rPr>
          <w:rFonts w:ascii="Times New Roman" w:hAnsi="Times New Roman" w:cs="Times New Roman"/>
          <w:sz w:val="24"/>
          <w:szCs w:val="24"/>
        </w:rPr>
        <w:t xml:space="preserve">. </w:t>
      </w:r>
      <w:r w:rsidR="002B6125" w:rsidRPr="00003E08">
        <w:rPr>
          <w:rFonts w:ascii="Times New Roman" w:hAnsi="Times New Roman" w:cs="Times New Roman"/>
          <w:sz w:val="24"/>
          <w:szCs w:val="24"/>
        </w:rPr>
        <w:t>Part</w:t>
      </w:r>
      <w:r w:rsidR="00D21375" w:rsidRPr="00003E08">
        <w:rPr>
          <w:rFonts w:ascii="Times New Roman" w:hAnsi="Times New Roman" w:cs="Times New Roman"/>
          <w:sz w:val="24"/>
          <w:szCs w:val="24"/>
        </w:rPr>
        <w:t xml:space="preserve"> one presents a background to the topic and the methodology used to collect and analyse information. </w:t>
      </w:r>
      <w:r w:rsidR="002B6125" w:rsidRPr="00003E08">
        <w:rPr>
          <w:rFonts w:ascii="Times New Roman" w:hAnsi="Times New Roman" w:cs="Times New Roman"/>
          <w:sz w:val="24"/>
          <w:szCs w:val="24"/>
        </w:rPr>
        <w:t>Part</w:t>
      </w:r>
      <w:r w:rsidR="009E7564" w:rsidRPr="00003E08">
        <w:rPr>
          <w:rFonts w:ascii="Times New Roman" w:hAnsi="Times New Roman" w:cs="Times New Roman"/>
          <w:sz w:val="24"/>
          <w:szCs w:val="24"/>
        </w:rPr>
        <w:t xml:space="preserve"> two presents key findings</w:t>
      </w:r>
      <w:r w:rsidR="00E67407" w:rsidRPr="00003E08">
        <w:rPr>
          <w:rFonts w:ascii="Times New Roman" w:hAnsi="Times New Roman" w:cs="Times New Roman"/>
          <w:sz w:val="24"/>
          <w:szCs w:val="24"/>
        </w:rPr>
        <w:t xml:space="preserve">. </w:t>
      </w:r>
      <w:r w:rsidR="00963EF9" w:rsidRPr="00003E08">
        <w:rPr>
          <w:rFonts w:ascii="Times New Roman" w:hAnsi="Times New Roman" w:cs="Times New Roman"/>
          <w:sz w:val="24"/>
          <w:szCs w:val="24"/>
        </w:rPr>
        <w:t>Part</w:t>
      </w:r>
      <w:r w:rsidR="00E67407" w:rsidRPr="00003E08">
        <w:rPr>
          <w:rFonts w:ascii="Times New Roman" w:hAnsi="Times New Roman" w:cs="Times New Roman"/>
          <w:sz w:val="24"/>
          <w:szCs w:val="24"/>
        </w:rPr>
        <w:t xml:space="preserve"> three provides conclusions and recommendations. </w:t>
      </w:r>
      <w:r w:rsidR="007A148A" w:rsidRPr="00003E08">
        <w:rPr>
          <w:rFonts w:ascii="Times New Roman" w:hAnsi="Times New Roman" w:cs="Times New Roman"/>
          <w:sz w:val="24"/>
          <w:szCs w:val="24"/>
        </w:rPr>
        <w:t xml:space="preserve">This report was produced by two consultants from October 2018-January 2019. </w:t>
      </w:r>
      <w:r w:rsidR="00E67407" w:rsidRPr="00003E08">
        <w:rPr>
          <w:rFonts w:ascii="Times New Roman" w:hAnsi="Times New Roman" w:cs="Times New Roman"/>
          <w:sz w:val="24"/>
          <w:szCs w:val="24"/>
        </w:rPr>
        <w:t>This</w:t>
      </w:r>
      <w:r w:rsidR="00E3670C" w:rsidRPr="00003E08">
        <w:rPr>
          <w:rFonts w:ascii="Times New Roman" w:hAnsi="Times New Roman" w:cs="Times New Roman"/>
          <w:sz w:val="24"/>
          <w:szCs w:val="24"/>
        </w:rPr>
        <w:t xml:space="preserve"> </w:t>
      </w:r>
      <w:r w:rsidR="00E67407" w:rsidRPr="00003E08">
        <w:rPr>
          <w:rFonts w:ascii="Times New Roman" w:hAnsi="Times New Roman" w:cs="Times New Roman"/>
          <w:sz w:val="24"/>
          <w:szCs w:val="24"/>
        </w:rPr>
        <w:t xml:space="preserve">report is extremely </w:t>
      </w:r>
      <w:r w:rsidR="00DE2637" w:rsidRPr="00003E08">
        <w:rPr>
          <w:rFonts w:ascii="Times New Roman" w:hAnsi="Times New Roman" w:cs="Times New Roman"/>
          <w:sz w:val="24"/>
          <w:szCs w:val="24"/>
        </w:rPr>
        <w:t xml:space="preserve">timely as the </w:t>
      </w:r>
      <w:r w:rsidR="009A2561" w:rsidRPr="00003E08">
        <w:rPr>
          <w:rFonts w:ascii="Times New Roman" w:hAnsi="Times New Roman" w:cs="Times New Roman"/>
          <w:sz w:val="24"/>
          <w:szCs w:val="24"/>
        </w:rPr>
        <w:t>Government</w:t>
      </w:r>
      <w:r w:rsidR="00DE2637" w:rsidRPr="00003E08">
        <w:rPr>
          <w:rFonts w:ascii="Times New Roman" w:hAnsi="Times New Roman" w:cs="Times New Roman"/>
          <w:sz w:val="24"/>
          <w:szCs w:val="24"/>
        </w:rPr>
        <w:t xml:space="preserve"> of Uganda </w:t>
      </w:r>
      <w:r w:rsidR="00E53FD1" w:rsidRPr="00003E08">
        <w:rPr>
          <w:rFonts w:ascii="Times New Roman" w:hAnsi="Times New Roman" w:cs="Times New Roman"/>
          <w:sz w:val="24"/>
          <w:szCs w:val="24"/>
        </w:rPr>
        <w:t xml:space="preserve">has started the design of </w:t>
      </w:r>
      <w:r w:rsidR="002011F3" w:rsidRPr="00003E08">
        <w:rPr>
          <w:rFonts w:ascii="Times New Roman" w:hAnsi="Times New Roman" w:cs="Times New Roman"/>
          <w:sz w:val="24"/>
          <w:szCs w:val="24"/>
        </w:rPr>
        <w:t>its</w:t>
      </w:r>
      <w:r w:rsidR="00E53FD1" w:rsidRPr="00003E08">
        <w:rPr>
          <w:rFonts w:ascii="Times New Roman" w:hAnsi="Times New Roman" w:cs="Times New Roman"/>
          <w:sz w:val="24"/>
          <w:szCs w:val="24"/>
        </w:rPr>
        <w:t xml:space="preserve"> third five-year National Development Plan. </w:t>
      </w:r>
      <w:r w:rsidR="00110881" w:rsidRPr="00003E08">
        <w:rPr>
          <w:rFonts w:ascii="Times New Roman" w:hAnsi="Times New Roman" w:cs="Times New Roman"/>
          <w:sz w:val="24"/>
          <w:szCs w:val="24"/>
        </w:rPr>
        <w:t xml:space="preserve">This </w:t>
      </w:r>
      <w:r w:rsidR="00E3670C" w:rsidRPr="00003E08">
        <w:rPr>
          <w:rFonts w:ascii="Times New Roman" w:hAnsi="Times New Roman" w:cs="Times New Roman"/>
          <w:sz w:val="24"/>
          <w:szCs w:val="24"/>
        </w:rPr>
        <w:t xml:space="preserve">document </w:t>
      </w:r>
      <w:r w:rsidR="00110881" w:rsidRPr="00003E08">
        <w:rPr>
          <w:rFonts w:ascii="Times New Roman" w:hAnsi="Times New Roman" w:cs="Times New Roman"/>
          <w:sz w:val="24"/>
          <w:szCs w:val="24"/>
        </w:rPr>
        <w:t>will hopefully inform and guide this init</w:t>
      </w:r>
      <w:r w:rsidR="00D30FBD" w:rsidRPr="00003E08">
        <w:rPr>
          <w:rFonts w:ascii="Times New Roman" w:hAnsi="Times New Roman" w:cs="Times New Roman"/>
          <w:sz w:val="24"/>
          <w:szCs w:val="24"/>
        </w:rPr>
        <w:t>i</w:t>
      </w:r>
      <w:r w:rsidR="00110881" w:rsidRPr="00003E08">
        <w:rPr>
          <w:rFonts w:ascii="Times New Roman" w:hAnsi="Times New Roman" w:cs="Times New Roman"/>
          <w:sz w:val="24"/>
          <w:szCs w:val="24"/>
        </w:rPr>
        <w:t xml:space="preserve">ative. </w:t>
      </w:r>
    </w:p>
    <w:p w14:paraId="7ECDC536" w14:textId="5E162CCA" w:rsidR="00933037" w:rsidRPr="00003E08" w:rsidRDefault="005628B2" w:rsidP="00003E08">
      <w:pPr>
        <w:pStyle w:val="Heading2"/>
        <w:numPr>
          <w:ilvl w:val="1"/>
          <w:numId w:val="45"/>
        </w:numPr>
        <w:spacing w:before="0" w:line="360" w:lineRule="auto"/>
        <w:ind w:left="426" w:hanging="426"/>
        <w:rPr>
          <w:rFonts w:cs="Times New Roman"/>
          <w:szCs w:val="24"/>
        </w:rPr>
      </w:pPr>
      <w:bookmarkStart w:id="11" w:name="_Toc3454210"/>
      <w:bookmarkStart w:id="12" w:name="_Toc9269375"/>
      <w:r w:rsidRPr="00003E08">
        <w:rPr>
          <w:rFonts w:cs="Times New Roman"/>
          <w:szCs w:val="24"/>
        </w:rPr>
        <w:t>Methodology</w:t>
      </w:r>
      <w:bookmarkEnd w:id="11"/>
      <w:bookmarkEnd w:id="12"/>
    </w:p>
    <w:p w14:paraId="7B1BEE52" w14:textId="78A24E78" w:rsidR="00034432" w:rsidRPr="00003E08" w:rsidRDefault="00034432"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For this report, the consultants requested and analysed several documents from </w:t>
      </w:r>
      <w:r w:rsidR="009A2561" w:rsidRPr="00003E08">
        <w:rPr>
          <w:rFonts w:ascii="Times New Roman" w:hAnsi="Times New Roman" w:cs="Times New Roman"/>
          <w:sz w:val="24"/>
          <w:szCs w:val="24"/>
        </w:rPr>
        <w:t>Government</w:t>
      </w:r>
      <w:r w:rsidRPr="00003E08">
        <w:rPr>
          <w:rFonts w:ascii="Times New Roman" w:hAnsi="Times New Roman" w:cs="Times New Roman"/>
          <w:sz w:val="24"/>
          <w:szCs w:val="24"/>
        </w:rPr>
        <w:t xml:space="preserve"> </w:t>
      </w:r>
      <w:r w:rsidR="00B27686" w:rsidRPr="00003E08">
        <w:rPr>
          <w:rFonts w:ascii="Times New Roman" w:hAnsi="Times New Roman" w:cs="Times New Roman"/>
          <w:sz w:val="24"/>
          <w:szCs w:val="24"/>
        </w:rPr>
        <w:t xml:space="preserve">and Development Partners (Annex 1). In addition, semi-structured interviews were held with </w:t>
      </w:r>
      <w:r w:rsidR="009A2561" w:rsidRPr="00003E08">
        <w:rPr>
          <w:rFonts w:ascii="Times New Roman" w:hAnsi="Times New Roman" w:cs="Times New Roman"/>
          <w:sz w:val="24"/>
          <w:szCs w:val="24"/>
        </w:rPr>
        <w:t>Government</w:t>
      </w:r>
      <w:r w:rsidR="00B27686" w:rsidRPr="00003E08">
        <w:rPr>
          <w:rFonts w:ascii="Times New Roman" w:hAnsi="Times New Roman" w:cs="Times New Roman"/>
          <w:sz w:val="24"/>
          <w:szCs w:val="24"/>
        </w:rPr>
        <w:t xml:space="preserve"> staff </w:t>
      </w:r>
      <w:r w:rsidR="00C43B85" w:rsidRPr="00003E08">
        <w:rPr>
          <w:rFonts w:ascii="Times New Roman" w:hAnsi="Times New Roman" w:cs="Times New Roman"/>
          <w:sz w:val="24"/>
          <w:szCs w:val="24"/>
        </w:rPr>
        <w:t>and other stakeholders who</w:t>
      </w:r>
      <w:r w:rsidR="0011505C" w:rsidRPr="00003E08">
        <w:rPr>
          <w:rFonts w:ascii="Times New Roman" w:hAnsi="Times New Roman" w:cs="Times New Roman"/>
          <w:sz w:val="24"/>
          <w:szCs w:val="24"/>
        </w:rPr>
        <w:t xml:space="preserve"> are involved in the delivery of NDP2</w:t>
      </w:r>
      <w:r w:rsidR="00074EDE" w:rsidRPr="00003E08">
        <w:rPr>
          <w:rFonts w:ascii="Times New Roman" w:hAnsi="Times New Roman" w:cs="Times New Roman"/>
          <w:sz w:val="24"/>
          <w:szCs w:val="24"/>
        </w:rPr>
        <w:t xml:space="preserve"> (Annex 2)</w:t>
      </w:r>
      <w:r w:rsidR="0011505C" w:rsidRPr="00003E08">
        <w:rPr>
          <w:rFonts w:ascii="Times New Roman" w:hAnsi="Times New Roman" w:cs="Times New Roman"/>
          <w:sz w:val="24"/>
          <w:szCs w:val="24"/>
        </w:rPr>
        <w:t>.</w:t>
      </w:r>
      <w:r w:rsidR="00993E42" w:rsidRPr="00003E08">
        <w:rPr>
          <w:rFonts w:ascii="Times New Roman" w:hAnsi="Times New Roman" w:cs="Times New Roman"/>
          <w:sz w:val="24"/>
          <w:szCs w:val="24"/>
        </w:rPr>
        <w:t xml:space="preserve"> </w:t>
      </w:r>
      <w:r w:rsidR="00BD2941" w:rsidRPr="00003E08">
        <w:rPr>
          <w:rFonts w:ascii="Times New Roman" w:hAnsi="Times New Roman" w:cs="Times New Roman"/>
          <w:sz w:val="24"/>
          <w:szCs w:val="24"/>
        </w:rPr>
        <w:t xml:space="preserve">Qualitative analysis was undertaken on a sample of </w:t>
      </w:r>
      <w:r w:rsidR="009A2561" w:rsidRPr="00003E08">
        <w:rPr>
          <w:rFonts w:ascii="Times New Roman" w:hAnsi="Times New Roman" w:cs="Times New Roman"/>
          <w:sz w:val="24"/>
          <w:szCs w:val="24"/>
        </w:rPr>
        <w:t>Government</w:t>
      </w:r>
      <w:r w:rsidR="00BD2941" w:rsidRPr="00003E08">
        <w:rPr>
          <w:rFonts w:ascii="Times New Roman" w:hAnsi="Times New Roman" w:cs="Times New Roman"/>
          <w:sz w:val="24"/>
          <w:szCs w:val="24"/>
        </w:rPr>
        <w:t xml:space="preserve"> policies, plans and strategies (Annex 3). </w:t>
      </w:r>
      <w:r w:rsidR="00993E42" w:rsidRPr="00003E08">
        <w:rPr>
          <w:rFonts w:ascii="Times New Roman" w:hAnsi="Times New Roman" w:cs="Times New Roman"/>
          <w:sz w:val="24"/>
          <w:szCs w:val="24"/>
        </w:rPr>
        <w:t xml:space="preserve">Semi-structured interviews and document analysis were framed around </w:t>
      </w:r>
      <w:r w:rsidR="00DA1267" w:rsidRPr="00003E08">
        <w:rPr>
          <w:rFonts w:ascii="Times New Roman" w:hAnsi="Times New Roman" w:cs="Times New Roman"/>
          <w:sz w:val="24"/>
          <w:szCs w:val="24"/>
        </w:rPr>
        <w:t>f</w:t>
      </w:r>
      <w:r w:rsidR="00752A1D" w:rsidRPr="00003E08">
        <w:rPr>
          <w:rFonts w:ascii="Times New Roman" w:hAnsi="Times New Roman" w:cs="Times New Roman"/>
          <w:sz w:val="24"/>
          <w:szCs w:val="24"/>
        </w:rPr>
        <w:t>ive</w:t>
      </w:r>
      <w:r w:rsidR="00993E42" w:rsidRPr="00003E08">
        <w:rPr>
          <w:rFonts w:ascii="Times New Roman" w:hAnsi="Times New Roman" w:cs="Times New Roman"/>
          <w:sz w:val="24"/>
          <w:szCs w:val="24"/>
        </w:rPr>
        <w:t xml:space="preserve"> areas of enquiry:</w:t>
      </w:r>
    </w:p>
    <w:p w14:paraId="5AC7B6DB" w14:textId="4890B17F" w:rsidR="003E1C98" w:rsidRPr="00003E08" w:rsidRDefault="004440BB" w:rsidP="00003E08">
      <w:pPr>
        <w:pStyle w:val="ListParagraph"/>
        <w:numPr>
          <w:ilvl w:val="0"/>
          <w:numId w:val="4"/>
        </w:numPr>
        <w:spacing w:line="360" w:lineRule="auto"/>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NDPII’s theory of change; </w:t>
      </w:r>
    </w:p>
    <w:p w14:paraId="1D374E86" w14:textId="2E5E7E25" w:rsidR="004440BB" w:rsidRPr="00003E08" w:rsidRDefault="004440BB" w:rsidP="00003E08">
      <w:pPr>
        <w:pStyle w:val="ListParagraph"/>
        <w:numPr>
          <w:ilvl w:val="0"/>
          <w:numId w:val="4"/>
        </w:numPr>
        <w:spacing w:line="360" w:lineRule="auto"/>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Quality of </w:t>
      </w:r>
      <w:r w:rsidR="009A2561" w:rsidRPr="00003E08">
        <w:rPr>
          <w:rFonts w:ascii="Times New Roman" w:hAnsi="Times New Roman" w:cs="Times New Roman"/>
          <w:sz w:val="24"/>
          <w:szCs w:val="24"/>
        </w:rPr>
        <w:t>Government</w:t>
      </w:r>
      <w:r w:rsidR="00E97512" w:rsidRPr="00003E08">
        <w:rPr>
          <w:rFonts w:ascii="Times New Roman" w:hAnsi="Times New Roman" w:cs="Times New Roman"/>
          <w:sz w:val="24"/>
          <w:szCs w:val="24"/>
        </w:rPr>
        <w:t xml:space="preserve"> policies</w:t>
      </w:r>
      <w:r w:rsidR="0010334C" w:rsidRPr="00003E08">
        <w:rPr>
          <w:rFonts w:ascii="Times New Roman" w:hAnsi="Times New Roman" w:cs="Times New Roman"/>
          <w:sz w:val="24"/>
          <w:szCs w:val="24"/>
        </w:rPr>
        <w:t>, plans and strategies</w:t>
      </w:r>
      <w:r w:rsidR="00E97512" w:rsidRPr="00003E08">
        <w:rPr>
          <w:rFonts w:ascii="Times New Roman" w:hAnsi="Times New Roman" w:cs="Times New Roman"/>
          <w:sz w:val="24"/>
          <w:szCs w:val="24"/>
        </w:rPr>
        <w:t xml:space="preserve"> in relation to NDPII;</w:t>
      </w:r>
    </w:p>
    <w:p w14:paraId="48CB5545" w14:textId="54946D86" w:rsidR="00E97512" w:rsidRPr="00003E08" w:rsidRDefault="00E97512" w:rsidP="00003E08">
      <w:pPr>
        <w:pStyle w:val="ListParagraph"/>
        <w:numPr>
          <w:ilvl w:val="0"/>
          <w:numId w:val="4"/>
        </w:numPr>
        <w:spacing w:line="360" w:lineRule="auto"/>
        <w:contextualSpacing w:val="0"/>
        <w:jc w:val="both"/>
        <w:rPr>
          <w:rFonts w:ascii="Times New Roman" w:hAnsi="Times New Roman" w:cs="Times New Roman"/>
          <w:sz w:val="24"/>
          <w:szCs w:val="24"/>
        </w:rPr>
      </w:pPr>
      <w:r w:rsidRPr="00003E08">
        <w:rPr>
          <w:rFonts w:ascii="Times New Roman" w:hAnsi="Times New Roman" w:cs="Times New Roman"/>
          <w:sz w:val="24"/>
          <w:szCs w:val="24"/>
        </w:rPr>
        <w:lastRenderedPageBreak/>
        <w:t xml:space="preserve">Effectiveness of </w:t>
      </w:r>
      <w:r w:rsidR="009A2561" w:rsidRPr="00003E08">
        <w:rPr>
          <w:rFonts w:ascii="Times New Roman" w:hAnsi="Times New Roman" w:cs="Times New Roman"/>
          <w:sz w:val="24"/>
          <w:szCs w:val="24"/>
        </w:rPr>
        <w:t>Government</w:t>
      </w:r>
      <w:r w:rsidRPr="00003E08">
        <w:rPr>
          <w:rFonts w:ascii="Times New Roman" w:hAnsi="Times New Roman" w:cs="Times New Roman"/>
          <w:sz w:val="24"/>
          <w:szCs w:val="24"/>
        </w:rPr>
        <w:t xml:space="preserve"> policy in achieving NDPII objectives;</w:t>
      </w:r>
    </w:p>
    <w:p w14:paraId="59B014C1" w14:textId="5701DEED" w:rsidR="0010334C" w:rsidRPr="00003E08" w:rsidRDefault="0010334C" w:rsidP="00003E08">
      <w:pPr>
        <w:pStyle w:val="ListParagraph"/>
        <w:numPr>
          <w:ilvl w:val="0"/>
          <w:numId w:val="4"/>
        </w:numPr>
        <w:spacing w:line="360" w:lineRule="auto"/>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Alignment of </w:t>
      </w:r>
      <w:r w:rsidR="009A2561" w:rsidRPr="00003E08">
        <w:rPr>
          <w:rFonts w:ascii="Times New Roman" w:hAnsi="Times New Roman" w:cs="Times New Roman"/>
          <w:sz w:val="24"/>
          <w:szCs w:val="24"/>
        </w:rPr>
        <w:t>Government</w:t>
      </w:r>
      <w:r w:rsidR="00D96B03" w:rsidRPr="00003E08">
        <w:rPr>
          <w:rFonts w:ascii="Times New Roman" w:hAnsi="Times New Roman" w:cs="Times New Roman"/>
          <w:sz w:val="24"/>
          <w:szCs w:val="24"/>
        </w:rPr>
        <w:t xml:space="preserve"> plans, policies and strategies to NDPI</w:t>
      </w:r>
      <w:r w:rsidR="00302854" w:rsidRPr="00003E08">
        <w:rPr>
          <w:rFonts w:ascii="Times New Roman" w:hAnsi="Times New Roman" w:cs="Times New Roman"/>
          <w:sz w:val="24"/>
          <w:szCs w:val="24"/>
        </w:rPr>
        <w:t>I; and</w:t>
      </w:r>
    </w:p>
    <w:p w14:paraId="602D74C0" w14:textId="7FA8606E" w:rsidR="00302854" w:rsidRPr="00003E08" w:rsidRDefault="00302854" w:rsidP="00003E08">
      <w:pPr>
        <w:pStyle w:val="ListParagraph"/>
        <w:numPr>
          <w:ilvl w:val="0"/>
          <w:numId w:val="4"/>
        </w:numPr>
        <w:spacing w:line="360" w:lineRule="auto"/>
        <w:contextualSpacing w:val="0"/>
        <w:jc w:val="both"/>
        <w:rPr>
          <w:rFonts w:ascii="Times New Roman" w:hAnsi="Times New Roman" w:cs="Times New Roman"/>
          <w:sz w:val="24"/>
          <w:szCs w:val="24"/>
        </w:rPr>
      </w:pPr>
      <w:r w:rsidRPr="00003E08">
        <w:rPr>
          <w:rFonts w:ascii="Times New Roman" w:hAnsi="Times New Roman" w:cs="Times New Roman"/>
          <w:sz w:val="24"/>
          <w:szCs w:val="24"/>
        </w:rPr>
        <w:t>Suitability of NDPII’s strategic direction.</w:t>
      </w:r>
    </w:p>
    <w:p w14:paraId="3C333BBA" w14:textId="3A15ECEB" w:rsidR="002B515F" w:rsidRPr="00003E08" w:rsidRDefault="005B1606"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These four areas include the guiding questions </w:t>
      </w:r>
      <w:r w:rsidR="00AE6A88" w:rsidRPr="00003E08">
        <w:rPr>
          <w:rFonts w:ascii="Times New Roman" w:hAnsi="Times New Roman" w:cs="Times New Roman"/>
          <w:sz w:val="24"/>
          <w:szCs w:val="24"/>
        </w:rPr>
        <w:t xml:space="preserve">for </w:t>
      </w:r>
      <w:r w:rsidRPr="00003E08">
        <w:rPr>
          <w:rFonts w:ascii="Times New Roman" w:hAnsi="Times New Roman" w:cs="Times New Roman"/>
          <w:sz w:val="24"/>
          <w:szCs w:val="24"/>
        </w:rPr>
        <w:t>th</w:t>
      </w:r>
      <w:r w:rsidR="006C7CE6" w:rsidRPr="00003E08">
        <w:rPr>
          <w:rFonts w:ascii="Times New Roman" w:hAnsi="Times New Roman" w:cs="Times New Roman"/>
          <w:sz w:val="24"/>
          <w:szCs w:val="24"/>
        </w:rPr>
        <w:t>e</w:t>
      </w:r>
      <w:r w:rsidRPr="00003E08">
        <w:rPr>
          <w:rFonts w:ascii="Times New Roman" w:hAnsi="Times New Roman" w:cs="Times New Roman"/>
          <w:sz w:val="24"/>
          <w:szCs w:val="24"/>
        </w:rPr>
        <w:t xml:space="preserve"> thematic report set-out in the </w:t>
      </w:r>
      <w:r w:rsidR="002B515F" w:rsidRPr="00003E08">
        <w:rPr>
          <w:rFonts w:ascii="Times New Roman" w:hAnsi="Times New Roman" w:cs="Times New Roman"/>
          <w:sz w:val="24"/>
          <w:szCs w:val="24"/>
        </w:rPr>
        <w:t>terms of reference</w:t>
      </w:r>
      <w:r w:rsidR="00B24B7F" w:rsidRPr="00003E08">
        <w:rPr>
          <w:rFonts w:ascii="Times New Roman" w:hAnsi="Times New Roman" w:cs="Times New Roman"/>
          <w:sz w:val="24"/>
          <w:szCs w:val="24"/>
        </w:rPr>
        <w:t xml:space="preserve"> of the assignment</w:t>
      </w:r>
      <w:r w:rsidR="002B515F" w:rsidRPr="00003E08">
        <w:rPr>
          <w:rFonts w:ascii="Times New Roman" w:hAnsi="Times New Roman" w:cs="Times New Roman"/>
          <w:sz w:val="24"/>
          <w:szCs w:val="24"/>
        </w:rPr>
        <w:t xml:space="preserve"> and Inception Report. </w:t>
      </w:r>
      <w:r w:rsidR="005B6F0B" w:rsidRPr="00003E08">
        <w:rPr>
          <w:rFonts w:ascii="Times New Roman" w:hAnsi="Times New Roman" w:cs="Times New Roman"/>
          <w:sz w:val="24"/>
          <w:szCs w:val="24"/>
        </w:rPr>
        <w:t xml:space="preserve">Where appropriate, the guiding questions are signposted with the </w:t>
      </w:r>
      <w:r w:rsidR="00CA2FAC" w:rsidRPr="00003E08">
        <w:rPr>
          <w:rFonts w:ascii="Times New Roman" w:hAnsi="Times New Roman" w:cs="Times New Roman"/>
          <w:sz w:val="24"/>
          <w:szCs w:val="24"/>
        </w:rPr>
        <w:t xml:space="preserve">initials “PS” and associated question number e.g. PS5. </w:t>
      </w:r>
      <w:r w:rsidR="002B515F" w:rsidRPr="00003E08">
        <w:rPr>
          <w:rFonts w:ascii="Times New Roman" w:hAnsi="Times New Roman" w:cs="Times New Roman"/>
          <w:sz w:val="24"/>
          <w:szCs w:val="24"/>
        </w:rPr>
        <w:t xml:space="preserve">Further details on the areas of enquiry </w:t>
      </w:r>
      <w:r w:rsidR="00B449BC" w:rsidRPr="00003E08">
        <w:rPr>
          <w:rFonts w:ascii="Times New Roman" w:hAnsi="Times New Roman" w:cs="Times New Roman"/>
          <w:sz w:val="24"/>
          <w:szCs w:val="24"/>
        </w:rPr>
        <w:t xml:space="preserve">and their linkage to the guiding questions </w:t>
      </w:r>
      <w:r w:rsidR="002B515F" w:rsidRPr="00003E08">
        <w:rPr>
          <w:rFonts w:ascii="Times New Roman" w:hAnsi="Times New Roman" w:cs="Times New Roman"/>
          <w:sz w:val="24"/>
          <w:szCs w:val="24"/>
        </w:rPr>
        <w:t xml:space="preserve">are contained in Annex 3. </w:t>
      </w:r>
    </w:p>
    <w:p w14:paraId="2FE24678" w14:textId="1233A617" w:rsidR="00846E60" w:rsidRPr="00003E08" w:rsidRDefault="00846E60" w:rsidP="00003E08">
      <w:pPr>
        <w:pStyle w:val="Heading2"/>
        <w:numPr>
          <w:ilvl w:val="1"/>
          <w:numId w:val="45"/>
        </w:numPr>
        <w:spacing w:before="0" w:line="360" w:lineRule="auto"/>
        <w:ind w:left="426" w:hanging="426"/>
        <w:rPr>
          <w:rFonts w:cs="Times New Roman"/>
          <w:szCs w:val="24"/>
        </w:rPr>
      </w:pPr>
      <w:bookmarkStart w:id="13" w:name="_Toc3454211"/>
      <w:bookmarkStart w:id="14" w:name="_Toc9269376"/>
      <w:r w:rsidRPr="00003E08">
        <w:rPr>
          <w:rFonts w:cs="Times New Roman"/>
          <w:szCs w:val="24"/>
        </w:rPr>
        <w:t>Background</w:t>
      </w:r>
      <w:bookmarkEnd w:id="13"/>
      <w:bookmarkEnd w:id="14"/>
    </w:p>
    <w:p w14:paraId="7E197D67" w14:textId="22F6FBD5" w:rsidR="00090DBA" w:rsidRPr="00003E08" w:rsidRDefault="00640FBF"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sz w:val="24"/>
          <w:szCs w:val="24"/>
        </w:rPr>
        <w:t xml:space="preserve">This section presents background information on the </w:t>
      </w:r>
      <w:r w:rsidR="008E68CC" w:rsidRPr="00003E08">
        <w:rPr>
          <w:rFonts w:ascii="Times New Roman" w:hAnsi="Times New Roman" w:cs="Times New Roman"/>
          <w:sz w:val="24"/>
          <w:szCs w:val="24"/>
        </w:rPr>
        <w:t>NDPII</w:t>
      </w:r>
      <w:r w:rsidRPr="00003E08">
        <w:rPr>
          <w:rFonts w:ascii="Times New Roman" w:hAnsi="Times New Roman" w:cs="Times New Roman"/>
          <w:sz w:val="24"/>
          <w:szCs w:val="24"/>
        </w:rPr>
        <w:t xml:space="preserve">, key stakeholders engaged in </w:t>
      </w:r>
      <w:r w:rsidR="00BA3B7B" w:rsidRPr="00003E08">
        <w:rPr>
          <w:rFonts w:ascii="Times New Roman" w:hAnsi="Times New Roman" w:cs="Times New Roman"/>
          <w:sz w:val="24"/>
          <w:szCs w:val="24"/>
        </w:rPr>
        <w:t xml:space="preserve">shaping </w:t>
      </w:r>
      <w:r w:rsidRPr="00003E08">
        <w:rPr>
          <w:rFonts w:ascii="Times New Roman" w:hAnsi="Times New Roman" w:cs="Times New Roman"/>
          <w:sz w:val="24"/>
          <w:szCs w:val="24"/>
        </w:rPr>
        <w:t>the strategic direction and poli</w:t>
      </w:r>
      <w:r w:rsidR="008E68CC" w:rsidRPr="00003E08">
        <w:rPr>
          <w:rFonts w:ascii="Times New Roman" w:hAnsi="Times New Roman" w:cs="Times New Roman"/>
          <w:sz w:val="24"/>
          <w:szCs w:val="24"/>
        </w:rPr>
        <w:t>cies under the NDPII</w:t>
      </w:r>
      <w:r w:rsidR="00090DBA" w:rsidRPr="00003E08">
        <w:rPr>
          <w:rFonts w:ascii="Times New Roman" w:hAnsi="Times New Roman" w:cs="Times New Roman"/>
          <w:sz w:val="24"/>
          <w:szCs w:val="24"/>
        </w:rPr>
        <w:t xml:space="preserve">, </w:t>
      </w:r>
      <w:r w:rsidR="00B4428E" w:rsidRPr="00003E08">
        <w:rPr>
          <w:rFonts w:ascii="Times New Roman" w:hAnsi="Times New Roman" w:cs="Times New Roman"/>
          <w:sz w:val="24"/>
          <w:szCs w:val="24"/>
        </w:rPr>
        <w:t xml:space="preserve">and </w:t>
      </w:r>
      <w:r w:rsidR="00090DBA" w:rsidRPr="00003E08">
        <w:rPr>
          <w:rFonts w:ascii="Times New Roman" w:hAnsi="Times New Roman" w:cs="Times New Roman"/>
          <w:sz w:val="24"/>
          <w:szCs w:val="24"/>
        </w:rPr>
        <w:t>overarching</w:t>
      </w:r>
      <w:r w:rsidR="00B4428E" w:rsidRPr="00003E08">
        <w:rPr>
          <w:rFonts w:ascii="Times New Roman" w:hAnsi="Times New Roman" w:cs="Times New Roman"/>
          <w:sz w:val="24"/>
          <w:szCs w:val="24"/>
        </w:rPr>
        <w:t xml:space="preserve"> structures </w:t>
      </w:r>
      <w:r w:rsidR="00090DBA" w:rsidRPr="00003E08">
        <w:rPr>
          <w:rFonts w:ascii="Times New Roman" w:hAnsi="Times New Roman" w:cs="Times New Roman"/>
          <w:sz w:val="24"/>
          <w:szCs w:val="24"/>
        </w:rPr>
        <w:t xml:space="preserve">guiding </w:t>
      </w:r>
      <w:r w:rsidR="00B4428E" w:rsidRPr="00003E08">
        <w:rPr>
          <w:rFonts w:ascii="Times New Roman" w:hAnsi="Times New Roman" w:cs="Times New Roman"/>
          <w:sz w:val="24"/>
          <w:szCs w:val="24"/>
        </w:rPr>
        <w:t xml:space="preserve">the </w:t>
      </w:r>
      <w:r w:rsidR="00090DBA" w:rsidRPr="00003E08">
        <w:rPr>
          <w:rFonts w:ascii="Times New Roman" w:hAnsi="Times New Roman" w:cs="Times New Roman"/>
          <w:sz w:val="24"/>
          <w:szCs w:val="24"/>
        </w:rPr>
        <w:t>NDPII</w:t>
      </w:r>
      <w:r w:rsidR="00B4428E" w:rsidRPr="00003E08">
        <w:rPr>
          <w:rFonts w:ascii="Times New Roman" w:hAnsi="Times New Roman" w:cs="Times New Roman"/>
          <w:sz w:val="24"/>
          <w:szCs w:val="24"/>
        </w:rPr>
        <w:t xml:space="preserve">’s policy and strategic direction. </w:t>
      </w:r>
      <w:r w:rsidR="00090DBA" w:rsidRPr="00003E08">
        <w:rPr>
          <w:rFonts w:ascii="Times New Roman" w:hAnsi="Times New Roman" w:cs="Times New Roman"/>
          <w:sz w:val="24"/>
          <w:szCs w:val="24"/>
        </w:rPr>
        <w:t xml:space="preserve"> </w:t>
      </w:r>
    </w:p>
    <w:p w14:paraId="1C643EB4" w14:textId="385A82B9" w:rsidR="00090DBA" w:rsidRPr="00003E08" w:rsidRDefault="00090DBA" w:rsidP="00003E08">
      <w:pPr>
        <w:pStyle w:val="Heading3"/>
        <w:spacing w:before="0"/>
        <w:rPr>
          <w:rFonts w:cs="Times New Roman"/>
        </w:rPr>
      </w:pPr>
      <w:bookmarkStart w:id="15" w:name="_Toc3454212"/>
      <w:r w:rsidRPr="00003E08">
        <w:rPr>
          <w:rFonts w:cs="Times New Roman"/>
        </w:rPr>
        <w:t>N</w:t>
      </w:r>
      <w:r w:rsidR="008262FB" w:rsidRPr="00003E08">
        <w:rPr>
          <w:rFonts w:cs="Times New Roman"/>
        </w:rPr>
        <w:t xml:space="preserve">ational </w:t>
      </w:r>
      <w:r w:rsidRPr="00003E08">
        <w:rPr>
          <w:rFonts w:cs="Times New Roman"/>
        </w:rPr>
        <w:t>D</w:t>
      </w:r>
      <w:r w:rsidR="008262FB" w:rsidRPr="00003E08">
        <w:rPr>
          <w:rFonts w:cs="Times New Roman"/>
        </w:rPr>
        <w:t xml:space="preserve">evelopment Plan II </w:t>
      </w:r>
      <w:r w:rsidR="00BC2D24" w:rsidRPr="00003E08">
        <w:rPr>
          <w:rFonts w:cs="Times New Roman"/>
        </w:rPr>
        <w:t>(2015/16-2019/20)</w:t>
      </w:r>
      <w:bookmarkEnd w:id="15"/>
    </w:p>
    <w:p w14:paraId="777366A5" w14:textId="77777777" w:rsidR="008D4C9D" w:rsidRPr="00003E08" w:rsidRDefault="00110CF7"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b/>
          <w:sz w:val="24"/>
          <w:szCs w:val="24"/>
        </w:rPr>
        <w:t>In line with Uganda’s Comprehensive National Development Planning Framework (CNDPF), t</w:t>
      </w:r>
      <w:r w:rsidR="008E0773" w:rsidRPr="00003E08">
        <w:rPr>
          <w:rFonts w:ascii="Times New Roman" w:hAnsi="Times New Roman" w:cs="Times New Roman"/>
          <w:b/>
          <w:sz w:val="24"/>
          <w:szCs w:val="24"/>
        </w:rPr>
        <w:t xml:space="preserve">he </w:t>
      </w:r>
      <w:r w:rsidR="003E3D22" w:rsidRPr="00003E08">
        <w:rPr>
          <w:rFonts w:ascii="Times New Roman" w:hAnsi="Times New Roman" w:cs="Times New Roman"/>
          <w:b/>
          <w:sz w:val="24"/>
          <w:szCs w:val="24"/>
        </w:rPr>
        <w:t>NDPII</w:t>
      </w:r>
      <w:r w:rsidR="008E0773" w:rsidRPr="00003E08">
        <w:rPr>
          <w:rFonts w:ascii="Times New Roman" w:hAnsi="Times New Roman" w:cs="Times New Roman"/>
          <w:b/>
          <w:sz w:val="24"/>
          <w:szCs w:val="24"/>
        </w:rPr>
        <w:t xml:space="preserve"> </w:t>
      </w:r>
      <w:r w:rsidRPr="00003E08">
        <w:rPr>
          <w:rFonts w:ascii="Times New Roman" w:hAnsi="Times New Roman" w:cs="Times New Roman"/>
          <w:b/>
          <w:sz w:val="24"/>
          <w:szCs w:val="24"/>
        </w:rPr>
        <w:t xml:space="preserve">is the second in a series of six five-year </w:t>
      </w:r>
      <w:r w:rsidR="000D7A98" w:rsidRPr="00003E08">
        <w:rPr>
          <w:rFonts w:ascii="Times New Roman" w:hAnsi="Times New Roman" w:cs="Times New Roman"/>
          <w:b/>
          <w:sz w:val="24"/>
          <w:szCs w:val="24"/>
        </w:rPr>
        <w:t>p</w:t>
      </w:r>
      <w:r w:rsidRPr="00003E08">
        <w:rPr>
          <w:rFonts w:ascii="Times New Roman" w:hAnsi="Times New Roman" w:cs="Times New Roman"/>
          <w:b/>
          <w:sz w:val="24"/>
          <w:szCs w:val="24"/>
        </w:rPr>
        <w:t>lans aimed at achieving the Uganda Vision 2040.</w:t>
      </w:r>
      <w:r w:rsidRPr="00003E08">
        <w:rPr>
          <w:rFonts w:ascii="Times New Roman" w:hAnsi="Times New Roman" w:cs="Times New Roman"/>
          <w:sz w:val="24"/>
          <w:szCs w:val="24"/>
        </w:rPr>
        <w:t xml:space="preserve"> </w:t>
      </w:r>
      <w:r w:rsidR="00310EA4" w:rsidRPr="00003E08">
        <w:rPr>
          <w:rFonts w:ascii="Times New Roman" w:hAnsi="Times New Roman" w:cs="Times New Roman"/>
          <w:sz w:val="24"/>
          <w:szCs w:val="24"/>
        </w:rPr>
        <w:t xml:space="preserve">NDPII was </w:t>
      </w:r>
      <w:r w:rsidR="009A2FC7" w:rsidRPr="00003E08">
        <w:rPr>
          <w:rFonts w:ascii="Times New Roman" w:hAnsi="Times New Roman" w:cs="Times New Roman"/>
          <w:sz w:val="24"/>
          <w:szCs w:val="24"/>
        </w:rPr>
        <w:t xml:space="preserve">developed by the National Planning Authority in close consultation with a range of stakeholders across </w:t>
      </w:r>
      <w:r w:rsidR="009A2561" w:rsidRPr="00003E08">
        <w:rPr>
          <w:rFonts w:ascii="Times New Roman" w:hAnsi="Times New Roman" w:cs="Times New Roman"/>
          <w:sz w:val="24"/>
          <w:szCs w:val="24"/>
        </w:rPr>
        <w:t>Government</w:t>
      </w:r>
      <w:r w:rsidR="009A2FC7" w:rsidRPr="00003E08">
        <w:rPr>
          <w:rFonts w:ascii="Times New Roman" w:hAnsi="Times New Roman" w:cs="Times New Roman"/>
          <w:sz w:val="24"/>
          <w:szCs w:val="24"/>
        </w:rPr>
        <w:t xml:space="preserve">, civil society, the private sector and Development Partners. </w:t>
      </w:r>
      <w:r w:rsidR="00352ACB" w:rsidRPr="00003E08">
        <w:rPr>
          <w:rFonts w:ascii="Times New Roman" w:hAnsi="Times New Roman" w:cs="Times New Roman"/>
          <w:sz w:val="24"/>
          <w:szCs w:val="24"/>
        </w:rPr>
        <w:t>NDPII</w:t>
      </w:r>
      <w:r w:rsidR="008658AB" w:rsidRPr="00003E08">
        <w:rPr>
          <w:rFonts w:ascii="Times New Roman" w:hAnsi="Times New Roman" w:cs="Times New Roman"/>
          <w:sz w:val="24"/>
          <w:szCs w:val="24"/>
        </w:rPr>
        <w:t>’s goal is to propel t</w:t>
      </w:r>
      <w:r w:rsidR="003A3A44" w:rsidRPr="00003E08">
        <w:rPr>
          <w:rFonts w:ascii="Times New Roman" w:hAnsi="Times New Roman" w:cs="Times New Roman"/>
          <w:sz w:val="24"/>
          <w:szCs w:val="24"/>
        </w:rPr>
        <w:t>he country towards lower middle</w:t>
      </w:r>
      <w:r w:rsidR="008658AB" w:rsidRPr="00003E08">
        <w:rPr>
          <w:rFonts w:ascii="Times New Roman" w:hAnsi="Times New Roman" w:cs="Times New Roman"/>
          <w:sz w:val="24"/>
          <w:szCs w:val="24"/>
        </w:rPr>
        <w:t>-</w:t>
      </w:r>
      <w:r w:rsidR="003A3A44" w:rsidRPr="00003E08">
        <w:rPr>
          <w:rFonts w:ascii="Times New Roman" w:hAnsi="Times New Roman" w:cs="Times New Roman"/>
          <w:sz w:val="24"/>
          <w:szCs w:val="24"/>
        </w:rPr>
        <w:t>income status by 2020 through strengthening the country’s competitiveness for sustainable wealth creation, employment and inclusive growth.</w:t>
      </w:r>
      <w:r w:rsidR="00E51CF1" w:rsidRPr="00003E08">
        <w:rPr>
          <w:rFonts w:ascii="Times New Roman" w:hAnsi="Times New Roman" w:cs="Times New Roman"/>
          <w:sz w:val="24"/>
          <w:szCs w:val="24"/>
        </w:rPr>
        <w:t xml:space="preserve"> The </w:t>
      </w:r>
      <w:r w:rsidR="000D7A98" w:rsidRPr="00003E08">
        <w:rPr>
          <w:rFonts w:ascii="Times New Roman" w:hAnsi="Times New Roman" w:cs="Times New Roman"/>
          <w:sz w:val="24"/>
          <w:szCs w:val="24"/>
        </w:rPr>
        <w:t>p</w:t>
      </w:r>
      <w:r w:rsidR="00E51CF1" w:rsidRPr="00003E08">
        <w:rPr>
          <w:rFonts w:ascii="Times New Roman" w:hAnsi="Times New Roman" w:cs="Times New Roman"/>
          <w:sz w:val="24"/>
          <w:szCs w:val="24"/>
        </w:rPr>
        <w:t xml:space="preserve">lan builds on </w:t>
      </w:r>
      <w:r w:rsidR="007107A3" w:rsidRPr="00003E08">
        <w:rPr>
          <w:rFonts w:ascii="Times New Roman" w:hAnsi="Times New Roman" w:cs="Times New Roman"/>
          <w:sz w:val="24"/>
          <w:szCs w:val="24"/>
        </w:rPr>
        <w:t xml:space="preserve">lessons learned and </w:t>
      </w:r>
      <w:r w:rsidR="00CD77C7" w:rsidRPr="00003E08">
        <w:rPr>
          <w:rFonts w:ascii="Times New Roman" w:hAnsi="Times New Roman" w:cs="Times New Roman"/>
          <w:sz w:val="24"/>
          <w:szCs w:val="24"/>
        </w:rPr>
        <w:t>results achieved under NDPI</w:t>
      </w:r>
      <w:r w:rsidR="00B707DE" w:rsidRPr="00003E08">
        <w:rPr>
          <w:rFonts w:ascii="Times New Roman" w:hAnsi="Times New Roman" w:cs="Times New Roman"/>
          <w:sz w:val="24"/>
          <w:szCs w:val="24"/>
        </w:rPr>
        <w:t xml:space="preserve"> and recommendations</w:t>
      </w:r>
      <w:r w:rsidR="00CD77C7" w:rsidRPr="00003E08">
        <w:rPr>
          <w:rFonts w:ascii="Times New Roman" w:hAnsi="Times New Roman" w:cs="Times New Roman"/>
          <w:sz w:val="24"/>
          <w:szCs w:val="24"/>
        </w:rPr>
        <w:t xml:space="preserve"> from </w:t>
      </w:r>
      <w:r w:rsidR="00074A06" w:rsidRPr="00003E08">
        <w:rPr>
          <w:rFonts w:ascii="Times New Roman" w:hAnsi="Times New Roman" w:cs="Times New Roman"/>
          <w:sz w:val="24"/>
          <w:szCs w:val="24"/>
        </w:rPr>
        <w:t xml:space="preserve">NDPI’s </w:t>
      </w:r>
      <w:r w:rsidR="00CD77C7" w:rsidRPr="00003E08">
        <w:rPr>
          <w:rFonts w:ascii="Times New Roman" w:hAnsi="Times New Roman" w:cs="Times New Roman"/>
          <w:sz w:val="24"/>
          <w:szCs w:val="24"/>
        </w:rPr>
        <w:t>mid-term review</w:t>
      </w:r>
      <w:r w:rsidR="00B707DE" w:rsidRPr="00003E08">
        <w:rPr>
          <w:rFonts w:ascii="Times New Roman" w:hAnsi="Times New Roman" w:cs="Times New Roman"/>
          <w:sz w:val="24"/>
          <w:szCs w:val="24"/>
        </w:rPr>
        <w:t xml:space="preserve">. NDPII is envisaged to be financed by both public and private resources; 57.8% from </w:t>
      </w:r>
      <w:r w:rsidR="009A2561" w:rsidRPr="00003E08">
        <w:rPr>
          <w:rFonts w:ascii="Times New Roman" w:hAnsi="Times New Roman" w:cs="Times New Roman"/>
          <w:sz w:val="24"/>
          <w:szCs w:val="24"/>
        </w:rPr>
        <w:t>Government</w:t>
      </w:r>
      <w:r w:rsidR="00AC738C" w:rsidRPr="00003E08">
        <w:rPr>
          <w:rFonts w:ascii="Times New Roman" w:hAnsi="Times New Roman" w:cs="Times New Roman"/>
          <w:sz w:val="24"/>
          <w:szCs w:val="24"/>
        </w:rPr>
        <w:t xml:space="preserve"> (external and domestic financing)</w:t>
      </w:r>
      <w:r w:rsidR="00B707DE" w:rsidRPr="00003E08">
        <w:rPr>
          <w:rFonts w:ascii="Times New Roman" w:hAnsi="Times New Roman" w:cs="Times New Roman"/>
          <w:sz w:val="24"/>
          <w:szCs w:val="24"/>
        </w:rPr>
        <w:t>, 42.2% from private contributions.</w:t>
      </w:r>
      <w:r w:rsidR="005A73E5" w:rsidRPr="00003E08">
        <w:rPr>
          <w:rFonts w:ascii="Times New Roman" w:hAnsi="Times New Roman" w:cs="Times New Roman"/>
          <w:sz w:val="24"/>
          <w:szCs w:val="24"/>
        </w:rPr>
        <w:t xml:space="preserve"> </w:t>
      </w:r>
      <w:r w:rsidR="006F6EEC" w:rsidRPr="00003E08">
        <w:rPr>
          <w:rFonts w:ascii="Times New Roman" w:hAnsi="Times New Roman" w:cs="Times New Roman"/>
          <w:sz w:val="24"/>
          <w:szCs w:val="24"/>
        </w:rPr>
        <w:t xml:space="preserve">Delivery of the plan is supported by an </w:t>
      </w:r>
      <w:r w:rsidR="009C5EBE" w:rsidRPr="00003E08">
        <w:rPr>
          <w:rFonts w:ascii="Times New Roman" w:hAnsi="Times New Roman" w:cs="Times New Roman"/>
          <w:sz w:val="24"/>
          <w:szCs w:val="24"/>
        </w:rPr>
        <w:t>Implementation Strategy</w:t>
      </w:r>
      <w:r w:rsidR="006F6EEC" w:rsidRPr="00003E08">
        <w:rPr>
          <w:rFonts w:ascii="Times New Roman" w:hAnsi="Times New Roman" w:cs="Times New Roman"/>
          <w:sz w:val="24"/>
          <w:szCs w:val="24"/>
        </w:rPr>
        <w:t xml:space="preserve"> which clearly lays out pre-requisites for effective implementation, proposed implementation frameworks, a results framework and reforms and management systems for NDPII. A comparison of NDPI and NDPII is provided in Table 1. </w:t>
      </w:r>
    </w:p>
    <w:p w14:paraId="21BDBF17" w14:textId="630711DE" w:rsidR="005A73E5" w:rsidRPr="00003E08" w:rsidRDefault="00BC2D24" w:rsidP="00003E08">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003E08">
        <w:rPr>
          <w:rFonts w:ascii="Times New Roman" w:hAnsi="Times New Roman" w:cs="Times New Roman"/>
          <w:b/>
          <w:sz w:val="24"/>
          <w:szCs w:val="24"/>
        </w:rPr>
        <w:t>From a policy and strategic</w:t>
      </w:r>
      <w:r w:rsidR="003A6F19" w:rsidRPr="00003E08">
        <w:rPr>
          <w:rFonts w:ascii="Times New Roman" w:hAnsi="Times New Roman" w:cs="Times New Roman"/>
          <w:b/>
          <w:sz w:val="24"/>
          <w:szCs w:val="24"/>
        </w:rPr>
        <w:t xml:space="preserve"> direction</w:t>
      </w:r>
      <w:r w:rsidRPr="00003E08">
        <w:rPr>
          <w:rFonts w:ascii="Times New Roman" w:hAnsi="Times New Roman" w:cs="Times New Roman"/>
          <w:b/>
          <w:sz w:val="24"/>
          <w:szCs w:val="24"/>
        </w:rPr>
        <w:t xml:space="preserve"> perspective, </w:t>
      </w:r>
      <w:r w:rsidR="00EE76D2" w:rsidRPr="00003E08">
        <w:rPr>
          <w:rFonts w:ascii="Times New Roman" w:hAnsi="Times New Roman" w:cs="Times New Roman"/>
          <w:b/>
          <w:sz w:val="24"/>
          <w:szCs w:val="24"/>
        </w:rPr>
        <w:t xml:space="preserve">NDPII focuses on fewer goals </w:t>
      </w:r>
      <w:r w:rsidR="00312F76" w:rsidRPr="00003E08">
        <w:rPr>
          <w:rFonts w:ascii="Times New Roman" w:hAnsi="Times New Roman" w:cs="Times New Roman"/>
          <w:b/>
          <w:sz w:val="24"/>
          <w:szCs w:val="24"/>
        </w:rPr>
        <w:t xml:space="preserve">and sectors </w:t>
      </w:r>
      <w:r w:rsidR="00EE76D2" w:rsidRPr="00003E08">
        <w:rPr>
          <w:rFonts w:ascii="Times New Roman" w:hAnsi="Times New Roman" w:cs="Times New Roman"/>
          <w:b/>
          <w:sz w:val="24"/>
          <w:szCs w:val="24"/>
        </w:rPr>
        <w:t>than NDPI</w:t>
      </w:r>
      <w:r w:rsidR="00EE76D2" w:rsidRPr="00003E08">
        <w:rPr>
          <w:rFonts w:ascii="Times New Roman" w:hAnsi="Times New Roman" w:cs="Times New Roman"/>
          <w:sz w:val="24"/>
          <w:szCs w:val="24"/>
        </w:rPr>
        <w:t xml:space="preserve"> (2010/11-2014/15) </w:t>
      </w:r>
      <w:r w:rsidR="001E1FA1" w:rsidRPr="00003E08">
        <w:rPr>
          <w:rFonts w:ascii="Times New Roman" w:hAnsi="Times New Roman" w:cs="Times New Roman"/>
          <w:sz w:val="24"/>
          <w:szCs w:val="24"/>
        </w:rPr>
        <w:t>– productivity enhancement, infrastructure development, human capital accumulation and quality service delivery</w:t>
      </w:r>
      <w:r w:rsidR="00312F76" w:rsidRPr="00003E08">
        <w:rPr>
          <w:rFonts w:ascii="Times New Roman" w:hAnsi="Times New Roman" w:cs="Times New Roman"/>
          <w:sz w:val="24"/>
          <w:szCs w:val="24"/>
        </w:rPr>
        <w:t>.</w:t>
      </w:r>
      <w:r w:rsidR="00B74A79" w:rsidRPr="00003E08">
        <w:rPr>
          <w:rFonts w:ascii="Times New Roman" w:hAnsi="Times New Roman" w:cs="Times New Roman"/>
          <w:sz w:val="24"/>
          <w:szCs w:val="24"/>
        </w:rPr>
        <w:t xml:space="preserve"> </w:t>
      </w:r>
      <w:r w:rsidR="00C52020" w:rsidRPr="00003E08">
        <w:rPr>
          <w:rFonts w:ascii="Times New Roman" w:hAnsi="Times New Roman" w:cs="Times New Roman"/>
          <w:sz w:val="24"/>
          <w:szCs w:val="24"/>
        </w:rPr>
        <w:t xml:space="preserve">NDPII </w:t>
      </w:r>
      <w:r w:rsidR="00312F76" w:rsidRPr="00003E08">
        <w:rPr>
          <w:rFonts w:ascii="Times New Roman" w:hAnsi="Times New Roman" w:cs="Times New Roman"/>
          <w:sz w:val="24"/>
          <w:szCs w:val="24"/>
        </w:rPr>
        <w:t xml:space="preserve">has also </w:t>
      </w:r>
      <w:r w:rsidR="00C52020" w:rsidRPr="00003E08">
        <w:rPr>
          <w:rFonts w:ascii="Times New Roman" w:hAnsi="Times New Roman" w:cs="Times New Roman"/>
          <w:sz w:val="24"/>
          <w:szCs w:val="24"/>
        </w:rPr>
        <w:t xml:space="preserve">moved away from the </w:t>
      </w:r>
      <w:r w:rsidR="00627FDB" w:rsidRPr="00003E08">
        <w:rPr>
          <w:rFonts w:ascii="Times New Roman" w:hAnsi="Times New Roman" w:cs="Times New Roman"/>
          <w:sz w:val="24"/>
          <w:szCs w:val="24"/>
        </w:rPr>
        <w:t>earlier plan’s approach, where sectors were placed into four pots</w:t>
      </w:r>
      <w:r w:rsidR="000907F6" w:rsidRPr="00003E08">
        <w:rPr>
          <w:rFonts w:ascii="Times New Roman" w:hAnsi="Times New Roman" w:cs="Times New Roman"/>
          <w:sz w:val="24"/>
          <w:szCs w:val="24"/>
        </w:rPr>
        <w:t xml:space="preserve"> but </w:t>
      </w:r>
      <w:r w:rsidR="00F54FC5" w:rsidRPr="00003E08">
        <w:rPr>
          <w:rFonts w:ascii="Times New Roman" w:hAnsi="Times New Roman" w:cs="Times New Roman"/>
          <w:sz w:val="24"/>
          <w:szCs w:val="24"/>
        </w:rPr>
        <w:lastRenderedPageBreak/>
        <w:t>not explicitly prioritised</w:t>
      </w:r>
      <w:r w:rsidR="000907F6" w:rsidRPr="00003E08">
        <w:rPr>
          <w:rFonts w:ascii="Times New Roman" w:hAnsi="Times New Roman" w:cs="Times New Roman"/>
          <w:sz w:val="24"/>
          <w:szCs w:val="24"/>
        </w:rPr>
        <w:t xml:space="preserve">: primary sectors, complementary sectors, social sectors and enabling sectors. </w:t>
      </w:r>
      <w:r w:rsidR="00312F76" w:rsidRPr="00003E08">
        <w:rPr>
          <w:rFonts w:ascii="Times New Roman" w:hAnsi="Times New Roman" w:cs="Times New Roman"/>
          <w:sz w:val="24"/>
          <w:szCs w:val="24"/>
        </w:rPr>
        <w:t>Instead, t</w:t>
      </w:r>
      <w:r w:rsidR="00CE4B01" w:rsidRPr="00003E08">
        <w:rPr>
          <w:rFonts w:ascii="Times New Roman" w:hAnsi="Times New Roman" w:cs="Times New Roman"/>
          <w:sz w:val="24"/>
          <w:szCs w:val="24"/>
        </w:rPr>
        <w:t>he current development plan has identified several constraints and bottlenecks that must be addressed</w:t>
      </w:r>
      <w:r w:rsidR="009C49E8" w:rsidRPr="00003E08">
        <w:rPr>
          <w:rFonts w:ascii="Times New Roman" w:hAnsi="Times New Roman" w:cs="Times New Roman"/>
          <w:sz w:val="24"/>
          <w:szCs w:val="24"/>
        </w:rPr>
        <w:t>,</w:t>
      </w:r>
      <w:r w:rsidR="00BC5C97" w:rsidRPr="00003E08">
        <w:rPr>
          <w:rFonts w:ascii="Times New Roman" w:hAnsi="Times New Roman" w:cs="Times New Roman"/>
          <w:sz w:val="24"/>
          <w:szCs w:val="24"/>
        </w:rPr>
        <w:t xml:space="preserve"> </w:t>
      </w:r>
      <w:r w:rsidR="00CE4B01" w:rsidRPr="00003E08">
        <w:rPr>
          <w:rFonts w:ascii="Times New Roman" w:hAnsi="Times New Roman" w:cs="Times New Roman"/>
          <w:sz w:val="24"/>
          <w:szCs w:val="24"/>
        </w:rPr>
        <w:t xml:space="preserve">through </w:t>
      </w:r>
      <w:r w:rsidR="00BC5C97" w:rsidRPr="00003E08">
        <w:rPr>
          <w:rFonts w:ascii="Times New Roman" w:hAnsi="Times New Roman" w:cs="Times New Roman"/>
          <w:sz w:val="24"/>
          <w:szCs w:val="24"/>
        </w:rPr>
        <w:t xml:space="preserve">detailed </w:t>
      </w:r>
      <w:r w:rsidR="00567486" w:rsidRPr="00003E08">
        <w:rPr>
          <w:rFonts w:ascii="Times New Roman" w:hAnsi="Times New Roman" w:cs="Times New Roman"/>
          <w:sz w:val="24"/>
          <w:szCs w:val="24"/>
        </w:rPr>
        <w:t>strategies and approaches</w:t>
      </w:r>
      <w:r w:rsidR="009C49E8" w:rsidRPr="00003E08">
        <w:rPr>
          <w:rFonts w:ascii="Times New Roman" w:hAnsi="Times New Roman" w:cs="Times New Roman"/>
          <w:sz w:val="24"/>
          <w:szCs w:val="24"/>
        </w:rPr>
        <w:t>, for</w:t>
      </w:r>
      <w:r w:rsidR="00BC5C97" w:rsidRPr="00003E08">
        <w:rPr>
          <w:rFonts w:ascii="Times New Roman" w:hAnsi="Times New Roman" w:cs="Times New Roman"/>
          <w:sz w:val="24"/>
          <w:szCs w:val="24"/>
        </w:rPr>
        <w:t xml:space="preserve"> Uganda to reach lower middle-income status by 2020. </w:t>
      </w:r>
      <w:r w:rsidR="009C49E8" w:rsidRPr="00003E08">
        <w:rPr>
          <w:rFonts w:ascii="Times New Roman" w:hAnsi="Times New Roman" w:cs="Times New Roman"/>
          <w:sz w:val="24"/>
          <w:szCs w:val="24"/>
        </w:rPr>
        <w:t xml:space="preserve">Further details on NDPII’s theory of change is provided in Chapter </w:t>
      </w:r>
      <w:r w:rsidR="00933037" w:rsidRPr="00003E08">
        <w:rPr>
          <w:rFonts w:ascii="Times New Roman" w:hAnsi="Times New Roman" w:cs="Times New Roman"/>
          <w:sz w:val="24"/>
          <w:szCs w:val="24"/>
        </w:rPr>
        <w:t>2</w:t>
      </w:r>
      <w:r w:rsidR="009C49E8" w:rsidRPr="00003E08">
        <w:rPr>
          <w:rFonts w:ascii="Times New Roman" w:hAnsi="Times New Roman" w:cs="Times New Roman"/>
          <w:sz w:val="24"/>
          <w:szCs w:val="24"/>
        </w:rPr>
        <w:t>.1.</w:t>
      </w:r>
    </w:p>
    <w:p w14:paraId="1831ED62" w14:textId="35AEE885" w:rsidR="00F54FC5" w:rsidRPr="00933037" w:rsidRDefault="00F853BD" w:rsidP="00587EDE">
      <w:pPr>
        <w:pStyle w:val="Caption"/>
        <w:spacing w:line="360" w:lineRule="auto"/>
        <w:jc w:val="both"/>
        <w:rPr>
          <w:rFonts w:ascii="Times New Roman" w:hAnsi="Times New Roman" w:cs="Times New Roman"/>
          <w:i w:val="0"/>
          <w:sz w:val="24"/>
        </w:rPr>
      </w:pPr>
      <w:bookmarkStart w:id="16" w:name="_Toc536205949"/>
      <w:r w:rsidRPr="00933037">
        <w:rPr>
          <w:rFonts w:ascii="Times New Roman" w:hAnsi="Times New Roman" w:cs="Times New Roman"/>
          <w:i w:val="0"/>
          <w:sz w:val="24"/>
        </w:rPr>
        <w:t xml:space="preserve">Table </w:t>
      </w:r>
      <w:r w:rsidR="001350AC" w:rsidRPr="00933037">
        <w:rPr>
          <w:rFonts w:ascii="Times New Roman" w:hAnsi="Times New Roman" w:cs="Times New Roman"/>
          <w:i w:val="0"/>
          <w:noProof/>
          <w:sz w:val="24"/>
        </w:rPr>
        <w:fldChar w:fldCharType="begin"/>
      </w:r>
      <w:r w:rsidR="001350AC" w:rsidRPr="00933037">
        <w:rPr>
          <w:rFonts w:ascii="Times New Roman" w:hAnsi="Times New Roman" w:cs="Times New Roman"/>
          <w:i w:val="0"/>
          <w:noProof/>
          <w:sz w:val="24"/>
        </w:rPr>
        <w:instrText xml:space="preserve"> SEQ Table \* ARABIC </w:instrText>
      </w:r>
      <w:r w:rsidR="001350AC" w:rsidRPr="00933037">
        <w:rPr>
          <w:rFonts w:ascii="Times New Roman" w:hAnsi="Times New Roman" w:cs="Times New Roman"/>
          <w:i w:val="0"/>
          <w:noProof/>
          <w:sz w:val="24"/>
        </w:rPr>
        <w:fldChar w:fldCharType="separate"/>
      </w:r>
      <w:r w:rsidR="00A057A7">
        <w:rPr>
          <w:rFonts w:ascii="Times New Roman" w:hAnsi="Times New Roman" w:cs="Times New Roman"/>
          <w:i w:val="0"/>
          <w:noProof/>
          <w:sz w:val="24"/>
        </w:rPr>
        <w:t>1</w:t>
      </w:r>
      <w:r w:rsidR="001350AC" w:rsidRPr="00933037">
        <w:rPr>
          <w:rFonts w:ascii="Times New Roman" w:hAnsi="Times New Roman" w:cs="Times New Roman"/>
          <w:i w:val="0"/>
          <w:noProof/>
          <w:sz w:val="24"/>
        </w:rPr>
        <w:fldChar w:fldCharType="end"/>
      </w:r>
      <w:r w:rsidRPr="00933037">
        <w:rPr>
          <w:rFonts w:ascii="Times New Roman" w:hAnsi="Times New Roman" w:cs="Times New Roman"/>
          <w:i w:val="0"/>
          <w:sz w:val="24"/>
        </w:rPr>
        <w:t>: NDPI and NDPII</w:t>
      </w:r>
      <w:bookmarkEnd w:id="16"/>
    </w:p>
    <w:tbl>
      <w:tblPr>
        <w:tblStyle w:val="TableGrid"/>
        <w:tblW w:w="0" w:type="auto"/>
        <w:tblLook w:val="04A0" w:firstRow="1" w:lastRow="0" w:firstColumn="1" w:lastColumn="0" w:noHBand="0" w:noVBand="1"/>
      </w:tblPr>
      <w:tblGrid>
        <w:gridCol w:w="4248"/>
        <w:gridCol w:w="4768"/>
      </w:tblGrid>
      <w:tr w:rsidR="007B5C66" w:rsidRPr="00F10F3B" w14:paraId="7A5C777B" w14:textId="77777777" w:rsidTr="00634BD2">
        <w:tc>
          <w:tcPr>
            <w:tcW w:w="4248" w:type="dxa"/>
            <w:shd w:val="clear" w:color="auto" w:fill="C5E0B3" w:themeFill="accent6" w:themeFillTint="66"/>
          </w:tcPr>
          <w:p w14:paraId="45A542FE" w14:textId="7B9FC62D" w:rsidR="007B5C66" w:rsidRPr="00F10F3B" w:rsidRDefault="00C84365" w:rsidP="00B86D0C">
            <w:pPr>
              <w:spacing w:after="0" w:line="360" w:lineRule="auto"/>
              <w:jc w:val="both"/>
              <w:rPr>
                <w:rFonts w:ascii="Times New Roman" w:hAnsi="Times New Roman" w:cs="Times New Roman"/>
                <w:sz w:val="20"/>
                <w:szCs w:val="20"/>
              </w:rPr>
            </w:pPr>
            <w:r w:rsidRPr="00F10F3B">
              <w:rPr>
                <w:rFonts w:ascii="Times New Roman" w:hAnsi="Times New Roman" w:cs="Times New Roman"/>
                <w:b/>
                <w:sz w:val="20"/>
                <w:szCs w:val="20"/>
              </w:rPr>
              <w:t>NDPII Theme:</w:t>
            </w:r>
            <w:r w:rsidRPr="00F10F3B">
              <w:rPr>
                <w:rFonts w:ascii="Times New Roman" w:hAnsi="Times New Roman" w:cs="Times New Roman"/>
                <w:sz w:val="20"/>
                <w:szCs w:val="20"/>
              </w:rPr>
              <w:t xml:space="preserve"> To achieve middle-income status by 2020, through strengthening the country’s competitiveness for sustainable wealth creation, employment and inclusive growth</w:t>
            </w:r>
          </w:p>
        </w:tc>
        <w:tc>
          <w:tcPr>
            <w:tcW w:w="4768" w:type="dxa"/>
            <w:shd w:val="clear" w:color="auto" w:fill="C5E0B3" w:themeFill="accent6" w:themeFillTint="66"/>
          </w:tcPr>
          <w:p w14:paraId="7007E802" w14:textId="2B1B33A4" w:rsidR="007B5C66" w:rsidRPr="00F10F3B" w:rsidRDefault="00C84365" w:rsidP="00B86D0C">
            <w:pPr>
              <w:spacing w:after="0" w:line="360" w:lineRule="auto"/>
              <w:jc w:val="both"/>
              <w:rPr>
                <w:rFonts w:ascii="Times New Roman" w:hAnsi="Times New Roman" w:cs="Times New Roman"/>
                <w:sz w:val="20"/>
                <w:szCs w:val="20"/>
              </w:rPr>
            </w:pPr>
            <w:r w:rsidRPr="00F10F3B">
              <w:rPr>
                <w:rFonts w:ascii="Times New Roman" w:hAnsi="Times New Roman" w:cs="Times New Roman"/>
                <w:b/>
                <w:sz w:val="20"/>
                <w:szCs w:val="20"/>
              </w:rPr>
              <w:t>NDPI Theme:</w:t>
            </w:r>
            <w:r w:rsidRPr="00F10F3B">
              <w:rPr>
                <w:rFonts w:ascii="Times New Roman" w:hAnsi="Times New Roman" w:cs="Times New Roman"/>
                <w:sz w:val="20"/>
                <w:szCs w:val="20"/>
              </w:rPr>
              <w:t xml:space="preserve"> Growth, employment and socio-economic transformation for prosperity.</w:t>
            </w:r>
          </w:p>
        </w:tc>
      </w:tr>
      <w:tr w:rsidR="007B5C66" w:rsidRPr="00F10F3B" w14:paraId="42E8A837" w14:textId="77777777" w:rsidTr="00634BD2">
        <w:tc>
          <w:tcPr>
            <w:tcW w:w="4248" w:type="dxa"/>
          </w:tcPr>
          <w:p w14:paraId="666F74B8" w14:textId="77777777" w:rsidR="00E66848" w:rsidRPr="00F10F3B" w:rsidRDefault="00E66848"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Increase sustainable production, productivity and value addition in key growth opportunities (agriculture, tourism, minerals and oil and gas);</w:t>
            </w:r>
          </w:p>
          <w:p w14:paraId="5CDD98B3" w14:textId="77777777" w:rsidR="00E66848" w:rsidRPr="00F10F3B" w:rsidRDefault="00E66848"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Increase the stock and quality of strategic infrastructure to accelerate the country’s competitiveness;</w:t>
            </w:r>
          </w:p>
          <w:p w14:paraId="3C380469" w14:textId="77777777" w:rsidR="00E66848" w:rsidRPr="00F10F3B" w:rsidRDefault="00E66848"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Enhance human capital development; and</w:t>
            </w:r>
          </w:p>
          <w:p w14:paraId="4860931C" w14:textId="084DA84A" w:rsidR="007B5C66" w:rsidRPr="00F10F3B" w:rsidRDefault="00E66848"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Strengthen mechanisms for quality, effective and efficient service delivery.</w:t>
            </w:r>
          </w:p>
        </w:tc>
        <w:tc>
          <w:tcPr>
            <w:tcW w:w="4768" w:type="dxa"/>
          </w:tcPr>
          <w:p w14:paraId="45C9E001" w14:textId="6EEB128C"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Increase household incomes and promote equity</w:t>
            </w:r>
            <w:r w:rsidR="00634BD2" w:rsidRPr="00F10F3B">
              <w:rPr>
                <w:rFonts w:ascii="Times New Roman" w:hAnsi="Times New Roman" w:cs="Times New Roman"/>
                <w:sz w:val="20"/>
                <w:szCs w:val="20"/>
              </w:rPr>
              <w:t>;</w:t>
            </w:r>
          </w:p>
          <w:p w14:paraId="6CA362B6" w14:textId="4B337B2C"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Enhance the availability and quality of gainful employment</w:t>
            </w:r>
            <w:r w:rsidR="00634BD2" w:rsidRPr="00F10F3B">
              <w:rPr>
                <w:rFonts w:ascii="Times New Roman" w:hAnsi="Times New Roman" w:cs="Times New Roman"/>
                <w:sz w:val="20"/>
                <w:szCs w:val="20"/>
              </w:rPr>
              <w:t>;</w:t>
            </w:r>
          </w:p>
          <w:p w14:paraId="530EC844" w14:textId="110919A2"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Improve the stock and quality of economic infrastructure</w:t>
            </w:r>
            <w:r w:rsidR="00634BD2" w:rsidRPr="00F10F3B">
              <w:rPr>
                <w:rFonts w:ascii="Times New Roman" w:hAnsi="Times New Roman" w:cs="Times New Roman"/>
                <w:sz w:val="20"/>
                <w:szCs w:val="20"/>
              </w:rPr>
              <w:t>;</w:t>
            </w:r>
            <w:r w:rsidRPr="00F10F3B">
              <w:rPr>
                <w:rFonts w:ascii="Times New Roman" w:hAnsi="Times New Roman" w:cs="Times New Roman"/>
                <w:sz w:val="20"/>
                <w:szCs w:val="20"/>
              </w:rPr>
              <w:t xml:space="preserve"> </w:t>
            </w:r>
          </w:p>
          <w:p w14:paraId="7925C51F" w14:textId="25291CBE"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Increase access to quality social services</w:t>
            </w:r>
            <w:r w:rsidR="00634BD2" w:rsidRPr="00F10F3B">
              <w:rPr>
                <w:rFonts w:ascii="Times New Roman" w:hAnsi="Times New Roman" w:cs="Times New Roman"/>
                <w:sz w:val="20"/>
                <w:szCs w:val="20"/>
              </w:rPr>
              <w:t>;</w:t>
            </w:r>
          </w:p>
          <w:p w14:paraId="39083019" w14:textId="3540640A"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Promote science, technology, innovation and ICT to enhance competitiveness</w:t>
            </w:r>
            <w:r w:rsidR="00634BD2" w:rsidRPr="00F10F3B">
              <w:rPr>
                <w:rFonts w:ascii="Times New Roman" w:hAnsi="Times New Roman" w:cs="Times New Roman"/>
                <w:sz w:val="20"/>
                <w:szCs w:val="20"/>
              </w:rPr>
              <w:t>;</w:t>
            </w:r>
          </w:p>
          <w:p w14:paraId="459014F3" w14:textId="7DF9360D" w:rsidR="00E4293E" w:rsidRPr="00F10F3B" w:rsidRDefault="00E4293E"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Promote sustainable population and use of the environment and natural resources.</w:t>
            </w:r>
          </w:p>
          <w:p w14:paraId="0A29F00C" w14:textId="343738F0" w:rsidR="00DE5662"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Enhance human capital development</w:t>
            </w:r>
            <w:r w:rsidR="00634BD2" w:rsidRPr="00F10F3B">
              <w:rPr>
                <w:rFonts w:ascii="Times New Roman" w:hAnsi="Times New Roman" w:cs="Times New Roman"/>
                <w:sz w:val="20"/>
                <w:szCs w:val="20"/>
              </w:rPr>
              <w:t>;</w:t>
            </w:r>
            <w:r w:rsidR="00E4293E" w:rsidRPr="00F10F3B">
              <w:rPr>
                <w:rFonts w:ascii="Times New Roman" w:hAnsi="Times New Roman" w:cs="Times New Roman"/>
                <w:sz w:val="20"/>
                <w:szCs w:val="20"/>
              </w:rPr>
              <w:t xml:space="preserve"> and</w:t>
            </w:r>
          </w:p>
          <w:p w14:paraId="3BF86287" w14:textId="6F4D4779" w:rsidR="007B5C66" w:rsidRPr="00F10F3B" w:rsidRDefault="00DE5662" w:rsidP="00B86D0C">
            <w:pPr>
              <w:pStyle w:val="ListParagraph"/>
              <w:numPr>
                <w:ilvl w:val="0"/>
                <w:numId w:val="2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Strengthen good governance, defence and security</w:t>
            </w:r>
            <w:r w:rsidR="00E4293E" w:rsidRPr="00F10F3B">
              <w:rPr>
                <w:rFonts w:ascii="Times New Roman" w:hAnsi="Times New Roman" w:cs="Times New Roman"/>
                <w:sz w:val="20"/>
                <w:szCs w:val="20"/>
              </w:rPr>
              <w:t>.</w:t>
            </w:r>
          </w:p>
        </w:tc>
      </w:tr>
    </w:tbl>
    <w:p w14:paraId="7A652596" w14:textId="494FD0C0" w:rsidR="007B5C66" w:rsidRPr="00F10F3B" w:rsidRDefault="00312F76"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Source: NDPI, NDPII</w:t>
      </w:r>
    </w:p>
    <w:p w14:paraId="4EBD1BE0" w14:textId="3B5EC0AA" w:rsidR="00640FBF" w:rsidRPr="00F10F3B" w:rsidRDefault="00090DBA" w:rsidP="00587EDE">
      <w:pPr>
        <w:pStyle w:val="Heading2"/>
        <w:numPr>
          <w:ilvl w:val="1"/>
          <w:numId w:val="45"/>
        </w:numPr>
        <w:spacing w:line="360" w:lineRule="auto"/>
        <w:ind w:left="426" w:hanging="426"/>
        <w:rPr>
          <w:rFonts w:cs="Times New Roman"/>
        </w:rPr>
      </w:pPr>
      <w:bookmarkStart w:id="17" w:name="_Toc3454213"/>
      <w:bookmarkStart w:id="18" w:name="_Toc9269377"/>
      <w:r w:rsidRPr="00F10F3B">
        <w:rPr>
          <w:rFonts w:cs="Times New Roman"/>
        </w:rPr>
        <w:t>Key stakeholders</w:t>
      </w:r>
      <w:bookmarkEnd w:id="17"/>
      <w:bookmarkEnd w:id="18"/>
      <w:r w:rsidRPr="00F10F3B">
        <w:rPr>
          <w:rFonts w:cs="Times New Roman"/>
        </w:rPr>
        <w:t xml:space="preserve"> </w:t>
      </w:r>
    </w:p>
    <w:p w14:paraId="4D7353C7" w14:textId="541491A8" w:rsidR="00F20F42" w:rsidRPr="00B86D0C" w:rsidRDefault="00EB02CB"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t xml:space="preserve">Several stakeholders across and outside </w:t>
      </w:r>
      <w:r w:rsidR="009A2561" w:rsidRPr="00B86D0C">
        <w:rPr>
          <w:rFonts w:ascii="Times New Roman" w:hAnsi="Times New Roman" w:cs="Times New Roman"/>
          <w:b/>
          <w:sz w:val="24"/>
          <w:szCs w:val="24"/>
        </w:rPr>
        <w:t>Government</w:t>
      </w:r>
      <w:r w:rsidRPr="00B86D0C">
        <w:rPr>
          <w:rFonts w:ascii="Times New Roman" w:hAnsi="Times New Roman" w:cs="Times New Roman"/>
          <w:b/>
          <w:sz w:val="24"/>
          <w:szCs w:val="24"/>
        </w:rPr>
        <w:t xml:space="preserve"> were involved in developing NDPII</w:t>
      </w:r>
      <w:r w:rsidR="004F3390" w:rsidRPr="00B86D0C">
        <w:rPr>
          <w:rFonts w:ascii="Times New Roman" w:hAnsi="Times New Roman" w:cs="Times New Roman"/>
          <w:b/>
          <w:sz w:val="24"/>
          <w:szCs w:val="24"/>
        </w:rPr>
        <w:t xml:space="preserve"> </w:t>
      </w:r>
      <w:r w:rsidRPr="00B86D0C">
        <w:rPr>
          <w:rFonts w:ascii="Times New Roman" w:hAnsi="Times New Roman" w:cs="Times New Roman"/>
          <w:b/>
          <w:sz w:val="24"/>
          <w:szCs w:val="24"/>
        </w:rPr>
        <w:t xml:space="preserve">and are subsequently involved in </w:t>
      </w:r>
      <w:r w:rsidR="00CA71E5" w:rsidRPr="00B86D0C">
        <w:rPr>
          <w:rFonts w:ascii="Times New Roman" w:hAnsi="Times New Roman" w:cs="Times New Roman"/>
          <w:b/>
          <w:sz w:val="24"/>
          <w:szCs w:val="24"/>
        </w:rPr>
        <w:t>delivering the plan.</w:t>
      </w:r>
      <w:r w:rsidR="00CA71E5" w:rsidRPr="00B86D0C">
        <w:rPr>
          <w:rFonts w:ascii="Times New Roman" w:hAnsi="Times New Roman" w:cs="Times New Roman"/>
          <w:sz w:val="24"/>
          <w:szCs w:val="24"/>
        </w:rPr>
        <w:t xml:space="preserve"> </w:t>
      </w:r>
      <w:r w:rsidR="008E0089" w:rsidRPr="00B86D0C">
        <w:rPr>
          <w:rFonts w:ascii="Times New Roman" w:hAnsi="Times New Roman" w:cs="Times New Roman"/>
          <w:sz w:val="24"/>
          <w:szCs w:val="24"/>
        </w:rPr>
        <w:t xml:space="preserve">From a policy and strategic direction perspective, key institutions include the Office of the President, </w:t>
      </w:r>
      <w:r w:rsidR="001A2024" w:rsidRPr="00B86D0C">
        <w:rPr>
          <w:rFonts w:ascii="Times New Roman" w:hAnsi="Times New Roman" w:cs="Times New Roman"/>
          <w:sz w:val="24"/>
          <w:szCs w:val="24"/>
        </w:rPr>
        <w:t>Cabinet, O</w:t>
      </w:r>
      <w:r w:rsidR="00E97B52" w:rsidRPr="00B86D0C">
        <w:rPr>
          <w:rFonts w:ascii="Times New Roman" w:hAnsi="Times New Roman" w:cs="Times New Roman"/>
          <w:sz w:val="24"/>
          <w:szCs w:val="24"/>
        </w:rPr>
        <w:t>ffice of the Prime Minister, National Planning Authority</w:t>
      </w:r>
      <w:r w:rsidR="0082516E" w:rsidRPr="00B86D0C">
        <w:rPr>
          <w:rFonts w:ascii="Times New Roman" w:hAnsi="Times New Roman" w:cs="Times New Roman"/>
          <w:sz w:val="24"/>
          <w:szCs w:val="24"/>
        </w:rPr>
        <w:t xml:space="preserve"> (NPA)</w:t>
      </w:r>
      <w:r w:rsidR="00810B95" w:rsidRPr="00B86D0C">
        <w:rPr>
          <w:rFonts w:ascii="Times New Roman" w:hAnsi="Times New Roman" w:cs="Times New Roman"/>
          <w:sz w:val="24"/>
          <w:szCs w:val="24"/>
        </w:rPr>
        <w:t>,</w:t>
      </w:r>
      <w:r w:rsidR="00E97B52" w:rsidRPr="00B86D0C">
        <w:rPr>
          <w:rFonts w:ascii="Times New Roman" w:hAnsi="Times New Roman" w:cs="Times New Roman"/>
          <w:sz w:val="24"/>
          <w:szCs w:val="24"/>
        </w:rPr>
        <w:t xml:space="preserve"> </w:t>
      </w:r>
      <w:r w:rsidR="00FC0420" w:rsidRPr="00B86D0C">
        <w:rPr>
          <w:rFonts w:ascii="Times New Roman" w:hAnsi="Times New Roman" w:cs="Times New Roman"/>
          <w:sz w:val="24"/>
          <w:szCs w:val="24"/>
        </w:rPr>
        <w:t>Ministry of Finance</w:t>
      </w:r>
      <w:r w:rsidR="003B0510" w:rsidRPr="00B86D0C">
        <w:rPr>
          <w:rFonts w:ascii="Times New Roman" w:hAnsi="Times New Roman" w:cs="Times New Roman"/>
          <w:sz w:val="24"/>
          <w:szCs w:val="24"/>
        </w:rPr>
        <w:t xml:space="preserve">, Planning and Economic Development (MoFPED), </w:t>
      </w:r>
      <w:r w:rsidR="00E97B52" w:rsidRPr="00B86D0C">
        <w:rPr>
          <w:rFonts w:ascii="Times New Roman" w:hAnsi="Times New Roman" w:cs="Times New Roman"/>
          <w:sz w:val="24"/>
          <w:szCs w:val="24"/>
        </w:rPr>
        <w:t xml:space="preserve">sector ministries, departments and authorities (MDAs) and local </w:t>
      </w:r>
      <w:r w:rsidR="009A2561" w:rsidRPr="00B86D0C">
        <w:rPr>
          <w:rFonts w:ascii="Times New Roman" w:hAnsi="Times New Roman" w:cs="Times New Roman"/>
          <w:sz w:val="24"/>
          <w:szCs w:val="24"/>
        </w:rPr>
        <w:t>Government</w:t>
      </w:r>
      <w:r w:rsidR="00E97B52" w:rsidRPr="00B86D0C">
        <w:rPr>
          <w:rFonts w:ascii="Times New Roman" w:hAnsi="Times New Roman" w:cs="Times New Roman"/>
          <w:sz w:val="24"/>
          <w:szCs w:val="24"/>
        </w:rPr>
        <w:t xml:space="preserve">s. </w:t>
      </w:r>
      <w:r w:rsidR="006E2147" w:rsidRPr="00B86D0C">
        <w:rPr>
          <w:rFonts w:ascii="Times New Roman" w:hAnsi="Times New Roman" w:cs="Times New Roman"/>
          <w:sz w:val="24"/>
          <w:szCs w:val="24"/>
        </w:rPr>
        <w:t xml:space="preserve">The Office of the President is </w:t>
      </w:r>
      <w:r w:rsidR="008E0089" w:rsidRPr="00B86D0C">
        <w:rPr>
          <w:rFonts w:ascii="Times New Roman" w:hAnsi="Times New Roman" w:cs="Times New Roman"/>
          <w:sz w:val="24"/>
          <w:szCs w:val="24"/>
        </w:rPr>
        <w:t>tasked with overall leadership and oversight of the plan</w:t>
      </w:r>
      <w:r w:rsidR="00A11CEA" w:rsidRPr="00B86D0C">
        <w:rPr>
          <w:rFonts w:ascii="Times New Roman" w:hAnsi="Times New Roman" w:cs="Times New Roman"/>
          <w:sz w:val="24"/>
          <w:szCs w:val="24"/>
        </w:rPr>
        <w:t xml:space="preserve">, the timely communication of cabinet decisions and </w:t>
      </w:r>
      <w:r w:rsidR="003B43F3" w:rsidRPr="00B86D0C">
        <w:rPr>
          <w:rFonts w:ascii="Times New Roman" w:hAnsi="Times New Roman" w:cs="Times New Roman"/>
          <w:sz w:val="24"/>
          <w:szCs w:val="24"/>
        </w:rPr>
        <w:t xml:space="preserve">quality assurance of policies presented to </w:t>
      </w:r>
      <w:r w:rsidR="001E59C9" w:rsidRPr="00B86D0C">
        <w:rPr>
          <w:rFonts w:ascii="Times New Roman" w:hAnsi="Times New Roman" w:cs="Times New Roman"/>
          <w:sz w:val="24"/>
          <w:szCs w:val="24"/>
        </w:rPr>
        <w:t>Cabinet. Cabinet</w:t>
      </w:r>
      <w:r w:rsidR="00F42CCD" w:rsidRPr="00B86D0C">
        <w:rPr>
          <w:rFonts w:ascii="Times New Roman" w:hAnsi="Times New Roman" w:cs="Times New Roman"/>
          <w:sz w:val="24"/>
          <w:szCs w:val="24"/>
        </w:rPr>
        <w:t xml:space="preserve">, as the highest policy making organ of the Executive, is empowered by the Constitution to determine, formulate and implement the policy of the </w:t>
      </w:r>
      <w:r w:rsidR="009A2561" w:rsidRPr="00B86D0C">
        <w:rPr>
          <w:rFonts w:ascii="Times New Roman" w:hAnsi="Times New Roman" w:cs="Times New Roman"/>
          <w:sz w:val="24"/>
          <w:szCs w:val="24"/>
        </w:rPr>
        <w:t>Government</w:t>
      </w:r>
      <w:r w:rsidR="00F42CCD" w:rsidRPr="00B86D0C">
        <w:rPr>
          <w:rFonts w:ascii="Times New Roman" w:hAnsi="Times New Roman" w:cs="Times New Roman"/>
          <w:sz w:val="24"/>
          <w:szCs w:val="24"/>
        </w:rPr>
        <w:t xml:space="preserve"> (Article 111(2)).</w:t>
      </w:r>
      <w:r w:rsidR="001E59C9" w:rsidRPr="00B86D0C">
        <w:rPr>
          <w:rFonts w:ascii="Times New Roman" w:hAnsi="Times New Roman" w:cs="Times New Roman"/>
          <w:sz w:val="24"/>
          <w:szCs w:val="24"/>
        </w:rPr>
        <w:t xml:space="preserve"> </w:t>
      </w:r>
      <w:r w:rsidR="00054732" w:rsidRPr="00B86D0C">
        <w:rPr>
          <w:rFonts w:ascii="Times New Roman" w:hAnsi="Times New Roman" w:cs="Times New Roman"/>
          <w:sz w:val="24"/>
          <w:szCs w:val="24"/>
        </w:rPr>
        <w:t xml:space="preserve">Cabinet </w:t>
      </w:r>
      <w:r w:rsidR="00325804" w:rsidRPr="00B86D0C">
        <w:rPr>
          <w:rFonts w:ascii="Times New Roman" w:hAnsi="Times New Roman" w:cs="Times New Roman"/>
          <w:sz w:val="24"/>
          <w:szCs w:val="24"/>
        </w:rPr>
        <w:t xml:space="preserve">ultimately </w:t>
      </w:r>
      <w:r w:rsidR="00054732" w:rsidRPr="00B86D0C">
        <w:rPr>
          <w:rFonts w:ascii="Times New Roman" w:hAnsi="Times New Roman" w:cs="Times New Roman"/>
          <w:sz w:val="24"/>
          <w:szCs w:val="24"/>
        </w:rPr>
        <w:t>provides the policy and strategic direction for NDPII</w:t>
      </w:r>
      <w:r w:rsidR="00FF00F4" w:rsidRPr="00B86D0C">
        <w:rPr>
          <w:rFonts w:ascii="Times New Roman" w:hAnsi="Times New Roman" w:cs="Times New Roman"/>
          <w:sz w:val="24"/>
          <w:szCs w:val="24"/>
        </w:rPr>
        <w:t xml:space="preserve">, approves the budget allocations and </w:t>
      </w:r>
      <w:r w:rsidR="00FF00F4" w:rsidRPr="00B86D0C">
        <w:rPr>
          <w:rFonts w:ascii="Times New Roman" w:hAnsi="Times New Roman" w:cs="Times New Roman"/>
          <w:sz w:val="24"/>
          <w:szCs w:val="24"/>
        </w:rPr>
        <w:lastRenderedPageBreak/>
        <w:t xml:space="preserve">champions implementation. </w:t>
      </w:r>
      <w:r w:rsidR="002852BE" w:rsidRPr="00B86D0C">
        <w:rPr>
          <w:rFonts w:ascii="Times New Roman" w:hAnsi="Times New Roman" w:cs="Times New Roman"/>
          <w:sz w:val="24"/>
          <w:szCs w:val="24"/>
        </w:rPr>
        <w:t>The Office of Prime Minister</w:t>
      </w:r>
      <w:r w:rsidR="001A2024" w:rsidRPr="00B86D0C">
        <w:rPr>
          <w:rFonts w:ascii="Times New Roman" w:hAnsi="Times New Roman" w:cs="Times New Roman"/>
          <w:sz w:val="24"/>
          <w:szCs w:val="24"/>
        </w:rPr>
        <w:t xml:space="preserve"> is tasked </w:t>
      </w:r>
      <w:r w:rsidR="00F94428" w:rsidRPr="00B86D0C">
        <w:rPr>
          <w:rFonts w:ascii="Times New Roman" w:hAnsi="Times New Roman" w:cs="Times New Roman"/>
          <w:sz w:val="24"/>
          <w:szCs w:val="24"/>
        </w:rPr>
        <w:t xml:space="preserve">with the role of tracking the implementation of </w:t>
      </w:r>
      <w:r w:rsidR="00464065" w:rsidRPr="00B86D0C">
        <w:rPr>
          <w:rFonts w:ascii="Times New Roman" w:hAnsi="Times New Roman" w:cs="Times New Roman"/>
          <w:sz w:val="24"/>
          <w:szCs w:val="24"/>
        </w:rPr>
        <w:t xml:space="preserve">priority </w:t>
      </w:r>
      <w:r w:rsidR="00F94428" w:rsidRPr="00B86D0C">
        <w:rPr>
          <w:rFonts w:ascii="Times New Roman" w:hAnsi="Times New Roman" w:cs="Times New Roman"/>
          <w:sz w:val="24"/>
          <w:szCs w:val="24"/>
        </w:rPr>
        <w:t>projects and programme</w:t>
      </w:r>
      <w:r w:rsidR="00464065" w:rsidRPr="00B86D0C">
        <w:rPr>
          <w:rFonts w:ascii="Times New Roman" w:hAnsi="Times New Roman" w:cs="Times New Roman"/>
          <w:sz w:val="24"/>
          <w:szCs w:val="24"/>
        </w:rPr>
        <w:t>s</w:t>
      </w:r>
      <w:r w:rsidR="00421ADA" w:rsidRPr="00B86D0C">
        <w:rPr>
          <w:rFonts w:ascii="Times New Roman" w:hAnsi="Times New Roman" w:cs="Times New Roman"/>
          <w:sz w:val="24"/>
          <w:szCs w:val="24"/>
        </w:rPr>
        <w:t xml:space="preserve"> and for public sector performance information and reports which inform good policy development</w:t>
      </w:r>
      <w:r w:rsidR="00464065" w:rsidRPr="00B86D0C">
        <w:rPr>
          <w:rFonts w:ascii="Times New Roman" w:hAnsi="Times New Roman" w:cs="Times New Roman"/>
          <w:sz w:val="24"/>
          <w:szCs w:val="24"/>
        </w:rPr>
        <w:t xml:space="preserve">. </w:t>
      </w:r>
      <w:r w:rsidR="0082516E" w:rsidRPr="00B86D0C">
        <w:rPr>
          <w:rFonts w:ascii="Times New Roman" w:hAnsi="Times New Roman" w:cs="Times New Roman"/>
          <w:sz w:val="24"/>
          <w:szCs w:val="24"/>
        </w:rPr>
        <w:t xml:space="preserve">The NPA develops national development plans, including NDPII, </w:t>
      </w:r>
      <w:r w:rsidR="00606485" w:rsidRPr="00B86D0C">
        <w:rPr>
          <w:rFonts w:ascii="Times New Roman" w:hAnsi="Times New Roman" w:cs="Times New Roman"/>
          <w:sz w:val="24"/>
          <w:szCs w:val="24"/>
        </w:rPr>
        <w:t xml:space="preserve">ensures alignment of MDA and local </w:t>
      </w:r>
      <w:r w:rsidR="009A2561" w:rsidRPr="00B86D0C">
        <w:rPr>
          <w:rFonts w:ascii="Times New Roman" w:hAnsi="Times New Roman" w:cs="Times New Roman"/>
          <w:sz w:val="24"/>
          <w:szCs w:val="24"/>
        </w:rPr>
        <w:t>Government</w:t>
      </w:r>
      <w:r w:rsidR="00606485" w:rsidRPr="00B86D0C">
        <w:rPr>
          <w:rFonts w:ascii="Times New Roman" w:hAnsi="Times New Roman" w:cs="Times New Roman"/>
          <w:sz w:val="24"/>
          <w:szCs w:val="24"/>
        </w:rPr>
        <w:t xml:space="preserve"> plans to NDPII and </w:t>
      </w:r>
      <w:r w:rsidR="0051207C" w:rsidRPr="00B86D0C">
        <w:rPr>
          <w:rFonts w:ascii="Times New Roman" w:hAnsi="Times New Roman" w:cs="Times New Roman"/>
          <w:sz w:val="24"/>
          <w:szCs w:val="24"/>
        </w:rPr>
        <w:t xml:space="preserve">develops NDPII performance indicators and targets in liaison with sector. </w:t>
      </w:r>
      <w:r w:rsidR="00765BE0" w:rsidRPr="00B86D0C">
        <w:rPr>
          <w:rFonts w:ascii="Times New Roman" w:hAnsi="Times New Roman" w:cs="Times New Roman"/>
          <w:sz w:val="24"/>
          <w:szCs w:val="24"/>
        </w:rPr>
        <w:t xml:space="preserve">MoFPED is responsible for resource mobilisation and allocation and </w:t>
      </w:r>
      <w:r w:rsidR="004E1C32" w:rsidRPr="00B86D0C">
        <w:rPr>
          <w:rFonts w:ascii="Times New Roman" w:hAnsi="Times New Roman" w:cs="Times New Roman"/>
          <w:sz w:val="24"/>
          <w:szCs w:val="24"/>
        </w:rPr>
        <w:t xml:space="preserve">for ensuring a direct linkage between planning and budgeting. </w:t>
      </w:r>
      <w:r w:rsidR="00AA26C8" w:rsidRPr="00B86D0C">
        <w:rPr>
          <w:rFonts w:ascii="Times New Roman" w:hAnsi="Times New Roman" w:cs="Times New Roman"/>
          <w:sz w:val="24"/>
          <w:szCs w:val="24"/>
        </w:rPr>
        <w:t xml:space="preserve">Sector MDAs and local </w:t>
      </w:r>
      <w:r w:rsidR="009A2561" w:rsidRPr="00B86D0C">
        <w:rPr>
          <w:rFonts w:ascii="Times New Roman" w:hAnsi="Times New Roman" w:cs="Times New Roman"/>
          <w:sz w:val="24"/>
          <w:szCs w:val="24"/>
        </w:rPr>
        <w:t>Government</w:t>
      </w:r>
      <w:r w:rsidR="00AA26C8" w:rsidRPr="00B86D0C">
        <w:rPr>
          <w:rFonts w:ascii="Times New Roman" w:hAnsi="Times New Roman" w:cs="Times New Roman"/>
          <w:sz w:val="24"/>
          <w:szCs w:val="24"/>
        </w:rPr>
        <w:t xml:space="preserve">s </w:t>
      </w:r>
      <w:r w:rsidR="009D1C6F" w:rsidRPr="00B86D0C">
        <w:rPr>
          <w:rFonts w:ascii="Times New Roman" w:hAnsi="Times New Roman" w:cs="Times New Roman"/>
          <w:sz w:val="24"/>
          <w:szCs w:val="24"/>
        </w:rPr>
        <w:t xml:space="preserve">both develop </w:t>
      </w:r>
      <w:r w:rsidR="00BF0B93" w:rsidRPr="00B86D0C">
        <w:rPr>
          <w:rFonts w:ascii="Times New Roman" w:hAnsi="Times New Roman" w:cs="Times New Roman"/>
          <w:sz w:val="24"/>
          <w:szCs w:val="24"/>
        </w:rPr>
        <w:t xml:space="preserve">sector </w:t>
      </w:r>
      <w:r w:rsidR="00FC0420" w:rsidRPr="00B86D0C">
        <w:rPr>
          <w:rFonts w:ascii="Times New Roman" w:hAnsi="Times New Roman" w:cs="Times New Roman"/>
          <w:sz w:val="24"/>
          <w:szCs w:val="24"/>
        </w:rPr>
        <w:t xml:space="preserve">plans and policies </w:t>
      </w:r>
      <w:r w:rsidR="009D1C6F" w:rsidRPr="00B86D0C">
        <w:rPr>
          <w:rFonts w:ascii="Times New Roman" w:hAnsi="Times New Roman" w:cs="Times New Roman"/>
          <w:sz w:val="24"/>
          <w:szCs w:val="24"/>
        </w:rPr>
        <w:t xml:space="preserve">and align their objectives to national level </w:t>
      </w:r>
      <w:r w:rsidR="00BF0B93" w:rsidRPr="00B86D0C">
        <w:rPr>
          <w:rFonts w:ascii="Times New Roman" w:hAnsi="Times New Roman" w:cs="Times New Roman"/>
          <w:sz w:val="24"/>
          <w:szCs w:val="24"/>
        </w:rPr>
        <w:t xml:space="preserve">directives such as NDPII. </w:t>
      </w:r>
    </w:p>
    <w:p w14:paraId="2DB4DCB4" w14:textId="75E1F25B" w:rsidR="00486288" w:rsidRPr="00B86D0C" w:rsidRDefault="00215C33"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Figure 1 below provides </w:t>
      </w:r>
      <w:r w:rsidR="00D36E0D" w:rsidRPr="00B86D0C">
        <w:rPr>
          <w:rFonts w:ascii="Times New Roman" w:hAnsi="Times New Roman" w:cs="Times New Roman"/>
          <w:sz w:val="24"/>
          <w:szCs w:val="24"/>
        </w:rPr>
        <w:t xml:space="preserve">an </w:t>
      </w:r>
      <w:r w:rsidRPr="00B86D0C">
        <w:rPr>
          <w:rFonts w:ascii="Times New Roman" w:hAnsi="Times New Roman" w:cs="Times New Roman"/>
          <w:sz w:val="24"/>
          <w:szCs w:val="24"/>
        </w:rPr>
        <w:t xml:space="preserve">overview of policy </w:t>
      </w:r>
      <w:r w:rsidR="00D36E0D" w:rsidRPr="00B86D0C">
        <w:rPr>
          <w:rFonts w:ascii="Times New Roman" w:hAnsi="Times New Roman" w:cs="Times New Roman"/>
          <w:sz w:val="24"/>
          <w:szCs w:val="24"/>
        </w:rPr>
        <w:t xml:space="preserve">management </w:t>
      </w:r>
      <w:r w:rsidR="0042393E" w:rsidRPr="00B86D0C">
        <w:rPr>
          <w:rFonts w:ascii="Times New Roman" w:hAnsi="Times New Roman" w:cs="Times New Roman"/>
          <w:sz w:val="24"/>
          <w:szCs w:val="24"/>
        </w:rPr>
        <w:t xml:space="preserve">in Uganda. This process </w:t>
      </w:r>
      <w:r w:rsidR="002A5C20" w:rsidRPr="00B86D0C">
        <w:rPr>
          <w:rFonts w:ascii="Times New Roman" w:hAnsi="Times New Roman" w:cs="Times New Roman"/>
          <w:sz w:val="24"/>
          <w:szCs w:val="24"/>
        </w:rPr>
        <w:t xml:space="preserve">is </w:t>
      </w:r>
      <w:r w:rsidR="00834FCD" w:rsidRPr="00B86D0C">
        <w:rPr>
          <w:rFonts w:ascii="Times New Roman" w:hAnsi="Times New Roman" w:cs="Times New Roman"/>
          <w:sz w:val="24"/>
          <w:szCs w:val="24"/>
        </w:rPr>
        <w:t xml:space="preserve">carried out in conjunction with the Comprehensive National Development Planning Framework (CNDPF) which states that the National </w:t>
      </w:r>
      <w:r w:rsidR="00C82024" w:rsidRPr="00B86D0C">
        <w:rPr>
          <w:rFonts w:ascii="Times New Roman" w:hAnsi="Times New Roman" w:cs="Times New Roman"/>
          <w:sz w:val="24"/>
          <w:szCs w:val="24"/>
        </w:rPr>
        <w:t xml:space="preserve">30-year </w:t>
      </w:r>
      <w:r w:rsidR="00834FCD" w:rsidRPr="00B86D0C">
        <w:rPr>
          <w:rFonts w:ascii="Times New Roman" w:hAnsi="Times New Roman" w:cs="Times New Roman"/>
          <w:sz w:val="24"/>
          <w:szCs w:val="24"/>
        </w:rPr>
        <w:t>Vision (Uganda 2040) shou</w:t>
      </w:r>
      <w:r w:rsidR="00C82024" w:rsidRPr="00B86D0C">
        <w:rPr>
          <w:rFonts w:ascii="Times New Roman" w:hAnsi="Times New Roman" w:cs="Times New Roman"/>
          <w:sz w:val="24"/>
          <w:szCs w:val="24"/>
        </w:rPr>
        <w:t>ld be broken down into 10</w:t>
      </w:r>
      <w:r w:rsidR="00493EEE" w:rsidRPr="00B86D0C">
        <w:rPr>
          <w:rFonts w:ascii="Times New Roman" w:hAnsi="Times New Roman" w:cs="Times New Roman"/>
          <w:sz w:val="24"/>
          <w:szCs w:val="24"/>
        </w:rPr>
        <w:t>-</w:t>
      </w:r>
      <w:r w:rsidR="00C82024" w:rsidRPr="00B86D0C">
        <w:rPr>
          <w:rFonts w:ascii="Times New Roman" w:hAnsi="Times New Roman" w:cs="Times New Roman"/>
          <w:sz w:val="24"/>
          <w:szCs w:val="24"/>
        </w:rPr>
        <w:t>year national development plans, five</w:t>
      </w:r>
      <w:r w:rsidR="00207846" w:rsidRPr="00B86D0C">
        <w:rPr>
          <w:rFonts w:ascii="Times New Roman" w:hAnsi="Times New Roman" w:cs="Times New Roman"/>
          <w:sz w:val="24"/>
          <w:szCs w:val="24"/>
        </w:rPr>
        <w:t>-</w:t>
      </w:r>
      <w:r w:rsidR="00C82024" w:rsidRPr="00B86D0C">
        <w:rPr>
          <w:rFonts w:ascii="Times New Roman" w:hAnsi="Times New Roman" w:cs="Times New Roman"/>
          <w:sz w:val="24"/>
          <w:szCs w:val="24"/>
        </w:rPr>
        <w:t>year</w:t>
      </w:r>
      <w:r w:rsidR="0028423F" w:rsidRPr="00B86D0C">
        <w:rPr>
          <w:rFonts w:ascii="Times New Roman" w:hAnsi="Times New Roman" w:cs="Times New Roman"/>
          <w:sz w:val="24"/>
          <w:szCs w:val="24"/>
        </w:rPr>
        <w:t xml:space="preserve"> national development plans and annual plans and budgets. </w:t>
      </w:r>
      <w:r w:rsidR="007E3E90" w:rsidRPr="00B86D0C">
        <w:rPr>
          <w:rFonts w:ascii="Times New Roman" w:hAnsi="Times New Roman" w:cs="Times New Roman"/>
          <w:sz w:val="24"/>
          <w:szCs w:val="24"/>
        </w:rPr>
        <w:t>L</w:t>
      </w:r>
      <w:r w:rsidR="005F3EC2" w:rsidRPr="00B86D0C">
        <w:rPr>
          <w:rFonts w:ascii="Times New Roman" w:hAnsi="Times New Roman" w:cs="Times New Roman"/>
          <w:sz w:val="24"/>
          <w:szCs w:val="24"/>
        </w:rPr>
        <w:t>eadership</w:t>
      </w:r>
      <w:r w:rsidR="00493EEE" w:rsidRPr="00B86D0C">
        <w:rPr>
          <w:rFonts w:ascii="Times New Roman" w:hAnsi="Times New Roman" w:cs="Times New Roman"/>
          <w:sz w:val="24"/>
          <w:szCs w:val="24"/>
        </w:rPr>
        <w:t xml:space="preserve"> from the Office of the President (Cabinet), based on policy proposals from sector </w:t>
      </w:r>
      <w:r w:rsidR="004653D5" w:rsidRPr="00B86D0C">
        <w:rPr>
          <w:rFonts w:ascii="Times New Roman" w:hAnsi="Times New Roman" w:cs="Times New Roman"/>
          <w:sz w:val="24"/>
          <w:szCs w:val="24"/>
        </w:rPr>
        <w:t xml:space="preserve">and NDPII supportive </w:t>
      </w:r>
      <w:r w:rsidR="00493EEE" w:rsidRPr="00B86D0C">
        <w:rPr>
          <w:rFonts w:ascii="Times New Roman" w:hAnsi="Times New Roman" w:cs="Times New Roman"/>
          <w:sz w:val="24"/>
          <w:szCs w:val="24"/>
        </w:rPr>
        <w:t>ministries</w:t>
      </w:r>
      <w:r w:rsidR="004653D5" w:rsidRPr="00B86D0C">
        <w:rPr>
          <w:rFonts w:ascii="Times New Roman" w:hAnsi="Times New Roman" w:cs="Times New Roman"/>
          <w:sz w:val="24"/>
          <w:szCs w:val="24"/>
        </w:rPr>
        <w:t xml:space="preserve"> (e.g. NPA, OPM, MoFPED)</w:t>
      </w:r>
      <w:r w:rsidR="00493EEE" w:rsidRPr="00B86D0C">
        <w:rPr>
          <w:rFonts w:ascii="Times New Roman" w:hAnsi="Times New Roman" w:cs="Times New Roman"/>
          <w:sz w:val="24"/>
          <w:szCs w:val="24"/>
        </w:rPr>
        <w:t xml:space="preserve">, both informs the policy and strategic direction of national plans </w:t>
      </w:r>
      <w:r w:rsidR="00002D4F" w:rsidRPr="00B86D0C">
        <w:rPr>
          <w:rFonts w:ascii="Times New Roman" w:hAnsi="Times New Roman" w:cs="Times New Roman"/>
          <w:sz w:val="24"/>
          <w:szCs w:val="24"/>
        </w:rPr>
        <w:t>and ensures that implementation is on</w:t>
      </w:r>
      <w:r w:rsidR="00EE419A" w:rsidRPr="00B86D0C">
        <w:rPr>
          <w:rFonts w:ascii="Times New Roman" w:hAnsi="Times New Roman" w:cs="Times New Roman"/>
          <w:sz w:val="24"/>
          <w:szCs w:val="24"/>
        </w:rPr>
        <w:t xml:space="preserve"> track. </w:t>
      </w:r>
      <w:r w:rsidR="00002D4F" w:rsidRPr="00B86D0C">
        <w:rPr>
          <w:rFonts w:ascii="Times New Roman" w:hAnsi="Times New Roman" w:cs="Times New Roman"/>
          <w:sz w:val="24"/>
          <w:szCs w:val="24"/>
        </w:rPr>
        <w:t xml:space="preserve"> </w:t>
      </w:r>
    </w:p>
    <w:p w14:paraId="364978CD" w14:textId="109BCDCF" w:rsidR="00EE419A" w:rsidRPr="00B86D0C" w:rsidRDefault="00EE419A" w:rsidP="00B86D0C">
      <w:pPr>
        <w:pStyle w:val="Caption"/>
        <w:spacing w:line="360" w:lineRule="auto"/>
        <w:jc w:val="both"/>
        <w:rPr>
          <w:rFonts w:ascii="Times New Roman" w:hAnsi="Times New Roman" w:cs="Times New Roman"/>
          <w:i w:val="0"/>
          <w:sz w:val="24"/>
          <w:szCs w:val="24"/>
        </w:rPr>
      </w:pPr>
      <w:bookmarkStart w:id="19" w:name="_Toc536126225"/>
      <w:r w:rsidRPr="00B86D0C">
        <w:rPr>
          <w:rFonts w:ascii="Times New Roman" w:hAnsi="Times New Roman" w:cs="Times New Roman"/>
          <w:i w:val="0"/>
          <w:sz w:val="24"/>
          <w:szCs w:val="24"/>
        </w:rPr>
        <w:t xml:space="preserve">Figure </w:t>
      </w:r>
      <w:r w:rsidR="001350AC" w:rsidRPr="00B86D0C">
        <w:rPr>
          <w:rFonts w:ascii="Times New Roman" w:hAnsi="Times New Roman" w:cs="Times New Roman"/>
          <w:i w:val="0"/>
          <w:noProof/>
          <w:sz w:val="24"/>
          <w:szCs w:val="24"/>
        </w:rPr>
        <w:fldChar w:fldCharType="begin"/>
      </w:r>
      <w:r w:rsidR="001350AC" w:rsidRPr="00B86D0C">
        <w:rPr>
          <w:rFonts w:ascii="Times New Roman" w:hAnsi="Times New Roman" w:cs="Times New Roman"/>
          <w:i w:val="0"/>
          <w:noProof/>
          <w:sz w:val="24"/>
          <w:szCs w:val="24"/>
        </w:rPr>
        <w:instrText xml:space="preserve"> SEQ Figure \* ARABIC </w:instrText>
      </w:r>
      <w:r w:rsidR="001350AC" w:rsidRPr="00B86D0C">
        <w:rPr>
          <w:rFonts w:ascii="Times New Roman" w:hAnsi="Times New Roman" w:cs="Times New Roman"/>
          <w:i w:val="0"/>
          <w:noProof/>
          <w:sz w:val="24"/>
          <w:szCs w:val="24"/>
        </w:rPr>
        <w:fldChar w:fldCharType="separate"/>
      </w:r>
      <w:r w:rsidR="00A057A7">
        <w:rPr>
          <w:rFonts w:ascii="Times New Roman" w:hAnsi="Times New Roman" w:cs="Times New Roman"/>
          <w:i w:val="0"/>
          <w:noProof/>
          <w:sz w:val="24"/>
          <w:szCs w:val="24"/>
        </w:rPr>
        <w:t>1</w:t>
      </w:r>
      <w:r w:rsidR="001350AC" w:rsidRPr="00B86D0C">
        <w:rPr>
          <w:rFonts w:ascii="Times New Roman" w:hAnsi="Times New Roman" w:cs="Times New Roman"/>
          <w:i w:val="0"/>
          <w:noProof/>
          <w:sz w:val="24"/>
          <w:szCs w:val="24"/>
        </w:rPr>
        <w:fldChar w:fldCharType="end"/>
      </w:r>
      <w:r w:rsidRPr="00B86D0C">
        <w:rPr>
          <w:rFonts w:ascii="Times New Roman" w:hAnsi="Times New Roman" w:cs="Times New Roman"/>
          <w:i w:val="0"/>
          <w:sz w:val="24"/>
          <w:szCs w:val="24"/>
        </w:rPr>
        <w:t>: Policy management in Uganda</w:t>
      </w:r>
      <w:bookmarkEnd w:id="19"/>
    </w:p>
    <w:p w14:paraId="6A558544" w14:textId="78122278" w:rsidR="00486288" w:rsidRPr="00B86D0C" w:rsidRDefault="00486288" w:rsidP="00B86D0C">
      <w:pPr>
        <w:spacing w:after="0" w:line="360" w:lineRule="auto"/>
        <w:jc w:val="both"/>
        <w:rPr>
          <w:rFonts w:ascii="Times New Roman" w:hAnsi="Times New Roman" w:cs="Times New Roman"/>
          <w:sz w:val="24"/>
          <w:szCs w:val="24"/>
        </w:rPr>
      </w:pPr>
      <w:r w:rsidRPr="00B86D0C">
        <w:rPr>
          <w:rFonts w:ascii="Times New Roman" w:hAnsi="Times New Roman" w:cs="Times New Roman"/>
          <w:noProof/>
          <w:sz w:val="24"/>
          <w:szCs w:val="24"/>
          <w:lang w:eastAsia="en-GB"/>
        </w:rPr>
        <w:drawing>
          <wp:inline distT="0" distB="0" distL="0" distR="0" wp14:anchorId="344B4B33" wp14:editId="7CB6C271">
            <wp:extent cx="5338633" cy="2905125"/>
            <wp:effectExtent l="19050" t="19050" r="1460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32070" t="46606" r="31926" b="14365"/>
                    <a:stretch/>
                  </pic:blipFill>
                  <pic:spPr bwMode="auto">
                    <a:xfrm>
                      <a:off x="0" y="0"/>
                      <a:ext cx="5405096" cy="294129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6AC15B6A" w14:textId="26DE5CC5" w:rsidR="00FE3849" w:rsidRPr="00B86D0C" w:rsidRDefault="00FE3849" w:rsidP="00B86D0C">
      <w:pPr>
        <w:spacing w:line="360" w:lineRule="auto"/>
        <w:jc w:val="both"/>
        <w:rPr>
          <w:rFonts w:ascii="Times New Roman" w:hAnsi="Times New Roman" w:cs="Times New Roman"/>
          <w:i/>
          <w:sz w:val="24"/>
          <w:szCs w:val="24"/>
        </w:rPr>
      </w:pPr>
      <w:r w:rsidRPr="00B86D0C">
        <w:rPr>
          <w:rFonts w:ascii="Times New Roman" w:hAnsi="Times New Roman" w:cs="Times New Roman"/>
          <w:i/>
          <w:sz w:val="24"/>
          <w:szCs w:val="24"/>
        </w:rPr>
        <w:t>Source: Guide to policy development and management in Uganda, 2013</w:t>
      </w:r>
    </w:p>
    <w:p w14:paraId="2DD2D2B7" w14:textId="5B96340C" w:rsidR="00E71FA7" w:rsidRPr="00B86D0C" w:rsidRDefault="00F448EF" w:rsidP="00B86D0C">
      <w:pPr>
        <w:pStyle w:val="Heading2"/>
        <w:numPr>
          <w:ilvl w:val="1"/>
          <w:numId w:val="45"/>
        </w:numPr>
        <w:spacing w:before="0" w:line="360" w:lineRule="auto"/>
        <w:ind w:left="426" w:hanging="426"/>
        <w:rPr>
          <w:rFonts w:cs="Times New Roman"/>
          <w:szCs w:val="24"/>
        </w:rPr>
      </w:pPr>
      <w:bookmarkStart w:id="20" w:name="_Toc3454214"/>
      <w:bookmarkStart w:id="21" w:name="_Toc9269378"/>
      <w:r w:rsidRPr="00B86D0C">
        <w:rPr>
          <w:rFonts w:cs="Times New Roman"/>
          <w:szCs w:val="24"/>
        </w:rPr>
        <w:lastRenderedPageBreak/>
        <w:t xml:space="preserve">Overarching structures informing </w:t>
      </w:r>
      <w:r w:rsidR="00B4428E" w:rsidRPr="00B86D0C">
        <w:rPr>
          <w:rFonts w:cs="Times New Roman"/>
          <w:szCs w:val="24"/>
        </w:rPr>
        <w:t>NDPII’s Strategic Direction</w:t>
      </w:r>
      <w:bookmarkEnd w:id="20"/>
      <w:bookmarkEnd w:id="21"/>
    </w:p>
    <w:p w14:paraId="30B8E0B6" w14:textId="012BEBA2" w:rsidR="00E71FA7" w:rsidRPr="00B86D0C" w:rsidRDefault="004E6B5F"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NDPII</w:t>
      </w:r>
      <w:r w:rsidR="00944CCD" w:rsidRPr="00B86D0C">
        <w:rPr>
          <w:rFonts w:ascii="Times New Roman" w:hAnsi="Times New Roman" w:cs="Times New Roman"/>
          <w:sz w:val="24"/>
          <w:szCs w:val="24"/>
        </w:rPr>
        <w:t>’s</w:t>
      </w:r>
      <w:r w:rsidRPr="00B86D0C">
        <w:rPr>
          <w:rFonts w:ascii="Times New Roman" w:hAnsi="Times New Roman" w:cs="Times New Roman"/>
          <w:sz w:val="24"/>
          <w:szCs w:val="24"/>
        </w:rPr>
        <w:t xml:space="preserve"> strategic direction is set within the overall policy and legal framework</w:t>
      </w:r>
      <w:r w:rsidR="00B4428E" w:rsidRPr="00B86D0C">
        <w:rPr>
          <w:rFonts w:ascii="Times New Roman" w:hAnsi="Times New Roman" w:cs="Times New Roman"/>
          <w:sz w:val="24"/>
          <w:szCs w:val="24"/>
        </w:rPr>
        <w:t>s</w:t>
      </w:r>
      <w:r w:rsidRPr="00B86D0C">
        <w:rPr>
          <w:rFonts w:ascii="Times New Roman" w:hAnsi="Times New Roman" w:cs="Times New Roman"/>
          <w:sz w:val="24"/>
          <w:szCs w:val="24"/>
        </w:rPr>
        <w:t xml:space="preserve"> </w:t>
      </w:r>
      <w:r w:rsidR="00944CCD" w:rsidRPr="00B86D0C">
        <w:rPr>
          <w:rFonts w:ascii="Times New Roman" w:hAnsi="Times New Roman" w:cs="Times New Roman"/>
          <w:sz w:val="24"/>
          <w:szCs w:val="24"/>
        </w:rPr>
        <w:t xml:space="preserve">of </w:t>
      </w:r>
      <w:r w:rsidR="009A2561" w:rsidRPr="00B86D0C">
        <w:rPr>
          <w:rFonts w:ascii="Times New Roman" w:hAnsi="Times New Roman" w:cs="Times New Roman"/>
          <w:sz w:val="24"/>
          <w:szCs w:val="24"/>
        </w:rPr>
        <w:t>Government</w:t>
      </w:r>
      <w:r w:rsidR="00E71FA7" w:rsidRPr="00B86D0C">
        <w:rPr>
          <w:rFonts w:ascii="Times New Roman" w:hAnsi="Times New Roman" w:cs="Times New Roman"/>
          <w:sz w:val="24"/>
          <w:szCs w:val="24"/>
        </w:rPr>
        <w:t xml:space="preserve">. </w:t>
      </w:r>
      <w:r w:rsidR="0034596C" w:rsidRPr="00B86D0C">
        <w:rPr>
          <w:rFonts w:ascii="Times New Roman" w:hAnsi="Times New Roman" w:cs="Times New Roman"/>
          <w:sz w:val="24"/>
          <w:szCs w:val="24"/>
        </w:rPr>
        <w:t xml:space="preserve">In evaluating the </w:t>
      </w:r>
      <w:r w:rsidR="002C641C" w:rsidRPr="00B86D0C">
        <w:rPr>
          <w:rFonts w:ascii="Times New Roman" w:hAnsi="Times New Roman" w:cs="Times New Roman"/>
          <w:sz w:val="24"/>
          <w:szCs w:val="24"/>
        </w:rPr>
        <w:t>quality and effectiveness</w:t>
      </w:r>
      <w:r w:rsidR="002C641C" w:rsidRPr="00B86D0C">
        <w:rPr>
          <w:rFonts w:ascii="Times New Roman" w:hAnsi="Times New Roman" w:cs="Times New Roman"/>
          <w:b/>
          <w:sz w:val="24"/>
          <w:szCs w:val="24"/>
        </w:rPr>
        <w:t xml:space="preserve"> </w:t>
      </w:r>
      <w:r w:rsidR="002C641C" w:rsidRPr="00B86D0C">
        <w:rPr>
          <w:rFonts w:ascii="Times New Roman" w:hAnsi="Times New Roman" w:cs="Times New Roman"/>
          <w:sz w:val="24"/>
          <w:szCs w:val="24"/>
        </w:rPr>
        <w:t>of NDPII it is important to keep t</w:t>
      </w:r>
      <w:r w:rsidR="002420AF" w:rsidRPr="00B86D0C">
        <w:rPr>
          <w:rFonts w:ascii="Times New Roman" w:hAnsi="Times New Roman" w:cs="Times New Roman"/>
          <w:sz w:val="24"/>
          <w:szCs w:val="24"/>
        </w:rPr>
        <w:t>his in mind</w:t>
      </w:r>
      <w:r w:rsidR="00AA685B" w:rsidRPr="00B86D0C">
        <w:rPr>
          <w:rFonts w:ascii="Times New Roman" w:hAnsi="Times New Roman" w:cs="Times New Roman"/>
          <w:sz w:val="24"/>
          <w:szCs w:val="24"/>
        </w:rPr>
        <w:t xml:space="preserve"> as a</w:t>
      </w:r>
      <w:r w:rsidR="002420AF" w:rsidRPr="00B86D0C">
        <w:rPr>
          <w:rFonts w:ascii="Times New Roman" w:hAnsi="Times New Roman" w:cs="Times New Roman"/>
          <w:sz w:val="24"/>
          <w:szCs w:val="24"/>
        </w:rPr>
        <w:t xml:space="preserve">ny significant changes to NDPII’s strategic direction would have to be in line with the documents detailed below. </w:t>
      </w:r>
      <w:r w:rsidR="00E71FA7" w:rsidRPr="00B86D0C">
        <w:rPr>
          <w:rFonts w:ascii="Times New Roman" w:hAnsi="Times New Roman" w:cs="Times New Roman"/>
          <w:sz w:val="24"/>
          <w:szCs w:val="24"/>
        </w:rPr>
        <w:t>Key documents which both informed and guide NDPII’s strategic</w:t>
      </w:r>
      <w:r w:rsidR="00286E2A" w:rsidRPr="00B86D0C">
        <w:rPr>
          <w:rFonts w:ascii="Times New Roman" w:hAnsi="Times New Roman" w:cs="Times New Roman"/>
          <w:sz w:val="24"/>
          <w:szCs w:val="24"/>
        </w:rPr>
        <w:t xml:space="preserve"> direction</w:t>
      </w:r>
      <w:r w:rsidR="00E71FA7" w:rsidRPr="00B86D0C">
        <w:rPr>
          <w:rFonts w:ascii="Times New Roman" w:hAnsi="Times New Roman" w:cs="Times New Roman"/>
          <w:sz w:val="24"/>
          <w:szCs w:val="24"/>
        </w:rPr>
        <w:t xml:space="preserve"> include:</w:t>
      </w:r>
    </w:p>
    <w:p w14:paraId="14DA298C" w14:textId="61F8B78A" w:rsidR="00E71FA7" w:rsidRPr="00B86D0C" w:rsidRDefault="00E71FA7"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The Constitution of the Republic of Uganda, 1995</w:t>
      </w:r>
      <w:r w:rsidR="009D198A" w:rsidRPr="00B86D0C">
        <w:rPr>
          <w:rFonts w:ascii="Times New Roman" w:hAnsi="Times New Roman" w:cs="Times New Roman"/>
          <w:sz w:val="24"/>
          <w:szCs w:val="24"/>
        </w:rPr>
        <w:t xml:space="preserve"> (amended 2006)</w:t>
      </w:r>
      <w:r w:rsidRPr="00B86D0C">
        <w:rPr>
          <w:rFonts w:ascii="Times New Roman" w:hAnsi="Times New Roman" w:cs="Times New Roman"/>
          <w:sz w:val="24"/>
          <w:szCs w:val="24"/>
        </w:rPr>
        <w:t>;</w:t>
      </w:r>
    </w:p>
    <w:p w14:paraId="2FC63261" w14:textId="21AA3CAC" w:rsidR="004E6B5F" w:rsidRPr="00B86D0C" w:rsidRDefault="00E71FA7"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Vision 2040</w:t>
      </w:r>
      <w:r w:rsidR="00FD3C15" w:rsidRPr="00B86D0C">
        <w:rPr>
          <w:rFonts w:ascii="Times New Roman" w:hAnsi="Times New Roman" w:cs="Times New Roman"/>
          <w:sz w:val="24"/>
          <w:szCs w:val="24"/>
        </w:rPr>
        <w:t xml:space="preserve">, adopted by </w:t>
      </w:r>
      <w:r w:rsidR="009A2561" w:rsidRPr="00B86D0C">
        <w:rPr>
          <w:rFonts w:ascii="Times New Roman" w:hAnsi="Times New Roman" w:cs="Times New Roman"/>
          <w:sz w:val="24"/>
          <w:szCs w:val="24"/>
        </w:rPr>
        <w:t>Government</w:t>
      </w:r>
      <w:r w:rsidR="00FD3C15" w:rsidRPr="00B86D0C">
        <w:rPr>
          <w:rFonts w:ascii="Times New Roman" w:hAnsi="Times New Roman" w:cs="Times New Roman"/>
          <w:sz w:val="24"/>
          <w:szCs w:val="24"/>
        </w:rPr>
        <w:t xml:space="preserve"> in April 2013</w:t>
      </w:r>
      <w:r w:rsidRPr="00B86D0C">
        <w:rPr>
          <w:rFonts w:ascii="Times New Roman" w:hAnsi="Times New Roman" w:cs="Times New Roman"/>
          <w:sz w:val="24"/>
          <w:szCs w:val="24"/>
        </w:rPr>
        <w:t>;</w:t>
      </w:r>
    </w:p>
    <w:p w14:paraId="35EF9F22" w14:textId="51797750" w:rsidR="00F82945" w:rsidRPr="00B86D0C" w:rsidRDefault="00F82945"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Vision 2040 spatial framework, 2014;</w:t>
      </w:r>
    </w:p>
    <w:p w14:paraId="4685DEFD" w14:textId="5540B880" w:rsidR="0017661E" w:rsidRPr="00B86D0C" w:rsidRDefault="0017661E"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Comprehensive National Development Planning Framework, 2007</w:t>
      </w:r>
      <w:r w:rsidR="00FD3C15" w:rsidRPr="00B86D0C">
        <w:rPr>
          <w:rFonts w:ascii="Times New Roman" w:hAnsi="Times New Roman" w:cs="Times New Roman"/>
          <w:sz w:val="24"/>
          <w:szCs w:val="24"/>
        </w:rPr>
        <w:t>;</w:t>
      </w:r>
    </w:p>
    <w:p w14:paraId="2EF2EE21" w14:textId="7161B485" w:rsidR="00286E2A" w:rsidRPr="00B86D0C" w:rsidRDefault="00286E2A"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National Development Plan (NDP1), 2010/11-2014/15;</w:t>
      </w:r>
    </w:p>
    <w:p w14:paraId="12C67ADE" w14:textId="5262832B" w:rsidR="00286E2A" w:rsidRPr="00B86D0C" w:rsidRDefault="00286E2A"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Mid-term review of the NDPI</w:t>
      </w:r>
      <w:r w:rsidR="009942BB" w:rsidRPr="00B86D0C">
        <w:rPr>
          <w:rFonts w:ascii="Times New Roman" w:hAnsi="Times New Roman" w:cs="Times New Roman"/>
          <w:sz w:val="24"/>
          <w:szCs w:val="24"/>
        </w:rPr>
        <w:t>;</w:t>
      </w:r>
    </w:p>
    <w:p w14:paraId="0FA117EF" w14:textId="14009996" w:rsidR="00E71FA7" w:rsidRPr="00B86D0C" w:rsidRDefault="00E71FA7"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N</w:t>
      </w:r>
      <w:r w:rsidR="00A8706C" w:rsidRPr="00B86D0C">
        <w:rPr>
          <w:rFonts w:ascii="Times New Roman" w:hAnsi="Times New Roman" w:cs="Times New Roman"/>
          <w:sz w:val="24"/>
          <w:szCs w:val="24"/>
        </w:rPr>
        <w:t>ational Resistance Movement (N</w:t>
      </w:r>
      <w:r w:rsidRPr="00B86D0C">
        <w:rPr>
          <w:rFonts w:ascii="Times New Roman" w:hAnsi="Times New Roman" w:cs="Times New Roman"/>
          <w:sz w:val="24"/>
          <w:szCs w:val="24"/>
        </w:rPr>
        <w:t>RM</w:t>
      </w:r>
      <w:r w:rsidR="00A8706C" w:rsidRPr="00B86D0C">
        <w:rPr>
          <w:rFonts w:ascii="Times New Roman" w:hAnsi="Times New Roman" w:cs="Times New Roman"/>
          <w:sz w:val="24"/>
          <w:szCs w:val="24"/>
        </w:rPr>
        <w:t>) Political</w:t>
      </w:r>
      <w:r w:rsidRPr="00B86D0C">
        <w:rPr>
          <w:rFonts w:ascii="Times New Roman" w:hAnsi="Times New Roman" w:cs="Times New Roman"/>
          <w:sz w:val="24"/>
          <w:szCs w:val="24"/>
        </w:rPr>
        <w:t xml:space="preserve"> Manifesto;</w:t>
      </w:r>
    </w:p>
    <w:p w14:paraId="6196773D" w14:textId="37B874BB" w:rsidR="00D46732" w:rsidRPr="00B86D0C" w:rsidRDefault="00D46732"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National Planning Act, 2002;</w:t>
      </w:r>
    </w:p>
    <w:p w14:paraId="3A62F922" w14:textId="44B7A13D" w:rsidR="00D46732" w:rsidRPr="00B86D0C" w:rsidRDefault="000D7A98"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Sustainable Development Goals;</w:t>
      </w:r>
    </w:p>
    <w:p w14:paraId="53525AFC" w14:textId="77777777" w:rsidR="002420AF" w:rsidRPr="00B86D0C" w:rsidRDefault="001C2081"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International </w:t>
      </w:r>
      <w:r w:rsidR="007409C8" w:rsidRPr="00B86D0C">
        <w:rPr>
          <w:rFonts w:ascii="Times New Roman" w:hAnsi="Times New Roman" w:cs="Times New Roman"/>
          <w:sz w:val="24"/>
          <w:szCs w:val="24"/>
        </w:rPr>
        <w:t xml:space="preserve">and regional </w:t>
      </w:r>
      <w:r w:rsidRPr="00B86D0C">
        <w:rPr>
          <w:rFonts w:ascii="Times New Roman" w:hAnsi="Times New Roman" w:cs="Times New Roman"/>
          <w:sz w:val="24"/>
          <w:szCs w:val="24"/>
        </w:rPr>
        <w:t xml:space="preserve">treaties e.g. </w:t>
      </w:r>
      <w:r w:rsidR="007409C8" w:rsidRPr="00B86D0C">
        <w:rPr>
          <w:rFonts w:ascii="Times New Roman" w:hAnsi="Times New Roman" w:cs="Times New Roman"/>
          <w:sz w:val="24"/>
          <w:szCs w:val="24"/>
        </w:rPr>
        <w:t>African Charter on Human and Peoples’ Rights</w:t>
      </w:r>
      <w:r w:rsidR="00F77E96" w:rsidRPr="00B86D0C">
        <w:rPr>
          <w:rFonts w:ascii="Times New Roman" w:hAnsi="Times New Roman" w:cs="Times New Roman"/>
          <w:sz w:val="24"/>
          <w:szCs w:val="24"/>
        </w:rPr>
        <w:t>, International Convention for the Rights of the Child;</w:t>
      </w:r>
    </w:p>
    <w:p w14:paraId="42AABE97" w14:textId="7363B637" w:rsidR="007A29C7" w:rsidRPr="00B86D0C" w:rsidRDefault="00F77E96" w:rsidP="00B86D0C">
      <w:pPr>
        <w:pStyle w:val="ListParagraph"/>
        <w:numPr>
          <w:ilvl w:val="0"/>
          <w:numId w:val="26"/>
        </w:numPr>
        <w:spacing w:line="360" w:lineRule="auto"/>
        <w:ind w:left="992" w:hanging="635"/>
        <w:contextualSpacing w:val="0"/>
        <w:jc w:val="both"/>
        <w:rPr>
          <w:rFonts w:ascii="Times New Roman" w:hAnsi="Times New Roman" w:cs="Times New Roman"/>
          <w:sz w:val="24"/>
          <w:szCs w:val="24"/>
        </w:rPr>
      </w:pPr>
      <w:r w:rsidRPr="00B86D0C">
        <w:rPr>
          <w:rFonts w:ascii="Times New Roman" w:hAnsi="Times New Roman" w:cs="Times New Roman"/>
          <w:sz w:val="24"/>
          <w:szCs w:val="24"/>
        </w:rPr>
        <w:t>Regional initiatives such as the East African Community, COMESA, IGAD and New Partnerships for Africa’s Development (NEPAD)</w:t>
      </w:r>
      <w:r w:rsidR="004F3390" w:rsidRPr="00B86D0C">
        <w:rPr>
          <w:rFonts w:ascii="Times New Roman" w:hAnsi="Times New Roman" w:cs="Times New Roman"/>
          <w:sz w:val="24"/>
          <w:szCs w:val="24"/>
        </w:rPr>
        <w:t>.</w:t>
      </w:r>
      <w:r w:rsidR="007A29C7" w:rsidRPr="00B86D0C">
        <w:rPr>
          <w:rFonts w:ascii="Times New Roman" w:hAnsi="Times New Roman" w:cs="Times New Roman"/>
          <w:sz w:val="24"/>
          <w:szCs w:val="24"/>
        </w:rPr>
        <w:br w:type="page"/>
      </w:r>
    </w:p>
    <w:p w14:paraId="7F570E93" w14:textId="7063C3F1" w:rsidR="00AA4832" w:rsidRPr="00B86D0C" w:rsidRDefault="00846E60" w:rsidP="00B86D0C">
      <w:pPr>
        <w:pStyle w:val="Heading1"/>
        <w:numPr>
          <w:ilvl w:val="0"/>
          <w:numId w:val="45"/>
        </w:numPr>
      </w:pPr>
      <w:bookmarkStart w:id="22" w:name="_Toc3454215"/>
      <w:bookmarkStart w:id="23" w:name="_Toc9269379"/>
      <w:r w:rsidRPr="00B86D0C">
        <w:lastRenderedPageBreak/>
        <w:t>Findings</w:t>
      </w:r>
      <w:bookmarkEnd w:id="22"/>
      <w:bookmarkEnd w:id="23"/>
    </w:p>
    <w:p w14:paraId="6370F395" w14:textId="0663121F" w:rsidR="00C17443" w:rsidRPr="00B86D0C" w:rsidRDefault="00C17443"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This </w:t>
      </w:r>
      <w:r w:rsidR="003D05F8" w:rsidRPr="00B86D0C">
        <w:rPr>
          <w:rFonts w:ascii="Times New Roman" w:hAnsi="Times New Roman" w:cs="Times New Roman"/>
          <w:sz w:val="24"/>
          <w:szCs w:val="24"/>
        </w:rPr>
        <w:t>chapter</w:t>
      </w:r>
      <w:r w:rsidRPr="00B86D0C">
        <w:rPr>
          <w:rFonts w:ascii="Times New Roman" w:hAnsi="Times New Roman" w:cs="Times New Roman"/>
          <w:sz w:val="24"/>
          <w:szCs w:val="24"/>
        </w:rPr>
        <w:t xml:space="preserve"> is structured into four parts, reflecting the areas of enquiry outlined in </w:t>
      </w:r>
      <w:r w:rsidR="00026FA0" w:rsidRPr="00B86D0C">
        <w:rPr>
          <w:rFonts w:ascii="Times New Roman" w:hAnsi="Times New Roman" w:cs="Times New Roman"/>
          <w:sz w:val="24"/>
          <w:szCs w:val="24"/>
        </w:rPr>
        <w:t xml:space="preserve">the </w:t>
      </w:r>
      <w:r w:rsidR="002A2F37" w:rsidRPr="00B86D0C">
        <w:rPr>
          <w:rFonts w:ascii="Times New Roman" w:hAnsi="Times New Roman" w:cs="Times New Roman"/>
          <w:sz w:val="24"/>
          <w:szCs w:val="24"/>
        </w:rPr>
        <w:t>methodology</w:t>
      </w:r>
      <w:r w:rsidR="00026FA0" w:rsidRPr="00B86D0C">
        <w:rPr>
          <w:rFonts w:ascii="Times New Roman" w:hAnsi="Times New Roman" w:cs="Times New Roman"/>
          <w:sz w:val="24"/>
          <w:szCs w:val="24"/>
        </w:rPr>
        <w:t xml:space="preserve">. Each part describes the current situation in </w:t>
      </w:r>
      <w:r w:rsidR="004E0D2D" w:rsidRPr="00B86D0C">
        <w:rPr>
          <w:rFonts w:ascii="Times New Roman" w:hAnsi="Times New Roman" w:cs="Times New Roman"/>
          <w:sz w:val="24"/>
          <w:szCs w:val="24"/>
        </w:rPr>
        <w:t>relation to</w:t>
      </w:r>
      <w:r w:rsidR="00FD7B59" w:rsidRPr="00B86D0C">
        <w:rPr>
          <w:rFonts w:ascii="Times New Roman" w:hAnsi="Times New Roman" w:cs="Times New Roman"/>
          <w:sz w:val="24"/>
          <w:szCs w:val="24"/>
        </w:rPr>
        <w:t>:</w:t>
      </w:r>
      <w:r w:rsidR="004E0D2D" w:rsidRPr="00B86D0C">
        <w:rPr>
          <w:rFonts w:ascii="Times New Roman" w:hAnsi="Times New Roman" w:cs="Times New Roman"/>
          <w:sz w:val="24"/>
          <w:szCs w:val="24"/>
        </w:rPr>
        <w:t xml:space="preserve"> NDPII’s theory of change and the quality, effectiveness</w:t>
      </w:r>
      <w:r w:rsidR="00CF7791" w:rsidRPr="00B86D0C">
        <w:rPr>
          <w:rFonts w:ascii="Times New Roman" w:hAnsi="Times New Roman" w:cs="Times New Roman"/>
          <w:sz w:val="24"/>
          <w:szCs w:val="24"/>
        </w:rPr>
        <w:t xml:space="preserve">, </w:t>
      </w:r>
      <w:r w:rsidR="004E0D2D" w:rsidRPr="00B86D0C">
        <w:rPr>
          <w:rFonts w:ascii="Times New Roman" w:hAnsi="Times New Roman" w:cs="Times New Roman"/>
          <w:sz w:val="24"/>
          <w:szCs w:val="24"/>
        </w:rPr>
        <w:t>alignment</w:t>
      </w:r>
      <w:r w:rsidR="00CF7791" w:rsidRPr="00B86D0C">
        <w:rPr>
          <w:rFonts w:ascii="Times New Roman" w:hAnsi="Times New Roman" w:cs="Times New Roman"/>
          <w:sz w:val="24"/>
          <w:szCs w:val="24"/>
        </w:rPr>
        <w:t xml:space="preserve"> and suitability</w:t>
      </w:r>
      <w:r w:rsidR="004E0D2D" w:rsidRPr="00B86D0C">
        <w:rPr>
          <w:rFonts w:ascii="Times New Roman" w:hAnsi="Times New Roman" w:cs="Times New Roman"/>
          <w:sz w:val="24"/>
          <w:szCs w:val="24"/>
        </w:rPr>
        <w:t xml:space="preserve"> of </w:t>
      </w:r>
      <w:r w:rsidR="009A2561" w:rsidRPr="00B86D0C">
        <w:rPr>
          <w:rFonts w:ascii="Times New Roman" w:hAnsi="Times New Roman" w:cs="Times New Roman"/>
          <w:sz w:val="24"/>
          <w:szCs w:val="24"/>
        </w:rPr>
        <w:t>Government</w:t>
      </w:r>
      <w:r w:rsidR="004E0D2D" w:rsidRPr="00B86D0C">
        <w:rPr>
          <w:rFonts w:ascii="Times New Roman" w:hAnsi="Times New Roman" w:cs="Times New Roman"/>
          <w:sz w:val="24"/>
          <w:szCs w:val="24"/>
        </w:rPr>
        <w:t xml:space="preserve"> policies, plans and strategies</w:t>
      </w:r>
      <w:r w:rsidR="00CD5871" w:rsidRPr="00B86D0C">
        <w:rPr>
          <w:rFonts w:ascii="Times New Roman" w:hAnsi="Times New Roman" w:cs="Times New Roman"/>
          <w:sz w:val="24"/>
          <w:szCs w:val="24"/>
        </w:rPr>
        <w:t xml:space="preserve"> </w:t>
      </w:r>
      <w:r w:rsidR="00CF7791" w:rsidRPr="00B86D0C">
        <w:rPr>
          <w:rFonts w:ascii="Times New Roman" w:hAnsi="Times New Roman" w:cs="Times New Roman"/>
          <w:sz w:val="24"/>
          <w:szCs w:val="24"/>
        </w:rPr>
        <w:t xml:space="preserve">in relation </w:t>
      </w:r>
      <w:r w:rsidR="00CD5871" w:rsidRPr="00B86D0C">
        <w:rPr>
          <w:rFonts w:ascii="Times New Roman" w:hAnsi="Times New Roman" w:cs="Times New Roman"/>
          <w:sz w:val="24"/>
          <w:szCs w:val="24"/>
        </w:rPr>
        <w:t>to NDPII</w:t>
      </w:r>
      <w:r w:rsidR="004E0D2D" w:rsidRPr="00B86D0C">
        <w:rPr>
          <w:rFonts w:ascii="Times New Roman" w:hAnsi="Times New Roman" w:cs="Times New Roman"/>
          <w:sz w:val="24"/>
          <w:szCs w:val="24"/>
        </w:rPr>
        <w:t xml:space="preserve">. Conclusions on areas </w:t>
      </w:r>
      <w:r w:rsidR="003D05F8" w:rsidRPr="00B86D0C">
        <w:rPr>
          <w:rFonts w:ascii="Times New Roman" w:hAnsi="Times New Roman" w:cs="Times New Roman"/>
          <w:sz w:val="24"/>
          <w:szCs w:val="24"/>
        </w:rPr>
        <w:t>which could be strengthened</w:t>
      </w:r>
      <w:r w:rsidR="00CD5871" w:rsidRPr="00B86D0C">
        <w:rPr>
          <w:rFonts w:ascii="Times New Roman" w:hAnsi="Times New Roman" w:cs="Times New Roman"/>
          <w:sz w:val="24"/>
          <w:szCs w:val="24"/>
        </w:rPr>
        <w:t>, and considerations for NDPIII,</w:t>
      </w:r>
      <w:r w:rsidR="003D05F8" w:rsidRPr="00B86D0C">
        <w:rPr>
          <w:rFonts w:ascii="Times New Roman" w:hAnsi="Times New Roman" w:cs="Times New Roman"/>
          <w:sz w:val="24"/>
          <w:szCs w:val="24"/>
        </w:rPr>
        <w:t xml:space="preserve"> are draw out in the subsequent chapter</w:t>
      </w:r>
      <w:r w:rsidR="00CD5871" w:rsidRPr="00B86D0C">
        <w:rPr>
          <w:rFonts w:ascii="Times New Roman" w:hAnsi="Times New Roman" w:cs="Times New Roman"/>
          <w:sz w:val="24"/>
          <w:szCs w:val="24"/>
        </w:rPr>
        <w:t xml:space="preserve"> (conclusions and recommendations)</w:t>
      </w:r>
      <w:r w:rsidR="003D05F8" w:rsidRPr="00B86D0C">
        <w:rPr>
          <w:rFonts w:ascii="Times New Roman" w:hAnsi="Times New Roman" w:cs="Times New Roman"/>
          <w:sz w:val="24"/>
          <w:szCs w:val="24"/>
        </w:rPr>
        <w:t xml:space="preserve">.  </w:t>
      </w:r>
    </w:p>
    <w:p w14:paraId="6F180179" w14:textId="5ABC2B51" w:rsidR="00E907C5" w:rsidRPr="00B86D0C" w:rsidRDefault="00E907C5" w:rsidP="00B86D0C">
      <w:pPr>
        <w:pStyle w:val="Heading2"/>
        <w:numPr>
          <w:ilvl w:val="1"/>
          <w:numId w:val="45"/>
        </w:numPr>
        <w:spacing w:before="0" w:line="360" w:lineRule="auto"/>
        <w:ind w:left="426" w:hanging="426"/>
        <w:rPr>
          <w:rFonts w:cs="Times New Roman"/>
          <w:szCs w:val="24"/>
        </w:rPr>
      </w:pPr>
      <w:bookmarkStart w:id="24" w:name="_Toc3454216"/>
      <w:bookmarkStart w:id="25" w:name="_Toc9269380"/>
      <w:r w:rsidRPr="00B86D0C">
        <w:rPr>
          <w:rFonts w:cs="Times New Roman"/>
          <w:szCs w:val="24"/>
        </w:rPr>
        <w:t>NDPII’s theory of change</w:t>
      </w:r>
      <w:bookmarkEnd w:id="24"/>
      <w:bookmarkEnd w:id="25"/>
    </w:p>
    <w:p w14:paraId="652F14EA" w14:textId="6072F8D6" w:rsidR="00F92CC2" w:rsidRPr="00B86D0C" w:rsidRDefault="00C5541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A theory of change </w:t>
      </w:r>
      <w:r w:rsidR="00775480" w:rsidRPr="00B86D0C">
        <w:rPr>
          <w:rFonts w:ascii="Times New Roman" w:hAnsi="Times New Roman" w:cs="Times New Roman"/>
          <w:sz w:val="24"/>
          <w:szCs w:val="24"/>
        </w:rPr>
        <w:t xml:space="preserve">(ToC) </w:t>
      </w:r>
      <w:r w:rsidRPr="00B86D0C">
        <w:rPr>
          <w:rFonts w:ascii="Times New Roman" w:hAnsi="Times New Roman" w:cs="Times New Roman"/>
          <w:sz w:val="24"/>
          <w:szCs w:val="24"/>
        </w:rPr>
        <w:t xml:space="preserve">is a causal framework which explains how and why a change process can happen in a particular context. It should be </w:t>
      </w:r>
      <w:r w:rsidR="0000538F" w:rsidRPr="00B86D0C">
        <w:rPr>
          <w:rFonts w:ascii="Times New Roman" w:hAnsi="Times New Roman" w:cs="Times New Roman"/>
          <w:sz w:val="24"/>
          <w:szCs w:val="24"/>
        </w:rPr>
        <w:t xml:space="preserve">coherent, </w:t>
      </w:r>
      <w:r w:rsidR="00EE613C" w:rsidRPr="00B86D0C">
        <w:rPr>
          <w:rFonts w:ascii="Times New Roman" w:hAnsi="Times New Roman" w:cs="Times New Roman"/>
          <w:sz w:val="24"/>
          <w:szCs w:val="24"/>
        </w:rPr>
        <w:t xml:space="preserve">plausible, </w:t>
      </w:r>
      <w:r w:rsidRPr="00B86D0C">
        <w:rPr>
          <w:rFonts w:ascii="Times New Roman" w:hAnsi="Times New Roman" w:cs="Times New Roman"/>
          <w:sz w:val="24"/>
          <w:szCs w:val="24"/>
        </w:rPr>
        <w:t xml:space="preserve">feasible and testable. </w:t>
      </w:r>
      <w:r w:rsidR="00F92CC2" w:rsidRPr="00B86D0C">
        <w:rPr>
          <w:rFonts w:ascii="Times New Roman" w:hAnsi="Times New Roman" w:cs="Times New Roman"/>
          <w:sz w:val="24"/>
          <w:szCs w:val="24"/>
        </w:rPr>
        <w:t xml:space="preserve">This section assesses: whether there is a valid theory of change behind NDPII that informs its logic and underpins a coherent appropriate and credible strategy map (PS5), and if NDPII has been developed with a clear understanding of the necessary phasing and sequencing (PS7). </w:t>
      </w:r>
    </w:p>
    <w:p w14:paraId="0B0935EF" w14:textId="21CDFDD2" w:rsidR="005A2D27" w:rsidRPr="00B86D0C" w:rsidRDefault="00C5541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In the context of NDPII, the theory of change should indicate how changes in the economy, society and environment will contribute to Uganda’s objective of becoming a middle-income country by 20</w:t>
      </w:r>
      <w:r w:rsidR="0096340A">
        <w:rPr>
          <w:rFonts w:ascii="Times New Roman" w:hAnsi="Times New Roman" w:cs="Times New Roman"/>
          <w:sz w:val="24"/>
          <w:szCs w:val="24"/>
        </w:rPr>
        <w:t>2</w:t>
      </w:r>
      <w:r w:rsidRPr="00B86D0C">
        <w:rPr>
          <w:rFonts w:ascii="Times New Roman" w:hAnsi="Times New Roman" w:cs="Times New Roman"/>
          <w:sz w:val="24"/>
          <w:szCs w:val="24"/>
        </w:rPr>
        <w:t xml:space="preserve">0. </w:t>
      </w:r>
      <w:r w:rsidR="005A2D27" w:rsidRPr="00B86D0C">
        <w:rPr>
          <w:rFonts w:ascii="Times New Roman" w:hAnsi="Times New Roman" w:cs="Times New Roman"/>
          <w:sz w:val="24"/>
          <w:szCs w:val="24"/>
        </w:rPr>
        <w:t xml:space="preserve">It should </w:t>
      </w:r>
      <w:r w:rsidR="00D55A9D" w:rsidRPr="00B86D0C">
        <w:rPr>
          <w:rFonts w:ascii="Times New Roman" w:hAnsi="Times New Roman" w:cs="Times New Roman"/>
          <w:sz w:val="24"/>
          <w:szCs w:val="24"/>
        </w:rPr>
        <w:t xml:space="preserve">also </w:t>
      </w:r>
      <w:r w:rsidR="005A2D27" w:rsidRPr="00B86D0C">
        <w:rPr>
          <w:rFonts w:ascii="Times New Roman" w:hAnsi="Times New Roman" w:cs="Times New Roman"/>
          <w:sz w:val="24"/>
          <w:szCs w:val="24"/>
        </w:rPr>
        <w:t xml:space="preserve">underpin and guide </w:t>
      </w:r>
      <w:r w:rsidR="0000538F" w:rsidRPr="00B86D0C">
        <w:rPr>
          <w:rFonts w:ascii="Times New Roman" w:hAnsi="Times New Roman" w:cs="Times New Roman"/>
          <w:sz w:val="24"/>
          <w:szCs w:val="24"/>
        </w:rPr>
        <w:t xml:space="preserve">supporting strategy and policy development across </w:t>
      </w:r>
      <w:r w:rsidR="009A2561" w:rsidRPr="00B86D0C">
        <w:rPr>
          <w:rFonts w:ascii="Times New Roman" w:hAnsi="Times New Roman" w:cs="Times New Roman"/>
          <w:sz w:val="24"/>
          <w:szCs w:val="24"/>
        </w:rPr>
        <w:t>Government</w:t>
      </w:r>
      <w:r w:rsidR="00D55A9D" w:rsidRPr="00B86D0C">
        <w:rPr>
          <w:rFonts w:ascii="Times New Roman" w:hAnsi="Times New Roman" w:cs="Times New Roman"/>
          <w:sz w:val="24"/>
          <w:szCs w:val="24"/>
        </w:rPr>
        <w:t xml:space="preserve">. </w:t>
      </w:r>
      <w:r w:rsidR="005A2D27" w:rsidRPr="00B86D0C">
        <w:rPr>
          <w:rFonts w:ascii="Times New Roman" w:hAnsi="Times New Roman" w:cs="Times New Roman"/>
          <w:sz w:val="24"/>
          <w:szCs w:val="24"/>
        </w:rPr>
        <w:t xml:space="preserve">There are several ways to develop theories of change, however five steps are typically followed. These are: </w:t>
      </w:r>
    </w:p>
    <w:p w14:paraId="79BAFECF" w14:textId="0298A831" w:rsidR="00BE5F5A" w:rsidRPr="00B86D0C" w:rsidRDefault="00BE5F5A" w:rsidP="00B86D0C">
      <w:pPr>
        <w:pStyle w:val="ListParagraph"/>
        <w:numPr>
          <w:ilvl w:val="0"/>
          <w:numId w:val="5"/>
        </w:numPr>
        <w:spacing w:line="360" w:lineRule="auto"/>
        <w:ind w:left="851" w:hanging="491"/>
        <w:contextualSpacing w:val="0"/>
        <w:jc w:val="both"/>
        <w:rPr>
          <w:rFonts w:ascii="Times New Roman" w:hAnsi="Times New Roman" w:cs="Times New Roman"/>
          <w:sz w:val="24"/>
          <w:szCs w:val="24"/>
        </w:rPr>
      </w:pPr>
      <w:r w:rsidRPr="00B86D0C">
        <w:rPr>
          <w:rFonts w:ascii="Times New Roman" w:hAnsi="Times New Roman" w:cs="Times New Roman"/>
          <w:sz w:val="24"/>
          <w:szCs w:val="24"/>
        </w:rPr>
        <w:t>Define the long-term state you want (goal);</w:t>
      </w:r>
    </w:p>
    <w:p w14:paraId="15CE5512" w14:textId="77777777" w:rsidR="00BE5F5A" w:rsidRPr="00B86D0C" w:rsidRDefault="00BE5F5A" w:rsidP="00B86D0C">
      <w:pPr>
        <w:pStyle w:val="ListParagraph"/>
        <w:numPr>
          <w:ilvl w:val="0"/>
          <w:numId w:val="5"/>
        </w:numPr>
        <w:spacing w:line="360" w:lineRule="auto"/>
        <w:ind w:left="851" w:hanging="491"/>
        <w:contextualSpacing w:val="0"/>
        <w:jc w:val="both"/>
        <w:rPr>
          <w:rFonts w:ascii="Times New Roman" w:hAnsi="Times New Roman" w:cs="Times New Roman"/>
          <w:sz w:val="24"/>
          <w:szCs w:val="24"/>
        </w:rPr>
      </w:pPr>
      <w:r w:rsidRPr="00B86D0C">
        <w:rPr>
          <w:rFonts w:ascii="Times New Roman" w:hAnsi="Times New Roman" w:cs="Times New Roman"/>
          <w:sz w:val="24"/>
          <w:szCs w:val="24"/>
        </w:rPr>
        <w:t>Define what has to change for the long-term goal to happen (outcomes);</w:t>
      </w:r>
    </w:p>
    <w:p w14:paraId="27A24F69" w14:textId="77777777" w:rsidR="00BE5F5A" w:rsidRPr="00B86D0C" w:rsidRDefault="00BE5F5A" w:rsidP="00B86D0C">
      <w:pPr>
        <w:pStyle w:val="ListParagraph"/>
        <w:numPr>
          <w:ilvl w:val="0"/>
          <w:numId w:val="5"/>
        </w:numPr>
        <w:spacing w:line="360" w:lineRule="auto"/>
        <w:ind w:left="851" w:hanging="491"/>
        <w:contextualSpacing w:val="0"/>
        <w:jc w:val="both"/>
        <w:rPr>
          <w:rFonts w:ascii="Times New Roman" w:hAnsi="Times New Roman" w:cs="Times New Roman"/>
          <w:sz w:val="24"/>
          <w:szCs w:val="24"/>
        </w:rPr>
      </w:pPr>
      <w:r w:rsidRPr="00B86D0C">
        <w:rPr>
          <w:rFonts w:ascii="Times New Roman" w:hAnsi="Times New Roman" w:cs="Times New Roman"/>
          <w:sz w:val="24"/>
          <w:szCs w:val="24"/>
        </w:rPr>
        <w:t>Determine interventions which will lead to the relevant outcome (inputs and outputs);</w:t>
      </w:r>
    </w:p>
    <w:p w14:paraId="18CD27A5" w14:textId="77777777" w:rsidR="00BE5F5A" w:rsidRPr="00B86D0C" w:rsidRDefault="00BE5F5A" w:rsidP="00B86D0C">
      <w:pPr>
        <w:pStyle w:val="ListParagraph"/>
        <w:numPr>
          <w:ilvl w:val="0"/>
          <w:numId w:val="5"/>
        </w:numPr>
        <w:spacing w:line="360" w:lineRule="auto"/>
        <w:ind w:left="851" w:hanging="491"/>
        <w:contextualSpacing w:val="0"/>
        <w:jc w:val="both"/>
        <w:rPr>
          <w:rFonts w:ascii="Times New Roman" w:hAnsi="Times New Roman" w:cs="Times New Roman"/>
          <w:sz w:val="24"/>
          <w:szCs w:val="24"/>
        </w:rPr>
      </w:pPr>
      <w:r w:rsidRPr="00B86D0C">
        <w:rPr>
          <w:rFonts w:ascii="Times New Roman" w:hAnsi="Times New Roman" w:cs="Times New Roman"/>
          <w:sz w:val="24"/>
          <w:szCs w:val="24"/>
        </w:rPr>
        <w:t>Articulate what assumptions are in place for the theory to hold true; and</w:t>
      </w:r>
    </w:p>
    <w:p w14:paraId="117696C6" w14:textId="2B0BA3DD" w:rsidR="00BE5F5A" w:rsidRPr="00B86D0C" w:rsidRDefault="00BE5F5A" w:rsidP="00B86D0C">
      <w:pPr>
        <w:pStyle w:val="ListParagraph"/>
        <w:numPr>
          <w:ilvl w:val="0"/>
          <w:numId w:val="5"/>
        </w:numPr>
        <w:spacing w:line="360" w:lineRule="auto"/>
        <w:ind w:left="851" w:hanging="491"/>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Develop indicators which will assist in monitoring the theory’s validity and success. </w:t>
      </w:r>
    </w:p>
    <w:p w14:paraId="09169AEE" w14:textId="26B544E3" w:rsidR="00E86BDD" w:rsidRPr="00B86D0C" w:rsidRDefault="004B0B6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sz w:val="24"/>
          <w:szCs w:val="24"/>
        </w:rPr>
        <w:t>Using this framework</w:t>
      </w:r>
      <w:r w:rsidR="00E86BDD" w:rsidRPr="00B86D0C">
        <w:rPr>
          <w:rFonts w:ascii="Times New Roman" w:hAnsi="Times New Roman" w:cs="Times New Roman"/>
          <w:sz w:val="24"/>
          <w:szCs w:val="24"/>
        </w:rPr>
        <w:t>,</w:t>
      </w:r>
      <w:r w:rsidR="00356565" w:rsidRPr="00B86D0C">
        <w:rPr>
          <w:rFonts w:ascii="Times New Roman" w:hAnsi="Times New Roman" w:cs="Times New Roman"/>
          <w:sz w:val="24"/>
          <w:szCs w:val="24"/>
        </w:rPr>
        <w:t xml:space="preserve"> of how theories of change </w:t>
      </w:r>
      <w:r w:rsidR="0081704D" w:rsidRPr="00B86D0C">
        <w:rPr>
          <w:rFonts w:ascii="Times New Roman" w:hAnsi="Times New Roman" w:cs="Times New Roman"/>
          <w:sz w:val="24"/>
          <w:szCs w:val="24"/>
        </w:rPr>
        <w:t>should look</w:t>
      </w:r>
      <w:r w:rsidR="00D55A9D" w:rsidRPr="00B86D0C">
        <w:rPr>
          <w:rFonts w:ascii="Times New Roman" w:hAnsi="Times New Roman" w:cs="Times New Roman"/>
          <w:sz w:val="24"/>
          <w:szCs w:val="24"/>
        </w:rPr>
        <w:t xml:space="preserve">, it is possible to </w:t>
      </w:r>
      <w:r w:rsidRPr="00B86D0C">
        <w:rPr>
          <w:rFonts w:ascii="Times New Roman" w:hAnsi="Times New Roman" w:cs="Times New Roman"/>
          <w:sz w:val="24"/>
          <w:szCs w:val="24"/>
        </w:rPr>
        <w:t xml:space="preserve">analyse if NDPII has a </w:t>
      </w:r>
      <w:r w:rsidR="0072737B" w:rsidRPr="00B86D0C">
        <w:rPr>
          <w:rFonts w:ascii="Times New Roman" w:hAnsi="Times New Roman" w:cs="Times New Roman"/>
          <w:sz w:val="24"/>
          <w:szCs w:val="24"/>
        </w:rPr>
        <w:t xml:space="preserve">coherent, </w:t>
      </w:r>
      <w:r w:rsidR="00EE613C" w:rsidRPr="00B86D0C">
        <w:rPr>
          <w:rFonts w:ascii="Times New Roman" w:hAnsi="Times New Roman" w:cs="Times New Roman"/>
          <w:sz w:val="24"/>
          <w:szCs w:val="24"/>
        </w:rPr>
        <w:t xml:space="preserve">plausible, </w:t>
      </w:r>
      <w:r w:rsidRPr="00B86D0C">
        <w:rPr>
          <w:rFonts w:ascii="Times New Roman" w:hAnsi="Times New Roman" w:cs="Times New Roman"/>
          <w:sz w:val="24"/>
          <w:szCs w:val="24"/>
        </w:rPr>
        <w:t xml:space="preserve">feasible and testable theory of change. </w:t>
      </w:r>
      <w:r w:rsidR="00AA552D" w:rsidRPr="00B86D0C">
        <w:rPr>
          <w:rFonts w:ascii="Times New Roman" w:hAnsi="Times New Roman" w:cs="Times New Roman"/>
          <w:sz w:val="24"/>
          <w:szCs w:val="24"/>
        </w:rPr>
        <w:t>NDPII’s theory of change</w:t>
      </w:r>
      <w:r w:rsidR="000D6528" w:rsidRPr="00B86D0C">
        <w:rPr>
          <w:rFonts w:ascii="Times New Roman" w:hAnsi="Times New Roman" w:cs="Times New Roman"/>
          <w:sz w:val="24"/>
          <w:szCs w:val="24"/>
        </w:rPr>
        <w:t>, and an assessment of each step of the causal framework,</w:t>
      </w:r>
      <w:r w:rsidR="00AA552D" w:rsidRPr="00B86D0C">
        <w:rPr>
          <w:rFonts w:ascii="Times New Roman" w:hAnsi="Times New Roman" w:cs="Times New Roman"/>
          <w:sz w:val="24"/>
          <w:szCs w:val="24"/>
        </w:rPr>
        <w:t xml:space="preserve"> is presented in </w:t>
      </w:r>
      <w:r w:rsidR="000D6528" w:rsidRPr="00B86D0C">
        <w:rPr>
          <w:rFonts w:ascii="Times New Roman" w:hAnsi="Times New Roman" w:cs="Times New Roman"/>
          <w:sz w:val="24"/>
          <w:szCs w:val="24"/>
        </w:rPr>
        <w:t xml:space="preserve">Table </w:t>
      </w:r>
      <w:r w:rsidR="00A6273C" w:rsidRPr="00B86D0C">
        <w:rPr>
          <w:rFonts w:ascii="Times New Roman" w:hAnsi="Times New Roman" w:cs="Times New Roman"/>
          <w:sz w:val="24"/>
          <w:szCs w:val="24"/>
        </w:rPr>
        <w:t>2</w:t>
      </w:r>
      <w:r w:rsidR="003C5943" w:rsidRPr="00B86D0C">
        <w:rPr>
          <w:rFonts w:ascii="Times New Roman" w:hAnsi="Times New Roman" w:cs="Times New Roman"/>
          <w:sz w:val="24"/>
          <w:szCs w:val="24"/>
        </w:rPr>
        <w:t xml:space="preserve"> overleaf. </w:t>
      </w:r>
    </w:p>
    <w:p w14:paraId="3D108C59" w14:textId="69ABA672" w:rsidR="008A5BCC" w:rsidRPr="00B86D0C" w:rsidRDefault="008E760D"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t xml:space="preserve">Overall, </w:t>
      </w:r>
      <w:r w:rsidR="002D1B91" w:rsidRPr="00B86D0C">
        <w:rPr>
          <w:rFonts w:ascii="Times New Roman" w:hAnsi="Times New Roman" w:cs="Times New Roman"/>
          <w:b/>
          <w:sz w:val="24"/>
          <w:szCs w:val="24"/>
        </w:rPr>
        <w:t>the theory of change presented in NDPII is coherent</w:t>
      </w:r>
      <w:r w:rsidR="00A94CCE" w:rsidRPr="00B86D0C">
        <w:rPr>
          <w:rFonts w:ascii="Times New Roman" w:hAnsi="Times New Roman" w:cs="Times New Roman"/>
          <w:sz w:val="24"/>
          <w:szCs w:val="24"/>
        </w:rPr>
        <w:t>.</w:t>
      </w:r>
      <w:r w:rsidR="002D1B91" w:rsidRPr="00B86D0C">
        <w:rPr>
          <w:rFonts w:ascii="Times New Roman" w:hAnsi="Times New Roman" w:cs="Times New Roman"/>
          <w:sz w:val="24"/>
          <w:szCs w:val="24"/>
        </w:rPr>
        <w:t xml:space="preserve"> There </w:t>
      </w:r>
      <w:r w:rsidR="006710BE" w:rsidRPr="00B86D0C">
        <w:rPr>
          <w:rFonts w:ascii="Times New Roman" w:hAnsi="Times New Roman" w:cs="Times New Roman"/>
          <w:sz w:val="24"/>
          <w:szCs w:val="24"/>
        </w:rPr>
        <w:t xml:space="preserve">is a clear logical </w:t>
      </w:r>
      <w:r w:rsidR="008711BF" w:rsidRPr="00B86D0C">
        <w:rPr>
          <w:rFonts w:ascii="Times New Roman" w:hAnsi="Times New Roman" w:cs="Times New Roman"/>
          <w:sz w:val="24"/>
          <w:szCs w:val="24"/>
        </w:rPr>
        <w:t xml:space="preserve">argument </w:t>
      </w:r>
      <w:r w:rsidR="008A5BCC" w:rsidRPr="00B86D0C">
        <w:rPr>
          <w:rFonts w:ascii="Times New Roman" w:hAnsi="Times New Roman" w:cs="Times New Roman"/>
          <w:sz w:val="24"/>
          <w:szCs w:val="24"/>
        </w:rPr>
        <w:t xml:space="preserve">of how interventions by </w:t>
      </w:r>
      <w:r w:rsidR="009A2561" w:rsidRPr="00B86D0C">
        <w:rPr>
          <w:rFonts w:ascii="Times New Roman" w:hAnsi="Times New Roman" w:cs="Times New Roman"/>
          <w:sz w:val="24"/>
          <w:szCs w:val="24"/>
        </w:rPr>
        <w:t>Government</w:t>
      </w:r>
      <w:r w:rsidR="008A5BCC" w:rsidRPr="00B86D0C">
        <w:rPr>
          <w:rFonts w:ascii="Times New Roman" w:hAnsi="Times New Roman" w:cs="Times New Roman"/>
          <w:sz w:val="24"/>
          <w:szCs w:val="24"/>
        </w:rPr>
        <w:t xml:space="preserve"> in a range of mutually-reinforcing areas </w:t>
      </w:r>
      <w:r w:rsidR="008A5BCC" w:rsidRPr="00B86D0C">
        <w:rPr>
          <w:rFonts w:ascii="Times New Roman" w:hAnsi="Times New Roman" w:cs="Times New Roman"/>
          <w:sz w:val="24"/>
          <w:szCs w:val="24"/>
        </w:rPr>
        <w:lastRenderedPageBreak/>
        <w:t xml:space="preserve">will lead to a set of desired outcomes. Should the desired outcomes </w:t>
      </w:r>
      <w:r w:rsidR="00C90C02" w:rsidRPr="00B86D0C">
        <w:rPr>
          <w:rFonts w:ascii="Times New Roman" w:hAnsi="Times New Roman" w:cs="Times New Roman"/>
          <w:sz w:val="24"/>
          <w:szCs w:val="24"/>
        </w:rPr>
        <w:t xml:space="preserve">be realised </w:t>
      </w:r>
      <w:r w:rsidR="008A5BCC" w:rsidRPr="00B86D0C">
        <w:rPr>
          <w:rFonts w:ascii="Times New Roman" w:hAnsi="Times New Roman" w:cs="Times New Roman"/>
          <w:sz w:val="24"/>
          <w:szCs w:val="24"/>
        </w:rPr>
        <w:t xml:space="preserve">e.g. </w:t>
      </w:r>
      <w:r w:rsidR="00C90C02" w:rsidRPr="00B86D0C">
        <w:rPr>
          <w:rFonts w:ascii="Times New Roman" w:hAnsi="Times New Roman" w:cs="Times New Roman"/>
          <w:sz w:val="24"/>
          <w:szCs w:val="24"/>
        </w:rPr>
        <w:t>improved quality and stock of infrastructure then Uganda should</w:t>
      </w:r>
      <w:r w:rsidR="0096166A" w:rsidRPr="00B86D0C">
        <w:rPr>
          <w:rFonts w:ascii="Times New Roman" w:hAnsi="Times New Roman" w:cs="Times New Roman"/>
          <w:sz w:val="24"/>
          <w:szCs w:val="24"/>
        </w:rPr>
        <w:t>, in theory,</w:t>
      </w:r>
      <w:r w:rsidR="00C90C02" w:rsidRPr="00B86D0C">
        <w:rPr>
          <w:rFonts w:ascii="Times New Roman" w:hAnsi="Times New Roman" w:cs="Times New Roman"/>
          <w:sz w:val="24"/>
          <w:szCs w:val="24"/>
        </w:rPr>
        <w:t xml:space="preserve"> </w:t>
      </w:r>
      <w:r w:rsidR="00E66531" w:rsidRPr="00B86D0C">
        <w:rPr>
          <w:rFonts w:ascii="Times New Roman" w:hAnsi="Times New Roman" w:cs="Times New Roman"/>
          <w:sz w:val="24"/>
          <w:szCs w:val="24"/>
        </w:rPr>
        <w:t xml:space="preserve">reach </w:t>
      </w:r>
      <w:r w:rsidR="0096166A" w:rsidRPr="00B86D0C">
        <w:rPr>
          <w:rFonts w:ascii="Times New Roman" w:hAnsi="Times New Roman" w:cs="Times New Roman"/>
          <w:sz w:val="24"/>
          <w:szCs w:val="24"/>
        </w:rPr>
        <w:t xml:space="preserve">lower middle-income status. </w:t>
      </w:r>
      <w:r w:rsidR="00253F04" w:rsidRPr="00B86D0C">
        <w:rPr>
          <w:rFonts w:ascii="Times New Roman" w:hAnsi="Times New Roman" w:cs="Times New Roman"/>
          <w:sz w:val="24"/>
          <w:szCs w:val="24"/>
        </w:rPr>
        <w:t xml:space="preserve">To further enhance the </w:t>
      </w:r>
      <w:r w:rsidR="001E61DB" w:rsidRPr="00B86D0C">
        <w:rPr>
          <w:rFonts w:ascii="Times New Roman" w:hAnsi="Times New Roman" w:cs="Times New Roman"/>
          <w:sz w:val="24"/>
          <w:szCs w:val="24"/>
        </w:rPr>
        <w:t xml:space="preserve">coherence of the theory of change, </w:t>
      </w:r>
      <w:r w:rsidR="009A2561" w:rsidRPr="00B86D0C">
        <w:rPr>
          <w:rFonts w:ascii="Times New Roman" w:hAnsi="Times New Roman" w:cs="Times New Roman"/>
          <w:sz w:val="24"/>
          <w:szCs w:val="24"/>
        </w:rPr>
        <w:t>Government</w:t>
      </w:r>
      <w:r w:rsidR="001E61DB" w:rsidRPr="00B86D0C">
        <w:rPr>
          <w:rFonts w:ascii="Times New Roman" w:hAnsi="Times New Roman" w:cs="Times New Roman"/>
          <w:sz w:val="24"/>
          <w:szCs w:val="24"/>
        </w:rPr>
        <w:t xml:space="preserve"> could </w:t>
      </w:r>
      <w:r w:rsidR="006C3DC6" w:rsidRPr="00B86D0C">
        <w:rPr>
          <w:rFonts w:ascii="Times New Roman" w:hAnsi="Times New Roman" w:cs="Times New Roman"/>
          <w:sz w:val="24"/>
          <w:szCs w:val="24"/>
        </w:rPr>
        <w:t xml:space="preserve">consider clearly articulating the </w:t>
      </w:r>
      <w:r w:rsidR="006C3DC6" w:rsidRPr="00B86D0C">
        <w:rPr>
          <w:rFonts w:ascii="Times New Roman" w:hAnsi="Times New Roman" w:cs="Times New Roman"/>
          <w:i/>
          <w:sz w:val="24"/>
          <w:szCs w:val="24"/>
        </w:rPr>
        <w:t>evidence</w:t>
      </w:r>
      <w:r w:rsidR="006C3DC6" w:rsidRPr="00B86D0C">
        <w:rPr>
          <w:rFonts w:ascii="Times New Roman" w:hAnsi="Times New Roman" w:cs="Times New Roman"/>
          <w:sz w:val="24"/>
          <w:szCs w:val="24"/>
        </w:rPr>
        <w:t xml:space="preserve"> behind the logic</w:t>
      </w:r>
      <w:r w:rsidR="003D2B2D" w:rsidRPr="00B86D0C">
        <w:rPr>
          <w:rFonts w:ascii="Times New Roman" w:hAnsi="Times New Roman" w:cs="Times New Roman"/>
          <w:sz w:val="24"/>
          <w:szCs w:val="24"/>
        </w:rPr>
        <w:t xml:space="preserve"> (i.e. why should it hold true?) </w:t>
      </w:r>
      <w:r w:rsidR="00E6426F" w:rsidRPr="00B86D0C">
        <w:rPr>
          <w:rFonts w:ascii="Times New Roman" w:hAnsi="Times New Roman" w:cs="Times New Roman"/>
          <w:sz w:val="24"/>
          <w:szCs w:val="24"/>
        </w:rPr>
        <w:t xml:space="preserve">and clearly documenting </w:t>
      </w:r>
      <w:r w:rsidR="00986D09" w:rsidRPr="00B86D0C">
        <w:rPr>
          <w:rFonts w:ascii="Times New Roman" w:hAnsi="Times New Roman" w:cs="Times New Roman"/>
          <w:sz w:val="24"/>
          <w:szCs w:val="24"/>
        </w:rPr>
        <w:t xml:space="preserve">(in graphic form or a short paragraph) </w:t>
      </w:r>
      <w:r w:rsidR="00E6426F" w:rsidRPr="00B86D0C">
        <w:rPr>
          <w:rFonts w:ascii="Times New Roman" w:hAnsi="Times New Roman" w:cs="Times New Roman"/>
          <w:sz w:val="24"/>
          <w:szCs w:val="24"/>
        </w:rPr>
        <w:t xml:space="preserve">the causal framework to </w:t>
      </w:r>
      <w:r w:rsidR="00986D09" w:rsidRPr="00B86D0C">
        <w:rPr>
          <w:rFonts w:ascii="Times New Roman" w:hAnsi="Times New Roman" w:cs="Times New Roman"/>
          <w:sz w:val="24"/>
          <w:szCs w:val="24"/>
        </w:rPr>
        <w:t xml:space="preserve">aid buy-in across stakeholders. </w:t>
      </w:r>
    </w:p>
    <w:p w14:paraId="7EC4E268" w14:textId="077BF663" w:rsidR="00B97C9A" w:rsidRPr="00B86D0C" w:rsidRDefault="006415B7"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t>The theory of change outlined in the</w:t>
      </w:r>
      <w:r w:rsidR="00B97C9A" w:rsidRPr="00B86D0C">
        <w:rPr>
          <w:rFonts w:ascii="Times New Roman" w:hAnsi="Times New Roman" w:cs="Times New Roman"/>
          <w:b/>
          <w:sz w:val="24"/>
          <w:szCs w:val="24"/>
        </w:rPr>
        <w:t xml:space="preserve"> NDPII </w:t>
      </w:r>
      <w:r w:rsidRPr="00B86D0C">
        <w:rPr>
          <w:rFonts w:ascii="Times New Roman" w:hAnsi="Times New Roman" w:cs="Times New Roman"/>
          <w:b/>
          <w:sz w:val="24"/>
          <w:szCs w:val="24"/>
        </w:rPr>
        <w:t xml:space="preserve">is ambitious. </w:t>
      </w:r>
      <w:r w:rsidR="006005C9" w:rsidRPr="00B86D0C">
        <w:rPr>
          <w:rFonts w:ascii="Times New Roman" w:hAnsi="Times New Roman" w:cs="Times New Roman"/>
          <w:sz w:val="24"/>
          <w:szCs w:val="24"/>
        </w:rPr>
        <w:t>Whilst Uganda’s development status and trends over the period 2008/9 to 2013/14 reflect an improvement in several areas, t</w:t>
      </w:r>
      <w:r w:rsidR="008A43DB" w:rsidRPr="00B86D0C">
        <w:rPr>
          <w:rFonts w:ascii="Times New Roman" w:hAnsi="Times New Roman" w:cs="Times New Roman"/>
          <w:sz w:val="24"/>
          <w:szCs w:val="24"/>
        </w:rPr>
        <w:t xml:space="preserve">he </w:t>
      </w:r>
      <w:r w:rsidR="009A2561" w:rsidRPr="00B86D0C">
        <w:rPr>
          <w:rFonts w:ascii="Times New Roman" w:hAnsi="Times New Roman" w:cs="Times New Roman"/>
          <w:sz w:val="24"/>
          <w:szCs w:val="24"/>
        </w:rPr>
        <w:t>Government</w:t>
      </w:r>
      <w:r w:rsidR="008A43DB" w:rsidRPr="00B86D0C">
        <w:rPr>
          <w:rFonts w:ascii="Times New Roman" w:hAnsi="Times New Roman" w:cs="Times New Roman"/>
          <w:sz w:val="24"/>
          <w:szCs w:val="24"/>
        </w:rPr>
        <w:t xml:space="preserve"> has given itself a stretching target </w:t>
      </w:r>
      <w:r w:rsidR="008876C0" w:rsidRPr="00B86D0C">
        <w:rPr>
          <w:rFonts w:ascii="Times New Roman" w:hAnsi="Times New Roman" w:cs="Times New Roman"/>
          <w:sz w:val="24"/>
          <w:szCs w:val="24"/>
        </w:rPr>
        <w:t>of</w:t>
      </w:r>
      <w:r w:rsidR="008A43DB" w:rsidRPr="00B86D0C">
        <w:rPr>
          <w:rFonts w:ascii="Times New Roman" w:hAnsi="Times New Roman" w:cs="Times New Roman"/>
          <w:sz w:val="24"/>
          <w:szCs w:val="24"/>
        </w:rPr>
        <w:t xml:space="preserve"> reach</w:t>
      </w:r>
      <w:r w:rsidR="008876C0" w:rsidRPr="00B86D0C">
        <w:rPr>
          <w:rFonts w:ascii="Times New Roman" w:hAnsi="Times New Roman" w:cs="Times New Roman"/>
          <w:sz w:val="24"/>
          <w:szCs w:val="24"/>
        </w:rPr>
        <w:t>ing</w:t>
      </w:r>
      <w:r w:rsidR="008A43DB" w:rsidRPr="00B86D0C">
        <w:rPr>
          <w:rFonts w:ascii="Times New Roman" w:hAnsi="Times New Roman" w:cs="Times New Roman"/>
          <w:sz w:val="24"/>
          <w:szCs w:val="24"/>
        </w:rPr>
        <w:t xml:space="preserve"> lower middle-income status by 2020</w:t>
      </w:r>
      <w:r w:rsidR="00DF76A6" w:rsidRPr="00B86D0C">
        <w:rPr>
          <w:rFonts w:ascii="Times New Roman" w:hAnsi="Times New Roman" w:cs="Times New Roman"/>
          <w:sz w:val="24"/>
          <w:szCs w:val="24"/>
        </w:rPr>
        <w:t>,</w:t>
      </w:r>
      <w:r w:rsidR="008876C0" w:rsidRPr="00B86D0C">
        <w:rPr>
          <w:rFonts w:ascii="Times New Roman" w:hAnsi="Times New Roman" w:cs="Times New Roman"/>
          <w:sz w:val="24"/>
          <w:szCs w:val="24"/>
        </w:rPr>
        <w:t xml:space="preserve"> </w:t>
      </w:r>
      <w:r w:rsidR="008A43DB" w:rsidRPr="00B86D0C">
        <w:rPr>
          <w:rFonts w:ascii="Times New Roman" w:hAnsi="Times New Roman" w:cs="Times New Roman"/>
          <w:sz w:val="24"/>
          <w:szCs w:val="24"/>
        </w:rPr>
        <w:t xml:space="preserve">and to </w:t>
      </w:r>
      <w:r w:rsidR="008876C0" w:rsidRPr="00B86D0C">
        <w:rPr>
          <w:rFonts w:ascii="Times New Roman" w:hAnsi="Times New Roman" w:cs="Times New Roman"/>
          <w:sz w:val="24"/>
          <w:szCs w:val="24"/>
        </w:rPr>
        <w:t xml:space="preserve">implement </w:t>
      </w:r>
      <w:r w:rsidR="00E172FD" w:rsidRPr="00B86D0C">
        <w:rPr>
          <w:rFonts w:ascii="Times New Roman" w:hAnsi="Times New Roman" w:cs="Times New Roman"/>
          <w:sz w:val="24"/>
          <w:szCs w:val="24"/>
        </w:rPr>
        <w:t xml:space="preserve">nine complex strategies and five </w:t>
      </w:r>
      <w:r w:rsidR="00660684" w:rsidRPr="00B86D0C">
        <w:rPr>
          <w:rFonts w:ascii="Times New Roman" w:hAnsi="Times New Roman" w:cs="Times New Roman"/>
          <w:sz w:val="24"/>
          <w:szCs w:val="24"/>
        </w:rPr>
        <w:t>multifaceted approaches in</w:t>
      </w:r>
      <w:r w:rsidR="002D43FE" w:rsidRPr="00B86D0C">
        <w:rPr>
          <w:rFonts w:ascii="Times New Roman" w:hAnsi="Times New Roman" w:cs="Times New Roman"/>
          <w:sz w:val="24"/>
          <w:szCs w:val="24"/>
        </w:rPr>
        <w:t xml:space="preserve"> half a decade. This is no small task</w:t>
      </w:r>
      <w:r w:rsidR="00CF5727" w:rsidRPr="00B86D0C">
        <w:rPr>
          <w:rFonts w:ascii="Times New Roman" w:hAnsi="Times New Roman" w:cs="Times New Roman"/>
          <w:sz w:val="24"/>
          <w:szCs w:val="24"/>
        </w:rPr>
        <w:t xml:space="preserve">. At the mid-year </w:t>
      </w:r>
      <w:r w:rsidR="007D65C7" w:rsidRPr="00B86D0C">
        <w:rPr>
          <w:rFonts w:ascii="Times New Roman" w:hAnsi="Times New Roman" w:cs="Times New Roman"/>
          <w:sz w:val="24"/>
          <w:szCs w:val="24"/>
        </w:rPr>
        <w:t xml:space="preserve">point, the </w:t>
      </w:r>
      <w:r w:rsidR="009A2561" w:rsidRPr="00B86D0C">
        <w:rPr>
          <w:rFonts w:ascii="Times New Roman" w:hAnsi="Times New Roman" w:cs="Times New Roman"/>
          <w:sz w:val="24"/>
          <w:szCs w:val="24"/>
        </w:rPr>
        <w:t>Government</w:t>
      </w:r>
      <w:r w:rsidR="007D65C7" w:rsidRPr="00B86D0C">
        <w:rPr>
          <w:rFonts w:ascii="Times New Roman" w:hAnsi="Times New Roman" w:cs="Times New Roman"/>
          <w:sz w:val="24"/>
          <w:szCs w:val="24"/>
        </w:rPr>
        <w:t xml:space="preserve"> may not achieve all of the targets set out in NDPII. </w:t>
      </w:r>
    </w:p>
    <w:p w14:paraId="217D488B" w14:textId="77777777" w:rsidR="00884186" w:rsidRPr="00B86D0C" w:rsidRDefault="007D65C7" w:rsidP="00B86D0C">
      <w:pPr>
        <w:pStyle w:val="ListParagraph"/>
        <w:numPr>
          <w:ilvl w:val="0"/>
          <w:numId w:val="46"/>
        </w:numPr>
        <w:spacing w:line="360" w:lineRule="auto"/>
        <w:ind w:left="426" w:hanging="426"/>
        <w:contextualSpacing w:val="0"/>
        <w:jc w:val="both"/>
        <w:rPr>
          <w:rFonts w:ascii="Times New Roman" w:hAnsi="Times New Roman" w:cs="Times New Roman"/>
          <w:b/>
          <w:i/>
          <w:iCs/>
          <w:sz w:val="24"/>
          <w:szCs w:val="24"/>
        </w:rPr>
      </w:pPr>
      <w:r w:rsidRPr="00B86D0C">
        <w:rPr>
          <w:rFonts w:ascii="Times New Roman" w:hAnsi="Times New Roman" w:cs="Times New Roman"/>
          <w:b/>
          <w:sz w:val="24"/>
          <w:szCs w:val="24"/>
        </w:rPr>
        <w:t xml:space="preserve">The </w:t>
      </w:r>
      <w:r w:rsidR="008B52CC" w:rsidRPr="00B86D0C">
        <w:rPr>
          <w:rFonts w:ascii="Times New Roman" w:hAnsi="Times New Roman" w:cs="Times New Roman"/>
          <w:b/>
          <w:sz w:val="24"/>
          <w:szCs w:val="24"/>
        </w:rPr>
        <w:t>logic behind Uganda achieving middle-income status, outlined in NDPII, is testable.</w:t>
      </w:r>
      <w:r w:rsidR="008B52CC" w:rsidRPr="00B86D0C">
        <w:rPr>
          <w:rFonts w:ascii="Times New Roman" w:hAnsi="Times New Roman" w:cs="Times New Roman"/>
          <w:sz w:val="24"/>
          <w:szCs w:val="24"/>
        </w:rPr>
        <w:t xml:space="preserve"> </w:t>
      </w:r>
      <w:r w:rsidR="00C71C0A" w:rsidRPr="00B86D0C">
        <w:rPr>
          <w:rFonts w:ascii="Times New Roman" w:hAnsi="Times New Roman" w:cs="Times New Roman"/>
          <w:sz w:val="24"/>
          <w:szCs w:val="24"/>
        </w:rPr>
        <w:t>Clear indicators</w:t>
      </w:r>
      <w:r w:rsidR="00707719" w:rsidRPr="00B86D0C">
        <w:rPr>
          <w:rFonts w:ascii="Times New Roman" w:hAnsi="Times New Roman" w:cs="Times New Roman"/>
          <w:sz w:val="24"/>
          <w:szCs w:val="24"/>
        </w:rPr>
        <w:t xml:space="preserve">, baseline and targets have been developed for the NDPII Goal and </w:t>
      </w:r>
      <w:r w:rsidR="00755B01" w:rsidRPr="00B86D0C">
        <w:rPr>
          <w:rFonts w:ascii="Times New Roman" w:hAnsi="Times New Roman" w:cs="Times New Roman"/>
          <w:sz w:val="24"/>
          <w:szCs w:val="24"/>
        </w:rPr>
        <w:t>four</w:t>
      </w:r>
      <w:r w:rsidR="00B95BB0" w:rsidRPr="00B86D0C">
        <w:rPr>
          <w:rFonts w:ascii="Times New Roman" w:hAnsi="Times New Roman" w:cs="Times New Roman"/>
          <w:sz w:val="24"/>
          <w:szCs w:val="24"/>
        </w:rPr>
        <w:t xml:space="preserve"> associated</w:t>
      </w:r>
      <w:r w:rsidR="00755B01" w:rsidRPr="00B86D0C">
        <w:rPr>
          <w:rFonts w:ascii="Times New Roman" w:hAnsi="Times New Roman" w:cs="Times New Roman"/>
          <w:sz w:val="24"/>
          <w:szCs w:val="24"/>
        </w:rPr>
        <w:t xml:space="preserve"> objectives</w:t>
      </w:r>
      <w:r w:rsidR="00883009" w:rsidRPr="00B86D0C">
        <w:rPr>
          <w:rFonts w:ascii="Times New Roman" w:hAnsi="Times New Roman" w:cs="Times New Roman"/>
          <w:sz w:val="24"/>
          <w:szCs w:val="24"/>
        </w:rPr>
        <w:t xml:space="preserve"> (</w:t>
      </w:r>
      <w:r w:rsidR="005A19B1" w:rsidRPr="00B86D0C">
        <w:rPr>
          <w:rFonts w:ascii="Times New Roman" w:hAnsi="Times New Roman" w:cs="Times New Roman"/>
          <w:sz w:val="24"/>
          <w:szCs w:val="24"/>
        </w:rPr>
        <w:t>Page 101-102)</w:t>
      </w:r>
      <w:r w:rsidR="00755B01" w:rsidRPr="00B86D0C">
        <w:rPr>
          <w:rFonts w:ascii="Times New Roman" w:hAnsi="Times New Roman" w:cs="Times New Roman"/>
          <w:sz w:val="24"/>
          <w:szCs w:val="24"/>
        </w:rPr>
        <w:t xml:space="preserve">. </w:t>
      </w:r>
      <w:r w:rsidR="00107A57" w:rsidRPr="00B86D0C">
        <w:rPr>
          <w:rFonts w:ascii="Times New Roman" w:hAnsi="Times New Roman" w:cs="Times New Roman"/>
          <w:sz w:val="24"/>
          <w:szCs w:val="24"/>
        </w:rPr>
        <w:t xml:space="preserve">The </w:t>
      </w:r>
      <w:r w:rsidR="009A2561" w:rsidRPr="00B86D0C">
        <w:rPr>
          <w:rFonts w:ascii="Times New Roman" w:hAnsi="Times New Roman" w:cs="Times New Roman"/>
          <w:sz w:val="24"/>
          <w:szCs w:val="24"/>
        </w:rPr>
        <w:t>Government</w:t>
      </w:r>
      <w:r w:rsidR="00107A57" w:rsidRPr="00B86D0C">
        <w:rPr>
          <w:rFonts w:ascii="Times New Roman" w:hAnsi="Times New Roman" w:cs="Times New Roman"/>
          <w:sz w:val="24"/>
          <w:szCs w:val="24"/>
        </w:rPr>
        <w:t xml:space="preserve"> of Uganda has developed a comprehensive results framework. </w:t>
      </w:r>
      <w:r w:rsidR="00755B01" w:rsidRPr="00B86D0C">
        <w:rPr>
          <w:rFonts w:ascii="Times New Roman" w:hAnsi="Times New Roman" w:cs="Times New Roman"/>
          <w:sz w:val="24"/>
          <w:szCs w:val="24"/>
        </w:rPr>
        <w:t xml:space="preserve">To strengthen </w:t>
      </w:r>
      <w:r w:rsidR="001A1E2D" w:rsidRPr="00B86D0C">
        <w:rPr>
          <w:rFonts w:ascii="Times New Roman" w:hAnsi="Times New Roman" w:cs="Times New Roman"/>
          <w:sz w:val="24"/>
          <w:szCs w:val="24"/>
        </w:rPr>
        <w:t>the ability to test the</w:t>
      </w:r>
      <w:r w:rsidR="00107A57" w:rsidRPr="00B86D0C">
        <w:rPr>
          <w:rFonts w:ascii="Times New Roman" w:hAnsi="Times New Roman" w:cs="Times New Roman"/>
          <w:sz w:val="24"/>
          <w:szCs w:val="24"/>
        </w:rPr>
        <w:t xml:space="preserve"> </w:t>
      </w:r>
      <w:r w:rsidR="00B0072F" w:rsidRPr="00B86D0C">
        <w:rPr>
          <w:rFonts w:ascii="Times New Roman" w:hAnsi="Times New Roman" w:cs="Times New Roman"/>
          <w:sz w:val="24"/>
          <w:szCs w:val="24"/>
        </w:rPr>
        <w:t>theory of change</w:t>
      </w:r>
      <w:r w:rsidR="00B95BB0" w:rsidRPr="00B86D0C">
        <w:rPr>
          <w:rFonts w:ascii="Times New Roman" w:hAnsi="Times New Roman" w:cs="Times New Roman"/>
          <w:sz w:val="24"/>
          <w:szCs w:val="24"/>
        </w:rPr>
        <w:t xml:space="preserve">, </w:t>
      </w:r>
      <w:r w:rsidR="00B0072F" w:rsidRPr="00B86D0C">
        <w:rPr>
          <w:rFonts w:ascii="Times New Roman" w:hAnsi="Times New Roman" w:cs="Times New Roman"/>
          <w:sz w:val="24"/>
          <w:szCs w:val="24"/>
        </w:rPr>
        <w:t xml:space="preserve">the </w:t>
      </w:r>
      <w:r w:rsidR="009A2561" w:rsidRPr="00B86D0C">
        <w:rPr>
          <w:rFonts w:ascii="Times New Roman" w:hAnsi="Times New Roman" w:cs="Times New Roman"/>
          <w:sz w:val="24"/>
          <w:szCs w:val="24"/>
        </w:rPr>
        <w:t>Government</w:t>
      </w:r>
      <w:r w:rsidR="00B0072F" w:rsidRPr="00B86D0C">
        <w:rPr>
          <w:rFonts w:ascii="Times New Roman" w:hAnsi="Times New Roman" w:cs="Times New Roman"/>
          <w:sz w:val="24"/>
          <w:szCs w:val="24"/>
        </w:rPr>
        <w:t xml:space="preserve"> of Uganda could </w:t>
      </w:r>
      <w:r w:rsidR="004C2204" w:rsidRPr="00B86D0C">
        <w:rPr>
          <w:rFonts w:ascii="Times New Roman" w:hAnsi="Times New Roman" w:cs="Times New Roman"/>
          <w:sz w:val="24"/>
          <w:szCs w:val="24"/>
        </w:rPr>
        <w:t xml:space="preserve">consider </w:t>
      </w:r>
      <w:r w:rsidR="00601E61" w:rsidRPr="00B86D0C">
        <w:rPr>
          <w:rFonts w:ascii="Times New Roman" w:hAnsi="Times New Roman" w:cs="Times New Roman"/>
          <w:sz w:val="24"/>
          <w:szCs w:val="24"/>
        </w:rPr>
        <w:t xml:space="preserve">explicitly </w:t>
      </w:r>
      <w:r w:rsidR="004C2204" w:rsidRPr="00B86D0C">
        <w:rPr>
          <w:rFonts w:ascii="Times New Roman" w:hAnsi="Times New Roman" w:cs="Times New Roman"/>
          <w:sz w:val="24"/>
          <w:szCs w:val="24"/>
        </w:rPr>
        <w:t>stat</w:t>
      </w:r>
      <w:r w:rsidR="00FA1F3F" w:rsidRPr="00B86D0C">
        <w:rPr>
          <w:rFonts w:ascii="Times New Roman" w:hAnsi="Times New Roman" w:cs="Times New Roman"/>
          <w:sz w:val="24"/>
          <w:szCs w:val="24"/>
        </w:rPr>
        <w:t>e</w:t>
      </w:r>
      <w:r w:rsidR="004C2204" w:rsidRPr="00B86D0C">
        <w:rPr>
          <w:rFonts w:ascii="Times New Roman" w:hAnsi="Times New Roman" w:cs="Times New Roman"/>
          <w:sz w:val="24"/>
          <w:szCs w:val="24"/>
        </w:rPr>
        <w:t xml:space="preserve"> what assumptions are in place for each building block of the theory of change to hold true and </w:t>
      </w:r>
      <w:r w:rsidR="00576E45" w:rsidRPr="00B86D0C">
        <w:rPr>
          <w:rFonts w:ascii="Times New Roman" w:hAnsi="Times New Roman" w:cs="Times New Roman"/>
          <w:sz w:val="24"/>
          <w:szCs w:val="24"/>
        </w:rPr>
        <w:t xml:space="preserve">could </w:t>
      </w:r>
      <w:r w:rsidR="00F55D99" w:rsidRPr="00B86D0C">
        <w:rPr>
          <w:rFonts w:ascii="Times New Roman" w:hAnsi="Times New Roman" w:cs="Times New Roman"/>
          <w:sz w:val="24"/>
          <w:szCs w:val="24"/>
        </w:rPr>
        <w:t xml:space="preserve">test and monitor assumptions throughout implementation. </w:t>
      </w:r>
      <w:r w:rsidR="00D91500" w:rsidRPr="00B86D0C">
        <w:rPr>
          <w:rFonts w:ascii="Times New Roman" w:hAnsi="Times New Roman" w:cs="Times New Roman"/>
          <w:sz w:val="24"/>
          <w:szCs w:val="24"/>
        </w:rPr>
        <w:t>The monitoring framework could also be expanded to ensure that</w:t>
      </w:r>
      <w:r w:rsidR="0097516A" w:rsidRPr="00B86D0C">
        <w:rPr>
          <w:rFonts w:ascii="Times New Roman" w:hAnsi="Times New Roman" w:cs="Times New Roman"/>
          <w:sz w:val="24"/>
          <w:szCs w:val="24"/>
        </w:rPr>
        <w:t xml:space="preserve"> </w:t>
      </w:r>
      <w:r w:rsidR="0097516A" w:rsidRPr="00B86D0C">
        <w:rPr>
          <w:rFonts w:ascii="Times New Roman" w:hAnsi="Times New Roman" w:cs="Times New Roman"/>
          <w:i/>
          <w:sz w:val="24"/>
          <w:szCs w:val="24"/>
        </w:rPr>
        <w:t>processes</w:t>
      </w:r>
      <w:r w:rsidR="0097516A" w:rsidRPr="00B86D0C">
        <w:rPr>
          <w:rFonts w:ascii="Times New Roman" w:hAnsi="Times New Roman" w:cs="Times New Roman"/>
          <w:sz w:val="24"/>
          <w:szCs w:val="24"/>
        </w:rPr>
        <w:t xml:space="preserve"> e.g. engaging with the private sector</w:t>
      </w:r>
      <w:r w:rsidR="00875989" w:rsidRPr="00B86D0C">
        <w:rPr>
          <w:rFonts w:ascii="Times New Roman" w:hAnsi="Times New Roman" w:cs="Times New Roman"/>
          <w:sz w:val="24"/>
          <w:szCs w:val="24"/>
        </w:rPr>
        <w:t xml:space="preserve"> </w:t>
      </w:r>
      <w:r w:rsidR="0097516A" w:rsidRPr="00B86D0C">
        <w:rPr>
          <w:rFonts w:ascii="Times New Roman" w:hAnsi="Times New Roman" w:cs="Times New Roman"/>
          <w:sz w:val="24"/>
          <w:szCs w:val="24"/>
        </w:rPr>
        <w:t xml:space="preserve">are also be assessed and not just the outputs or those processes. </w:t>
      </w:r>
    </w:p>
    <w:p w14:paraId="50EA6B7B" w14:textId="77777777" w:rsidR="00884186" w:rsidRPr="00B86D0C" w:rsidRDefault="00884186"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t>NDPII’s theory of change provides guidance to civil servants on the types of policies that should be in place, or developed</w:t>
      </w:r>
      <w:r w:rsidRPr="00B86D0C">
        <w:rPr>
          <w:rFonts w:ascii="Times New Roman" w:hAnsi="Times New Roman" w:cs="Times New Roman"/>
          <w:sz w:val="24"/>
          <w:szCs w:val="24"/>
        </w:rPr>
        <w:t xml:space="preserve">, to deliver the interventions (9 strategies, 5 approaches), and achieve the four objectives. For instance, to fast-track skills development, the Government of Uganda should have in place a clear education policy that underpins why skills development is important, what skills need to be developed and how skills development will be supported by the state. NDPII supports strategy and policy development, particularly for the priority development areas (Sections 4.9.1-4.9.5). It provides clarity on what should be achieved for each sector by 2020, an overview of sector approaches in the main report, yet leaves the technical details for the implementation agencies. This is appropriate. </w:t>
      </w:r>
    </w:p>
    <w:p w14:paraId="4C2A1CF5" w14:textId="77777777" w:rsidR="00884186" w:rsidRPr="00B86D0C" w:rsidRDefault="00884186"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lastRenderedPageBreak/>
        <w:t>Articulation, and implementation, of NDPII’s and future national development plan’s strategic direction could however be strengthened.</w:t>
      </w:r>
      <w:r w:rsidRPr="00B86D0C">
        <w:rPr>
          <w:rFonts w:ascii="Times New Roman" w:hAnsi="Times New Roman" w:cs="Times New Roman"/>
          <w:sz w:val="24"/>
          <w:szCs w:val="24"/>
        </w:rPr>
        <w:t xml:space="preserve"> Firstly, the Government should continue to strengthen sector clustering as this will support MDAs to follow an agreed strategic direction. It is noted in the Certificate of Compliance (2017/18), that some MDAs e.g. Uganda AID Commission are in the wrong sector and so cannot contribute to the sector’s objectives. Without clear clustering and understanding of how individual agencies with different outcomes/objectives interact, it will be difficult to achieve policy co-ordination within and across sectors. This is particularly important for cross-cutting programmes such as tourism, skills development and industrialisation. </w:t>
      </w:r>
    </w:p>
    <w:p w14:paraId="06A5C397" w14:textId="77777777" w:rsidR="00884186" w:rsidRPr="00B86D0C" w:rsidRDefault="00884186"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B86D0C">
        <w:rPr>
          <w:rFonts w:ascii="Times New Roman" w:hAnsi="Times New Roman" w:cs="Times New Roman"/>
          <w:b/>
          <w:sz w:val="24"/>
          <w:szCs w:val="24"/>
        </w:rPr>
        <w:t>NDPII’s Implementation Strategy provides information on how implementation of NDPII will be supported; this document could however be strengthened.</w:t>
      </w:r>
      <w:r w:rsidRPr="00B86D0C">
        <w:rPr>
          <w:rFonts w:ascii="Times New Roman" w:hAnsi="Times New Roman" w:cs="Times New Roman"/>
          <w:sz w:val="24"/>
          <w:szCs w:val="24"/>
        </w:rPr>
        <w:t xml:space="preserve"> NDPII’s Implementation Strategy provides guidance on the pre-requisites required for successful NDPII implementation (Page 14), and systemic reforms needed to improve the linkage between planning and budgeting and implementation. The Implementation Strategy also details the Comprehensive National Development Planning Framework (CNDPF) (Page 34) which details the linkage between sector plans and national plans and the associated time-frames. These details are useful. Operationalisation of the strategic direction (chapter 4 of NDPII) could however be supported further in the Implementation Strategy by developing and documenting a clear phasing and sequencing of implementation, and the interconnectedness of sectors. </w:t>
      </w:r>
    </w:p>
    <w:p w14:paraId="0D21D149" w14:textId="10337788" w:rsidR="00640C5D" w:rsidRPr="00884186" w:rsidRDefault="00640C5D" w:rsidP="00587EDE">
      <w:pPr>
        <w:pStyle w:val="ListParagraph"/>
        <w:numPr>
          <w:ilvl w:val="0"/>
          <w:numId w:val="46"/>
        </w:numPr>
        <w:spacing w:after="240" w:line="360" w:lineRule="auto"/>
        <w:ind w:left="426" w:hanging="426"/>
        <w:contextualSpacing w:val="0"/>
        <w:jc w:val="both"/>
        <w:rPr>
          <w:rFonts w:ascii="Times New Roman" w:hAnsi="Times New Roman" w:cs="Times New Roman"/>
          <w:b/>
          <w:i/>
          <w:iCs/>
          <w:szCs w:val="18"/>
        </w:rPr>
      </w:pPr>
      <w:r w:rsidRPr="00884186">
        <w:rPr>
          <w:rFonts w:ascii="Times New Roman" w:hAnsi="Times New Roman" w:cs="Times New Roman"/>
          <w:b/>
          <w:sz w:val="24"/>
        </w:rPr>
        <w:br w:type="page"/>
      </w:r>
    </w:p>
    <w:p w14:paraId="2B81D08D" w14:textId="77777777" w:rsidR="00640C5D" w:rsidRPr="00F10F3B" w:rsidRDefault="00640C5D" w:rsidP="00587EDE">
      <w:pPr>
        <w:pStyle w:val="Caption"/>
        <w:spacing w:line="360" w:lineRule="auto"/>
        <w:jc w:val="both"/>
        <w:rPr>
          <w:rFonts w:ascii="Times New Roman" w:hAnsi="Times New Roman" w:cs="Times New Roman"/>
          <w:b w:val="0"/>
        </w:rPr>
        <w:sectPr w:rsidR="00640C5D" w:rsidRPr="00F10F3B" w:rsidSect="000B2D5A">
          <w:pgSz w:w="11906" w:h="16838"/>
          <w:pgMar w:top="1440" w:right="1440" w:bottom="1440" w:left="1440" w:header="708" w:footer="708" w:gutter="0"/>
          <w:pgNumType w:start="1"/>
          <w:cols w:space="708"/>
          <w:titlePg/>
          <w:docGrid w:linePitch="360"/>
        </w:sectPr>
      </w:pPr>
    </w:p>
    <w:p w14:paraId="70CB2611" w14:textId="17A1EC6A" w:rsidR="000D6528" w:rsidRPr="00884186" w:rsidRDefault="000D6528" w:rsidP="00587EDE">
      <w:pPr>
        <w:pStyle w:val="Caption"/>
        <w:spacing w:line="360" w:lineRule="auto"/>
        <w:jc w:val="both"/>
        <w:rPr>
          <w:rFonts w:ascii="Times New Roman" w:hAnsi="Times New Roman" w:cs="Times New Roman"/>
          <w:b w:val="0"/>
          <w:i w:val="0"/>
          <w:sz w:val="24"/>
        </w:rPr>
      </w:pPr>
      <w:bookmarkStart w:id="26" w:name="_Toc536205950"/>
      <w:r w:rsidRPr="00884186">
        <w:rPr>
          <w:rFonts w:ascii="Times New Roman" w:hAnsi="Times New Roman" w:cs="Times New Roman"/>
          <w:i w:val="0"/>
          <w:sz w:val="24"/>
        </w:rPr>
        <w:lastRenderedPageBreak/>
        <w:t xml:space="preserve">Table </w:t>
      </w:r>
      <w:r w:rsidR="001350AC" w:rsidRPr="00884186">
        <w:rPr>
          <w:rFonts w:ascii="Times New Roman" w:hAnsi="Times New Roman" w:cs="Times New Roman"/>
          <w:i w:val="0"/>
          <w:noProof/>
          <w:sz w:val="24"/>
        </w:rPr>
        <w:fldChar w:fldCharType="begin"/>
      </w:r>
      <w:r w:rsidR="001350AC" w:rsidRPr="00884186">
        <w:rPr>
          <w:rFonts w:ascii="Times New Roman" w:hAnsi="Times New Roman" w:cs="Times New Roman"/>
          <w:i w:val="0"/>
          <w:noProof/>
          <w:sz w:val="24"/>
        </w:rPr>
        <w:instrText xml:space="preserve"> SEQ Table \* ARABIC </w:instrText>
      </w:r>
      <w:r w:rsidR="001350AC" w:rsidRPr="00884186">
        <w:rPr>
          <w:rFonts w:ascii="Times New Roman" w:hAnsi="Times New Roman" w:cs="Times New Roman"/>
          <w:i w:val="0"/>
          <w:noProof/>
          <w:sz w:val="24"/>
        </w:rPr>
        <w:fldChar w:fldCharType="separate"/>
      </w:r>
      <w:r w:rsidR="00A057A7">
        <w:rPr>
          <w:rFonts w:ascii="Times New Roman" w:hAnsi="Times New Roman" w:cs="Times New Roman"/>
          <w:i w:val="0"/>
          <w:noProof/>
          <w:sz w:val="24"/>
        </w:rPr>
        <w:t>2</w:t>
      </w:r>
      <w:r w:rsidR="001350AC" w:rsidRPr="00884186">
        <w:rPr>
          <w:rFonts w:ascii="Times New Roman" w:hAnsi="Times New Roman" w:cs="Times New Roman"/>
          <w:i w:val="0"/>
          <w:noProof/>
          <w:sz w:val="24"/>
        </w:rPr>
        <w:fldChar w:fldCharType="end"/>
      </w:r>
      <w:r w:rsidRPr="00884186">
        <w:rPr>
          <w:rFonts w:ascii="Times New Roman" w:hAnsi="Times New Roman" w:cs="Times New Roman"/>
          <w:i w:val="0"/>
          <w:sz w:val="24"/>
        </w:rPr>
        <w:t>: NDPII's Theory of Change</w:t>
      </w:r>
      <w:bookmarkEnd w:id="26"/>
    </w:p>
    <w:tbl>
      <w:tblPr>
        <w:tblStyle w:val="TableGrid"/>
        <w:tblW w:w="5000" w:type="pct"/>
        <w:tblLook w:val="04A0" w:firstRow="1" w:lastRow="0" w:firstColumn="1" w:lastColumn="0" w:noHBand="0" w:noVBand="1"/>
      </w:tblPr>
      <w:tblGrid>
        <w:gridCol w:w="1468"/>
        <w:gridCol w:w="3202"/>
        <w:gridCol w:w="4346"/>
      </w:tblGrid>
      <w:tr w:rsidR="008E760D" w:rsidRPr="00F10F3B" w14:paraId="1960F007" w14:textId="77777777" w:rsidTr="00B86D0C">
        <w:trPr>
          <w:trHeight w:val="283"/>
          <w:tblHeader/>
        </w:trPr>
        <w:tc>
          <w:tcPr>
            <w:tcW w:w="814" w:type="pct"/>
            <w:shd w:val="clear" w:color="auto" w:fill="C5E0B3" w:themeFill="accent6" w:themeFillTint="66"/>
          </w:tcPr>
          <w:p w14:paraId="1227041E" w14:textId="6C8A0D5F" w:rsidR="00775480" w:rsidRPr="00884186" w:rsidRDefault="00775480" w:rsidP="00B86D0C">
            <w:pPr>
              <w:spacing w:line="360" w:lineRule="auto"/>
              <w:rPr>
                <w:rFonts w:ascii="Times New Roman" w:hAnsi="Times New Roman" w:cs="Times New Roman"/>
                <w:b/>
                <w:sz w:val="20"/>
                <w:szCs w:val="20"/>
              </w:rPr>
            </w:pPr>
            <w:r w:rsidRPr="00884186">
              <w:rPr>
                <w:rFonts w:ascii="Times New Roman" w:hAnsi="Times New Roman" w:cs="Times New Roman"/>
                <w:b/>
                <w:sz w:val="20"/>
                <w:szCs w:val="20"/>
              </w:rPr>
              <w:t>ToC building block</w:t>
            </w:r>
          </w:p>
        </w:tc>
        <w:tc>
          <w:tcPr>
            <w:tcW w:w="1776" w:type="pct"/>
            <w:shd w:val="clear" w:color="auto" w:fill="C5E0B3" w:themeFill="accent6" w:themeFillTint="66"/>
          </w:tcPr>
          <w:p w14:paraId="7DD59CEE" w14:textId="565A1122" w:rsidR="00775480" w:rsidRPr="00884186" w:rsidRDefault="00775480" w:rsidP="00B86D0C">
            <w:pPr>
              <w:spacing w:line="360" w:lineRule="auto"/>
              <w:rPr>
                <w:rFonts w:ascii="Times New Roman" w:hAnsi="Times New Roman" w:cs="Times New Roman"/>
                <w:b/>
                <w:sz w:val="20"/>
                <w:szCs w:val="20"/>
              </w:rPr>
            </w:pPr>
          </w:p>
        </w:tc>
        <w:tc>
          <w:tcPr>
            <w:tcW w:w="2410" w:type="pct"/>
            <w:shd w:val="clear" w:color="auto" w:fill="C5E0B3" w:themeFill="accent6" w:themeFillTint="66"/>
          </w:tcPr>
          <w:p w14:paraId="06F252D9" w14:textId="3F185BF6" w:rsidR="00775480" w:rsidRPr="00884186" w:rsidRDefault="008552C8" w:rsidP="00B86D0C">
            <w:pPr>
              <w:spacing w:line="360" w:lineRule="auto"/>
              <w:rPr>
                <w:rFonts w:ascii="Times New Roman" w:hAnsi="Times New Roman" w:cs="Times New Roman"/>
                <w:b/>
                <w:sz w:val="20"/>
                <w:szCs w:val="20"/>
              </w:rPr>
            </w:pPr>
            <w:r w:rsidRPr="00884186">
              <w:rPr>
                <w:rFonts w:ascii="Times New Roman" w:hAnsi="Times New Roman" w:cs="Times New Roman"/>
                <w:b/>
                <w:sz w:val="20"/>
                <w:szCs w:val="20"/>
              </w:rPr>
              <w:t>Assessment</w:t>
            </w:r>
          </w:p>
        </w:tc>
      </w:tr>
      <w:tr w:rsidR="008E760D" w:rsidRPr="00F10F3B" w14:paraId="280D6F2D" w14:textId="00899DD4" w:rsidTr="00B86D0C">
        <w:trPr>
          <w:trHeight w:val="283"/>
        </w:trPr>
        <w:tc>
          <w:tcPr>
            <w:tcW w:w="814" w:type="pct"/>
          </w:tcPr>
          <w:p w14:paraId="60628134" w14:textId="693B2BC0" w:rsidR="004E568E" w:rsidRPr="00884186" w:rsidRDefault="004E568E"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t>Vision/goal</w:t>
            </w:r>
            <w:r w:rsidR="003E7107" w:rsidRPr="00884186">
              <w:rPr>
                <w:rFonts w:ascii="Times New Roman" w:hAnsi="Times New Roman" w:cs="Times New Roman"/>
                <w:b/>
                <w:sz w:val="20"/>
                <w:szCs w:val="20"/>
              </w:rPr>
              <w:t xml:space="preserve">: </w:t>
            </w:r>
            <w:r w:rsidR="003E7107" w:rsidRPr="00884186">
              <w:rPr>
                <w:rFonts w:ascii="Times New Roman" w:hAnsi="Times New Roman" w:cs="Times New Roman"/>
                <w:sz w:val="20"/>
                <w:szCs w:val="20"/>
              </w:rPr>
              <w:t>What is the desired long-term state?</w:t>
            </w:r>
          </w:p>
        </w:tc>
        <w:tc>
          <w:tcPr>
            <w:tcW w:w="1776" w:type="pct"/>
          </w:tcPr>
          <w:p w14:paraId="43DCCE1A" w14:textId="77777777" w:rsidR="00044969" w:rsidRPr="00884186" w:rsidRDefault="0077585E" w:rsidP="00B86D0C">
            <w:pPr>
              <w:pStyle w:val="ListParagraph"/>
              <w:numPr>
                <w:ilvl w:val="0"/>
                <w:numId w:val="1"/>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u w:val="single"/>
              </w:rPr>
              <w:t>Vision 2040:</w:t>
            </w:r>
            <w:r w:rsidRPr="00884186">
              <w:rPr>
                <w:rFonts w:ascii="Times New Roman" w:hAnsi="Times New Roman" w:cs="Times New Roman"/>
                <w:sz w:val="20"/>
                <w:szCs w:val="20"/>
              </w:rPr>
              <w:t xml:space="preserve"> “A transformed Ugandan Society from a peasant to a modern and prosperous country within 30 years”</w:t>
            </w:r>
          </w:p>
          <w:p w14:paraId="05E19653" w14:textId="77777777" w:rsidR="00044969" w:rsidRPr="00884186" w:rsidRDefault="00775480" w:rsidP="00B86D0C">
            <w:pPr>
              <w:pStyle w:val="ListParagraph"/>
              <w:numPr>
                <w:ilvl w:val="0"/>
                <w:numId w:val="1"/>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u w:val="single"/>
              </w:rPr>
              <w:t>NDPI</w:t>
            </w:r>
            <w:r w:rsidR="00300373" w:rsidRPr="00884186">
              <w:rPr>
                <w:rFonts w:ascii="Times New Roman" w:hAnsi="Times New Roman" w:cs="Times New Roman"/>
                <w:sz w:val="20"/>
                <w:szCs w:val="20"/>
                <w:u w:val="single"/>
              </w:rPr>
              <w:t>I</w:t>
            </w:r>
            <w:r w:rsidRPr="00884186">
              <w:rPr>
                <w:rFonts w:ascii="Times New Roman" w:hAnsi="Times New Roman" w:cs="Times New Roman"/>
                <w:sz w:val="20"/>
                <w:szCs w:val="20"/>
                <w:u w:val="single"/>
              </w:rPr>
              <w:t xml:space="preserve"> theme:</w:t>
            </w:r>
            <w:r w:rsidRPr="00884186">
              <w:rPr>
                <w:rFonts w:ascii="Times New Roman" w:hAnsi="Times New Roman" w:cs="Times New Roman"/>
                <w:sz w:val="20"/>
                <w:szCs w:val="20"/>
              </w:rPr>
              <w:t xml:space="preserve"> </w:t>
            </w:r>
            <w:r w:rsidR="00EA1681" w:rsidRPr="00884186">
              <w:rPr>
                <w:rFonts w:ascii="Times New Roman" w:hAnsi="Times New Roman" w:cs="Times New Roman"/>
                <w:sz w:val="20"/>
                <w:szCs w:val="20"/>
              </w:rPr>
              <w:t>“Strengthening Uganda’s Competitiveness for Sustainable Wealth Creation, Employment and Inclusive Growth”</w:t>
            </w:r>
          </w:p>
          <w:p w14:paraId="3F5B5DCA" w14:textId="4AAB8D99" w:rsidR="00300373" w:rsidRPr="00884186" w:rsidRDefault="00300373" w:rsidP="00B86D0C">
            <w:pPr>
              <w:pStyle w:val="ListParagraph"/>
              <w:numPr>
                <w:ilvl w:val="0"/>
                <w:numId w:val="1"/>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u w:val="single"/>
              </w:rPr>
              <w:t>NDPII goal</w:t>
            </w:r>
            <w:r w:rsidR="00774F7E" w:rsidRPr="00884186">
              <w:rPr>
                <w:rFonts w:ascii="Times New Roman" w:hAnsi="Times New Roman" w:cs="Times New Roman"/>
                <w:sz w:val="20"/>
                <w:szCs w:val="20"/>
                <w:u w:val="single"/>
              </w:rPr>
              <w:t xml:space="preserve"> defined in Plan</w:t>
            </w:r>
            <w:r w:rsidRPr="00884186">
              <w:rPr>
                <w:rFonts w:ascii="Times New Roman" w:hAnsi="Times New Roman" w:cs="Times New Roman"/>
                <w:sz w:val="20"/>
                <w:szCs w:val="20"/>
                <w:u w:val="single"/>
              </w:rPr>
              <w:t>:</w:t>
            </w:r>
            <w:r w:rsidRPr="00884186">
              <w:rPr>
                <w:rFonts w:ascii="Times New Roman" w:hAnsi="Times New Roman" w:cs="Times New Roman"/>
                <w:sz w:val="20"/>
                <w:szCs w:val="20"/>
              </w:rPr>
              <w:t xml:space="preserve"> “To attain middle income status by 2020</w:t>
            </w:r>
            <w:r w:rsidR="00B61229" w:rsidRPr="00884186">
              <w:rPr>
                <w:rFonts w:ascii="Times New Roman" w:hAnsi="Times New Roman" w:cs="Times New Roman"/>
                <w:sz w:val="20"/>
                <w:szCs w:val="20"/>
              </w:rPr>
              <w:t xml:space="preserve"> through strengthening the country’s competitiveness for sustainable wealth creation, employment and inclusive growth”</w:t>
            </w:r>
            <w:r w:rsidR="00FD1AAA" w:rsidRPr="00884186">
              <w:rPr>
                <w:rFonts w:ascii="Times New Roman" w:hAnsi="Times New Roman" w:cs="Times New Roman"/>
                <w:sz w:val="20"/>
                <w:szCs w:val="20"/>
              </w:rPr>
              <w:t xml:space="preserve"> (</w:t>
            </w:r>
            <w:r w:rsidR="00FD732B" w:rsidRPr="00884186">
              <w:rPr>
                <w:rFonts w:ascii="Times New Roman" w:hAnsi="Times New Roman" w:cs="Times New Roman"/>
                <w:sz w:val="20"/>
                <w:szCs w:val="20"/>
              </w:rPr>
              <w:t xml:space="preserve">Page </w:t>
            </w:r>
            <w:r w:rsidR="00FD1AAA" w:rsidRPr="00884186">
              <w:rPr>
                <w:rFonts w:ascii="Times New Roman" w:hAnsi="Times New Roman" w:cs="Times New Roman"/>
                <w:sz w:val="20"/>
                <w:szCs w:val="20"/>
              </w:rPr>
              <w:t>101).</w:t>
            </w:r>
          </w:p>
          <w:p w14:paraId="3E0384E1" w14:textId="48015260" w:rsidR="00724006" w:rsidRPr="00884186" w:rsidRDefault="00724006" w:rsidP="00B86D0C">
            <w:pPr>
              <w:pStyle w:val="ListParagraph"/>
              <w:numPr>
                <w:ilvl w:val="0"/>
                <w:numId w:val="1"/>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u w:val="single"/>
              </w:rPr>
              <w:t>NDPII goal</w:t>
            </w:r>
            <w:r w:rsidR="00774F7E" w:rsidRPr="00884186">
              <w:rPr>
                <w:rFonts w:ascii="Times New Roman" w:hAnsi="Times New Roman" w:cs="Times New Roman"/>
                <w:sz w:val="20"/>
                <w:szCs w:val="20"/>
                <w:u w:val="single"/>
              </w:rPr>
              <w:t xml:space="preserve"> defined in the NDPII Implementation Strategy</w:t>
            </w:r>
            <w:r w:rsidRPr="00884186">
              <w:rPr>
                <w:rFonts w:ascii="Times New Roman" w:hAnsi="Times New Roman" w:cs="Times New Roman"/>
                <w:sz w:val="20"/>
                <w:szCs w:val="20"/>
                <w:u w:val="single"/>
              </w:rPr>
              <w:t>:</w:t>
            </w:r>
            <w:r w:rsidRPr="00884186">
              <w:rPr>
                <w:rFonts w:ascii="Times New Roman" w:hAnsi="Times New Roman" w:cs="Times New Roman"/>
                <w:sz w:val="20"/>
                <w:szCs w:val="20"/>
              </w:rPr>
              <w:t xml:space="preserve"> “To realise increased competitiveness for </w:t>
            </w:r>
            <w:r w:rsidR="004F4806" w:rsidRPr="00884186">
              <w:rPr>
                <w:rFonts w:ascii="Times New Roman" w:hAnsi="Times New Roman" w:cs="Times New Roman"/>
                <w:sz w:val="20"/>
                <w:szCs w:val="20"/>
              </w:rPr>
              <w:t>sustainable wealth creation, employment and inclusive growth” (</w:t>
            </w:r>
            <w:r w:rsidR="00CD7E57" w:rsidRPr="00884186">
              <w:rPr>
                <w:rFonts w:ascii="Times New Roman" w:hAnsi="Times New Roman" w:cs="Times New Roman"/>
                <w:sz w:val="20"/>
                <w:szCs w:val="20"/>
              </w:rPr>
              <w:t>Annex 2, ii</w:t>
            </w:r>
            <w:r w:rsidR="00A50885" w:rsidRPr="00884186">
              <w:rPr>
                <w:rFonts w:ascii="Times New Roman" w:hAnsi="Times New Roman" w:cs="Times New Roman"/>
                <w:sz w:val="20"/>
                <w:szCs w:val="20"/>
              </w:rPr>
              <w:t>)</w:t>
            </w:r>
          </w:p>
        </w:tc>
        <w:tc>
          <w:tcPr>
            <w:tcW w:w="2410" w:type="pct"/>
          </w:tcPr>
          <w:p w14:paraId="3A788CCF" w14:textId="6DB46A67" w:rsidR="00034A9B" w:rsidRPr="00884186" w:rsidRDefault="00B2396F"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The goal defined in NDPI</w:t>
            </w:r>
            <w:r w:rsidR="00966F5E" w:rsidRPr="00884186">
              <w:rPr>
                <w:rFonts w:ascii="Times New Roman" w:hAnsi="Times New Roman" w:cs="Times New Roman"/>
                <w:sz w:val="20"/>
                <w:szCs w:val="20"/>
              </w:rPr>
              <w:t xml:space="preserve">I is </w:t>
            </w:r>
            <w:r w:rsidR="00E23576" w:rsidRPr="00884186">
              <w:rPr>
                <w:rFonts w:ascii="Times New Roman" w:hAnsi="Times New Roman" w:cs="Times New Roman"/>
                <w:sz w:val="20"/>
                <w:szCs w:val="20"/>
              </w:rPr>
              <w:t xml:space="preserve">broadly </w:t>
            </w:r>
            <w:r w:rsidR="00966F5E" w:rsidRPr="00884186">
              <w:rPr>
                <w:rFonts w:ascii="Times New Roman" w:hAnsi="Times New Roman" w:cs="Times New Roman"/>
                <w:sz w:val="20"/>
                <w:szCs w:val="20"/>
              </w:rPr>
              <w:t xml:space="preserve">SMART – it is </w:t>
            </w:r>
            <w:r w:rsidR="00966F5E" w:rsidRPr="00884186">
              <w:rPr>
                <w:rFonts w:ascii="Times New Roman" w:hAnsi="Times New Roman" w:cs="Times New Roman"/>
                <w:sz w:val="20"/>
                <w:szCs w:val="20"/>
                <w:u w:val="single"/>
              </w:rPr>
              <w:t>S</w:t>
            </w:r>
            <w:r w:rsidR="00966F5E" w:rsidRPr="00884186">
              <w:rPr>
                <w:rFonts w:ascii="Times New Roman" w:hAnsi="Times New Roman" w:cs="Times New Roman"/>
                <w:sz w:val="20"/>
                <w:szCs w:val="20"/>
              </w:rPr>
              <w:t xml:space="preserve">pecific (attain middle income status), </w:t>
            </w:r>
            <w:r w:rsidR="00966F5E" w:rsidRPr="00884186">
              <w:rPr>
                <w:rFonts w:ascii="Times New Roman" w:hAnsi="Times New Roman" w:cs="Times New Roman"/>
                <w:sz w:val="20"/>
                <w:szCs w:val="20"/>
                <w:u w:val="single"/>
              </w:rPr>
              <w:t>M</w:t>
            </w:r>
            <w:r w:rsidR="00966F5E" w:rsidRPr="00884186">
              <w:rPr>
                <w:rFonts w:ascii="Times New Roman" w:hAnsi="Times New Roman" w:cs="Times New Roman"/>
                <w:sz w:val="20"/>
                <w:szCs w:val="20"/>
              </w:rPr>
              <w:t>easurable (middle income</w:t>
            </w:r>
            <w:r w:rsidR="00E23576" w:rsidRPr="00884186">
              <w:rPr>
                <w:rFonts w:ascii="Times New Roman" w:hAnsi="Times New Roman" w:cs="Times New Roman"/>
                <w:sz w:val="20"/>
                <w:szCs w:val="20"/>
              </w:rPr>
              <w:t xml:space="preserve"> status</w:t>
            </w:r>
            <w:r w:rsidR="0028599A" w:rsidRPr="00884186">
              <w:rPr>
                <w:rFonts w:ascii="Times New Roman" w:hAnsi="Times New Roman" w:cs="Times New Roman"/>
                <w:sz w:val="20"/>
                <w:szCs w:val="20"/>
              </w:rPr>
              <w:t>, GNI per capita or GDP</w:t>
            </w:r>
            <w:r w:rsidR="00966F5E" w:rsidRPr="00884186">
              <w:rPr>
                <w:rFonts w:ascii="Times New Roman" w:hAnsi="Times New Roman" w:cs="Times New Roman"/>
                <w:sz w:val="20"/>
                <w:szCs w:val="20"/>
              </w:rPr>
              <w:t xml:space="preserve">), </w:t>
            </w:r>
            <w:r w:rsidR="00E23576" w:rsidRPr="00884186">
              <w:rPr>
                <w:rFonts w:ascii="Times New Roman" w:hAnsi="Times New Roman" w:cs="Times New Roman"/>
                <w:sz w:val="20"/>
                <w:szCs w:val="20"/>
                <w:u w:val="single"/>
              </w:rPr>
              <w:t>R</w:t>
            </w:r>
            <w:r w:rsidR="00E23576" w:rsidRPr="00884186">
              <w:rPr>
                <w:rFonts w:ascii="Times New Roman" w:hAnsi="Times New Roman" w:cs="Times New Roman"/>
                <w:sz w:val="20"/>
                <w:szCs w:val="20"/>
              </w:rPr>
              <w:t xml:space="preserve">esults-focused </w:t>
            </w:r>
            <w:r w:rsidR="0024318F" w:rsidRPr="00884186">
              <w:rPr>
                <w:rFonts w:ascii="Times New Roman" w:hAnsi="Times New Roman" w:cs="Times New Roman"/>
                <w:sz w:val="20"/>
                <w:szCs w:val="20"/>
              </w:rPr>
              <w:t xml:space="preserve">(clear </w:t>
            </w:r>
            <w:r w:rsidR="0028599A" w:rsidRPr="00884186">
              <w:rPr>
                <w:rFonts w:ascii="Times New Roman" w:hAnsi="Times New Roman" w:cs="Times New Roman"/>
                <w:sz w:val="20"/>
                <w:szCs w:val="20"/>
              </w:rPr>
              <w:t xml:space="preserve">targets and </w:t>
            </w:r>
            <w:r w:rsidR="0024318F" w:rsidRPr="00884186">
              <w:rPr>
                <w:rFonts w:ascii="Times New Roman" w:hAnsi="Times New Roman" w:cs="Times New Roman"/>
                <w:sz w:val="20"/>
                <w:szCs w:val="20"/>
              </w:rPr>
              <w:t xml:space="preserve">indicators) </w:t>
            </w:r>
            <w:r w:rsidR="00E23576" w:rsidRPr="00884186">
              <w:rPr>
                <w:rFonts w:ascii="Times New Roman" w:hAnsi="Times New Roman" w:cs="Times New Roman"/>
                <w:sz w:val="20"/>
                <w:szCs w:val="20"/>
              </w:rPr>
              <w:t xml:space="preserve">and </w:t>
            </w:r>
            <w:r w:rsidR="0024318F" w:rsidRPr="00884186">
              <w:rPr>
                <w:rFonts w:ascii="Times New Roman" w:hAnsi="Times New Roman" w:cs="Times New Roman"/>
                <w:sz w:val="20"/>
                <w:szCs w:val="20"/>
                <w:u w:val="single"/>
              </w:rPr>
              <w:t>T</w:t>
            </w:r>
            <w:r w:rsidR="00E23576" w:rsidRPr="00884186">
              <w:rPr>
                <w:rFonts w:ascii="Times New Roman" w:hAnsi="Times New Roman" w:cs="Times New Roman"/>
                <w:sz w:val="20"/>
                <w:szCs w:val="20"/>
              </w:rPr>
              <w:t>ime-bound (by 2020).</w:t>
            </w:r>
            <w:r w:rsidR="0028599A" w:rsidRPr="00884186">
              <w:rPr>
                <w:rFonts w:ascii="Times New Roman" w:hAnsi="Times New Roman" w:cs="Times New Roman"/>
                <w:sz w:val="20"/>
                <w:szCs w:val="20"/>
              </w:rPr>
              <w:t xml:space="preserve"> </w:t>
            </w:r>
            <w:r w:rsidR="0024318F" w:rsidRPr="00884186">
              <w:rPr>
                <w:rFonts w:ascii="Times New Roman" w:hAnsi="Times New Roman" w:cs="Times New Roman"/>
                <w:b/>
                <w:sz w:val="20"/>
                <w:szCs w:val="20"/>
              </w:rPr>
              <w:t xml:space="preserve">Concern is only raised on whether the goal is </w:t>
            </w:r>
            <w:r w:rsidR="0024318F" w:rsidRPr="00884186">
              <w:rPr>
                <w:rFonts w:ascii="Times New Roman" w:hAnsi="Times New Roman" w:cs="Times New Roman"/>
                <w:b/>
                <w:sz w:val="20"/>
                <w:szCs w:val="20"/>
                <w:u w:val="single"/>
              </w:rPr>
              <w:t>A</w:t>
            </w:r>
            <w:r w:rsidR="0024318F" w:rsidRPr="00884186">
              <w:rPr>
                <w:rFonts w:ascii="Times New Roman" w:hAnsi="Times New Roman" w:cs="Times New Roman"/>
                <w:b/>
                <w:sz w:val="20"/>
                <w:szCs w:val="20"/>
              </w:rPr>
              <w:t>chievable</w:t>
            </w:r>
            <w:r w:rsidR="00416E94" w:rsidRPr="00884186">
              <w:rPr>
                <w:rFonts w:ascii="Times New Roman" w:hAnsi="Times New Roman" w:cs="Times New Roman"/>
                <w:sz w:val="20"/>
                <w:szCs w:val="20"/>
              </w:rPr>
              <w:t xml:space="preserve">: over the first three years of NDPII, Uganda has registered </w:t>
            </w:r>
            <w:r w:rsidR="00564B33" w:rsidRPr="00884186">
              <w:rPr>
                <w:rFonts w:ascii="Times New Roman" w:hAnsi="Times New Roman" w:cs="Times New Roman"/>
                <w:sz w:val="20"/>
                <w:szCs w:val="20"/>
              </w:rPr>
              <w:t xml:space="preserve">annual real growth rates of 4.9% which is lower than the NDPII targeted average annual growth of real GDP of 6.3%. </w:t>
            </w:r>
            <w:r w:rsidR="00034A9B" w:rsidRPr="00884186">
              <w:rPr>
                <w:rFonts w:ascii="Times New Roman" w:hAnsi="Times New Roman" w:cs="Times New Roman"/>
                <w:sz w:val="20"/>
                <w:szCs w:val="20"/>
              </w:rPr>
              <w:t>Uganda will need to grow at 8.3% over the remaining two years</w:t>
            </w:r>
            <w:r w:rsidR="0028599A" w:rsidRPr="00884186">
              <w:rPr>
                <w:rFonts w:ascii="Times New Roman" w:hAnsi="Times New Roman" w:cs="Times New Roman"/>
                <w:sz w:val="20"/>
                <w:szCs w:val="20"/>
              </w:rPr>
              <w:t xml:space="preserve">. Moreover, for Uganda to reach </w:t>
            </w:r>
            <w:r w:rsidR="007F03D2" w:rsidRPr="00884186">
              <w:rPr>
                <w:rFonts w:ascii="Times New Roman" w:hAnsi="Times New Roman" w:cs="Times New Roman"/>
                <w:sz w:val="20"/>
                <w:szCs w:val="20"/>
              </w:rPr>
              <w:t xml:space="preserve">lower </w:t>
            </w:r>
            <w:r w:rsidR="0028599A" w:rsidRPr="00884186">
              <w:rPr>
                <w:rFonts w:ascii="Times New Roman" w:hAnsi="Times New Roman" w:cs="Times New Roman"/>
                <w:sz w:val="20"/>
                <w:szCs w:val="20"/>
              </w:rPr>
              <w:t xml:space="preserve">middle-income status as per the World Bank Atlas method, GNI per capita should </w:t>
            </w:r>
            <w:r w:rsidR="007F03D2" w:rsidRPr="00884186">
              <w:rPr>
                <w:rFonts w:ascii="Times New Roman" w:hAnsi="Times New Roman" w:cs="Times New Roman"/>
                <w:sz w:val="20"/>
                <w:szCs w:val="20"/>
              </w:rPr>
              <w:t xml:space="preserve">be between $996 and $3,895. At present, Uganda’s GNI per capita is </w:t>
            </w:r>
            <w:r w:rsidR="00EE7F1E" w:rsidRPr="00884186">
              <w:rPr>
                <w:rFonts w:ascii="Times New Roman" w:hAnsi="Times New Roman" w:cs="Times New Roman"/>
                <w:sz w:val="20"/>
                <w:szCs w:val="20"/>
              </w:rPr>
              <w:t xml:space="preserve">$600 (2017) and was </w:t>
            </w:r>
            <w:r w:rsidR="000A4EF9" w:rsidRPr="00884186">
              <w:rPr>
                <w:rFonts w:ascii="Times New Roman" w:hAnsi="Times New Roman" w:cs="Times New Roman"/>
                <w:sz w:val="20"/>
                <w:szCs w:val="20"/>
              </w:rPr>
              <w:t>$660 in 201</w:t>
            </w:r>
            <w:r w:rsidR="00710A40" w:rsidRPr="00884186">
              <w:rPr>
                <w:rFonts w:ascii="Times New Roman" w:hAnsi="Times New Roman" w:cs="Times New Roman"/>
                <w:sz w:val="20"/>
                <w:szCs w:val="20"/>
              </w:rPr>
              <w:t>4</w:t>
            </w:r>
            <w:r w:rsidR="000A4EF9" w:rsidRPr="00884186">
              <w:rPr>
                <w:rFonts w:ascii="Times New Roman" w:hAnsi="Times New Roman" w:cs="Times New Roman"/>
                <w:sz w:val="20"/>
                <w:szCs w:val="20"/>
              </w:rPr>
              <w:t xml:space="preserve"> (World Bank). With a high population growth rate and slow growth, it may not be realistic to reach middle-income status by 2020.</w:t>
            </w:r>
            <w:r w:rsidR="00A50885" w:rsidRPr="00884186">
              <w:rPr>
                <w:rFonts w:ascii="Times New Roman" w:hAnsi="Times New Roman" w:cs="Times New Roman"/>
                <w:sz w:val="20"/>
                <w:szCs w:val="20"/>
              </w:rPr>
              <w:t xml:space="preserve"> </w:t>
            </w:r>
          </w:p>
        </w:tc>
      </w:tr>
      <w:tr w:rsidR="008E760D" w:rsidRPr="00F10F3B" w14:paraId="5DA6CADD" w14:textId="5056F789" w:rsidTr="00B86D0C">
        <w:trPr>
          <w:trHeight w:val="283"/>
        </w:trPr>
        <w:tc>
          <w:tcPr>
            <w:tcW w:w="814" w:type="pct"/>
          </w:tcPr>
          <w:p w14:paraId="266ED71C" w14:textId="63968417" w:rsidR="004E568E" w:rsidRPr="00884186" w:rsidRDefault="00315D8E"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t>Outcomes:</w:t>
            </w:r>
            <w:r w:rsidRPr="00884186">
              <w:rPr>
                <w:rFonts w:ascii="Times New Roman" w:hAnsi="Times New Roman" w:cs="Times New Roman"/>
                <w:sz w:val="20"/>
                <w:szCs w:val="20"/>
              </w:rPr>
              <w:t xml:space="preserve"> What has to change for the long-term goal to happen?</w:t>
            </w:r>
          </w:p>
        </w:tc>
        <w:tc>
          <w:tcPr>
            <w:tcW w:w="1776" w:type="pct"/>
          </w:tcPr>
          <w:p w14:paraId="4C5EF6CE" w14:textId="46FE6434" w:rsidR="00D545F9" w:rsidRPr="00884186" w:rsidRDefault="00170448"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To achieve the long-term goal (middle-income status)</w:t>
            </w:r>
            <w:r w:rsidR="00DC396A" w:rsidRPr="00884186">
              <w:rPr>
                <w:rFonts w:ascii="Times New Roman" w:hAnsi="Times New Roman" w:cs="Times New Roman"/>
                <w:sz w:val="20"/>
                <w:szCs w:val="20"/>
              </w:rPr>
              <w:t xml:space="preserve"> </w:t>
            </w:r>
            <w:r w:rsidR="00FC5892" w:rsidRPr="00884186">
              <w:rPr>
                <w:rFonts w:ascii="Times New Roman" w:hAnsi="Times New Roman" w:cs="Times New Roman"/>
                <w:sz w:val="20"/>
                <w:szCs w:val="20"/>
              </w:rPr>
              <w:t>four objectives must be achieved (</w:t>
            </w:r>
            <w:r w:rsidR="00FD732B" w:rsidRPr="00884186">
              <w:rPr>
                <w:rFonts w:ascii="Times New Roman" w:hAnsi="Times New Roman" w:cs="Times New Roman"/>
                <w:sz w:val="20"/>
                <w:szCs w:val="20"/>
              </w:rPr>
              <w:t>Page 101)</w:t>
            </w:r>
            <w:r w:rsidR="00AE2123" w:rsidRPr="00884186">
              <w:rPr>
                <w:rFonts w:ascii="Times New Roman" w:hAnsi="Times New Roman" w:cs="Times New Roman"/>
                <w:sz w:val="20"/>
                <w:szCs w:val="20"/>
              </w:rPr>
              <w:t>:</w:t>
            </w:r>
            <w:r w:rsidR="00EE5A5C" w:rsidRPr="00884186">
              <w:rPr>
                <w:rFonts w:ascii="Times New Roman" w:hAnsi="Times New Roman" w:cs="Times New Roman"/>
                <w:sz w:val="20"/>
                <w:szCs w:val="20"/>
              </w:rPr>
              <w:tab/>
            </w:r>
          </w:p>
          <w:p w14:paraId="4425595B" w14:textId="0D243EF0" w:rsidR="00AE2123" w:rsidRPr="00884186" w:rsidRDefault="00AE2123" w:rsidP="00B86D0C">
            <w:pPr>
              <w:pStyle w:val="ListParagraph"/>
              <w:numPr>
                <w:ilvl w:val="0"/>
                <w:numId w:val="13"/>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Increase sustainable production, productivity and value addition in key growth opportunities</w:t>
            </w:r>
            <w:r w:rsidR="00762097" w:rsidRPr="00884186">
              <w:rPr>
                <w:rFonts w:ascii="Times New Roman" w:hAnsi="Times New Roman" w:cs="Times New Roman"/>
                <w:sz w:val="20"/>
                <w:szCs w:val="20"/>
              </w:rPr>
              <w:t xml:space="preserve"> (agriculture, tourism, minerals and oil and gas)</w:t>
            </w:r>
            <w:r w:rsidR="004732C3" w:rsidRPr="00884186">
              <w:rPr>
                <w:rFonts w:ascii="Times New Roman" w:hAnsi="Times New Roman" w:cs="Times New Roman"/>
                <w:sz w:val="20"/>
                <w:szCs w:val="20"/>
              </w:rPr>
              <w:t>;</w:t>
            </w:r>
          </w:p>
          <w:p w14:paraId="6DBC5B8F" w14:textId="2A895B8D" w:rsidR="00485F24" w:rsidRPr="00884186" w:rsidRDefault="001F03FA" w:rsidP="00B86D0C">
            <w:pPr>
              <w:pStyle w:val="ListParagraph"/>
              <w:numPr>
                <w:ilvl w:val="0"/>
                <w:numId w:val="13"/>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Increase the stock and quality of strategic infrastructure to </w:t>
            </w:r>
            <w:r w:rsidRPr="00884186">
              <w:rPr>
                <w:rFonts w:ascii="Times New Roman" w:hAnsi="Times New Roman" w:cs="Times New Roman"/>
                <w:sz w:val="20"/>
                <w:szCs w:val="20"/>
              </w:rPr>
              <w:lastRenderedPageBreak/>
              <w:t>accelerate the country’s competitiveness</w:t>
            </w:r>
            <w:r w:rsidR="004732C3" w:rsidRPr="00884186">
              <w:rPr>
                <w:rFonts w:ascii="Times New Roman" w:hAnsi="Times New Roman" w:cs="Times New Roman"/>
                <w:sz w:val="20"/>
                <w:szCs w:val="20"/>
              </w:rPr>
              <w:t>;</w:t>
            </w:r>
          </w:p>
          <w:p w14:paraId="676973D7" w14:textId="7358B02C" w:rsidR="001F03FA" w:rsidRPr="00884186" w:rsidRDefault="001F03FA" w:rsidP="00B86D0C">
            <w:pPr>
              <w:pStyle w:val="ListParagraph"/>
              <w:numPr>
                <w:ilvl w:val="0"/>
                <w:numId w:val="13"/>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Enhance human capital development</w:t>
            </w:r>
            <w:r w:rsidR="004732C3" w:rsidRPr="00884186">
              <w:rPr>
                <w:rFonts w:ascii="Times New Roman" w:hAnsi="Times New Roman" w:cs="Times New Roman"/>
                <w:sz w:val="20"/>
                <w:szCs w:val="20"/>
              </w:rPr>
              <w:t>; and</w:t>
            </w:r>
          </w:p>
          <w:p w14:paraId="053F04C6" w14:textId="1FFD918A" w:rsidR="00B24F5F" w:rsidRPr="00884186" w:rsidRDefault="001F03FA" w:rsidP="00B86D0C">
            <w:pPr>
              <w:pStyle w:val="ListParagraph"/>
              <w:numPr>
                <w:ilvl w:val="0"/>
                <w:numId w:val="13"/>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Strengthen mechanisms for quality, effective and efficient service delivery</w:t>
            </w:r>
            <w:r w:rsidR="004732C3" w:rsidRPr="00884186">
              <w:rPr>
                <w:rFonts w:ascii="Times New Roman" w:hAnsi="Times New Roman" w:cs="Times New Roman"/>
                <w:sz w:val="20"/>
                <w:szCs w:val="20"/>
              </w:rPr>
              <w:t>.</w:t>
            </w:r>
          </w:p>
        </w:tc>
        <w:tc>
          <w:tcPr>
            <w:tcW w:w="2410" w:type="pct"/>
          </w:tcPr>
          <w:p w14:paraId="7A346DCA" w14:textId="77777777" w:rsidR="00C77832" w:rsidRPr="00884186" w:rsidRDefault="00CA2A6C"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lastRenderedPageBreak/>
              <w:t>The logic proposed in NDPII is that by increasing sustainable production, productivity and value addition in key growth areas, the stock and quality of infrastructure, human capital development and service delivery mechanisms, Uganda will</w:t>
            </w:r>
            <w:r w:rsidR="00507482" w:rsidRPr="00884186">
              <w:rPr>
                <w:rFonts w:ascii="Times New Roman" w:hAnsi="Times New Roman" w:cs="Times New Roman"/>
                <w:sz w:val="20"/>
                <w:szCs w:val="20"/>
              </w:rPr>
              <w:t xml:space="preserve"> </w:t>
            </w:r>
            <w:r w:rsidRPr="00884186">
              <w:rPr>
                <w:rFonts w:ascii="Times New Roman" w:hAnsi="Times New Roman" w:cs="Times New Roman"/>
                <w:sz w:val="20"/>
                <w:szCs w:val="20"/>
              </w:rPr>
              <w:t>achieve middle-income status.</w:t>
            </w:r>
            <w:r w:rsidR="00B163C8" w:rsidRPr="00884186">
              <w:rPr>
                <w:rFonts w:ascii="Times New Roman" w:hAnsi="Times New Roman" w:cs="Times New Roman"/>
                <w:sz w:val="20"/>
                <w:szCs w:val="20"/>
              </w:rPr>
              <w:t xml:space="preserve"> </w:t>
            </w:r>
            <w:r w:rsidRPr="00884186">
              <w:rPr>
                <w:rFonts w:ascii="Times New Roman" w:hAnsi="Times New Roman" w:cs="Times New Roman"/>
                <w:b/>
                <w:sz w:val="20"/>
                <w:szCs w:val="20"/>
              </w:rPr>
              <w:t xml:space="preserve">This is </w:t>
            </w:r>
            <w:r w:rsidR="00D606E4" w:rsidRPr="00884186">
              <w:rPr>
                <w:rFonts w:ascii="Times New Roman" w:hAnsi="Times New Roman" w:cs="Times New Roman"/>
                <w:b/>
                <w:sz w:val="20"/>
                <w:szCs w:val="20"/>
              </w:rPr>
              <w:t xml:space="preserve">plausible </w:t>
            </w:r>
            <w:r w:rsidR="00626367" w:rsidRPr="00884186">
              <w:rPr>
                <w:rFonts w:ascii="Times New Roman" w:hAnsi="Times New Roman" w:cs="Times New Roman"/>
                <w:b/>
                <w:sz w:val="20"/>
                <w:szCs w:val="20"/>
              </w:rPr>
              <w:t xml:space="preserve">and testable </w:t>
            </w:r>
            <w:r w:rsidR="00D606E4" w:rsidRPr="00884186">
              <w:rPr>
                <w:rFonts w:ascii="Times New Roman" w:hAnsi="Times New Roman" w:cs="Times New Roman"/>
                <w:b/>
                <w:sz w:val="20"/>
                <w:szCs w:val="20"/>
              </w:rPr>
              <w:t>logic.</w:t>
            </w:r>
            <w:r w:rsidR="004732C3" w:rsidRPr="00884186">
              <w:rPr>
                <w:rFonts w:ascii="Times New Roman" w:hAnsi="Times New Roman" w:cs="Times New Roman"/>
                <w:b/>
                <w:sz w:val="20"/>
                <w:szCs w:val="20"/>
              </w:rPr>
              <w:t xml:space="preserve"> </w:t>
            </w:r>
            <w:r w:rsidR="004732C3" w:rsidRPr="00884186">
              <w:rPr>
                <w:rFonts w:ascii="Times New Roman" w:hAnsi="Times New Roman" w:cs="Times New Roman"/>
                <w:sz w:val="20"/>
                <w:szCs w:val="20"/>
              </w:rPr>
              <w:t>The objectiv</w:t>
            </w:r>
            <w:r w:rsidR="00572C27" w:rsidRPr="00884186">
              <w:rPr>
                <w:rFonts w:ascii="Times New Roman" w:hAnsi="Times New Roman" w:cs="Times New Roman"/>
                <w:sz w:val="20"/>
                <w:szCs w:val="20"/>
              </w:rPr>
              <w:t>es</w:t>
            </w:r>
            <w:r w:rsidR="005249F0" w:rsidRPr="00884186">
              <w:rPr>
                <w:rFonts w:ascii="Times New Roman" w:hAnsi="Times New Roman" w:cs="Times New Roman"/>
                <w:sz w:val="20"/>
                <w:szCs w:val="20"/>
              </w:rPr>
              <w:t>, if successfully implemented,</w:t>
            </w:r>
            <w:r w:rsidR="00572C27" w:rsidRPr="00884186">
              <w:rPr>
                <w:rFonts w:ascii="Times New Roman" w:hAnsi="Times New Roman" w:cs="Times New Roman"/>
                <w:sz w:val="20"/>
                <w:szCs w:val="20"/>
              </w:rPr>
              <w:t xml:space="preserve"> should grow the economy whils</w:t>
            </w:r>
            <w:r w:rsidR="00D05677" w:rsidRPr="00884186">
              <w:rPr>
                <w:rFonts w:ascii="Times New Roman" w:hAnsi="Times New Roman" w:cs="Times New Roman"/>
                <w:sz w:val="20"/>
                <w:szCs w:val="20"/>
              </w:rPr>
              <w:t xml:space="preserve">t developing an educated and healthy population. </w:t>
            </w:r>
          </w:p>
          <w:p w14:paraId="336310EC" w14:textId="42833484" w:rsidR="00CA2A6C" w:rsidRPr="00884186" w:rsidRDefault="00E26D26"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To</w:t>
            </w:r>
            <w:r w:rsidR="00B163C8" w:rsidRPr="00884186">
              <w:rPr>
                <w:rFonts w:ascii="Times New Roman" w:hAnsi="Times New Roman" w:cs="Times New Roman"/>
                <w:sz w:val="20"/>
                <w:szCs w:val="20"/>
              </w:rPr>
              <w:t xml:space="preserve"> improve the logic</w:t>
            </w:r>
            <w:r w:rsidR="00CF50F3" w:rsidRPr="00884186">
              <w:rPr>
                <w:rFonts w:ascii="Times New Roman" w:hAnsi="Times New Roman" w:cs="Times New Roman"/>
                <w:sz w:val="20"/>
                <w:szCs w:val="20"/>
              </w:rPr>
              <w:t xml:space="preserve"> further</w:t>
            </w:r>
            <w:r w:rsidR="00B163C8" w:rsidRPr="00884186">
              <w:rPr>
                <w:rFonts w:ascii="Times New Roman" w:hAnsi="Times New Roman" w:cs="Times New Roman"/>
                <w:sz w:val="20"/>
                <w:szCs w:val="20"/>
              </w:rPr>
              <w:t>, the NDPII and NDPII</w:t>
            </w:r>
            <w:r w:rsidR="00CF50F3" w:rsidRPr="00884186">
              <w:rPr>
                <w:rFonts w:ascii="Times New Roman" w:hAnsi="Times New Roman" w:cs="Times New Roman"/>
                <w:sz w:val="20"/>
                <w:szCs w:val="20"/>
              </w:rPr>
              <w:t>I</w:t>
            </w:r>
            <w:r w:rsidR="00B163C8" w:rsidRPr="00884186">
              <w:rPr>
                <w:rFonts w:ascii="Times New Roman" w:hAnsi="Times New Roman" w:cs="Times New Roman"/>
                <w:sz w:val="20"/>
                <w:szCs w:val="20"/>
              </w:rPr>
              <w:t xml:space="preserve"> could explicitly define the key terms </w:t>
            </w:r>
            <w:r w:rsidR="0048099B" w:rsidRPr="00884186">
              <w:rPr>
                <w:rFonts w:ascii="Times New Roman" w:hAnsi="Times New Roman" w:cs="Times New Roman"/>
                <w:sz w:val="20"/>
                <w:szCs w:val="20"/>
              </w:rPr>
              <w:t xml:space="preserve">early </w:t>
            </w:r>
            <w:r w:rsidR="0048099B" w:rsidRPr="00884186">
              <w:rPr>
                <w:rFonts w:ascii="Times New Roman" w:hAnsi="Times New Roman" w:cs="Times New Roman"/>
                <w:sz w:val="20"/>
                <w:szCs w:val="20"/>
              </w:rPr>
              <w:lastRenderedPageBreak/>
              <w:t xml:space="preserve">on in </w:t>
            </w:r>
            <w:r w:rsidR="00A2743E" w:rsidRPr="00884186">
              <w:rPr>
                <w:rFonts w:ascii="Times New Roman" w:hAnsi="Times New Roman" w:cs="Times New Roman"/>
                <w:sz w:val="20"/>
                <w:szCs w:val="20"/>
              </w:rPr>
              <w:t xml:space="preserve">Chapter 4 (strategic direction) </w:t>
            </w:r>
            <w:r w:rsidR="00B163C8" w:rsidRPr="00884186">
              <w:rPr>
                <w:rFonts w:ascii="Times New Roman" w:hAnsi="Times New Roman" w:cs="Times New Roman"/>
                <w:sz w:val="20"/>
                <w:szCs w:val="20"/>
              </w:rPr>
              <w:t xml:space="preserve">e.g. </w:t>
            </w:r>
            <w:r w:rsidR="00DD7B27" w:rsidRPr="00884186">
              <w:rPr>
                <w:rFonts w:ascii="Times New Roman" w:hAnsi="Times New Roman" w:cs="Times New Roman"/>
                <w:sz w:val="20"/>
                <w:szCs w:val="20"/>
              </w:rPr>
              <w:t>strategic infrastructure</w:t>
            </w:r>
            <w:r w:rsidR="009D5A53" w:rsidRPr="00884186">
              <w:rPr>
                <w:rFonts w:ascii="Times New Roman" w:hAnsi="Times New Roman" w:cs="Times New Roman"/>
                <w:sz w:val="20"/>
                <w:szCs w:val="20"/>
              </w:rPr>
              <w:t xml:space="preserve"> or could </w:t>
            </w:r>
            <w:r w:rsidR="002E468E" w:rsidRPr="00884186">
              <w:rPr>
                <w:rFonts w:ascii="Times New Roman" w:hAnsi="Times New Roman" w:cs="Times New Roman"/>
                <w:sz w:val="20"/>
                <w:szCs w:val="20"/>
              </w:rPr>
              <w:t>sign-post the reader to where they can find clarity on key terms</w:t>
            </w:r>
            <w:r w:rsidR="00A2743E" w:rsidRPr="00884186">
              <w:rPr>
                <w:rFonts w:ascii="Times New Roman" w:hAnsi="Times New Roman" w:cs="Times New Roman"/>
                <w:sz w:val="20"/>
                <w:szCs w:val="20"/>
              </w:rPr>
              <w:t>.</w:t>
            </w:r>
            <w:r w:rsidR="00B163C8" w:rsidRPr="00884186">
              <w:rPr>
                <w:rFonts w:ascii="Times New Roman" w:hAnsi="Times New Roman" w:cs="Times New Roman"/>
                <w:sz w:val="20"/>
                <w:szCs w:val="20"/>
              </w:rPr>
              <w:t xml:space="preserve"> This would help ensure that stakeholders have a common understanding</w:t>
            </w:r>
            <w:r w:rsidR="002E468E" w:rsidRPr="00884186">
              <w:rPr>
                <w:rFonts w:ascii="Times New Roman" w:hAnsi="Times New Roman" w:cs="Times New Roman"/>
                <w:sz w:val="20"/>
                <w:szCs w:val="20"/>
              </w:rPr>
              <w:t xml:space="preserve">. </w:t>
            </w:r>
          </w:p>
        </w:tc>
      </w:tr>
      <w:tr w:rsidR="008E760D" w:rsidRPr="00F10F3B" w14:paraId="2654E585" w14:textId="2789CB18" w:rsidTr="00B86D0C">
        <w:trPr>
          <w:trHeight w:val="283"/>
        </w:trPr>
        <w:tc>
          <w:tcPr>
            <w:tcW w:w="814" w:type="pct"/>
          </w:tcPr>
          <w:p w14:paraId="62C15D32" w14:textId="4CC51579" w:rsidR="004E568E" w:rsidRPr="00884186" w:rsidRDefault="00771CD8"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lastRenderedPageBreak/>
              <w:t>Inputs and outputs:</w:t>
            </w:r>
            <w:r w:rsidRPr="00884186">
              <w:rPr>
                <w:rFonts w:ascii="Times New Roman" w:hAnsi="Times New Roman" w:cs="Times New Roman"/>
                <w:sz w:val="20"/>
                <w:szCs w:val="20"/>
              </w:rPr>
              <w:t xml:space="preserve"> </w:t>
            </w:r>
            <w:r w:rsidR="00315D8E" w:rsidRPr="00884186">
              <w:rPr>
                <w:rFonts w:ascii="Times New Roman" w:hAnsi="Times New Roman" w:cs="Times New Roman"/>
                <w:sz w:val="20"/>
                <w:szCs w:val="20"/>
              </w:rPr>
              <w:t xml:space="preserve">What </w:t>
            </w:r>
            <w:r w:rsidR="00315D8E" w:rsidRPr="00884186">
              <w:rPr>
                <w:rFonts w:ascii="Times New Roman" w:hAnsi="Times New Roman" w:cs="Times New Roman"/>
                <w:i/>
                <w:sz w:val="20"/>
                <w:szCs w:val="20"/>
              </w:rPr>
              <w:t xml:space="preserve">interventions </w:t>
            </w:r>
            <w:r w:rsidR="00315D8E" w:rsidRPr="00884186">
              <w:rPr>
                <w:rFonts w:ascii="Times New Roman" w:hAnsi="Times New Roman" w:cs="Times New Roman"/>
                <w:sz w:val="20"/>
                <w:szCs w:val="20"/>
              </w:rPr>
              <w:t>will lead to the desired outcomes?</w:t>
            </w:r>
          </w:p>
        </w:tc>
        <w:tc>
          <w:tcPr>
            <w:tcW w:w="1776" w:type="pct"/>
          </w:tcPr>
          <w:p w14:paraId="1ADA67E9" w14:textId="754088CB" w:rsidR="007F1737" w:rsidRPr="00884186" w:rsidRDefault="00CF2213"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To achieve the </w:t>
            </w:r>
            <w:r w:rsidR="0080158E" w:rsidRPr="00884186">
              <w:rPr>
                <w:rFonts w:ascii="Times New Roman" w:hAnsi="Times New Roman" w:cs="Times New Roman"/>
                <w:sz w:val="20"/>
                <w:szCs w:val="20"/>
              </w:rPr>
              <w:t xml:space="preserve">four </w:t>
            </w:r>
            <w:r w:rsidRPr="00884186">
              <w:rPr>
                <w:rFonts w:ascii="Times New Roman" w:hAnsi="Times New Roman" w:cs="Times New Roman"/>
                <w:sz w:val="20"/>
                <w:szCs w:val="20"/>
              </w:rPr>
              <w:t>objectives,</w:t>
            </w:r>
            <w:r w:rsidR="0080158E" w:rsidRPr="00884186">
              <w:rPr>
                <w:rFonts w:ascii="Times New Roman" w:hAnsi="Times New Roman" w:cs="Times New Roman"/>
                <w:sz w:val="20"/>
                <w:szCs w:val="20"/>
              </w:rPr>
              <w:t xml:space="preserve"> n</w:t>
            </w:r>
            <w:r w:rsidR="00AB1FE3" w:rsidRPr="00884186">
              <w:rPr>
                <w:rFonts w:ascii="Times New Roman" w:hAnsi="Times New Roman" w:cs="Times New Roman"/>
                <w:sz w:val="20"/>
                <w:szCs w:val="20"/>
              </w:rPr>
              <w:t>ine</w:t>
            </w:r>
            <w:r w:rsidR="007F1737" w:rsidRPr="00884186">
              <w:rPr>
                <w:rFonts w:ascii="Times New Roman" w:hAnsi="Times New Roman" w:cs="Times New Roman"/>
                <w:sz w:val="20"/>
                <w:szCs w:val="20"/>
              </w:rPr>
              <w:t xml:space="preserve"> development strategies will be pursued</w:t>
            </w:r>
            <w:r w:rsidR="0080158E" w:rsidRPr="00884186">
              <w:rPr>
                <w:rFonts w:ascii="Times New Roman" w:hAnsi="Times New Roman" w:cs="Times New Roman"/>
                <w:sz w:val="20"/>
                <w:szCs w:val="20"/>
              </w:rPr>
              <w:t xml:space="preserve"> (Page 101). </w:t>
            </w:r>
            <w:r w:rsidR="007F1737" w:rsidRPr="00884186">
              <w:rPr>
                <w:rFonts w:ascii="Times New Roman" w:hAnsi="Times New Roman" w:cs="Times New Roman"/>
                <w:sz w:val="20"/>
                <w:szCs w:val="20"/>
              </w:rPr>
              <w:t>These are:</w:t>
            </w:r>
          </w:p>
          <w:p w14:paraId="377AB6D0" w14:textId="76DDD1AC" w:rsidR="007F1737" w:rsidRPr="00884186" w:rsidRDefault="007F1737"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Fiscal expansion </w:t>
            </w:r>
            <w:r w:rsidR="00FF7F3C" w:rsidRPr="00884186">
              <w:rPr>
                <w:rFonts w:ascii="Times New Roman" w:hAnsi="Times New Roman" w:cs="Times New Roman"/>
                <w:sz w:val="20"/>
                <w:szCs w:val="20"/>
              </w:rPr>
              <w:t>to support i</w:t>
            </w:r>
            <w:r w:rsidRPr="00884186">
              <w:rPr>
                <w:rFonts w:ascii="Times New Roman" w:hAnsi="Times New Roman" w:cs="Times New Roman"/>
                <w:sz w:val="20"/>
                <w:szCs w:val="20"/>
              </w:rPr>
              <w:t>nfrastructure investment</w:t>
            </w:r>
            <w:r w:rsidR="009A6C50" w:rsidRPr="00884186">
              <w:rPr>
                <w:rFonts w:ascii="Times New Roman" w:hAnsi="Times New Roman" w:cs="Times New Roman"/>
                <w:sz w:val="20"/>
                <w:szCs w:val="20"/>
              </w:rPr>
              <w:t xml:space="preserve"> (concessional and semi-concessional financing and other development support facilities</w:t>
            </w:r>
            <w:r w:rsidR="00FF7F3C" w:rsidRPr="00884186">
              <w:rPr>
                <w:rFonts w:ascii="Times New Roman" w:hAnsi="Times New Roman" w:cs="Times New Roman"/>
                <w:sz w:val="20"/>
                <w:szCs w:val="20"/>
              </w:rPr>
              <w:t xml:space="preserve"> alongside maintain macroeconomic stability)</w:t>
            </w:r>
          </w:p>
          <w:p w14:paraId="1B4A746B" w14:textId="66E7DAD4" w:rsidR="007F1737" w:rsidRPr="00884186" w:rsidRDefault="007F1737"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Industrialisation</w:t>
            </w:r>
            <w:r w:rsidR="00B75987" w:rsidRPr="00884186">
              <w:rPr>
                <w:rFonts w:ascii="Times New Roman" w:hAnsi="Times New Roman" w:cs="Times New Roman"/>
                <w:sz w:val="20"/>
                <w:szCs w:val="20"/>
              </w:rPr>
              <w:t xml:space="preserve"> (promotion of value addition activities and manufacturing </w:t>
            </w:r>
            <w:r w:rsidR="00E80D24" w:rsidRPr="00884186">
              <w:rPr>
                <w:rFonts w:ascii="Times New Roman" w:hAnsi="Times New Roman" w:cs="Times New Roman"/>
                <w:sz w:val="20"/>
                <w:szCs w:val="20"/>
              </w:rPr>
              <w:t>throug</w:t>
            </w:r>
            <w:r w:rsidR="00363557" w:rsidRPr="00884186">
              <w:rPr>
                <w:rFonts w:ascii="Times New Roman" w:hAnsi="Times New Roman" w:cs="Times New Roman"/>
                <w:sz w:val="20"/>
                <w:szCs w:val="20"/>
              </w:rPr>
              <w:t>h sector-specific interventions (Page 110-</w:t>
            </w:r>
            <w:r w:rsidR="00B063C7" w:rsidRPr="00884186">
              <w:rPr>
                <w:rFonts w:ascii="Times New Roman" w:hAnsi="Times New Roman" w:cs="Times New Roman"/>
                <w:sz w:val="20"/>
                <w:szCs w:val="20"/>
              </w:rPr>
              <w:t>111</w:t>
            </w:r>
            <w:r w:rsidR="0065524C" w:rsidRPr="00884186">
              <w:rPr>
                <w:rFonts w:ascii="Times New Roman" w:hAnsi="Times New Roman" w:cs="Times New Roman"/>
                <w:sz w:val="20"/>
                <w:szCs w:val="20"/>
              </w:rPr>
              <w:t xml:space="preserve"> agriculture</w:t>
            </w:r>
            <w:r w:rsidR="00B063C7" w:rsidRPr="00884186">
              <w:rPr>
                <w:rFonts w:ascii="Times New Roman" w:hAnsi="Times New Roman" w:cs="Times New Roman"/>
                <w:sz w:val="20"/>
                <w:szCs w:val="20"/>
              </w:rPr>
              <w:t>, Page</w:t>
            </w:r>
            <w:r w:rsidR="00FF2568" w:rsidRPr="00884186">
              <w:rPr>
                <w:rFonts w:ascii="Times New Roman" w:hAnsi="Times New Roman" w:cs="Times New Roman"/>
                <w:sz w:val="20"/>
                <w:szCs w:val="20"/>
              </w:rPr>
              <w:t xml:space="preserve"> 114-115 </w:t>
            </w:r>
            <w:r w:rsidR="00364236" w:rsidRPr="00884186">
              <w:rPr>
                <w:rFonts w:ascii="Times New Roman" w:hAnsi="Times New Roman" w:cs="Times New Roman"/>
                <w:sz w:val="20"/>
                <w:szCs w:val="20"/>
              </w:rPr>
              <w:t>minerals, oil and gas</w:t>
            </w:r>
            <w:r w:rsidR="00CE0C5D" w:rsidRPr="00884186">
              <w:rPr>
                <w:rFonts w:ascii="Times New Roman" w:hAnsi="Times New Roman" w:cs="Times New Roman"/>
                <w:sz w:val="20"/>
                <w:szCs w:val="20"/>
              </w:rPr>
              <w:t>)</w:t>
            </w:r>
          </w:p>
          <w:p w14:paraId="032825AD" w14:textId="03A2C55F" w:rsidR="007F1737" w:rsidRPr="00884186" w:rsidRDefault="007F1737"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Fast tracking skills development</w:t>
            </w:r>
            <w:r w:rsidR="00D54EFA" w:rsidRPr="00884186">
              <w:rPr>
                <w:rFonts w:ascii="Times New Roman" w:hAnsi="Times New Roman" w:cs="Times New Roman"/>
                <w:sz w:val="20"/>
                <w:szCs w:val="20"/>
              </w:rPr>
              <w:t xml:space="preserve"> </w:t>
            </w:r>
            <w:r w:rsidR="00B01EFF" w:rsidRPr="00884186">
              <w:rPr>
                <w:rFonts w:ascii="Times New Roman" w:hAnsi="Times New Roman" w:cs="Times New Roman"/>
                <w:sz w:val="20"/>
                <w:szCs w:val="20"/>
              </w:rPr>
              <w:t>(establishment of five centres of excellence to build the necessary skills required in key priority areas)</w:t>
            </w:r>
          </w:p>
          <w:p w14:paraId="152796CB" w14:textId="2D636016" w:rsidR="007F1737" w:rsidRPr="00884186" w:rsidRDefault="00C81861"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Export-orientated growth</w:t>
            </w:r>
            <w:r w:rsidR="00753694" w:rsidRPr="00884186">
              <w:rPr>
                <w:rFonts w:ascii="Times New Roman" w:hAnsi="Times New Roman" w:cs="Times New Roman"/>
                <w:sz w:val="20"/>
                <w:szCs w:val="20"/>
              </w:rPr>
              <w:t xml:space="preserve"> (prioritisation of investment in energy, ICT and transport infrastructure)</w:t>
            </w:r>
          </w:p>
          <w:p w14:paraId="717DF45B" w14:textId="2223727D" w:rsidR="00C81861" w:rsidRPr="00884186" w:rsidRDefault="00C81861"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lastRenderedPageBreak/>
              <w:t>A quasi</w:t>
            </w:r>
            <w:r w:rsidR="006C3F72" w:rsidRPr="00884186">
              <w:rPr>
                <w:rFonts w:ascii="Times New Roman" w:hAnsi="Times New Roman" w:cs="Times New Roman"/>
                <w:sz w:val="20"/>
                <w:szCs w:val="20"/>
              </w:rPr>
              <w:t>-</w:t>
            </w:r>
            <w:r w:rsidRPr="00884186">
              <w:rPr>
                <w:rFonts w:ascii="Times New Roman" w:hAnsi="Times New Roman" w:cs="Times New Roman"/>
                <w:sz w:val="20"/>
                <w:szCs w:val="20"/>
              </w:rPr>
              <w:t>market approach</w:t>
            </w:r>
            <w:r w:rsidR="001A1C1F" w:rsidRPr="00884186">
              <w:rPr>
                <w:rFonts w:ascii="Times New Roman" w:hAnsi="Times New Roman" w:cs="Times New Roman"/>
                <w:sz w:val="20"/>
                <w:szCs w:val="20"/>
              </w:rPr>
              <w:t xml:space="preserve"> (creation of strategic partnership with privat</w:t>
            </w:r>
            <w:r w:rsidR="00B6571D" w:rsidRPr="00884186">
              <w:rPr>
                <w:rFonts w:ascii="Times New Roman" w:hAnsi="Times New Roman" w:cs="Times New Roman"/>
                <w:sz w:val="20"/>
                <w:szCs w:val="20"/>
              </w:rPr>
              <w:t>e</w:t>
            </w:r>
            <w:r w:rsidR="001A1C1F" w:rsidRPr="00884186">
              <w:rPr>
                <w:rFonts w:ascii="Times New Roman" w:hAnsi="Times New Roman" w:cs="Times New Roman"/>
                <w:sz w:val="20"/>
                <w:szCs w:val="20"/>
              </w:rPr>
              <w:t xml:space="preserve"> sector through PPPs</w:t>
            </w:r>
            <w:r w:rsidR="00B6571D" w:rsidRPr="00884186">
              <w:rPr>
                <w:rFonts w:ascii="Times New Roman" w:hAnsi="Times New Roman" w:cs="Times New Roman"/>
                <w:sz w:val="20"/>
                <w:szCs w:val="20"/>
              </w:rPr>
              <w:t>)</w:t>
            </w:r>
          </w:p>
          <w:p w14:paraId="5FD75CE1" w14:textId="3D12B475" w:rsidR="00C81861" w:rsidRPr="00884186" w:rsidRDefault="00C81861"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Harnessing the demographic dividend</w:t>
            </w:r>
            <w:r w:rsidR="00BA26BD" w:rsidRPr="00884186">
              <w:rPr>
                <w:rFonts w:ascii="Times New Roman" w:hAnsi="Times New Roman" w:cs="Times New Roman"/>
                <w:sz w:val="20"/>
                <w:szCs w:val="20"/>
              </w:rPr>
              <w:t xml:space="preserve"> (policies to </w:t>
            </w:r>
            <w:r w:rsidR="005D785F" w:rsidRPr="00884186">
              <w:rPr>
                <w:rFonts w:ascii="Times New Roman" w:hAnsi="Times New Roman" w:cs="Times New Roman"/>
                <w:sz w:val="20"/>
                <w:szCs w:val="20"/>
              </w:rPr>
              <w:t>accelerate a rapid decline in fertility and ensure the labour force is well educated, skilled and healthy)</w:t>
            </w:r>
          </w:p>
          <w:p w14:paraId="0DCAA204" w14:textId="726923BF" w:rsidR="00C81861" w:rsidRPr="00884186" w:rsidRDefault="00C81861"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Urbanisation</w:t>
            </w:r>
            <w:r w:rsidR="00F87CD9" w:rsidRPr="00884186">
              <w:rPr>
                <w:rFonts w:ascii="Times New Roman" w:hAnsi="Times New Roman" w:cs="Times New Roman"/>
                <w:sz w:val="20"/>
                <w:szCs w:val="20"/>
              </w:rPr>
              <w:t xml:space="preserve"> (accelerate planned and controlled urbanisation, </w:t>
            </w:r>
            <w:r w:rsidR="002163D0" w:rsidRPr="00884186">
              <w:rPr>
                <w:rFonts w:ascii="Times New Roman" w:hAnsi="Times New Roman" w:cs="Times New Roman"/>
                <w:sz w:val="20"/>
                <w:szCs w:val="20"/>
              </w:rPr>
              <w:t>ensure a link between urbanisation and modernization of agriculture and organisation of communities into cooperatives)</w:t>
            </w:r>
          </w:p>
          <w:p w14:paraId="51C4FA87" w14:textId="71D04CE4" w:rsidR="00C81861" w:rsidRPr="00884186" w:rsidRDefault="00C81861"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Strengthening governance</w:t>
            </w:r>
            <w:r w:rsidR="0012420C" w:rsidRPr="00884186">
              <w:rPr>
                <w:rFonts w:ascii="Times New Roman" w:hAnsi="Times New Roman" w:cs="Times New Roman"/>
                <w:sz w:val="20"/>
                <w:szCs w:val="20"/>
              </w:rPr>
              <w:t xml:space="preserve"> (</w:t>
            </w:r>
            <w:r w:rsidR="00FA512B" w:rsidRPr="00884186">
              <w:rPr>
                <w:rFonts w:ascii="Times New Roman" w:hAnsi="Times New Roman" w:cs="Times New Roman"/>
                <w:sz w:val="20"/>
                <w:szCs w:val="20"/>
              </w:rPr>
              <w:t>constitutional democracy, protection of human rights, rule of law, free and fair political and electoral processes</w:t>
            </w:r>
            <w:r w:rsidR="00BA1B35" w:rsidRPr="00884186">
              <w:rPr>
                <w:rFonts w:ascii="Times New Roman" w:hAnsi="Times New Roman" w:cs="Times New Roman"/>
                <w:sz w:val="20"/>
                <w:szCs w:val="20"/>
              </w:rPr>
              <w:t xml:space="preserve">, </w:t>
            </w:r>
            <w:r w:rsidR="009A2561" w:rsidRPr="00884186">
              <w:rPr>
                <w:rFonts w:ascii="Times New Roman" w:hAnsi="Times New Roman" w:cs="Times New Roman"/>
                <w:sz w:val="20"/>
                <w:szCs w:val="20"/>
              </w:rPr>
              <w:t>Government</w:t>
            </w:r>
            <w:r w:rsidR="00BA1B35" w:rsidRPr="00884186">
              <w:rPr>
                <w:rFonts w:ascii="Times New Roman" w:hAnsi="Times New Roman" w:cs="Times New Roman"/>
                <w:sz w:val="20"/>
                <w:szCs w:val="20"/>
              </w:rPr>
              <w:t xml:space="preserve"> effectiveness and regulatory quality, citizen participation)</w:t>
            </w:r>
          </w:p>
          <w:p w14:paraId="3ECBD454" w14:textId="280F15C8" w:rsidR="00C81861" w:rsidRPr="00884186" w:rsidRDefault="00AB1FE3" w:rsidP="00B86D0C">
            <w:pPr>
              <w:pStyle w:val="ListParagraph"/>
              <w:numPr>
                <w:ilvl w:val="1"/>
                <w:numId w:val="15"/>
              </w:numPr>
              <w:spacing w:line="360" w:lineRule="auto"/>
              <w:ind w:left="284" w:hanging="284"/>
              <w:contextualSpacing w:val="0"/>
              <w:rPr>
                <w:rFonts w:ascii="Times New Roman" w:hAnsi="Times New Roman" w:cs="Times New Roman"/>
                <w:sz w:val="20"/>
                <w:szCs w:val="20"/>
              </w:rPr>
            </w:pPr>
            <w:r w:rsidRPr="00884186">
              <w:rPr>
                <w:rFonts w:ascii="Times New Roman" w:hAnsi="Times New Roman" w:cs="Times New Roman"/>
                <w:sz w:val="20"/>
                <w:szCs w:val="20"/>
              </w:rPr>
              <w:t>Integrating key cross-cutting issues into programmes and projects</w:t>
            </w:r>
            <w:r w:rsidR="00151E46" w:rsidRPr="00884186">
              <w:rPr>
                <w:rFonts w:ascii="Times New Roman" w:hAnsi="Times New Roman" w:cs="Times New Roman"/>
                <w:sz w:val="20"/>
                <w:szCs w:val="20"/>
              </w:rPr>
              <w:t xml:space="preserve"> (Gender, HIV/AIDS, environment, climate change etc.)</w:t>
            </w:r>
          </w:p>
          <w:p w14:paraId="4003FCE5" w14:textId="54EF6794" w:rsidR="004E568E" w:rsidRPr="00884186" w:rsidRDefault="00DE51BA"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To achieve the four objectives </w:t>
            </w:r>
            <w:r w:rsidR="00526721" w:rsidRPr="00884186">
              <w:rPr>
                <w:rFonts w:ascii="Times New Roman" w:hAnsi="Times New Roman" w:cs="Times New Roman"/>
                <w:sz w:val="20"/>
                <w:szCs w:val="20"/>
              </w:rPr>
              <w:t xml:space="preserve">the </w:t>
            </w:r>
            <w:r w:rsidR="009A2561" w:rsidRPr="00884186">
              <w:rPr>
                <w:rFonts w:ascii="Times New Roman" w:hAnsi="Times New Roman" w:cs="Times New Roman"/>
                <w:sz w:val="20"/>
                <w:szCs w:val="20"/>
              </w:rPr>
              <w:t>Government</w:t>
            </w:r>
            <w:r w:rsidR="00526721" w:rsidRPr="00884186">
              <w:rPr>
                <w:rFonts w:ascii="Times New Roman" w:hAnsi="Times New Roman" w:cs="Times New Roman"/>
                <w:sz w:val="20"/>
                <w:szCs w:val="20"/>
              </w:rPr>
              <w:t xml:space="preserve"> will also adopt a five-pronged approach (Page 104). The approach is to:</w:t>
            </w:r>
          </w:p>
          <w:p w14:paraId="3138BE33" w14:textId="4B201F80" w:rsidR="00526721" w:rsidRPr="00884186" w:rsidRDefault="001C4142" w:rsidP="00B86D0C">
            <w:pPr>
              <w:pStyle w:val="ListParagraph"/>
              <w:numPr>
                <w:ilvl w:val="0"/>
                <w:numId w:val="16"/>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Spatial representation of projects</w:t>
            </w:r>
            <w:r w:rsidR="006A767B" w:rsidRPr="00884186">
              <w:rPr>
                <w:rFonts w:ascii="Times New Roman" w:hAnsi="Times New Roman" w:cs="Times New Roman"/>
                <w:sz w:val="20"/>
                <w:szCs w:val="20"/>
              </w:rPr>
              <w:t xml:space="preserve"> (in line with the Uganda V2040 Spatial Framework)</w:t>
            </w:r>
            <w:r w:rsidR="008A65E1" w:rsidRPr="00884186">
              <w:rPr>
                <w:rFonts w:ascii="Times New Roman" w:hAnsi="Times New Roman" w:cs="Times New Roman"/>
                <w:sz w:val="20"/>
                <w:szCs w:val="20"/>
              </w:rPr>
              <w:t xml:space="preserve"> (Page 106);</w:t>
            </w:r>
          </w:p>
          <w:p w14:paraId="7A39212A" w14:textId="2DCC21D9" w:rsidR="001C4142" w:rsidRPr="00884186" w:rsidRDefault="001B1A51" w:rsidP="00B86D0C">
            <w:pPr>
              <w:pStyle w:val="ListParagraph"/>
              <w:numPr>
                <w:ilvl w:val="0"/>
                <w:numId w:val="16"/>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lastRenderedPageBreak/>
              <w:t>Prioritization</w:t>
            </w:r>
            <w:r w:rsidR="005153DB" w:rsidRPr="00884186">
              <w:rPr>
                <w:rFonts w:ascii="Times New Roman" w:hAnsi="Times New Roman" w:cs="Times New Roman"/>
                <w:sz w:val="20"/>
                <w:szCs w:val="20"/>
              </w:rPr>
              <w:t xml:space="preserve"> of </w:t>
            </w:r>
            <w:r w:rsidR="005153DB" w:rsidRPr="00884186">
              <w:rPr>
                <w:rFonts w:ascii="Times New Roman" w:hAnsi="Times New Roman" w:cs="Times New Roman"/>
                <w:i/>
                <w:sz w:val="20"/>
                <w:szCs w:val="20"/>
              </w:rPr>
              <w:t>growth opportunities</w:t>
            </w:r>
            <w:r w:rsidR="005153DB" w:rsidRPr="00884186">
              <w:rPr>
                <w:rFonts w:ascii="Times New Roman" w:hAnsi="Times New Roman" w:cs="Times New Roman"/>
                <w:sz w:val="20"/>
                <w:szCs w:val="20"/>
              </w:rPr>
              <w:t xml:space="preserve"> and focus on </w:t>
            </w:r>
            <w:r w:rsidR="005153DB" w:rsidRPr="00884186">
              <w:rPr>
                <w:rFonts w:ascii="Times New Roman" w:hAnsi="Times New Roman" w:cs="Times New Roman"/>
                <w:i/>
                <w:sz w:val="20"/>
                <w:szCs w:val="20"/>
              </w:rPr>
              <w:t>development fundamentals</w:t>
            </w:r>
            <w:r w:rsidRPr="00884186">
              <w:rPr>
                <w:rFonts w:ascii="Times New Roman" w:hAnsi="Times New Roman" w:cs="Times New Roman"/>
                <w:i/>
                <w:sz w:val="20"/>
                <w:szCs w:val="20"/>
              </w:rPr>
              <w:t xml:space="preserve"> </w:t>
            </w:r>
            <w:r w:rsidR="008A65E1" w:rsidRPr="00884186">
              <w:rPr>
                <w:rFonts w:ascii="Times New Roman" w:hAnsi="Times New Roman" w:cs="Times New Roman"/>
                <w:sz w:val="20"/>
                <w:szCs w:val="20"/>
              </w:rPr>
              <w:t>(Page 106)</w:t>
            </w:r>
            <w:r w:rsidR="00430C5A" w:rsidRPr="00884186">
              <w:rPr>
                <w:rFonts w:ascii="Times New Roman" w:hAnsi="Times New Roman" w:cs="Times New Roman"/>
                <w:sz w:val="20"/>
                <w:szCs w:val="20"/>
              </w:rPr>
              <w:t xml:space="preserve">. </w:t>
            </w:r>
            <w:r w:rsidR="005153DB" w:rsidRPr="00884186">
              <w:rPr>
                <w:rFonts w:ascii="Times New Roman" w:hAnsi="Times New Roman" w:cs="Times New Roman"/>
                <w:sz w:val="20"/>
                <w:szCs w:val="20"/>
              </w:rPr>
              <w:t xml:space="preserve"> Growth opportunities are: agriculture, tourism, minerals, oil and gas. </w:t>
            </w:r>
            <w:r w:rsidR="000D5F0D" w:rsidRPr="00884186">
              <w:rPr>
                <w:rFonts w:ascii="Times New Roman" w:hAnsi="Times New Roman" w:cs="Times New Roman"/>
                <w:sz w:val="20"/>
                <w:szCs w:val="20"/>
              </w:rPr>
              <w:t xml:space="preserve">Development fundamentals are: infrastructure and human capital development. </w:t>
            </w:r>
          </w:p>
          <w:p w14:paraId="14CF17E4" w14:textId="4F2E85D1" w:rsidR="000051A8" w:rsidRPr="00884186" w:rsidRDefault="000051A8" w:rsidP="00B86D0C">
            <w:pPr>
              <w:pStyle w:val="ListParagraph"/>
              <w:numPr>
                <w:ilvl w:val="0"/>
                <w:numId w:val="16"/>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Employment of value chain analysis</w:t>
            </w:r>
            <w:r w:rsidR="00F833EB" w:rsidRPr="00884186">
              <w:rPr>
                <w:rFonts w:ascii="Times New Roman" w:hAnsi="Times New Roman" w:cs="Times New Roman"/>
                <w:sz w:val="20"/>
                <w:szCs w:val="20"/>
              </w:rPr>
              <w:t xml:space="preserve"> (Page 109-</w:t>
            </w:r>
            <w:r w:rsidR="006C217B" w:rsidRPr="00884186">
              <w:rPr>
                <w:rFonts w:ascii="Times New Roman" w:hAnsi="Times New Roman" w:cs="Times New Roman"/>
                <w:sz w:val="20"/>
                <w:szCs w:val="20"/>
              </w:rPr>
              <w:t>116)</w:t>
            </w:r>
          </w:p>
          <w:p w14:paraId="5A2F8BAA" w14:textId="77777777" w:rsidR="000051A8" w:rsidRPr="00884186" w:rsidRDefault="00816346" w:rsidP="00B86D0C">
            <w:pPr>
              <w:pStyle w:val="ListParagraph"/>
              <w:numPr>
                <w:ilvl w:val="0"/>
                <w:numId w:val="16"/>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Alignment of sector priorities and budget systems</w:t>
            </w:r>
          </w:p>
          <w:p w14:paraId="2F2129FF" w14:textId="53F80D11" w:rsidR="00E26FB6" w:rsidRPr="00884186" w:rsidRDefault="00816346" w:rsidP="00B86D0C">
            <w:pPr>
              <w:pStyle w:val="ListParagraph"/>
              <w:numPr>
                <w:ilvl w:val="0"/>
                <w:numId w:val="16"/>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Strengthening of key public sector institutions and involvement of non-state actors</w:t>
            </w:r>
          </w:p>
        </w:tc>
        <w:tc>
          <w:tcPr>
            <w:tcW w:w="2410" w:type="pct"/>
          </w:tcPr>
          <w:p w14:paraId="6D42783D" w14:textId="77777777" w:rsidR="00B36573" w:rsidRPr="00884186" w:rsidRDefault="00512799"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lastRenderedPageBreak/>
              <w:t xml:space="preserve">The logic proposed in NDPII is that by pursuing the 9 development strategies then </w:t>
            </w:r>
            <w:r w:rsidR="004956E7" w:rsidRPr="00884186">
              <w:rPr>
                <w:rFonts w:ascii="Times New Roman" w:hAnsi="Times New Roman" w:cs="Times New Roman"/>
                <w:sz w:val="20"/>
                <w:szCs w:val="20"/>
              </w:rPr>
              <w:t xml:space="preserve">the </w:t>
            </w:r>
            <w:r w:rsidR="00B12FA1" w:rsidRPr="00884186">
              <w:rPr>
                <w:rFonts w:ascii="Times New Roman" w:hAnsi="Times New Roman" w:cs="Times New Roman"/>
                <w:sz w:val="20"/>
                <w:szCs w:val="20"/>
              </w:rPr>
              <w:t>4</w:t>
            </w:r>
            <w:r w:rsidR="004956E7" w:rsidRPr="00884186">
              <w:rPr>
                <w:rFonts w:ascii="Times New Roman" w:hAnsi="Times New Roman" w:cs="Times New Roman"/>
                <w:sz w:val="20"/>
                <w:szCs w:val="20"/>
              </w:rPr>
              <w:t xml:space="preserve"> </w:t>
            </w:r>
            <w:r w:rsidR="00510630" w:rsidRPr="00884186">
              <w:rPr>
                <w:rFonts w:ascii="Times New Roman" w:hAnsi="Times New Roman" w:cs="Times New Roman"/>
                <w:sz w:val="20"/>
                <w:szCs w:val="20"/>
              </w:rPr>
              <w:t>O</w:t>
            </w:r>
            <w:r w:rsidR="004956E7" w:rsidRPr="00884186">
              <w:rPr>
                <w:rFonts w:ascii="Times New Roman" w:hAnsi="Times New Roman" w:cs="Times New Roman"/>
                <w:sz w:val="20"/>
                <w:szCs w:val="20"/>
              </w:rPr>
              <w:t xml:space="preserve">bjectives (production, infrastructure, human capital development and service delivery) will have been achieved. </w:t>
            </w:r>
          </w:p>
          <w:p w14:paraId="6A959A3E" w14:textId="77777777" w:rsidR="00B36573" w:rsidRPr="00884186" w:rsidRDefault="00137973"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t>This logic is testable and plausible.</w:t>
            </w:r>
            <w:r w:rsidRPr="00884186">
              <w:rPr>
                <w:rFonts w:ascii="Times New Roman" w:hAnsi="Times New Roman" w:cs="Times New Roman"/>
                <w:sz w:val="20"/>
                <w:szCs w:val="20"/>
              </w:rPr>
              <w:t xml:space="preserve"> </w:t>
            </w:r>
          </w:p>
          <w:p w14:paraId="15093C07" w14:textId="77777777" w:rsidR="00B36573" w:rsidRPr="00884186" w:rsidRDefault="00137973"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For instance, </w:t>
            </w:r>
            <w:r w:rsidR="00276B82" w:rsidRPr="00884186">
              <w:rPr>
                <w:rFonts w:ascii="Times New Roman" w:hAnsi="Times New Roman" w:cs="Times New Roman"/>
                <w:sz w:val="20"/>
                <w:szCs w:val="20"/>
              </w:rPr>
              <w:t xml:space="preserve">fiscal expansion is needed </w:t>
            </w:r>
            <w:r w:rsidR="006C3F72" w:rsidRPr="00884186">
              <w:rPr>
                <w:rFonts w:ascii="Times New Roman" w:hAnsi="Times New Roman" w:cs="Times New Roman"/>
                <w:sz w:val="20"/>
                <w:szCs w:val="20"/>
              </w:rPr>
              <w:t xml:space="preserve">to </w:t>
            </w:r>
            <w:r w:rsidR="00FA36A9" w:rsidRPr="00884186">
              <w:rPr>
                <w:rFonts w:ascii="Times New Roman" w:hAnsi="Times New Roman" w:cs="Times New Roman"/>
                <w:sz w:val="20"/>
                <w:szCs w:val="20"/>
              </w:rPr>
              <w:t xml:space="preserve">increase the stock and quality of infrastructure. </w:t>
            </w:r>
            <w:r w:rsidR="003D79BB" w:rsidRPr="00884186">
              <w:rPr>
                <w:rFonts w:ascii="Times New Roman" w:hAnsi="Times New Roman" w:cs="Times New Roman"/>
                <w:sz w:val="20"/>
                <w:szCs w:val="20"/>
              </w:rPr>
              <w:t>A focus on in</w:t>
            </w:r>
            <w:r w:rsidR="006D2BB4" w:rsidRPr="00884186">
              <w:rPr>
                <w:rFonts w:ascii="Times New Roman" w:hAnsi="Times New Roman" w:cs="Times New Roman"/>
                <w:sz w:val="20"/>
                <w:szCs w:val="20"/>
              </w:rPr>
              <w:t xml:space="preserve">dustrialisation will arguably help </w:t>
            </w:r>
            <w:r w:rsidR="00971934" w:rsidRPr="00884186">
              <w:rPr>
                <w:rFonts w:ascii="Times New Roman" w:hAnsi="Times New Roman" w:cs="Times New Roman"/>
                <w:sz w:val="20"/>
                <w:szCs w:val="20"/>
              </w:rPr>
              <w:t>increase sustainable production and productivity in key growth activitie</w:t>
            </w:r>
            <w:r w:rsidR="009F690B" w:rsidRPr="00884186">
              <w:rPr>
                <w:rFonts w:ascii="Times New Roman" w:hAnsi="Times New Roman" w:cs="Times New Roman"/>
                <w:sz w:val="20"/>
                <w:szCs w:val="20"/>
              </w:rPr>
              <w:t>s (e.g. agro-processing).</w:t>
            </w:r>
            <w:r w:rsidR="002965FF" w:rsidRPr="00884186">
              <w:rPr>
                <w:rFonts w:ascii="Times New Roman" w:hAnsi="Times New Roman" w:cs="Times New Roman"/>
                <w:sz w:val="20"/>
                <w:szCs w:val="20"/>
              </w:rPr>
              <w:t xml:space="preserve"> </w:t>
            </w:r>
          </w:p>
          <w:p w14:paraId="59A0F263" w14:textId="6CF4D0A8" w:rsidR="00943AD2" w:rsidRPr="00884186" w:rsidRDefault="00566097"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t xml:space="preserve">The logic could however be strengthened </w:t>
            </w:r>
            <w:r w:rsidR="00333828" w:rsidRPr="00884186">
              <w:rPr>
                <w:rFonts w:ascii="Times New Roman" w:hAnsi="Times New Roman" w:cs="Times New Roman"/>
                <w:b/>
                <w:sz w:val="20"/>
                <w:szCs w:val="20"/>
              </w:rPr>
              <w:t>by</w:t>
            </w:r>
            <w:r w:rsidRPr="00884186">
              <w:rPr>
                <w:rFonts w:ascii="Times New Roman" w:hAnsi="Times New Roman" w:cs="Times New Roman"/>
                <w:b/>
                <w:sz w:val="20"/>
                <w:szCs w:val="20"/>
              </w:rPr>
              <w:t xml:space="preserve"> explicitly stating how the interventions</w:t>
            </w:r>
            <w:r w:rsidR="00333828" w:rsidRPr="00884186">
              <w:rPr>
                <w:rFonts w:ascii="Times New Roman" w:hAnsi="Times New Roman" w:cs="Times New Roman"/>
                <w:b/>
                <w:sz w:val="20"/>
                <w:szCs w:val="20"/>
              </w:rPr>
              <w:t xml:space="preserve"> (</w:t>
            </w:r>
            <w:r w:rsidR="002D57EF" w:rsidRPr="00884186">
              <w:rPr>
                <w:rFonts w:ascii="Times New Roman" w:hAnsi="Times New Roman" w:cs="Times New Roman"/>
                <w:b/>
                <w:sz w:val="20"/>
                <w:szCs w:val="20"/>
              </w:rPr>
              <w:t xml:space="preserve">9 </w:t>
            </w:r>
            <w:r w:rsidR="00333828" w:rsidRPr="00884186">
              <w:rPr>
                <w:rFonts w:ascii="Times New Roman" w:hAnsi="Times New Roman" w:cs="Times New Roman"/>
                <w:b/>
                <w:sz w:val="20"/>
                <w:szCs w:val="20"/>
              </w:rPr>
              <w:t xml:space="preserve">strategies and </w:t>
            </w:r>
            <w:r w:rsidR="002D57EF" w:rsidRPr="00884186">
              <w:rPr>
                <w:rFonts w:ascii="Times New Roman" w:hAnsi="Times New Roman" w:cs="Times New Roman"/>
                <w:b/>
                <w:sz w:val="20"/>
                <w:szCs w:val="20"/>
              </w:rPr>
              <w:t xml:space="preserve">5 </w:t>
            </w:r>
            <w:r w:rsidR="00333828" w:rsidRPr="00884186">
              <w:rPr>
                <w:rFonts w:ascii="Times New Roman" w:hAnsi="Times New Roman" w:cs="Times New Roman"/>
                <w:b/>
                <w:sz w:val="20"/>
                <w:szCs w:val="20"/>
              </w:rPr>
              <w:t>approaches)</w:t>
            </w:r>
            <w:r w:rsidRPr="00884186">
              <w:rPr>
                <w:rFonts w:ascii="Times New Roman" w:hAnsi="Times New Roman" w:cs="Times New Roman"/>
                <w:b/>
                <w:sz w:val="20"/>
                <w:szCs w:val="20"/>
              </w:rPr>
              <w:t xml:space="preserve"> </w:t>
            </w:r>
            <w:r w:rsidR="00F3736F" w:rsidRPr="00884186">
              <w:rPr>
                <w:rFonts w:ascii="Times New Roman" w:hAnsi="Times New Roman" w:cs="Times New Roman"/>
                <w:b/>
                <w:sz w:val="20"/>
                <w:szCs w:val="20"/>
              </w:rPr>
              <w:t xml:space="preserve">will help in the achievement of the </w:t>
            </w:r>
            <w:r w:rsidR="00333828" w:rsidRPr="00884186">
              <w:rPr>
                <w:rFonts w:ascii="Times New Roman" w:hAnsi="Times New Roman" w:cs="Times New Roman"/>
                <w:b/>
                <w:sz w:val="20"/>
                <w:szCs w:val="20"/>
              </w:rPr>
              <w:t>objectives</w:t>
            </w:r>
            <w:r w:rsidR="00333828" w:rsidRPr="00884186">
              <w:rPr>
                <w:rFonts w:ascii="Times New Roman" w:hAnsi="Times New Roman" w:cs="Times New Roman"/>
                <w:sz w:val="20"/>
                <w:szCs w:val="20"/>
              </w:rPr>
              <w:t>. For instance</w:t>
            </w:r>
            <w:r w:rsidR="00C72059" w:rsidRPr="00884186">
              <w:rPr>
                <w:rFonts w:ascii="Times New Roman" w:hAnsi="Times New Roman" w:cs="Times New Roman"/>
                <w:sz w:val="20"/>
                <w:szCs w:val="20"/>
              </w:rPr>
              <w:t>, how wil</w:t>
            </w:r>
            <w:r w:rsidR="00B33DB9" w:rsidRPr="00884186">
              <w:rPr>
                <w:rFonts w:ascii="Times New Roman" w:hAnsi="Times New Roman" w:cs="Times New Roman"/>
                <w:sz w:val="20"/>
                <w:szCs w:val="20"/>
              </w:rPr>
              <w:t xml:space="preserve">l </w:t>
            </w:r>
            <w:r w:rsidR="002D57EF" w:rsidRPr="00884186">
              <w:rPr>
                <w:rFonts w:ascii="Times New Roman" w:hAnsi="Times New Roman" w:cs="Times New Roman"/>
                <w:sz w:val="20"/>
                <w:szCs w:val="20"/>
              </w:rPr>
              <w:t xml:space="preserve">a quasi-market </w:t>
            </w:r>
            <w:r w:rsidR="00FC1EB7" w:rsidRPr="00884186">
              <w:rPr>
                <w:rFonts w:ascii="Times New Roman" w:hAnsi="Times New Roman" w:cs="Times New Roman"/>
                <w:sz w:val="20"/>
                <w:szCs w:val="20"/>
              </w:rPr>
              <w:t xml:space="preserve">strategy </w:t>
            </w:r>
            <w:r w:rsidR="002D57EF" w:rsidRPr="00884186">
              <w:rPr>
                <w:rFonts w:ascii="Times New Roman" w:hAnsi="Times New Roman" w:cs="Times New Roman"/>
                <w:sz w:val="20"/>
                <w:szCs w:val="20"/>
              </w:rPr>
              <w:t xml:space="preserve">support </w:t>
            </w:r>
            <w:r w:rsidR="00FC1EB7" w:rsidRPr="00884186">
              <w:rPr>
                <w:rFonts w:ascii="Times New Roman" w:hAnsi="Times New Roman" w:cs="Times New Roman"/>
                <w:sz w:val="20"/>
                <w:szCs w:val="20"/>
              </w:rPr>
              <w:t xml:space="preserve">the increase of sustainable production, productivity and value addition in key growth areas? </w:t>
            </w:r>
            <w:r w:rsidR="00B816B1" w:rsidRPr="00884186">
              <w:rPr>
                <w:rFonts w:ascii="Times New Roman" w:hAnsi="Times New Roman" w:cs="Times New Roman"/>
                <w:sz w:val="20"/>
                <w:szCs w:val="20"/>
              </w:rPr>
              <w:t xml:space="preserve">Clearly reducing barriers to entry and private sector participation will help increase productivity but </w:t>
            </w:r>
            <w:r w:rsidR="00E65BF2" w:rsidRPr="00884186">
              <w:rPr>
                <w:rFonts w:ascii="Times New Roman" w:hAnsi="Times New Roman" w:cs="Times New Roman"/>
                <w:sz w:val="20"/>
                <w:szCs w:val="20"/>
              </w:rPr>
              <w:t xml:space="preserve">explicitly explaining the linkage – in clear, plain English – will strengthen the buy-in and understanding of the logic. </w:t>
            </w:r>
            <w:r w:rsidR="003C19EC" w:rsidRPr="00884186">
              <w:rPr>
                <w:rFonts w:ascii="Times New Roman" w:hAnsi="Times New Roman" w:cs="Times New Roman"/>
                <w:sz w:val="20"/>
                <w:szCs w:val="20"/>
              </w:rPr>
              <w:t xml:space="preserve">Alternatively, for the remaining years of NDPII or NDPIII, the </w:t>
            </w:r>
            <w:r w:rsidR="009A2561" w:rsidRPr="00884186">
              <w:rPr>
                <w:rFonts w:ascii="Times New Roman" w:hAnsi="Times New Roman" w:cs="Times New Roman"/>
                <w:sz w:val="20"/>
                <w:szCs w:val="20"/>
              </w:rPr>
              <w:t>Government</w:t>
            </w:r>
            <w:r w:rsidR="003C19EC" w:rsidRPr="00884186">
              <w:rPr>
                <w:rFonts w:ascii="Times New Roman" w:hAnsi="Times New Roman" w:cs="Times New Roman"/>
                <w:sz w:val="20"/>
                <w:szCs w:val="20"/>
              </w:rPr>
              <w:t xml:space="preserve"> may wish to articulate the logic between the interventions (9 strategies and 5 approaches) </w:t>
            </w:r>
            <w:r w:rsidR="00BF6961" w:rsidRPr="00884186">
              <w:rPr>
                <w:rFonts w:ascii="Times New Roman" w:hAnsi="Times New Roman" w:cs="Times New Roman"/>
                <w:sz w:val="20"/>
                <w:szCs w:val="20"/>
              </w:rPr>
              <w:t xml:space="preserve">to the objectives by explaining the logic in pictorial form. </w:t>
            </w:r>
          </w:p>
          <w:p w14:paraId="51309A84" w14:textId="28971D34" w:rsidR="00943AD2" w:rsidRPr="00884186" w:rsidRDefault="00943AD2"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lastRenderedPageBreak/>
              <w:t>The logic could also be supported by providing evidence</w:t>
            </w:r>
            <w:r w:rsidRPr="00884186">
              <w:rPr>
                <w:rFonts w:ascii="Times New Roman" w:hAnsi="Times New Roman" w:cs="Times New Roman"/>
                <w:sz w:val="20"/>
                <w:szCs w:val="20"/>
              </w:rPr>
              <w:t xml:space="preserve"> as to why </w:t>
            </w:r>
            <w:r w:rsidR="009A2561" w:rsidRPr="00884186">
              <w:rPr>
                <w:rFonts w:ascii="Times New Roman" w:hAnsi="Times New Roman" w:cs="Times New Roman"/>
                <w:sz w:val="20"/>
                <w:szCs w:val="20"/>
              </w:rPr>
              <w:t>Government</w:t>
            </w:r>
            <w:r w:rsidRPr="00884186">
              <w:rPr>
                <w:rFonts w:ascii="Times New Roman" w:hAnsi="Times New Roman" w:cs="Times New Roman"/>
                <w:sz w:val="20"/>
                <w:szCs w:val="20"/>
              </w:rPr>
              <w:t xml:space="preserve"> believes the interventions will help bring about the objectives. </w:t>
            </w:r>
            <w:r w:rsidR="005B71C0" w:rsidRPr="00884186">
              <w:rPr>
                <w:rFonts w:ascii="Times New Roman" w:hAnsi="Times New Roman" w:cs="Times New Roman"/>
                <w:sz w:val="20"/>
                <w:szCs w:val="20"/>
              </w:rPr>
              <w:t>E.g. h</w:t>
            </w:r>
            <w:r w:rsidR="009666BC" w:rsidRPr="00884186">
              <w:rPr>
                <w:rFonts w:ascii="Times New Roman" w:hAnsi="Times New Roman" w:cs="Times New Roman"/>
                <w:sz w:val="20"/>
                <w:szCs w:val="20"/>
              </w:rPr>
              <w:t xml:space="preserve">as the logic been shown to </w:t>
            </w:r>
            <w:r w:rsidR="005B71C0" w:rsidRPr="00884186">
              <w:rPr>
                <w:rFonts w:ascii="Times New Roman" w:hAnsi="Times New Roman" w:cs="Times New Roman"/>
                <w:sz w:val="20"/>
                <w:szCs w:val="20"/>
              </w:rPr>
              <w:t>hold</w:t>
            </w:r>
            <w:r w:rsidR="009666BC" w:rsidRPr="00884186">
              <w:rPr>
                <w:rFonts w:ascii="Times New Roman" w:hAnsi="Times New Roman" w:cs="Times New Roman"/>
                <w:sz w:val="20"/>
                <w:szCs w:val="20"/>
              </w:rPr>
              <w:t xml:space="preserve"> true in other contexts? </w:t>
            </w:r>
          </w:p>
          <w:p w14:paraId="11E37F1F" w14:textId="5D350647" w:rsidR="00805F93" w:rsidRPr="00884186" w:rsidRDefault="00805F93"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Lastly, in assessing </w:t>
            </w:r>
            <w:r w:rsidR="00CD1A06" w:rsidRPr="00884186">
              <w:rPr>
                <w:rFonts w:ascii="Times New Roman" w:hAnsi="Times New Roman" w:cs="Times New Roman"/>
                <w:sz w:val="20"/>
                <w:szCs w:val="20"/>
              </w:rPr>
              <w:t xml:space="preserve">how the interventions </w:t>
            </w:r>
            <w:r w:rsidR="001607CB" w:rsidRPr="00884186">
              <w:rPr>
                <w:rFonts w:ascii="Times New Roman" w:hAnsi="Times New Roman" w:cs="Times New Roman"/>
                <w:sz w:val="20"/>
                <w:szCs w:val="20"/>
              </w:rPr>
              <w:t>(</w:t>
            </w:r>
            <w:r w:rsidR="008131CE" w:rsidRPr="00884186">
              <w:rPr>
                <w:rFonts w:ascii="Times New Roman" w:hAnsi="Times New Roman" w:cs="Times New Roman"/>
                <w:sz w:val="20"/>
                <w:szCs w:val="20"/>
              </w:rPr>
              <w:t xml:space="preserve">9 strategies and 5 approaches) </w:t>
            </w:r>
            <w:r w:rsidR="00CD1A06" w:rsidRPr="00884186">
              <w:rPr>
                <w:rFonts w:ascii="Times New Roman" w:hAnsi="Times New Roman" w:cs="Times New Roman"/>
                <w:sz w:val="20"/>
                <w:szCs w:val="20"/>
              </w:rPr>
              <w:t xml:space="preserve">will lead to the </w:t>
            </w:r>
            <w:r w:rsidR="00F56956" w:rsidRPr="00884186">
              <w:rPr>
                <w:rFonts w:ascii="Times New Roman" w:hAnsi="Times New Roman" w:cs="Times New Roman"/>
                <w:sz w:val="20"/>
                <w:szCs w:val="20"/>
              </w:rPr>
              <w:t xml:space="preserve">desired </w:t>
            </w:r>
            <w:r w:rsidR="00CD1A06" w:rsidRPr="00884186">
              <w:rPr>
                <w:rFonts w:ascii="Times New Roman" w:hAnsi="Times New Roman" w:cs="Times New Roman"/>
                <w:sz w:val="20"/>
                <w:szCs w:val="20"/>
              </w:rPr>
              <w:t xml:space="preserve">outcomes </w:t>
            </w:r>
            <w:r w:rsidR="00F56956" w:rsidRPr="00884186">
              <w:rPr>
                <w:rFonts w:ascii="Times New Roman" w:hAnsi="Times New Roman" w:cs="Times New Roman"/>
                <w:sz w:val="20"/>
                <w:szCs w:val="20"/>
              </w:rPr>
              <w:t xml:space="preserve">(four objectives) </w:t>
            </w:r>
            <w:r w:rsidR="001607CB" w:rsidRPr="00884186">
              <w:rPr>
                <w:rFonts w:ascii="Times New Roman" w:hAnsi="Times New Roman" w:cs="Times New Roman"/>
                <w:sz w:val="20"/>
                <w:szCs w:val="20"/>
              </w:rPr>
              <w:t xml:space="preserve">it is worth noting that the </w:t>
            </w:r>
            <w:r w:rsidR="00CB128B" w:rsidRPr="00884186">
              <w:rPr>
                <w:rFonts w:ascii="Times New Roman" w:hAnsi="Times New Roman" w:cs="Times New Roman"/>
                <w:sz w:val="20"/>
                <w:szCs w:val="20"/>
              </w:rPr>
              <w:t xml:space="preserve">Chapter 4, Strategic Direction, focuses its discussion primarily on growth opportunities and development fundamentals. There is </w:t>
            </w:r>
            <w:r w:rsidR="004E10F4" w:rsidRPr="00884186">
              <w:rPr>
                <w:rFonts w:ascii="Times New Roman" w:hAnsi="Times New Roman" w:cs="Times New Roman"/>
                <w:sz w:val="20"/>
                <w:szCs w:val="20"/>
              </w:rPr>
              <w:t xml:space="preserve">proportionately </w:t>
            </w:r>
            <w:r w:rsidR="00CB128B" w:rsidRPr="00884186">
              <w:rPr>
                <w:rFonts w:ascii="Times New Roman" w:hAnsi="Times New Roman" w:cs="Times New Roman"/>
                <w:sz w:val="20"/>
                <w:szCs w:val="20"/>
              </w:rPr>
              <w:t xml:space="preserve">less discussion </w:t>
            </w:r>
            <w:r w:rsidR="006F1824" w:rsidRPr="00884186">
              <w:rPr>
                <w:rFonts w:ascii="Times New Roman" w:hAnsi="Times New Roman" w:cs="Times New Roman"/>
                <w:sz w:val="20"/>
                <w:szCs w:val="20"/>
              </w:rPr>
              <w:t>on how the environment – crucially good governance</w:t>
            </w:r>
            <w:r w:rsidR="004E10F4" w:rsidRPr="00884186">
              <w:rPr>
                <w:rFonts w:ascii="Times New Roman" w:hAnsi="Times New Roman" w:cs="Times New Roman"/>
                <w:sz w:val="20"/>
                <w:szCs w:val="20"/>
              </w:rPr>
              <w:t xml:space="preserve"> and ensuring that pre-conditions are in place to support growth opportunities and development </w:t>
            </w:r>
            <w:r w:rsidR="003F20BB" w:rsidRPr="00884186">
              <w:rPr>
                <w:rFonts w:ascii="Times New Roman" w:hAnsi="Times New Roman" w:cs="Times New Roman"/>
                <w:sz w:val="20"/>
                <w:szCs w:val="20"/>
              </w:rPr>
              <w:t>fundamentals</w:t>
            </w:r>
            <w:r w:rsidR="006F1824" w:rsidRPr="00884186">
              <w:rPr>
                <w:rFonts w:ascii="Times New Roman" w:hAnsi="Times New Roman" w:cs="Times New Roman"/>
                <w:sz w:val="20"/>
                <w:szCs w:val="20"/>
              </w:rPr>
              <w:t xml:space="preserve"> </w:t>
            </w:r>
            <w:r w:rsidR="003F20BB" w:rsidRPr="00884186">
              <w:rPr>
                <w:rFonts w:ascii="Times New Roman" w:hAnsi="Times New Roman" w:cs="Times New Roman"/>
                <w:sz w:val="20"/>
                <w:szCs w:val="20"/>
              </w:rPr>
              <w:t>–</w:t>
            </w:r>
            <w:r w:rsidR="006F1824" w:rsidRPr="00884186">
              <w:rPr>
                <w:rFonts w:ascii="Times New Roman" w:hAnsi="Times New Roman" w:cs="Times New Roman"/>
                <w:sz w:val="20"/>
                <w:szCs w:val="20"/>
              </w:rPr>
              <w:t xml:space="preserve"> </w:t>
            </w:r>
            <w:r w:rsidR="003F20BB" w:rsidRPr="00884186">
              <w:rPr>
                <w:rFonts w:ascii="Times New Roman" w:hAnsi="Times New Roman" w:cs="Times New Roman"/>
                <w:sz w:val="20"/>
                <w:szCs w:val="20"/>
              </w:rPr>
              <w:t xml:space="preserve">will be improved. </w:t>
            </w:r>
            <w:r w:rsidR="00952A38" w:rsidRPr="00884186">
              <w:rPr>
                <w:rFonts w:ascii="Times New Roman" w:hAnsi="Times New Roman" w:cs="Times New Roman"/>
                <w:sz w:val="20"/>
                <w:szCs w:val="20"/>
              </w:rPr>
              <w:t xml:space="preserve">Of the Core Projects outlined on page 128 and 129, not one supports </w:t>
            </w:r>
            <w:r w:rsidR="007A18A3" w:rsidRPr="00884186">
              <w:rPr>
                <w:rFonts w:ascii="Times New Roman" w:hAnsi="Times New Roman" w:cs="Times New Roman"/>
                <w:sz w:val="20"/>
                <w:szCs w:val="20"/>
              </w:rPr>
              <w:t xml:space="preserve">Strategy 8 (good governance) or Approach 5 (strengthening of key public sector institutions), yet arguably these need to be addressed before </w:t>
            </w:r>
            <w:r w:rsidR="00C74D2B" w:rsidRPr="00884186">
              <w:rPr>
                <w:rFonts w:ascii="Times New Roman" w:hAnsi="Times New Roman" w:cs="Times New Roman"/>
                <w:sz w:val="20"/>
                <w:szCs w:val="20"/>
              </w:rPr>
              <w:t xml:space="preserve">other aspects e.g. a quasi-market approach can be delivered. </w:t>
            </w:r>
            <w:r w:rsidR="002109C4" w:rsidRPr="00884186">
              <w:rPr>
                <w:rFonts w:ascii="Times New Roman" w:hAnsi="Times New Roman" w:cs="Times New Roman"/>
                <w:sz w:val="20"/>
                <w:szCs w:val="20"/>
              </w:rPr>
              <w:t>In light of the fact that Uganda has scarce financial resources and an ambitious timeline, t</w:t>
            </w:r>
            <w:r w:rsidR="00C74D2B" w:rsidRPr="00884186">
              <w:rPr>
                <w:rFonts w:ascii="Times New Roman" w:hAnsi="Times New Roman" w:cs="Times New Roman"/>
                <w:sz w:val="20"/>
                <w:szCs w:val="20"/>
              </w:rPr>
              <w:t>here is a need in NDPII and NDPIII to look at th</w:t>
            </w:r>
            <w:r w:rsidR="00DA1CF9" w:rsidRPr="00884186">
              <w:rPr>
                <w:rFonts w:ascii="Times New Roman" w:hAnsi="Times New Roman" w:cs="Times New Roman"/>
                <w:sz w:val="20"/>
                <w:szCs w:val="20"/>
              </w:rPr>
              <w:t xml:space="preserve">e sequencing of interventions in close detail and to </w:t>
            </w:r>
            <w:r w:rsidR="00D55518" w:rsidRPr="00884186">
              <w:rPr>
                <w:rFonts w:ascii="Times New Roman" w:hAnsi="Times New Roman" w:cs="Times New Roman"/>
                <w:sz w:val="20"/>
                <w:szCs w:val="20"/>
              </w:rPr>
              <w:t>investigate the interconnectivity of the strategies and approaches.</w:t>
            </w:r>
          </w:p>
          <w:p w14:paraId="50E5004D" w14:textId="36844CFA" w:rsidR="00E65BF2" w:rsidRPr="00884186" w:rsidRDefault="00E65BF2" w:rsidP="00B86D0C">
            <w:pPr>
              <w:spacing w:line="360" w:lineRule="auto"/>
              <w:rPr>
                <w:rFonts w:ascii="Times New Roman" w:hAnsi="Times New Roman" w:cs="Times New Roman"/>
                <w:sz w:val="20"/>
                <w:szCs w:val="20"/>
              </w:rPr>
            </w:pPr>
          </w:p>
          <w:p w14:paraId="0AF1FABA" w14:textId="77777777" w:rsidR="00F3736F" w:rsidRPr="00884186" w:rsidRDefault="00F3736F" w:rsidP="00B86D0C">
            <w:pPr>
              <w:spacing w:line="360" w:lineRule="auto"/>
              <w:rPr>
                <w:rFonts w:ascii="Times New Roman" w:hAnsi="Times New Roman" w:cs="Times New Roman"/>
                <w:sz w:val="20"/>
                <w:szCs w:val="20"/>
              </w:rPr>
            </w:pPr>
          </w:p>
          <w:p w14:paraId="40F7C41A" w14:textId="77777777" w:rsidR="00512799" w:rsidRPr="00884186" w:rsidRDefault="00512799" w:rsidP="00B86D0C">
            <w:pPr>
              <w:spacing w:line="360" w:lineRule="auto"/>
              <w:rPr>
                <w:rFonts w:ascii="Times New Roman" w:hAnsi="Times New Roman" w:cs="Times New Roman"/>
                <w:sz w:val="20"/>
                <w:szCs w:val="20"/>
              </w:rPr>
            </w:pPr>
          </w:p>
          <w:p w14:paraId="6C41105D" w14:textId="77777777" w:rsidR="004E568E" w:rsidRPr="00884186" w:rsidRDefault="004E568E" w:rsidP="00B86D0C">
            <w:pPr>
              <w:spacing w:line="360" w:lineRule="auto"/>
              <w:rPr>
                <w:rFonts w:ascii="Times New Roman" w:hAnsi="Times New Roman" w:cs="Times New Roman"/>
                <w:sz w:val="20"/>
                <w:szCs w:val="20"/>
              </w:rPr>
            </w:pPr>
          </w:p>
        </w:tc>
      </w:tr>
      <w:tr w:rsidR="008E760D" w:rsidRPr="00F10F3B" w14:paraId="42AC9BCB" w14:textId="39FC0170" w:rsidTr="00B86D0C">
        <w:trPr>
          <w:trHeight w:val="283"/>
        </w:trPr>
        <w:tc>
          <w:tcPr>
            <w:tcW w:w="814" w:type="pct"/>
          </w:tcPr>
          <w:p w14:paraId="21F5D68A" w14:textId="1A583978" w:rsidR="004E568E" w:rsidRPr="00884186" w:rsidRDefault="00771CD8"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lastRenderedPageBreak/>
              <w:t xml:space="preserve">Assumptions: </w:t>
            </w:r>
            <w:r w:rsidRPr="00884186">
              <w:rPr>
                <w:rFonts w:ascii="Times New Roman" w:hAnsi="Times New Roman" w:cs="Times New Roman"/>
                <w:sz w:val="20"/>
                <w:szCs w:val="20"/>
              </w:rPr>
              <w:t>What assumptions are in place for the theory to hold true?</w:t>
            </w:r>
          </w:p>
        </w:tc>
        <w:tc>
          <w:tcPr>
            <w:tcW w:w="1776" w:type="pct"/>
          </w:tcPr>
          <w:p w14:paraId="24585827" w14:textId="5C5CB1E1" w:rsidR="004E568E" w:rsidRPr="00884186" w:rsidRDefault="001658D7"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NDPII’s Implementation Strategy </w:t>
            </w:r>
            <w:r w:rsidR="008E6CA0" w:rsidRPr="00884186">
              <w:rPr>
                <w:rFonts w:ascii="Times New Roman" w:hAnsi="Times New Roman" w:cs="Times New Roman"/>
                <w:sz w:val="20"/>
                <w:szCs w:val="20"/>
              </w:rPr>
              <w:t>(Page 14) clearly stipulates that there several pre-</w:t>
            </w:r>
            <w:r w:rsidR="008E3B8F" w:rsidRPr="00884186">
              <w:rPr>
                <w:rFonts w:ascii="Times New Roman" w:hAnsi="Times New Roman" w:cs="Times New Roman"/>
                <w:sz w:val="20"/>
                <w:szCs w:val="20"/>
              </w:rPr>
              <w:t>requisites</w:t>
            </w:r>
            <w:r w:rsidR="008E6CA0" w:rsidRPr="00884186">
              <w:rPr>
                <w:rFonts w:ascii="Times New Roman" w:hAnsi="Times New Roman" w:cs="Times New Roman"/>
                <w:sz w:val="20"/>
                <w:szCs w:val="20"/>
              </w:rPr>
              <w:t xml:space="preserve"> for successful NDPII implementation. These are:</w:t>
            </w:r>
          </w:p>
          <w:p w14:paraId="3C7016CE" w14:textId="77777777" w:rsidR="008E3B8F" w:rsidRPr="00884186" w:rsidRDefault="008C2032"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Political will and commitment at all levels;</w:t>
            </w:r>
          </w:p>
          <w:p w14:paraId="62E80D83" w14:textId="495C57DB" w:rsidR="008C2032" w:rsidRPr="00884186" w:rsidRDefault="008C2032"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Ownership of the Plan by all;</w:t>
            </w:r>
          </w:p>
          <w:p w14:paraId="0FA7CF55" w14:textId="43A48EE5" w:rsidR="008C2032" w:rsidRPr="00884186" w:rsidRDefault="008C2032"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An integrated M&amp;E system;</w:t>
            </w:r>
          </w:p>
          <w:p w14:paraId="1B0AC12F" w14:textId="514E0E5F" w:rsidR="008C2032" w:rsidRPr="00884186" w:rsidRDefault="008C2032"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Effective </w:t>
            </w:r>
            <w:r w:rsidR="006941BE" w:rsidRPr="00884186">
              <w:rPr>
                <w:rFonts w:ascii="Times New Roman" w:hAnsi="Times New Roman" w:cs="Times New Roman"/>
                <w:sz w:val="20"/>
                <w:szCs w:val="20"/>
              </w:rPr>
              <w:t>use and management of information for decision making;</w:t>
            </w:r>
          </w:p>
          <w:p w14:paraId="312D2683" w14:textId="3A8A37E4" w:rsidR="006941BE" w:rsidRPr="00884186" w:rsidRDefault="006941BE"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Increased private sector capacity;</w:t>
            </w:r>
          </w:p>
          <w:p w14:paraId="638EF673" w14:textId="65E3B248" w:rsidR="006941BE" w:rsidRPr="00884186" w:rsidRDefault="006941BE"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Behaviour change, patriotism and progressive reduction of corruption;</w:t>
            </w:r>
          </w:p>
          <w:p w14:paraId="6B3B6ED0" w14:textId="282599D8" w:rsidR="006941BE" w:rsidRPr="00884186" w:rsidRDefault="006941BE"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lastRenderedPageBreak/>
              <w:t xml:space="preserve">Effective monitoring and evaluation </w:t>
            </w:r>
            <w:r w:rsidR="00704271" w:rsidRPr="00884186">
              <w:rPr>
                <w:rFonts w:ascii="Times New Roman" w:hAnsi="Times New Roman" w:cs="Times New Roman"/>
                <w:sz w:val="20"/>
                <w:szCs w:val="20"/>
              </w:rPr>
              <w:t xml:space="preserve">to support implementation; </w:t>
            </w:r>
          </w:p>
          <w:p w14:paraId="458BC30B" w14:textId="497C5DBB" w:rsidR="00704271" w:rsidRPr="00884186" w:rsidRDefault="00704271"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Human resource capacity and conducive working environment;</w:t>
            </w:r>
          </w:p>
          <w:p w14:paraId="4324ABEB" w14:textId="571F2C8E" w:rsidR="00704271" w:rsidRPr="00884186" w:rsidRDefault="00704271"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A fair and transparent pay system;</w:t>
            </w:r>
          </w:p>
          <w:p w14:paraId="61FD15EE" w14:textId="6DDE59FC" w:rsidR="00704271" w:rsidRPr="00884186" w:rsidRDefault="00704271"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Effective and efficient resources mobilisation and utilisation;</w:t>
            </w:r>
          </w:p>
          <w:p w14:paraId="6F3440F3" w14:textId="27E471D7" w:rsidR="008C2032" w:rsidRPr="00884186" w:rsidRDefault="00704271" w:rsidP="00B86D0C">
            <w:pPr>
              <w:pStyle w:val="ListParagraph"/>
              <w:numPr>
                <w:ilvl w:val="0"/>
                <w:numId w:val="17"/>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Effective partnership with non-state actors.</w:t>
            </w:r>
          </w:p>
        </w:tc>
        <w:tc>
          <w:tcPr>
            <w:tcW w:w="2410" w:type="pct"/>
          </w:tcPr>
          <w:p w14:paraId="66732606" w14:textId="37AE8F84" w:rsidR="004E568E" w:rsidRPr="00884186" w:rsidRDefault="00806CEE"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lastRenderedPageBreak/>
              <w:t>The Strategic Direction outlined in NDPII provides clear guidance on what needs to happen</w:t>
            </w:r>
            <w:r w:rsidR="00DA7C8B" w:rsidRPr="00884186">
              <w:rPr>
                <w:rFonts w:ascii="Times New Roman" w:hAnsi="Times New Roman" w:cs="Times New Roman"/>
                <w:sz w:val="20"/>
                <w:szCs w:val="20"/>
              </w:rPr>
              <w:t>,</w:t>
            </w:r>
            <w:r w:rsidRPr="00884186">
              <w:rPr>
                <w:rFonts w:ascii="Times New Roman" w:hAnsi="Times New Roman" w:cs="Times New Roman"/>
                <w:sz w:val="20"/>
                <w:szCs w:val="20"/>
              </w:rPr>
              <w:t xml:space="preserve"> and change</w:t>
            </w:r>
            <w:r w:rsidR="00DA7C8B" w:rsidRPr="00884186">
              <w:rPr>
                <w:rFonts w:ascii="Times New Roman" w:hAnsi="Times New Roman" w:cs="Times New Roman"/>
                <w:sz w:val="20"/>
                <w:szCs w:val="20"/>
              </w:rPr>
              <w:t>,</w:t>
            </w:r>
            <w:r w:rsidRPr="00884186">
              <w:rPr>
                <w:rFonts w:ascii="Times New Roman" w:hAnsi="Times New Roman" w:cs="Times New Roman"/>
                <w:sz w:val="20"/>
                <w:szCs w:val="20"/>
              </w:rPr>
              <w:t xml:space="preserve"> for Uganda to achieve its </w:t>
            </w:r>
            <w:r w:rsidR="005A0E8F" w:rsidRPr="00884186">
              <w:rPr>
                <w:rFonts w:ascii="Times New Roman" w:hAnsi="Times New Roman" w:cs="Times New Roman"/>
                <w:sz w:val="20"/>
                <w:szCs w:val="20"/>
              </w:rPr>
              <w:t xml:space="preserve">goal of attaining middle-income status. </w:t>
            </w:r>
            <w:r w:rsidR="005016C1" w:rsidRPr="00884186">
              <w:rPr>
                <w:rFonts w:ascii="Times New Roman" w:hAnsi="Times New Roman" w:cs="Times New Roman"/>
                <w:sz w:val="20"/>
                <w:szCs w:val="20"/>
              </w:rPr>
              <w:t xml:space="preserve">The NDP Implementation Strategy provides further information on the pre-requisites that must be in place for the theory of change to hold true. </w:t>
            </w:r>
            <w:r w:rsidR="00712873" w:rsidRPr="00884186">
              <w:rPr>
                <w:rFonts w:ascii="Times New Roman" w:hAnsi="Times New Roman" w:cs="Times New Roman"/>
                <w:sz w:val="20"/>
                <w:szCs w:val="20"/>
              </w:rPr>
              <w:t xml:space="preserve">For instance, increased private sector capacity (pre-requisite </w:t>
            </w:r>
            <w:r w:rsidR="007C1FE6" w:rsidRPr="00884186">
              <w:rPr>
                <w:rFonts w:ascii="Times New Roman" w:hAnsi="Times New Roman" w:cs="Times New Roman"/>
                <w:sz w:val="20"/>
                <w:szCs w:val="20"/>
              </w:rPr>
              <w:t xml:space="preserve">5) </w:t>
            </w:r>
            <w:r w:rsidR="00712873" w:rsidRPr="00884186">
              <w:rPr>
                <w:rFonts w:ascii="Times New Roman" w:hAnsi="Times New Roman" w:cs="Times New Roman"/>
                <w:sz w:val="20"/>
                <w:szCs w:val="20"/>
              </w:rPr>
              <w:t>needs to be in place</w:t>
            </w:r>
            <w:r w:rsidR="007C1FE6" w:rsidRPr="00884186">
              <w:rPr>
                <w:rFonts w:ascii="Times New Roman" w:hAnsi="Times New Roman" w:cs="Times New Roman"/>
                <w:sz w:val="20"/>
                <w:szCs w:val="20"/>
              </w:rPr>
              <w:t xml:space="preserve"> for</w:t>
            </w:r>
            <w:r w:rsidR="00C74EFC" w:rsidRPr="00884186">
              <w:rPr>
                <w:rFonts w:ascii="Times New Roman" w:hAnsi="Times New Roman" w:cs="Times New Roman"/>
                <w:sz w:val="20"/>
                <w:szCs w:val="20"/>
              </w:rPr>
              <w:t xml:space="preserve"> industrialisation (strategy number </w:t>
            </w:r>
            <w:r w:rsidR="00223BE4" w:rsidRPr="00884186">
              <w:rPr>
                <w:rFonts w:ascii="Times New Roman" w:hAnsi="Times New Roman" w:cs="Times New Roman"/>
                <w:sz w:val="20"/>
                <w:szCs w:val="20"/>
              </w:rPr>
              <w:t>2) and a quasi-market approach (strategy number 5) to be realised. If it not in place</w:t>
            </w:r>
            <w:r w:rsidR="00016254" w:rsidRPr="00884186">
              <w:rPr>
                <w:rFonts w:ascii="Times New Roman" w:hAnsi="Times New Roman" w:cs="Times New Roman"/>
                <w:sz w:val="20"/>
                <w:szCs w:val="20"/>
              </w:rPr>
              <w:t>,</w:t>
            </w:r>
            <w:r w:rsidR="00223BE4" w:rsidRPr="00884186">
              <w:rPr>
                <w:rFonts w:ascii="Times New Roman" w:hAnsi="Times New Roman" w:cs="Times New Roman"/>
                <w:sz w:val="20"/>
                <w:szCs w:val="20"/>
              </w:rPr>
              <w:t xml:space="preserve"> then the desired interventions may not bring about the desired outcomes and an increase in production and productivity may not be realised (Objective 1</w:t>
            </w:r>
            <w:r w:rsidR="00E1148B" w:rsidRPr="00884186">
              <w:rPr>
                <w:rFonts w:ascii="Times New Roman" w:hAnsi="Times New Roman" w:cs="Times New Roman"/>
                <w:sz w:val="20"/>
                <w:szCs w:val="20"/>
              </w:rPr>
              <w:t xml:space="preserve">). </w:t>
            </w:r>
          </w:p>
          <w:p w14:paraId="0D869EBA" w14:textId="0FCDC1A0" w:rsidR="00016254" w:rsidRPr="00884186" w:rsidRDefault="00016254"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Whilst the </w:t>
            </w:r>
            <w:r w:rsidR="009A2561" w:rsidRPr="00884186">
              <w:rPr>
                <w:rFonts w:ascii="Times New Roman" w:hAnsi="Times New Roman" w:cs="Times New Roman"/>
                <w:sz w:val="20"/>
                <w:szCs w:val="20"/>
              </w:rPr>
              <w:t>Government</w:t>
            </w:r>
            <w:r w:rsidRPr="00884186">
              <w:rPr>
                <w:rFonts w:ascii="Times New Roman" w:hAnsi="Times New Roman" w:cs="Times New Roman"/>
                <w:sz w:val="20"/>
                <w:szCs w:val="20"/>
              </w:rPr>
              <w:t xml:space="preserve"> has successfully identified the necessary pre-requisites that </w:t>
            </w:r>
            <w:r w:rsidR="00F27577" w:rsidRPr="00884186">
              <w:rPr>
                <w:rFonts w:ascii="Times New Roman" w:hAnsi="Times New Roman" w:cs="Times New Roman"/>
                <w:sz w:val="20"/>
                <w:szCs w:val="20"/>
              </w:rPr>
              <w:t>must be in place, NDPII and NDPII could be strengthened further by:</w:t>
            </w:r>
          </w:p>
          <w:p w14:paraId="396844C6" w14:textId="36767B68" w:rsidR="0090617F" w:rsidRPr="00884186" w:rsidRDefault="0090617F" w:rsidP="00B86D0C">
            <w:pPr>
              <w:pStyle w:val="ListParagraph"/>
              <w:numPr>
                <w:ilvl w:val="0"/>
                <w:numId w:val="18"/>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lastRenderedPageBreak/>
              <w:t xml:space="preserve">Explicitly stating what </w:t>
            </w:r>
            <w:r w:rsidR="009A2561" w:rsidRPr="00884186">
              <w:rPr>
                <w:rFonts w:ascii="Times New Roman" w:hAnsi="Times New Roman" w:cs="Times New Roman"/>
                <w:sz w:val="20"/>
                <w:szCs w:val="20"/>
              </w:rPr>
              <w:t>Government</w:t>
            </w:r>
            <w:r w:rsidRPr="00884186">
              <w:rPr>
                <w:rFonts w:ascii="Times New Roman" w:hAnsi="Times New Roman" w:cs="Times New Roman"/>
                <w:sz w:val="20"/>
                <w:szCs w:val="20"/>
              </w:rPr>
              <w:t xml:space="preserve"> will do to ensure and/or support that the pre-requisites are in place;</w:t>
            </w:r>
          </w:p>
          <w:p w14:paraId="652568B4" w14:textId="2CCC6C6C" w:rsidR="00F27577" w:rsidRPr="00884186" w:rsidRDefault="00F27577" w:rsidP="00B86D0C">
            <w:pPr>
              <w:pStyle w:val="ListParagraph"/>
              <w:numPr>
                <w:ilvl w:val="0"/>
                <w:numId w:val="18"/>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Explicitly stating what assumptions are in place </w:t>
            </w:r>
            <w:r w:rsidR="00C05ABE" w:rsidRPr="00884186">
              <w:rPr>
                <w:rFonts w:ascii="Times New Roman" w:hAnsi="Times New Roman" w:cs="Times New Roman"/>
                <w:sz w:val="20"/>
                <w:szCs w:val="20"/>
              </w:rPr>
              <w:t xml:space="preserve">at </w:t>
            </w:r>
            <w:r w:rsidRPr="00884186">
              <w:rPr>
                <w:rFonts w:ascii="Times New Roman" w:hAnsi="Times New Roman" w:cs="Times New Roman"/>
                <w:sz w:val="20"/>
                <w:szCs w:val="20"/>
              </w:rPr>
              <w:t xml:space="preserve">for </w:t>
            </w:r>
            <w:r w:rsidR="00CF3D43" w:rsidRPr="00884186">
              <w:rPr>
                <w:rFonts w:ascii="Times New Roman" w:hAnsi="Times New Roman" w:cs="Times New Roman"/>
                <w:sz w:val="20"/>
                <w:szCs w:val="20"/>
              </w:rPr>
              <w:t xml:space="preserve">each </w:t>
            </w:r>
            <w:r w:rsidRPr="00884186">
              <w:rPr>
                <w:rFonts w:ascii="Times New Roman" w:hAnsi="Times New Roman" w:cs="Times New Roman"/>
                <w:sz w:val="20"/>
                <w:szCs w:val="20"/>
              </w:rPr>
              <w:t xml:space="preserve">building block of the </w:t>
            </w:r>
            <w:r w:rsidR="00CF3D43" w:rsidRPr="00884186">
              <w:rPr>
                <w:rFonts w:ascii="Times New Roman" w:hAnsi="Times New Roman" w:cs="Times New Roman"/>
                <w:sz w:val="20"/>
                <w:szCs w:val="20"/>
              </w:rPr>
              <w:t>theory of change to hold true; and</w:t>
            </w:r>
          </w:p>
          <w:p w14:paraId="13D006DF" w14:textId="6E5683F1" w:rsidR="00016254" w:rsidRPr="00884186" w:rsidRDefault="00CF3D43" w:rsidP="00B86D0C">
            <w:pPr>
              <w:pStyle w:val="ListParagraph"/>
              <w:numPr>
                <w:ilvl w:val="0"/>
                <w:numId w:val="18"/>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Testing and </w:t>
            </w:r>
            <w:r w:rsidR="002A4DBD" w:rsidRPr="00884186">
              <w:rPr>
                <w:rFonts w:ascii="Times New Roman" w:hAnsi="Times New Roman" w:cs="Times New Roman"/>
                <w:sz w:val="20"/>
                <w:szCs w:val="20"/>
              </w:rPr>
              <w:t>monitoring the assumptions throughout implementation. If the assumptions do not hold true, then adjustments to the theory may have to be made and/or interventions adjusted.</w:t>
            </w:r>
          </w:p>
        </w:tc>
      </w:tr>
      <w:tr w:rsidR="00771CD8" w:rsidRPr="00F10F3B" w14:paraId="4387B151" w14:textId="77777777" w:rsidTr="00B86D0C">
        <w:trPr>
          <w:trHeight w:val="283"/>
        </w:trPr>
        <w:tc>
          <w:tcPr>
            <w:tcW w:w="814" w:type="pct"/>
          </w:tcPr>
          <w:p w14:paraId="78FB6075" w14:textId="18235BA1" w:rsidR="00771CD8" w:rsidRPr="00884186" w:rsidRDefault="00771CD8" w:rsidP="00B86D0C">
            <w:pPr>
              <w:spacing w:line="360" w:lineRule="auto"/>
              <w:rPr>
                <w:rFonts w:ascii="Times New Roman" w:hAnsi="Times New Roman" w:cs="Times New Roman"/>
                <w:sz w:val="20"/>
                <w:szCs w:val="20"/>
              </w:rPr>
            </w:pPr>
            <w:r w:rsidRPr="00884186">
              <w:rPr>
                <w:rFonts w:ascii="Times New Roman" w:hAnsi="Times New Roman" w:cs="Times New Roman"/>
                <w:b/>
                <w:sz w:val="20"/>
                <w:szCs w:val="20"/>
              </w:rPr>
              <w:lastRenderedPageBreak/>
              <w:t xml:space="preserve">Indicators: </w:t>
            </w:r>
            <w:r w:rsidRPr="00884186">
              <w:rPr>
                <w:rFonts w:ascii="Times New Roman" w:hAnsi="Times New Roman" w:cs="Times New Roman"/>
                <w:sz w:val="20"/>
                <w:szCs w:val="20"/>
              </w:rPr>
              <w:t>What indicators will assist in monitoring the theory’s validity and success?</w:t>
            </w:r>
          </w:p>
        </w:tc>
        <w:tc>
          <w:tcPr>
            <w:tcW w:w="1776" w:type="pct"/>
          </w:tcPr>
          <w:p w14:paraId="11E235C0" w14:textId="28312FF7" w:rsidR="00771CD8" w:rsidRPr="00884186" w:rsidRDefault="000D6732" w:rsidP="00B86D0C">
            <w:pPr>
              <w:pStyle w:val="ListParagraph"/>
              <w:numPr>
                <w:ilvl w:val="0"/>
                <w:numId w:val="14"/>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Development indicator</w:t>
            </w:r>
            <w:r w:rsidR="00444BC5" w:rsidRPr="00884186">
              <w:rPr>
                <w:rFonts w:ascii="Times New Roman" w:hAnsi="Times New Roman" w:cs="Times New Roman"/>
                <w:sz w:val="20"/>
                <w:szCs w:val="20"/>
              </w:rPr>
              <w:t>s, baselines and targets,</w:t>
            </w:r>
            <w:r w:rsidRPr="00884186">
              <w:rPr>
                <w:rFonts w:ascii="Times New Roman" w:hAnsi="Times New Roman" w:cs="Times New Roman"/>
                <w:sz w:val="20"/>
                <w:szCs w:val="20"/>
              </w:rPr>
              <w:t xml:space="preserve"> have been </w:t>
            </w:r>
            <w:r w:rsidR="005A05CE" w:rsidRPr="00884186">
              <w:rPr>
                <w:rFonts w:ascii="Times New Roman" w:hAnsi="Times New Roman" w:cs="Times New Roman"/>
                <w:sz w:val="20"/>
                <w:szCs w:val="20"/>
              </w:rPr>
              <w:t>developed for each stage of the theory of change</w:t>
            </w:r>
            <w:r w:rsidR="002D7FCA" w:rsidRPr="00884186">
              <w:rPr>
                <w:rFonts w:ascii="Times New Roman" w:hAnsi="Times New Roman" w:cs="Times New Roman"/>
                <w:sz w:val="20"/>
                <w:szCs w:val="20"/>
              </w:rPr>
              <w:t xml:space="preserve"> (</w:t>
            </w:r>
            <w:r w:rsidR="00444BC5" w:rsidRPr="00884186">
              <w:rPr>
                <w:rFonts w:ascii="Times New Roman" w:hAnsi="Times New Roman" w:cs="Times New Roman"/>
                <w:sz w:val="20"/>
                <w:szCs w:val="20"/>
              </w:rPr>
              <w:t>P</w:t>
            </w:r>
            <w:r w:rsidR="002D7FCA" w:rsidRPr="00884186">
              <w:rPr>
                <w:rFonts w:ascii="Times New Roman" w:hAnsi="Times New Roman" w:cs="Times New Roman"/>
                <w:sz w:val="20"/>
                <w:szCs w:val="20"/>
              </w:rPr>
              <w:t>age 101)</w:t>
            </w:r>
            <w:r w:rsidR="005A05CE" w:rsidRPr="00884186">
              <w:rPr>
                <w:rFonts w:ascii="Times New Roman" w:hAnsi="Times New Roman" w:cs="Times New Roman"/>
                <w:sz w:val="20"/>
                <w:szCs w:val="20"/>
              </w:rPr>
              <w:t>. Five indicators were developed for the Goal</w:t>
            </w:r>
            <w:r w:rsidR="002D7FCA" w:rsidRPr="00884186">
              <w:rPr>
                <w:rFonts w:ascii="Times New Roman" w:hAnsi="Times New Roman" w:cs="Times New Roman"/>
                <w:sz w:val="20"/>
                <w:szCs w:val="20"/>
              </w:rPr>
              <w:t xml:space="preserve">, </w:t>
            </w:r>
            <w:r w:rsidR="00FD5C0C" w:rsidRPr="00884186">
              <w:rPr>
                <w:rFonts w:ascii="Times New Roman" w:hAnsi="Times New Roman" w:cs="Times New Roman"/>
                <w:sz w:val="20"/>
                <w:szCs w:val="20"/>
              </w:rPr>
              <w:t xml:space="preserve">five </w:t>
            </w:r>
            <w:r w:rsidR="002D7FCA" w:rsidRPr="00884186">
              <w:rPr>
                <w:rFonts w:ascii="Times New Roman" w:hAnsi="Times New Roman" w:cs="Times New Roman"/>
                <w:sz w:val="20"/>
                <w:szCs w:val="20"/>
              </w:rPr>
              <w:t xml:space="preserve">for Objective </w:t>
            </w:r>
            <w:r w:rsidR="00C67DC3" w:rsidRPr="00884186">
              <w:rPr>
                <w:rFonts w:ascii="Times New Roman" w:hAnsi="Times New Roman" w:cs="Times New Roman"/>
                <w:sz w:val="20"/>
                <w:szCs w:val="20"/>
              </w:rPr>
              <w:t>one</w:t>
            </w:r>
            <w:r w:rsidR="002D7FCA" w:rsidRPr="00884186">
              <w:rPr>
                <w:rFonts w:ascii="Times New Roman" w:hAnsi="Times New Roman" w:cs="Times New Roman"/>
                <w:sz w:val="20"/>
                <w:szCs w:val="20"/>
              </w:rPr>
              <w:t xml:space="preserve">, </w:t>
            </w:r>
            <w:r w:rsidR="00FD5C0C" w:rsidRPr="00884186">
              <w:rPr>
                <w:rFonts w:ascii="Times New Roman" w:hAnsi="Times New Roman" w:cs="Times New Roman"/>
                <w:sz w:val="20"/>
                <w:szCs w:val="20"/>
              </w:rPr>
              <w:t xml:space="preserve">five for Objective </w:t>
            </w:r>
            <w:r w:rsidR="00C67DC3" w:rsidRPr="00884186">
              <w:rPr>
                <w:rFonts w:ascii="Times New Roman" w:hAnsi="Times New Roman" w:cs="Times New Roman"/>
                <w:sz w:val="20"/>
                <w:szCs w:val="20"/>
              </w:rPr>
              <w:t>two</w:t>
            </w:r>
            <w:r w:rsidR="00FD5C0C" w:rsidRPr="00884186">
              <w:rPr>
                <w:rFonts w:ascii="Times New Roman" w:hAnsi="Times New Roman" w:cs="Times New Roman"/>
                <w:sz w:val="20"/>
                <w:szCs w:val="20"/>
              </w:rPr>
              <w:t xml:space="preserve">, 10 for Objective </w:t>
            </w:r>
            <w:r w:rsidR="00C67DC3" w:rsidRPr="00884186">
              <w:rPr>
                <w:rFonts w:ascii="Times New Roman" w:hAnsi="Times New Roman" w:cs="Times New Roman"/>
                <w:sz w:val="20"/>
                <w:szCs w:val="20"/>
              </w:rPr>
              <w:t>three, three for Objective 4.</w:t>
            </w:r>
          </w:p>
          <w:p w14:paraId="2D9C4F90" w14:textId="1AE019B5" w:rsidR="00A55253" w:rsidRPr="00884186" w:rsidRDefault="00A55253" w:rsidP="00B86D0C">
            <w:pPr>
              <w:pStyle w:val="ListParagraph"/>
              <w:numPr>
                <w:ilvl w:val="0"/>
                <w:numId w:val="14"/>
              </w:numPr>
              <w:spacing w:line="360" w:lineRule="auto"/>
              <w:contextualSpacing w:val="0"/>
              <w:rPr>
                <w:rFonts w:ascii="Times New Roman" w:hAnsi="Times New Roman" w:cs="Times New Roman"/>
                <w:sz w:val="20"/>
                <w:szCs w:val="20"/>
              </w:rPr>
            </w:pPr>
            <w:r w:rsidRPr="00884186">
              <w:rPr>
                <w:rFonts w:ascii="Times New Roman" w:hAnsi="Times New Roman" w:cs="Times New Roman"/>
                <w:sz w:val="20"/>
                <w:szCs w:val="20"/>
              </w:rPr>
              <w:t xml:space="preserve">The NDPII Implementation Strategy further articulates </w:t>
            </w:r>
            <w:r w:rsidR="00EC4E73" w:rsidRPr="00884186">
              <w:rPr>
                <w:rFonts w:ascii="Times New Roman" w:hAnsi="Times New Roman" w:cs="Times New Roman"/>
                <w:sz w:val="20"/>
                <w:szCs w:val="20"/>
              </w:rPr>
              <w:t>indicators, baselines and targets for each stage of the theory of change.</w:t>
            </w:r>
            <w:r w:rsidR="00FC59E2" w:rsidRPr="00884186">
              <w:rPr>
                <w:rFonts w:ascii="Times New Roman" w:hAnsi="Times New Roman" w:cs="Times New Roman"/>
                <w:sz w:val="20"/>
                <w:szCs w:val="20"/>
              </w:rPr>
              <w:t xml:space="preserve"> The </w:t>
            </w:r>
            <w:r w:rsidR="009C5EBE" w:rsidRPr="00884186">
              <w:rPr>
                <w:rFonts w:ascii="Times New Roman" w:hAnsi="Times New Roman" w:cs="Times New Roman"/>
                <w:sz w:val="20"/>
                <w:szCs w:val="20"/>
              </w:rPr>
              <w:t>Implementation Strategy</w:t>
            </w:r>
            <w:r w:rsidR="00FC59E2" w:rsidRPr="00884186">
              <w:rPr>
                <w:rFonts w:ascii="Times New Roman" w:hAnsi="Times New Roman" w:cs="Times New Roman"/>
                <w:sz w:val="20"/>
                <w:szCs w:val="20"/>
              </w:rPr>
              <w:t xml:space="preserve"> contains the same indicator</w:t>
            </w:r>
            <w:r w:rsidR="001844E2" w:rsidRPr="00884186">
              <w:rPr>
                <w:rFonts w:ascii="Times New Roman" w:hAnsi="Times New Roman" w:cs="Times New Roman"/>
                <w:sz w:val="20"/>
                <w:szCs w:val="20"/>
              </w:rPr>
              <w:t>s</w:t>
            </w:r>
            <w:r w:rsidR="00FC59E2" w:rsidRPr="00884186">
              <w:rPr>
                <w:rFonts w:ascii="Times New Roman" w:hAnsi="Times New Roman" w:cs="Times New Roman"/>
                <w:sz w:val="20"/>
                <w:szCs w:val="20"/>
              </w:rPr>
              <w:t xml:space="preserve"> and targets as the main document, but also includes </w:t>
            </w:r>
            <w:r w:rsidR="001844E2" w:rsidRPr="00884186">
              <w:rPr>
                <w:rFonts w:ascii="Times New Roman" w:hAnsi="Times New Roman" w:cs="Times New Roman"/>
                <w:sz w:val="20"/>
                <w:szCs w:val="20"/>
              </w:rPr>
              <w:t>addition areas to monitor.</w:t>
            </w:r>
          </w:p>
          <w:p w14:paraId="5EB051C7" w14:textId="2FC41EE6" w:rsidR="002D0C72" w:rsidRPr="00884186" w:rsidRDefault="002D0C72" w:rsidP="00B86D0C">
            <w:pPr>
              <w:pStyle w:val="ListParagraph"/>
              <w:spacing w:line="360" w:lineRule="auto"/>
              <w:ind w:left="360"/>
              <w:contextualSpacing w:val="0"/>
              <w:rPr>
                <w:rFonts w:ascii="Times New Roman" w:hAnsi="Times New Roman" w:cs="Times New Roman"/>
                <w:sz w:val="20"/>
                <w:szCs w:val="20"/>
              </w:rPr>
            </w:pPr>
          </w:p>
        </w:tc>
        <w:tc>
          <w:tcPr>
            <w:tcW w:w="2410" w:type="pct"/>
          </w:tcPr>
          <w:p w14:paraId="5D8ECE3E" w14:textId="2A789196" w:rsidR="00A66F73" w:rsidRPr="00884186" w:rsidRDefault="00885AAF"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The </w:t>
            </w:r>
            <w:r w:rsidR="009A2561" w:rsidRPr="00884186">
              <w:rPr>
                <w:rFonts w:ascii="Times New Roman" w:hAnsi="Times New Roman" w:cs="Times New Roman"/>
                <w:sz w:val="20"/>
                <w:szCs w:val="20"/>
              </w:rPr>
              <w:t>Government</w:t>
            </w:r>
            <w:r w:rsidRPr="00884186">
              <w:rPr>
                <w:rFonts w:ascii="Times New Roman" w:hAnsi="Times New Roman" w:cs="Times New Roman"/>
                <w:sz w:val="20"/>
                <w:szCs w:val="20"/>
              </w:rPr>
              <w:t xml:space="preserve"> of Uganda has developed a detailed results framework for NDPII in its Implementation Strategy. This </w:t>
            </w:r>
            <w:r w:rsidR="00B7030E" w:rsidRPr="00884186">
              <w:rPr>
                <w:rFonts w:ascii="Times New Roman" w:hAnsi="Times New Roman" w:cs="Times New Roman"/>
                <w:sz w:val="20"/>
                <w:szCs w:val="20"/>
              </w:rPr>
              <w:t xml:space="preserve">results framework provides guidance on the baseline, target and indicators of success for each stage of the theory of change. </w:t>
            </w:r>
            <w:r w:rsidR="00216A60" w:rsidRPr="00884186">
              <w:rPr>
                <w:rFonts w:ascii="Times New Roman" w:hAnsi="Times New Roman" w:cs="Times New Roman"/>
                <w:sz w:val="20"/>
                <w:szCs w:val="20"/>
              </w:rPr>
              <w:t>It is strong at monitoring impact, outcome and output information</w:t>
            </w:r>
            <w:r w:rsidR="001D6274" w:rsidRPr="00884186">
              <w:rPr>
                <w:rFonts w:ascii="Times New Roman" w:hAnsi="Times New Roman" w:cs="Times New Roman"/>
                <w:sz w:val="20"/>
                <w:szCs w:val="20"/>
              </w:rPr>
              <w:t xml:space="preserve"> at a granular level of detail. </w:t>
            </w:r>
            <w:r w:rsidR="00A66F73" w:rsidRPr="00884186">
              <w:rPr>
                <w:rFonts w:ascii="Times New Roman" w:hAnsi="Times New Roman" w:cs="Times New Roman"/>
                <w:sz w:val="20"/>
                <w:szCs w:val="20"/>
              </w:rPr>
              <w:t xml:space="preserve">This information allows us to determine the success of the theory of change. </w:t>
            </w:r>
          </w:p>
          <w:p w14:paraId="2D3E2113" w14:textId="071D1D41" w:rsidR="001F44FD" w:rsidRPr="00884186" w:rsidRDefault="00216A60" w:rsidP="00B86D0C">
            <w:pPr>
              <w:spacing w:line="360" w:lineRule="auto"/>
              <w:rPr>
                <w:rFonts w:ascii="Times New Roman" w:hAnsi="Times New Roman" w:cs="Times New Roman"/>
                <w:sz w:val="20"/>
                <w:szCs w:val="20"/>
              </w:rPr>
            </w:pPr>
            <w:r w:rsidRPr="00884186">
              <w:rPr>
                <w:rFonts w:ascii="Times New Roman" w:hAnsi="Times New Roman" w:cs="Times New Roman"/>
                <w:sz w:val="20"/>
                <w:szCs w:val="20"/>
              </w:rPr>
              <w:t xml:space="preserve">The results framework </w:t>
            </w:r>
            <w:r w:rsidR="00EB326A" w:rsidRPr="00884186">
              <w:rPr>
                <w:rFonts w:ascii="Times New Roman" w:hAnsi="Times New Roman" w:cs="Times New Roman"/>
                <w:sz w:val="20"/>
                <w:szCs w:val="20"/>
              </w:rPr>
              <w:t>could</w:t>
            </w:r>
            <w:r w:rsidR="00FF62FF" w:rsidRPr="00884186">
              <w:rPr>
                <w:rFonts w:ascii="Times New Roman" w:hAnsi="Times New Roman" w:cs="Times New Roman"/>
                <w:sz w:val="20"/>
                <w:szCs w:val="20"/>
              </w:rPr>
              <w:t>,</w:t>
            </w:r>
            <w:r w:rsidR="00EB326A" w:rsidRPr="00884186">
              <w:rPr>
                <w:rFonts w:ascii="Times New Roman" w:hAnsi="Times New Roman" w:cs="Times New Roman"/>
                <w:sz w:val="20"/>
                <w:szCs w:val="20"/>
              </w:rPr>
              <w:t xml:space="preserve"> however</w:t>
            </w:r>
            <w:r w:rsidR="00FF62FF" w:rsidRPr="00884186">
              <w:rPr>
                <w:rFonts w:ascii="Times New Roman" w:hAnsi="Times New Roman" w:cs="Times New Roman"/>
                <w:sz w:val="20"/>
                <w:szCs w:val="20"/>
              </w:rPr>
              <w:t>,</w:t>
            </w:r>
            <w:r w:rsidR="00EB326A" w:rsidRPr="00884186">
              <w:rPr>
                <w:rFonts w:ascii="Times New Roman" w:hAnsi="Times New Roman" w:cs="Times New Roman"/>
                <w:sz w:val="20"/>
                <w:szCs w:val="20"/>
              </w:rPr>
              <w:t xml:space="preserve"> be strengthened to </w:t>
            </w:r>
            <w:r w:rsidR="006B0E33" w:rsidRPr="00884186">
              <w:rPr>
                <w:rFonts w:ascii="Times New Roman" w:hAnsi="Times New Roman" w:cs="Times New Roman"/>
                <w:sz w:val="20"/>
                <w:szCs w:val="20"/>
              </w:rPr>
              <w:t xml:space="preserve">provide </w:t>
            </w:r>
            <w:r w:rsidR="0020208F" w:rsidRPr="00884186">
              <w:rPr>
                <w:rFonts w:ascii="Times New Roman" w:hAnsi="Times New Roman" w:cs="Times New Roman"/>
                <w:sz w:val="20"/>
                <w:szCs w:val="20"/>
              </w:rPr>
              <w:t xml:space="preserve">guidance to civil servants on </w:t>
            </w:r>
            <w:r w:rsidR="0033592F" w:rsidRPr="00884186">
              <w:rPr>
                <w:rFonts w:ascii="Times New Roman" w:hAnsi="Times New Roman" w:cs="Times New Roman"/>
                <w:sz w:val="20"/>
                <w:szCs w:val="20"/>
              </w:rPr>
              <w:t xml:space="preserve">the </w:t>
            </w:r>
            <w:r w:rsidR="00EB326A" w:rsidRPr="00884186">
              <w:rPr>
                <w:rFonts w:ascii="Times New Roman" w:hAnsi="Times New Roman" w:cs="Times New Roman"/>
                <w:sz w:val="20"/>
                <w:szCs w:val="20"/>
              </w:rPr>
              <w:t>theory’s validity</w:t>
            </w:r>
            <w:r w:rsidR="000977AA" w:rsidRPr="00884186">
              <w:rPr>
                <w:rFonts w:ascii="Times New Roman" w:hAnsi="Times New Roman" w:cs="Times New Roman"/>
                <w:sz w:val="20"/>
                <w:szCs w:val="20"/>
              </w:rPr>
              <w:t xml:space="preserve"> and </w:t>
            </w:r>
            <w:r w:rsidR="006B0E33" w:rsidRPr="00884186">
              <w:rPr>
                <w:rFonts w:ascii="Times New Roman" w:hAnsi="Times New Roman" w:cs="Times New Roman"/>
                <w:sz w:val="20"/>
                <w:szCs w:val="20"/>
              </w:rPr>
              <w:t>be s</w:t>
            </w:r>
            <w:r w:rsidR="00464ADD" w:rsidRPr="00884186">
              <w:rPr>
                <w:rFonts w:ascii="Times New Roman" w:hAnsi="Times New Roman" w:cs="Times New Roman"/>
                <w:sz w:val="20"/>
                <w:szCs w:val="20"/>
              </w:rPr>
              <w:t xml:space="preserve">haped in a way to </w:t>
            </w:r>
            <w:r w:rsidR="000977AA" w:rsidRPr="00884186">
              <w:rPr>
                <w:rFonts w:ascii="Times New Roman" w:hAnsi="Times New Roman" w:cs="Times New Roman"/>
                <w:sz w:val="20"/>
                <w:szCs w:val="20"/>
              </w:rPr>
              <w:t xml:space="preserve">monitor achievement of the </w:t>
            </w:r>
            <w:r w:rsidR="00464ADD" w:rsidRPr="00884186">
              <w:rPr>
                <w:rFonts w:ascii="Times New Roman" w:hAnsi="Times New Roman" w:cs="Times New Roman"/>
                <w:sz w:val="20"/>
                <w:szCs w:val="20"/>
              </w:rPr>
              <w:t>interventions (</w:t>
            </w:r>
            <w:r w:rsidR="00BE0C99" w:rsidRPr="00884186">
              <w:rPr>
                <w:rFonts w:ascii="Times New Roman" w:hAnsi="Times New Roman" w:cs="Times New Roman"/>
                <w:sz w:val="20"/>
                <w:szCs w:val="20"/>
              </w:rPr>
              <w:t xml:space="preserve">9 strategies and 5 approaches). </w:t>
            </w:r>
            <w:r w:rsidR="001F44FD" w:rsidRPr="00884186">
              <w:rPr>
                <w:rFonts w:ascii="Times New Roman" w:hAnsi="Times New Roman" w:cs="Times New Roman"/>
                <w:sz w:val="20"/>
                <w:szCs w:val="20"/>
              </w:rPr>
              <w:t>E.g. how successful has the quasi-</w:t>
            </w:r>
            <w:r w:rsidR="00875989" w:rsidRPr="00884186">
              <w:rPr>
                <w:rFonts w:ascii="Times New Roman" w:hAnsi="Times New Roman" w:cs="Times New Roman"/>
                <w:sz w:val="20"/>
                <w:szCs w:val="20"/>
              </w:rPr>
              <w:t xml:space="preserve">market </w:t>
            </w:r>
            <w:r w:rsidR="001F44FD" w:rsidRPr="00884186">
              <w:rPr>
                <w:rFonts w:ascii="Times New Roman" w:hAnsi="Times New Roman" w:cs="Times New Roman"/>
                <w:sz w:val="20"/>
                <w:szCs w:val="20"/>
              </w:rPr>
              <w:t xml:space="preserve">approach been? What are the indicators, baseline and targets for </w:t>
            </w:r>
            <w:r w:rsidR="00875989" w:rsidRPr="00884186">
              <w:rPr>
                <w:rFonts w:ascii="Times New Roman" w:hAnsi="Times New Roman" w:cs="Times New Roman"/>
                <w:sz w:val="20"/>
                <w:szCs w:val="20"/>
              </w:rPr>
              <w:t>the quasi-market approach</w:t>
            </w:r>
            <w:r w:rsidR="001F44FD" w:rsidRPr="00884186">
              <w:rPr>
                <w:rFonts w:ascii="Times New Roman" w:hAnsi="Times New Roman" w:cs="Times New Roman"/>
                <w:sz w:val="20"/>
                <w:szCs w:val="20"/>
              </w:rPr>
              <w:t>?</w:t>
            </w:r>
            <w:r w:rsidR="001B2999" w:rsidRPr="00884186">
              <w:rPr>
                <w:rFonts w:ascii="Times New Roman" w:hAnsi="Times New Roman" w:cs="Times New Roman"/>
                <w:sz w:val="20"/>
                <w:szCs w:val="20"/>
              </w:rPr>
              <w:t xml:space="preserve"> Has the value-chain analysis been used and proven to be successful/useful? </w:t>
            </w:r>
          </w:p>
        </w:tc>
      </w:tr>
    </w:tbl>
    <w:p w14:paraId="0CDFF416" w14:textId="7C01F53A" w:rsidR="00E04BDE" w:rsidRPr="00F10F3B" w:rsidRDefault="00E04BDE"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Source: Compiled by author through analysis of NDPII</w:t>
      </w:r>
    </w:p>
    <w:p w14:paraId="2620537A" w14:textId="77777777" w:rsidR="00BF62F3" w:rsidRPr="00F10F3B" w:rsidRDefault="00BF62F3" w:rsidP="00587EDE">
      <w:pPr>
        <w:spacing w:after="160" w:line="360" w:lineRule="auto"/>
        <w:jc w:val="both"/>
        <w:rPr>
          <w:rFonts w:ascii="Times New Roman" w:hAnsi="Times New Roman" w:cs="Times New Roman"/>
        </w:rPr>
      </w:pPr>
    </w:p>
    <w:p w14:paraId="4CBAAB37" w14:textId="77777777" w:rsidR="00BF62F3" w:rsidRPr="00F10F3B" w:rsidRDefault="00BF62F3" w:rsidP="00587EDE">
      <w:pPr>
        <w:spacing w:line="360" w:lineRule="auto"/>
        <w:jc w:val="both"/>
        <w:rPr>
          <w:rFonts w:ascii="Times New Roman" w:hAnsi="Times New Roman" w:cs="Times New Roman"/>
        </w:rPr>
        <w:sectPr w:rsidR="00BF62F3" w:rsidRPr="00F10F3B" w:rsidSect="00B86D0C">
          <w:pgSz w:w="11906" w:h="16838"/>
          <w:pgMar w:top="1440" w:right="1440" w:bottom="1440" w:left="1440" w:header="709" w:footer="709" w:gutter="0"/>
          <w:cols w:space="708"/>
          <w:titlePg/>
          <w:docGrid w:linePitch="360"/>
        </w:sectPr>
      </w:pPr>
    </w:p>
    <w:p w14:paraId="79E541E8" w14:textId="6AE47258" w:rsidR="00E907C5" w:rsidRPr="00F10F3B" w:rsidRDefault="00E907C5" w:rsidP="00587EDE">
      <w:pPr>
        <w:pStyle w:val="Heading2"/>
        <w:numPr>
          <w:ilvl w:val="1"/>
          <w:numId w:val="45"/>
        </w:numPr>
        <w:spacing w:line="360" w:lineRule="auto"/>
        <w:ind w:left="426" w:hanging="426"/>
        <w:rPr>
          <w:rFonts w:cs="Times New Roman"/>
        </w:rPr>
      </w:pPr>
      <w:bookmarkStart w:id="27" w:name="_Toc3454217"/>
      <w:bookmarkStart w:id="28" w:name="_Toc9269381"/>
      <w:r w:rsidRPr="00F10F3B">
        <w:rPr>
          <w:rFonts w:cs="Times New Roman"/>
        </w:rPr>
        <w:lastRenderedPageBreak/>
        <w:t xml:space="preserve">Quality of </w:t>
      </w:r>
      <w:r w:rsidR="009A2561" w:rsidRPr="00F10F3B">
        <w:rPr>
          <w:rFonts w:cs="Times New Roman"/>
        </w:rPr>
        <w:t>Government</w:t>
      </w:r>
      <w:r w:rsidRPr="00F10F3B">
        <w:rPr>
          <w:rFonts w:cs="Times New Roman"/>
        </w:rPr>
        <w:t xml:space="preserve"> policies, plans and strategies in relation to NDPII</w:t>
      </w:r>
      <w:bookmarkEnd w:id="27"/>
      <w:bookmarkEnd w:id="28"/>
    </w:p>
    <w:p w14:paraId="7DE39D26" w14:textId="164942E1" w:rsidR="000E7685" w:rsidRPr="003F6E47" w:rsidRDefault="000E7685"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F6E47">
        <w:rPr>
          <w:rFonts w:ascii="Times New Roman" w:hAnsi="Times New Roman" w:cs="Times New Roman"/>
          <w:sz w:val="24"/>
        </w:rPr>
        <w:t xml:space="preserve">As noted in Section 4.1, NDPII’s theory of change provides guidance on the types of policies that should be in place, developed and implemented. This section provides an analysis of the quality of </w:t>
      </w:r>
      <w:r w:rsidR="009A2561" w:rsidRPr="003F6E47">
        <w:rPr>
          <w:rFonts w:ascii="Times New Roman" w:hAnsi="Times New Roman" w:cs="Times New Roman"/>
          <w:sz w:val="24"/>
        </w:rPr>
        <w:t>Government</w:t>
      </w:r>
      <w:r w:rsidRPr="003F6E47">
        <w:rPr>
          <w:rFonts w:ascii="Times New Roman" w:hAnsi="Times New Roman" w:cs="Times New Roman"/>
          <w:sz w:val="24"/>
        </w:rPr>
        <w:t xml:space="preserve"> policies, plan</w:t>
      </w:r>
      <w:r w:rsidR="003617BC" w:rsidRPr="003F6E47">
        <w:rPr>
          <w:rFonts w:ascii="Times New Roman" w:hAnsi="Times New Roman" w:cs="Times New Roman"/>
          <w:sz w:val="24"/>
        </w:rPr>
        <w:t>s</w:t>
      </w:r>
      <w:r w:rsidRPr="003F6E47">
        <w:rPr>
          <w:rFonts w:ascii="Times New Roman" w:hAnsi="Times New Roman" w:cs="Times New Roman"/>
          <w:sz w:val="24"/>
        </w:rPr>
        <w:t xml:space="preserve"> and strategies in relation to NDPII. It answers </w:t>
      </w:r>
      <w:r w:rsidR="00F84AE4" w:rsidRPr="003F6E47">
        <w:rPr>
          <w:rFonts w:ascii="Times New Roman" w:hAnsi="Times New Roman" w:cs="Times New Roman"/>
          <w:sz w:val="24"/>
        </w:rPr>
        <w:t>three key questions:</w:t>
      </w:r>
    </w:p>
    <w:p w14:paraId="5AE236BA" w14:textId="358818D2" w:rsidR="00F84AE4" w:rsidRPr="003F6E47" w:rsidRDefault="00F84AE4" w:rsidP="00B86D0C">
      <w:pPr>
        <w:pStyle w:val="ListParagraph"/>
        <w:numPr>
          <w:ilvl w:val="0"/>
          <w:numId w:val="19"/>
        </w:numPr>
        <w:spacing w:line="360" w:lineRule="auto"/>
        <w:ind w:left="720"/>
        <w:contextualSpacing w:val="0"/>
        <w:jc w:val="both"/>
        <w:rPr>
          <w:rFonts w:ascii="Times New Roman" w:hAnsi="Times New Roman" w:cs="Times New Roman"/>
          <w:sz w:val="24"/>
        </w:rPr>
      </w:pPr>
      <w:r w:rsidRPr="003F6E47">
        <w:rPr>
          <w:rFonts w:ascii="Times New Roman" w:hAnsi="Times New Roman" w:cs="Times New Roman"/>
          <w:sz w:val="24"/>
        </w:rPr>
        <w:t xml:space="preserve">What is the quality of </w:t>
      </w:r>
      <w:r w:rsidR="009A2561" w:rsidRPr="003F6E47">
        <w:rPr>
          <w:rFonts w:ascii="Times New Roman" w:hAnsi="Times New Roman" w:cs="Times New Roman"/>
          <w:sz w:val="24"/>
        </w:rPr>
        <w:t>Government</w:t>
      </w:r>
      <w:r w:rsidRPr="003F6E47">
        <w:rPr>
          <w:rFonts w:ascii="Times New Roman" w:hAnsi="Times New Roman" w:cs="Times New Roman"/>
          <w:sz w:val="24"/>
        </w:rPr>
        <w:t xml:space="preserve"> policy and strategy, in relation to NDPII?</w:t>
      </w:r>
      <w:r w:rsidR="001C5496" w:rsidRPr="003F6E47">
        <w:rPr>
          <w:rFonts w:ascii="Times New Roman" w:hAnsi="Times New Roman" w:cs="Times New Roman"/>
          <w:sz w:val="24"/>
        </w:rPr>
        <w:t xml:space="preserve"> </w:t>
      </w:r>
    </w:p>
    <w:p w14:paraId="60283050" w14:textId="2E832322" w:rsidR="00F84AE4" w:rsidRPr="003F6E47" w:rsidRDefault="000820EE" w:rsidP="00B86D0C">
      <w:pPr>
        <w:pStyle w:val="ListParagraph"/>
        <w:numPr>
          <w:ilvl w:val="0"/>
          <w:numId w:val="19"/>
        </w:numPr>
        <w:spacing w:line="360" w:lineRule="auto"/>
        <w:ind w:left="720"/>
        <w:contextualSpacing w:val="0"/>
        <w:jc w:val="both"/>
        <w:rPr>
          <w:rFonts w:ascii="Times New Roman" w:hAnsi="Times New Roman" w:cs="Times New Roman"/>
          <w:sz w:val="24"/>
        </w:rPr>
      </w:pPr>
      <w:r w:rsidRPr="003F6E47">
        <w:rPr>
          <w:rFonts w:ascii="Times New Roman" w:hAnsi="Times New Roman" w:cs="Times New Roman"/>
          <w:sz w:val="24"/>
        </w:rPr>
        <w:t xml:space="preserve">Has sufficient attention been given to communicating the benefits of NDPII, and major pre-conditions, to all </w:t>
      </w:r>
      <w:r w:rsidR="00912751" w:rsidRPr="003F6E47">
        <w:rPr>
          <w:rFonts w:ascii="Times New Roman" w:hAnsi="Times New Roman" w:cs="Times New Roman"/>
          <w:sz w:val="24"/>
        </w:rPr>
        <w:t>stakeholders for successful change management?</w:t>
      </w:r>
      <w:r w:rsidR="001C5496" w:rsidRPr="003F6E47">
        <w:rPr>
          <w:rFonts w:ascii="Times New Roman" w:hAnsi="Times New Roman" w:cs="Times New Roman"/>
          <w:sz w:val="24"/>
        </w:rPr>
        <w:t xml:space="preserve"> (PS</w:t>
      </w:r>
      <w:r w:rsidR="00C12368" w:rsidRPr="003F6E47">
        <w:rPr>
          <w:rFonts w:ascii="Times New Roman" w:hAnsi="Times New Roman" w:cs="Times New Roman"/>
          <w:sz w:val="24"/>
        </w:rPr>
        <w:t>8)</w:t>
      </w:r>
    </w:p>
    <w:p w14:paraId="2B7908CC" w14:textId="709BC0B2" w:rsidR="00912751" w:rsidRPr="003F6E47" w:rsidRDefault="00912751" w:rsidP="00B86D0C">
      <w:pPr>
        <w:pStyle w:val="ListParagraph"/>
        <w:numPr>
          <w:ilvl w:val="0"/>
          <w:numId w:val="19"/>
        </w:numPr>
        <w:spacing w:line="360" w:lineRule="auto"/>
        <w:ind w:left="717" w:hanging="357"/>
        <w:contextualSpacing w:val="0"/>
        <w:jc w:val="both"/>
        <w:rPr>
          <w:rFonts w:ascii="Times New Roman" w:hAnsi="Times New Roman" w:cs="Times New Roman"/>
          <w:sz w:val="24"/>
        </w:rPr>
      </w:pPr>
      <w:r w:rsidRPr="003F6E47">
        <w:rPr>
          <w:rFonts w:ascii="Times New Roman" w:hAnsi="Times New Roman" w:cs="Times New Roman"/>
          <w:sz w:val="24"/>
        </w:rPr>
        <w:t>What major policy changes are needed to increase the likelihood of delivering targets?</w:t>
      </w:r>
      <w:r w:rsidR="00C12368" w:rsidRPr="003F6E47">
        <w:rPr>
          <w:rFonts w:ascii="Times New Roman" w:hAnsi="Times New Roman" w:cs="Times New Roman"/>
          <w:sz w:val="24"/>
        </w:rPr>
        <w:t xml:space="preserve"> (PS9)</w:t>
      </w:r>
    </w:p>
    <w:p w14:paraId="528CE6DD" w14:textId="3E393E58" w:rsidR="00F91A56" w:rsidRPr="003F6E47" w:rsidRDefault="00AE7AA3"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F6E47">
        <w:rPr>
          <w:rFonts w:ascii="Times New Roman" w:hAnsi="Times New Roman" w:cs="Times New Roman"/>
          <w:b/>
          <w:sz w:val="24"/>
        </w:rPr>
        <w:t>The quality of 64 policies, plans and strategies, in relation to NDP</w:t>
      </w:r>
      <w:r w:rsidR="008262FA" w:rsidRPr="003F6E47">
        <w:rPr>
          <w:rFonts w:ascii="Times New Roman" w:hAnsi="Times New Roman" w:cs="Times New Roman"/>
          <w:b/>
          <w:sz w:val="24"/>
        </w:rPr>
        <w:t>II</w:t>
      </w:r>
      <w:r w:rsidRPr="003F6E47">
        <w:rPr>
          <w:rFonts w:ascii="Times New Roman" w:hAnsi="Times New Roman" w:cs="Times New Roman"/>
          <w:b/>
          <w:sz w:val="24"/>
        </w:rPr>
        <w:t>, were analysed as part of the MTR</w:t>
      </w:r>
      <w:r w:rsidR="00F91A56" w:rsidRPr="003F6E47">
        <w:rPr>
          <w:rFonts w:ascii="Times New Roman" w:hAnsi="Times New Roman" w:cs="Times New Roman"/>
          <w:b/>
          <w:sz w:val="24"/>
        </w:rPr>
        <w:t xml:space="preserve"> (Table </w:t>
      </w:r>
      <w:r w:rsidR="00714D67" w:rsidRPr="003F6E47">
        <w:rPr>
          <w:rFonts w:ascii="Times New Roman" w:hAnsi="Times New Roman" w:cs="Times New Roman"/>
          <w:b/>
          <w:sz w:val="24"/>
        </w:rPr>
        <w:t>4</w:t>
      </w:r>
      <w:r w:rsidR="00F91A56" w:rsidRPr="003F6E47">
        <w:rPr>
          <w:rFonts w:ascii="Times New Roman" w:hAnsi="Times New Roman" w:cs="Times New Roman"/>
          <w:b/>
          <w:sz w:val="24"/>
        </w:rPr>
        <w:t>)</w:t>
      </w:r>
      <w:r w:rsidR="008262FA" w:rsidRPr="003F6E47">
        <w:rPr>
          <w:rFonts w:ascii="Times New Roman" w:hAnsi="Times New Roman" w:cs="Times New Roman"/>
          <w:b/>
          <w:sz w:val="24"/>
        </w:rPr>
        <w:t>.</w:t>
      </w:r>
      <w:r w:rsidRPr="003F6E47">
        <w:rPr>
          <w:rFonts w:ascii="Times New Roman" w:hAnsi="Times New Roman" w:cs="Times New Roman"/>
          <w:sz w:val="24"/>
        </w:rPr>
        <w:t xml:space="preserve"> Quality determinants were defined using Office of the President guidance (</w:t>
      </w:r>
      <w:r w:rsidR="00242DA4" w:rsidRPr="003F6E47">
        <w:rPr>
          <w:rFonts w:ascii="Times New Roman" w:hAnsi="Times New Roman" w:cs="Times New Roman"/>
          <w:sz w:val="24"/>
        </w:rPr>
        <w:t xml:space="preserve">Table </w:t>
      </w:r>
      <w:r w:rsidR="00714D67" w:rsidRPr="003F6E47">
        <w:rPr>
          <w:rFonts w:ascii="Times New Roman" w:hAnsi="Times New Roman" w:cs="Times New Roman"/>
          <w:sz w:val="24"/>
        </w:rPr>
        <w:t>3</w:t>
      </w:r>
      <w:r w:rsidRPr="003F6E47">
        <w:rPr>
          <w:rFonts w:ascii="Times New Roman" w:hAnsi="Times New Roman" w:cs="Times New Roman"/>
          <w:sz w:val="24"/>
        </w:rPr>
        <w:t>)</w:t>
      </w:r>
      <w:r w:rsidR="00B6508B" w:rsidRPr="003F6E47">
        <w:rPr>
          <w:rFonts w:ascii="Times New Roman" w:hAnsi="Times New Roman" w:cs="Times New Roman"/>
          <w:sz w:val="24"/>
        </w:rPr>
        <w:t xml:space="preserve">; the analysis did not include any investigation into the technical merit of each </w:t>
      </w:r>
      <w:r w:rsidR="00E409AB" w:rsidRPr="003F6E47">
        <w:rPr>
          <w:rFonts w:ascii="Times New Roman" w:hAnsi="Times New Roman" w:cs="Times New Roman"/>
          <w:sz w:val="24"/>
        </w:rPr>
        <w:t xml:space="preserve">policy. </w:t>
      </w:r>
      <w:r w:rsidR="00174C9D" w:rsidRPr="003F6E47">
        <w:rPr>
          <w:rFonts w:ascii="Times New Roman" w:hAnsi="Times New Roman" w:cs="Times New Roman"/>
          <w:sz w:val="24"/>
        </w:rPr>
        <w:t xml:space="preserve">Relevant policies, plans and Acts were collected through consultation with stakeholders and </w:t>
      </w:r>
      <w:r w:rsidR="002314AF" w:rsidRPr="003F6E47">
        <w:rPr>
          <w:rFonts w:ascii="Times New Roman" w:hAnsi="Times New Roman" w:cs="Times New Roman"/>
          <w:sz w:val="24"/>
        </w:rPr>
        <w:t xml:space="preserve">searches for publicly available documents. </w:t>
      </w:r>
      <w:r w:rsidRPr="003F6E47">
        <w:rPr>
          <w:rFonts w:ascii="Times New Roman" w:hAnsi="Times New Roman" w:cs="Times New Roman"/>
          <w:sz w:val="24"/>
        </w:rPr>
        <w:t xml:space="preserve"> Of the 64 documents</w:t>
      </w:r>
      <w:r w:rsidR="00061475" w:rsidRPr="003F6E47">
        <w:rPr>
          <w:rFonts w:ascii="Times New Roman" w:hAnsi="Times New Roman" w:cs="Times New Roman"/>
          <w:sz w:val="24"/>
        </w:rPr>
        <w:t xml:space="preserve"> analysed</w:t>
      </w:r>
      <w:r w:rsidRPr="003F6E47">
        <w:rPr>
          <w:rFonts w:ascii="Times New Roman" w:hAnsi="Times New Roman" w:cs="Times New Roman"/>
          <w:sz w:val="24"/>
        </w:rPr>
        <w:t xml:space="preserve">, most </w:t>
      </w:r>
      <w:r w:rsidR="008627F3" w:rsidRPr="003F6E47">
        <w:rPr>
          <w:rFonts w:ascii="Times New Roman" w:hAnsi="Times New Roman" w:cs="Times New Roman"/>
          <w:sz w:val="24"/>
        </w:rPr>
        <w:t>(</w:t>
      </w:r>
      <w:r w:rsidR="00D735B1" w:rsidRPr="003F6E47">
        <w:rPr>
          <w:rFonts w:ascii="Times New Roman" w:hAnsi="Times New Roman" w:cs="Times New Roman"/>
          <w:sz w:val="24"/>
        </w:rPr>
        <w:t>94</w:t>
      </w:r>
      <w:r w:rsidR="008627F3" w:rsidRPr="003F6E47">
        <w:rPr>
          <w:rFonts w:ascii="Times New Roman" w:hAnsi="Times New Roman" w:cs="Times New Roman"/>
          <w:sz w:val="24"/>
        </w:rPr>
        <w:t xml:space="preserve">%) </w:t>
      </w:r>
      <w:r w:rsidRPr="003F6E47">
        <w:rPr>
          <w:rFonts w:ascii="Times New Roman" w:hAnsi="Times New Roman" w:cs="Times New Roman"/>
          <w:sz w:val="24"/>
        </w:rPr>
        <w:t xml:space="preserve">had </w:t>
      </w:r>
      <w:r w:rsidR="000A2BE5" w:rsidRPr="003F6E47">
        <w:rPr>
          <w:rFonts w:ascii="Times New Roman" w:hAnsi="Times New Roman" w:cs="Times New Roman"/>
          <w:sz w:val="24"/>
        </w:rPr>
        <w:t xml:space="preserve">done a good or excellent job at </w:t>
      </w:r>
      <w:r w:rsidRPr="003F6E47">
        <w:rPr>
          <w:rFonts w:ascii="Times New Roman" w:hAnsi="Times New Roman" w:cs="Times New Roman"/>
          <w:sz w:val="24"/>
        </w:rPr>
        <w:t>identif</w:t>
      </w:r>
      <w:r w:rsidR="000A2BE5" w:rsidRPr="003F6E47">
        <w:rPr>
          <w:rFonts w:ascii="Times New Roman" w:hAnsi="Times New Roman" w:cs="Times New Roman"/>
          <w:sz w:val="24"/>
        </w:rPr>
        <w:t xml:space="preserve">ying </w:t>
      </w:r>
      <w:r w:rsidRPr="003F6E47">
        <w:rPr>
          <w:rFonts w:ascii="Times New Roman" w:hAnsi="Times New Roman" w:cs="Times New Roman"/>
          <w:sz w:val="24"/>
        </w:rPr>
        <w:t>the problem that needs to be addressed. However, in most cases</w:t>
      </w:r>
      <w:r w:rsidR="008627F3" w:rsidRPr="003F6E47">
        <w:rPr>
          <w:rFonts w:ascii="Times New Roman" w:hAnsi="Times New Roman" w:cs="Times New Roman"/>
          <w:sz w:val="24"/>
        </w:rPr>
        <w:t xml:space="preserve"> </w:t>
      </w:r>
      <w:r w:rsidRPr="003F6E47">
        <w:rPr>
          <w:rFonts w:ascii="Times New Roman" w:hAnsi="Times New Roman" w:cs="Times New Roman"/>
          <w:sz w:val="24"/>
        </w:rPr>
        <w:t>improvements are needed in communication and dissemination of the policy to support implementation</w:t>
      </w:r>
      <w:r w:rsidR="00DB4E36" w:rsidRPr="003F6E47">
        <w:rPr>
          <w:rFonts w:ascii="Times New Roman" w:hAnsi="Times New Roman" w:cs="Times New Roman"/>
          <w:sz w:val="24"/>
        </w:rPr>
        <w:t xml:space="preserve"> (83% scored ‘poor’ or ‘none’)</w:t>
      </w:r>
      <w:r w:rsidR="00190FBD" w:rsidRPr="003F6E47">
        <w:rPr>
          <w:rFonts w:ascii="Times New Roman" w:hAnsi="Times New Roman" w:cs="Times New Roman"/>
          <w:sz w:val="24"/>
        </w:rPr>
        <w:t>,</w:t>
      </w:r>
      <w:r w:rsidRPr="003F6E47">
        <w:rPr>
          <w:rFonts w:ascii="Times New Roman" w:hAnsi="Times New Roman" w:cs="Times New Roman"/>
          <w:sz w:val="24"/>
        </w:rPr>
        <w:t xml:space="preserve"> and </w:t>
      </w:r>
      <w:r w:rsidR="001C50A6" w:rsidRPr="003F6E47">
        <w:rPr>
          <w:rFonts w:ascii="Times New Roman" w:hAnsi="Times New Roman" w:cs="Times New Roman"/>
          <w:sz w:val="24"/>
        </w:rPr>
        <w:t xml:space="preserve">in ensuring that </w:t>
      </w:r>
      <w:r w:rsidRPr="003F6E47">
        <w:rPr>
          <w:rFonts w:ascii="Times New Roman" w:hAnsi="Times New Roman" w:cs="Times New Roman"/>
          <w:sz w:val="24"/>
        </w:rPr>
        <w:t xml:space="preserve">cross-analysis against other policies and law </w:t>
      </w:r>
      <w:r w:rsidR="00D65670" w:rsidRPr="003F6E47">
        <w:rPr>
          <w:rFonts w:ascii="Times New Roman" w:hAnsi="Times New Roman" w:cs="Times New Roman"/>
          <w:sz w:val="24"/>
        </w:rPr>
        <w:t xml:space="preserve">has been undertaken </w:t>
      </w:r>
      <w:r w:rsidRPr="003F6E47">
        <w:rPr>
          <w:rFonts w:ascii="Times New Roman" w:hAnsi="Times New Roman" w:cs="Times New Roman"/>
          <w:sz w:val="24"/>
        </w:rPr>
        <w:t>before being introduced</w:t>
      </w:r>
      <w:r w:rsidR="001C50A6" w:rsidRPr="003F6E47">
        <w:rPr>
          <w:rFonts w:ascii="Times New Roman" w:hAnsi="Times New Roman" w:cs="Times New Roman"/>
          <w:sz w:val="24"/>
        </w:rPr>
        <w:t xml:space="preserve"> (64% scored ‘poor’ in this criteria)</w:t>
      </w:r>
      <w:r w:rsidRPr="003F6E47">
        <w:rPr>
          <w:rFonts w:ascii="Times New Roman" w:hAnsi="Times New Roman" w:cs="Times New Roman"/>
          <w:sz w:val="24"/>
        </w:rPr>
        <w:t xml:space="preserve">. </w:t>
      </w:r>
      <w:r w:rsidR="00B70779" w:rsidRPr="003F6E47">
        <w:rPr>
          <w:rFonts w:ascii="Times New Roman" w:hAnsi="Times New Roman" w:cs="Times New Roman"/>
          <w:sz w:val="24"/>
        </w:rPr>
        <w:t>Further details are provided in Annex 3.</w:t>
      </w:r>
      <w:r w:rsidR="000041FE" w:rsidRPr="003F6E47">
        <w:rPr>
          <w:rFonts w:ascii="Times New Roman" w:hAnsi="Times New Roman" w:cs="Times New Roman"/>
          <w:sz w:val="24"/>
        </w:rPr>
        <w:t xml:space="preserve"> In discussion with stakeholders, it was also noted that there needs to be greater awareness across the civil service on </w:t>
      </w:r>
      <w:r w:rsidR="00966756" w:rsidRPr="003F6E47">
        <w:rPr>
          <w:rFonts w:ascii="Times New Roman" w:hAnsi="Times New Roman" w:cs="Times New Roman"/>
          <w:sz w:val="24"/>
        </w:rPr>
        <w:t xml:space="preserve">the different </w:t>
      </w:r>
      <w:r w:rsidR="00FC6933" w:rsidRPr="003F6E47">
        <w:rPr>
          <w:rFonts w:ascii="Times New Roman" w:hAnsi="Times New Roman" w:cs="Times New Roman"/>
          <w:sz w:val="24"/>
        </w:rPr>
        <w:t xml:space="preserve">options </w:t>
      </w:r>
      <w:r w:rsidR="00EE78FD" w:rsidRPr="003F6E47">
        <w:rPr>
          <w:rFonts w:ascii="Times New Roman" w:hAnsi="Times New Roman" w:cs="Times New Roman"/>
          <w:sz w:val="24"/>
        </w:rPr>
        <w:t xml:space="preserve">available to address </w:t>
      </w:r>
      <w:r w:rsidR="00966756" w:rsidRPr="003F6E47">
        <w:rPr>
          <w:rFonts w:ascii="Times New Roman" w:hAnsi="Times New Roman" w:cs="Times New Roman"/>
          <w:sz w:val="24"/>
        </w:rPr>
        <w:t>a public problem, need or issue. A new policy, law or regulation should only be introduced when other alternatives</w:t>
      </w:r>
      <w:r w:rsidR="00094777" w:rsidRPr="003F6E47">
        <w:rPr>
          <w:rStyle w:val="FootnoteReference"/>
          <w:rFonts w:ascii="Times New Roman" w:hAnsi="Times New Roman" w:cs="Times New Roman"/>
          <w:sz w:val="24"/>
        </w:rPr>
        <w:footnoteReference w:id="2"/>
      </w:r>
      <w:r w:rsidR="00966756" w:rsidRPr="003F6E47">
        <w:rPr>
          <w:rFonts w:ascii="Times New Roman" w:hAnsi="Times New Roman" w:cs="Times New Roman"/>
          <w:sz w:val="24"/>
        </w:rPr>
        <w:t xml:space="preserve"> </w:t>
      </w:r>
      <w:r w:rsidR="00094777" w:rsidRPr="003F6E47">
        <w:rPr>
          <w:rFonts w:ascii="Times New Roman" w:hAnsi="Times New Roman" w:cs="Times New Roman"/>
          <w:sz w:val="24"/>
        </w:rPr>
        <w:t xml:space="preserve">have been considered and rejected and where the benefits justify the costs. </w:t>
      </w:r>
    </w:p>
    <w:p w14:paraId="467CAEAE" w14:textId="77777777" w:rsidR="00B86D0C" w:rsidRDefault="00B86D0C">
      <w:pPr>
        <w:spacing w:after="160" w:line="259" w:lineRule="auto"/>
        <w:rPr>
          <w:rFonts w:ascii="Times New Roman" w:hAnsi="Times New Roman" w:cs="Times New Roman"/>
          <w:b/>
          <w:iCs/>
          <w:sz w:val="24"/>
          <w:szCs w:val="18"/>
        </w:rPr>
      </w:pPr>
      <w:bookmarkStart w:id="29" w:name="_Toc536205951"/>
      <w:r>
        <w:rPr>
          <w:rFonts w:ascii="Times New Roman" w:hAnsi="Times New Roman" w:cs="Times New Roman"/>
          <w:i/>
          <w:sz w:val="24"/>
        </w:rPr>
        <w:br w:type="page"/>
      </w:r>
    </w:p>
    <w:p w14:paraId="4428C398" w14:textId="19A8A5C4" w:rsidR="00276485" w:rsidRPr="003F6E47" w:rsidRDefault="00276485" w:rsidP="00587EDE">
      <w:pPr>
        <w:pStyle w:val="Caption"/>
        <w:spacing w:line="360" w:lineRule="auto"/>
        <w:jc w:val="both"/>
        <w:rPr>
          <w:rFonts w:ascii="Times New Roman" w:hAnsi="Times New Roman" w:cs="Times New Roman"/>
          <w:b w:val="0"/>
          <w:i w:val="0"/>
          <w:sz w:val="24"/>
        </w:rPr>
      </w:pPr>
      <w:r w:rsidRPr="003F6E47">
        <w:rPr>
          <w:rFonts w:ascii="Times New Roman" w:hAnsi="Times New Roman" w:cs="Times New Roman"/>
          <w:i w:val="0"/>
          <w:sz w:val="24"/>
        </w:rPr>
        <w:lastRenderedPageBreak/>
        <w:t xml:space="preserve">Table </w:t>
      </w:r>
      <w:r w:rsidR="001350AC" w:rsidRPr="003F6E47">
        <w:rPr>
          <w:rFonts w:ascii="Times New Roman" w:hAnsi="Times New Roman" w:cs="Times New Roman"/>
          <w:i w:val="0"/>
          <w:noProof/>
          <w:sz w:val="24"/>
        </w:rPr>
        <w:fldChar w:fldCharType="begin"/>
      </w:r>
      <w:r w:rsidR="001350AC" w:rsidRPr="003F6E47">
        <w:rPr>
          <w:rFonts w:ascii="Times New Roman" w:hAnsi="Times New Roman" w:cs="Times New Roman"/>
          <w:i w:val="0"/>
          <w:noProof/>
          <w:sz w:val="24"/>
        </w:rPr>
        <w:instrText xml:space="preserve"> SEQ Table \* ARABIC </w:instrText>
      </w:r>
      <w:r w:rsidR="001350AC" w:rsidRPr="003F6E47">
        <w:rPr>
          <w:rFonts w:ascii="Times New Roman" w:hAnsi="Times New Roman" w:cs="Times New Roman"/>
          <w:i w:val="0"/>
          <w:noProof/>
          <w:sz w:val="24"/>
        </w:rPr>
        <w:fldChar w:fldCharType="separate"/>
      </w:r>
      <w:r w:rsidR="00A057A7">
        <w:rPr>
          <w:rFonts w:ascii="Times New Roman" w:hAnsi="Times New Roman" w:cs="Times New Roman"/>
          <w:i w:val="0"/>
          <w:noProof/>
          <w:sz w:val="24"/>
        </w:rPr>
        <w:t>3</w:t>
      </w:r>
      <w:r w:rsidR="001350AC" w:rsidRPr="003F6E47">
        <w:rPr>
          <w:rFonts w:ascii="Times New Roman" w:hAnsi="Times New Roman" w:cs="Times New Roman"/>
          <w:i w:val="0"/>
          <w:noProof/>
          <w:sz w:val="24"/>
        </w:rPr>
        <w:fldChar w:fldCharType="end"/>
      </w:r>
      <w:r w:rsidRPr="003F6E47">
        <w:rPr>
          <w:rFonts w:ascii="Times New Roman" w:hAnsi="Times New Roman" w:cs="Times New Roman"/>
          <w:i w:val="0"/>
          <w:sz w:val="24"/>
        </w:rPr>
        <w:t>: Best practice in policy, law and regulation making</w:t>
      </w:r>
      <w:bookmarkEnd w:id="29"/>
    </w:p>
    <w:tbl>
      <w:tblPr>
        <w:tblStyle w:val="TableGrid"/>
        <w:tblW w:w="0" w:type="auto"/>
        <w:tblInd w:w="-5" w:type="dxa"/>
        <w:tblLook w:val="04A0" w:firstRow="1" w:lastRow="0" w:firstColumn="1" w:lastColumn="0" w:noHBand="0" w:noVBand="1"/>
      </w:tblPr>
      <w:tblGrid>
        <w:gridCol w:w="8931"/>
      </w:tblGrid>
      <w:tr w:rsidR="00276485" w:rsidRPr="00F10F3B" w14:paraId="6285D704" w14:textId="77777777" w:rsidTr="00E409AB">
        <w:tc>
          <w:tcPr>
            <w:tcW w:w="8931" w:type="dxa"/>
          </w:tcPr>
          <w:p w14:paraId="6AE46C38" w14:textId="77777777" w:rsidR="00276485" w:rsidRPr="00F10F3B" w:rsidRDefault="00276485" w:rsidP="00587EDE">
            <w:pPr>
              <w:spacing w:before="120" w:after="60" w:line="360" w:lineRule="auto"/>
              <w:ind w:right="187"/>
              <w:jc w:val="both"/>
              <w:rPr>
                <w:rFonts w:ascii="Times New Roman" w:hAnsi="Times New Roman" w:cs="Times New Roman"/>
                <w:sz w:val="20"/>
                <w:szCs w:val="20"/>
              </w:rPr>
            </w:pPr>
            <w:r w:rsidRPr="00F10F3B">
              <w:rPr>
                <w:rFonts w:ascii="Times New Roman" w:hAnsi="Times New Roman" w:cs="Times New Roman"/>
                <w:sz w:val="20"/>
                <w:szCs w:val="20"/>
              </w:rPr>
              <w:t>A good policy, law or regulation must:</w:t>
            </w:r>
          </w:p>
          <w:p w14:paraId="58187D8E"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Have an issue(s) or need(s) or problem(s) to be addressed to that it is known what it will change;</w:t>
            </w:r>
          </w:p>
          <w:p w14:paraId="3E9588ED"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carefully analysed against other policy, law or regulation options before it is introduced, to ensure it is the best, most cost-effective solution to address the identified issue or need or problem;</w:t>
            </w:r>
          </w:p>
          <w:p w14:paraId="09B2CBDC"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widely consulted before it is introduced to ensure it is inclusive;</w:t>
            </w:r>
          </w:p>
          <w:p w14:paraId="2B436FA5"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clear, simple and practical so everyone can understand and comply;</w:t>
            </w:r>
          </w:p>
          <w:p w14:paraId="551ED3AC"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easily communicated or disseminated so everybody can access and support compliance;</w:t>
            </w:r>
          </w:p>
          <w:p w14:paraId="1AAB594F"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Produce benefits that outweigh costs;</w:t>
            </w:r>
          </w:p>
          <w:p w14:paraId="3A8DEDC9"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properly and fairly-enforceable within the available resources;</w:t>
            </w:r>
          </w:p>
          <w:p w14:paraId="71E819CC" w14:textId="77777777" w:rsidR="00276485" w:rsidRPr="00F10F3B" w:rsidRDefault="00276485" w:rsidP="00587EDE">
            <w:pPr>
              <w:pStyle w:val="ListParagraph"/>
              <w:numPr>
                <w:ilvl w:val="0"/>
                <w:numId w:val="2"/>
              </w:numPr>
              <w:spacing w:after="60" w:line="360" w:lineRule="auto"/>
              <w:ind w:left="315" w:right="187" w:hanging="283"/>
              <w:contextualSpacing w:val="0"/>
              <w:jc w:val="both"/>
              <w:rPr>
                <w:rFonts w:ascii="Times New Roman" w:hAnsi="Times New Roman" w:cs="Times New Roman"/>
                <w:sz w:val="20"/>
                <w:szCs w:val="20"/>
              </w:rPr>
            </w:pPr>
            <w:r w:rsidRPr="00F10F3B">
              <w:rPr>
                <w:rFonts w:ascii="Times New Roman" w:hAnsi="Times New Roman" w:cs="Times New Roman"/>
                <w:sz w:val="20"/>
                <w:szCs w:val="20"/>
              </w:rPr>
              <w:t>Be monitored and evaluated after introduction to make sure it is effective in ensuring its intended benefits.</w:t>
            </w:r>
          </w:p>
          <w:p w14:paraId="7032A8E2" w14:textId="77777777" w:rsidR="00276485" w:rsidRPr="00F10F3B" w:rsidRDefault="00276485" w:rsidP="00587EDE">
            <w:pPr>
              <w:spacing w:before="120" w:after="60" w:line="360" w:lineRule="auto"/>
              <w:ind w:left="34" w:right="187"/>
              <w:jc w:val="both"/>
              <w:rPr>
                <w:rFonts w:ascii="Times New Roman" w:hAnsi="Times New Roman" w:cs="Times New Roman"/>
                <w:i/>
                <w:sz w:val="20"/>
                <w:szCs w:val="20"/>
              </w:rPr>
            </w:pPr>
            <w:r w:rsidRPr="00F10F3B">
              <w:rPr>
                <w:rFonts w:ascii="Times New Roman" w:hAnsi="Times New Roman" w:cs="Times New Roman"/>
                <w:i/>
                <w:sz w:val="20"/>
                <w:szCs w:val="20"/>
              </w:rPr>
              <w:t xml:space="preserve">Source: Department of Policy Development and Capacity Building, Office of the President, July 2017 </w:t>
            </w:r>
          </w:p>
        </w:tc>
      </w:tr>
    </w:tbl>
    <w:p w14:paraId="6E18E8F5" w14:textId="49E3819D" w:rsidR="00B70779" w:rsidRPr="00F10F3B" w:rsidRDefault="00B70779" w:rsidP="00587EDE">
      <w:pPr>
        <w:spacing w:after="0" w:line="360" w:lineRule="auto"/>
        <w:jc w:val="both"/>
        <w:rPr>
          <w:rFonts w:ascii="Times New Roman" w:hAnsi="Times New Roman" w:cs="Times New Roman"/>
        </w:rPr>
      </w:pPr>
    </w:p>
    <w:p w14:paraId="547A85FD" w14:textId="0C438C2F" w:rsidR="00402B43" w:rsidRPr="003F6E47" w:rsidRDefault="00276485" w:rsidP="00B86D0C">
      <w:pPr>
        <w:pStyle w:val="ListParagraph"/>
        <w:numPr>
          <w:ilvl w:val="0"/>
          <w:numId w:val="46"/>
        </w:numPr>
        <w:spacing w:line="360" w:lineRule="auto"/>
        <w:ind w:left="425" w:hanging="425"/>
        <w:contextualSpacing w:val="0"/>
        <w:jc w:val="both"/>
        <w:rPr>
          <w:rFonts w:ascii="Times New Roman" w:hAnsi="Times New Roman" w:cs="Times New Roman"/>
          <w:sz w:val="24"/>
        </w:rPr>
      </w:pPr>
      <w:r w:rsidRPr="003F6E47">
        <w:rPr>
          <w:rFonts w:ascii="Times New Roman" w:hAnsi="Times New Roman" w:cs="Times New Roman"/>
          <w:b/>
          <w:sz w:val="24"/>
        </w:rPr>
        <w:t xml:space="preserve">Analysis of </w:t>
      </w:r>
      <w:r w:rsidR="009A2561" w:rsidRPr="003F6E47">
        <w:rPr>
          <w:rFonts w:ascii="Times New Roman" w:hAnsi="Times New Roman" w:cs="Times New Roman"/>
          <w:b/>
          <w:sz w:val="24"/>
        </w:rPr>
        <w:t>Government</w:t>
      </w:r>
      <w:r w:rsidRPr="003F6E47">
        <w:rPr>
          <w:rFonts w:ascii="Times New Roman" w:hAnsi="Times New Roman" w:cs="Times New Roman"/>
          <w:b/>
          <w:sz w:val="24"/>
        </w:rPr>
        <w:t xml:space="preserve"> policies, plans, and strategies further revealed that, of the documents assessed, 28% were either devised in 2015 or reflected the duration of NDPII.</w:t>
      </w:r>
      <w:r w:rsidRPr="003F6E47">
        <w:rPr>
          <w:rFonts w:ascii="Times New Roman" w:hAnsi="Times New Roman" w:cs="Times New Roman"/>
          <w:sz w:val="24"/>
        </w:rPr>
        <w:t xml:space="preserve"> For instance, the National Land Policy Implementation Action Plan, 2015/16-2019/20 </w:t>
      </w:r>
      <w:r w:rsidR="00655615" w:rsidRPr="003F6E47">
        <w:rPr>
          <w:rFonts w:ascii="Times New Roman" w:hAnsi="Times New Roman" w:cs="Times New Roman"/>
          <w:sz w:val="24"/>
        </w:rPr>
        <w:t xml:space="preserve">reflects </w:t>
      </w:r>
      <w:r w:rsidRPr="003F6E47">
        <w:rPr>
          <w:rFonts w:ascii="Times New Roman" w:hAnsi="Times New Roman" w:cs="Times New Roman"/>
          <w:sz w:val="24"/>
        </w:rPr>
        <w:t xml:space="preserve">the timeframe of NDPII. The remaining documents were either Acts or policies covering both NDPI and NDPII (25%), covered a period beyond NDPII (8%), were neither </w:t>
      </w:r>
      <w:r w:rsidR="00F720AD" w:rsidRPr="003F6E47">
        <w:rPr>
          <w:rFonts w:ascii="Times New Roman" w:hAnsi="Times New Roman" w:cs="Times New Roman"/>
          <w:sz w:val="24"/>
        </w:rPr>
        <w:t xml:space="preserve">aligned in timing to </w:t>
      </w:r>
      <w:r w:rsidRPr="003F6E47">
        <w:rPr>
          <w:rFonts w:ascii="Times New Roman" w:hAnsi="Times New Roman" w:cs="Times New Roman"/>
          <w:sz w:val="24"/>
        </w:rPr>
        <w:t>NDPI or NDPII (13%) or just covered NDPI (13%) and were either revised or un-renewed. This i</w:t>
      </w:r>
      <w:r w:rsidR="00F720AD" w:rsidRPr="003F6E47">
        <w:rPr>
          <w:rFonts w:ascii="Times New Roman" w:hAnsi="Times New Roman" w:cs="Times New Roman"/>
          <w:sz w:val="24"/>
        </w:rPr>
        <w:t xml:space="preserve">ndicates </w:t>
      </w:r>
      <w:r w:rsidRPr="003F6E47">
        <w:rPr>
          <w:rFonts w:ascii="Times New Roman" w:hAnsi="Times New Roman" w:cs="Times New Roman"/>
          <w:sz w:val="24"/>
        </w:rPr>
        <w:t>two things – more policies have been developed in the NDPII period, as opposed to NDPI</w:t>
      </w:r>
      <w:r w:rsidR="00EF5B5E" w:rsidRPr="003F6E47">
        <w:rPr>
          <w:rFonts w:ascii="Times New Roman" w:hAnsi="Times New Roman" w:cs="Times New Roman"/>
          <w:sz w:val="24"/>
        </w:rPr>
        <w:t>;</w:t>
      </w:r>
      <w:r w:rsidR="00F720AD" w:rsidRPr="003F6E47">
        <w:rPr>
          <w:rFonts w:ascii="Times New Roman" w:hAnsi="Times New Roman" w:cs="Times New Roman"/>
          <w:sz w:val="24"/>
        </w:rPr>
        <w:t xml:space="preserve"> </w:t>
      </w:r>
      <w:r w:rsidRPr="003F6E47">
        <w:rPr>
          <w:rFonts w:ascii="Times New Roman" w:hAnsi="Times New Roman" w:cs="Times New Roman"/>
          <w:sz w:val="24"/>
        </w:rPr>
        <w:t xml:space="preserve">this may indicate that </w:t>
      </w:r>
      <w:r w:rsidR="009A2561" w:rsidRPr="003F6E47">
        <w:rPr>
          <w:rFonts w:ascii="Times New Roman" w:hAnsi="Times New Roman" w:cs="Times New Roman"/>
          <w:sz w:val="24"/>
        </w:rPr>
        <w:t>Government</w:t>
      </w:r>
      <w:r w:rsidRPr="003F6E47">
        <w:rPr>
          <w:rFonts w:ascii="Times New Roman" w:hAnsi="Times New Roman" w:cs="Times New Roman"/>
          <w:sz w:val="24"/>
        </w:rPr>
        <w:t xml:space="preserve"> has encouraged MDAs to reflect on how they will implement the strategic direction outlined in the National Plan. </w:t>
      </w:r>
      <w:r w:rsidR="00B6495C" w:rsidRPr="003F6E47">
        <w:rPr>
          <w:rFonts w:ascii="Times New Roman" w:hAnsi="Times New Roman" w:cs="Times New Roman"/>
          <w:sz w:val="24"/>
        </w:rPr>
        <w:t xml:space="preserve">This finding is collaborated with evidence from the Certificate of Compliance, detailed in </w:t>
      </w:r>
      <w:r w:rsidR="00D9318E" w:rsidRPr="003F6E47">
        <w:rPr>
          <w:rFonts w:ascii="Times New Roman" w:hAnsi="Times New Roman" w:cs="Times New Roman"/>
          <w:sz w:val="24"/>
        </w:rPr>
        <w:t xml:space="preserve">Section 4.4. </w:t>
      </w:r>
      <w:r w:rsidRPr="003F6E47">
        <w:rPr>
          <w:rFonts w:ascii="Times New Roman" w:hAnsi="Times New Roman" w:cs="Times New Roman"/>
          <w:sz w:val="24"/>
        </w:rPr>
        <w:t>It also indicates, however, that many policies currently in use have not been revised considering NDPII’s release. For instance, the Renewable Energy Policy for Uganda (2007-2017) was developed prior to NDPI and expired mid-way through NDPII; the Health Financing Strategy 2015/16-2024/25 will also be valid during NDPIII.</w:t>
      </w:r>
      <w:r w:rsidR="001E4006" w:rsidRPr="003F6E47">
        <w:rPr>
          <w:rFonts w:ascii="Times New Roman" w:hAnsi="Times New Roman" w:cs="Times New Roman"/>
          <w:sz w:val="24"/>
        </w:rPr>
        <w:t xml:space="preserve"> </w:t>
      </w:r>
      <w:r w:rsidR="00D9318E" w:rsidRPr="003F6E47">
        <w:rPr>
          <w:rFonts w:ascii="Times New Roman" w:hAnsi="Times New Roman" w:cs="Times New Roman"/>
          <w:sz w:val="24"/>
        </w:rPr>
        <w:t xml:space="preserve">This indicates that in some sectors e.g. energy </w:t>
      </w:r>
      <w:r w:rsidR="000C121C" w:rsidRPr="003F6E47">
        <w:rPr>
          <w:rFonts w:ascii="Times New Roman" w:hAnsi="Times New Roman" w:cs="Times New Roman"/>
          <w:sz w:val="24"/>
        </w:rPr>
        <w:t xml:space="preserve">the NDPII may not have been influential in changing the behaviour and priorities of the respective MDAs. </w:t>
      </w:r>
      <w:r w:rsidR="0062772F" w:rsidRPr="003F6E47">
        <w:rPr>
          <w:rFonts w:ascii="Times New Roman" w:hAnsi="Times New Roman" w:cs="Times New Roman"/>
          <w:sz w:val="24"/>
        </w:rPr>
        <w:t>During discussion with stakeholders some remarked that they saw little benefit in aligning their plans and policies to NDPII – alignment did not</w:t>
      </w:r>
      <w:r w:rsidR="009C16AA" w:rsidRPr="003F6E47">
        <w:rPr>
          <w:rFonts w:ascii="Times New Roman" w:hAnsi="Times New Roman" w:cs="Times New Roman"/>
          <w:sz w:val="24"/>
        </w:rPr>
        <w:t xml:space="preserve"> appear to make any changes to funding allocations. </w:t>
      </w:r>
    </w:p>
    <w:p w14:paraId="4A2D766A" w14:textId="6221635F" w:rsidR="00276485" w:rsidRPr="003F6E47" w:rsidRDefault="00276485" w:rsidP="00587EDE">
      <w:pPr>
        <w:pStyle w:val="Caption"/>
        <w:spacing w:line="360" w:lineRule="auto"/>
        <w:jc w:val="both"/>
        <w:rPr>
          <w:rFonts w:ascii="Times New Roman" w:hAnsi="Times New Roman" w:cs="Times New Roman"/>
          <w:b w:val="0"/>
          <w:i w:val="0"/>
          <w:color w:val="000000" w:themeColor="text1"/>
          <w:sz w:val="24"/>
        </w:rPr>
      </w:pPr>
      <w:bookmarkStart w:id="30" w:name="_Toc536205952"/>
      <w:r w:rsidRPr="003F6E47">
        <w:rPr>
          <w:rFonts w:ascii="Times New Roman" w:hAnsi="Times New Roman" w:cs="Times New Roman"/>
          <w:i w:val="0"/>
          <w:color w:val="000000" w:themeColor="text1"/>
          <w:sz w:val="24"/>
        </w:rPr>
        <w:lastRenderedPageBreak/>
        <w:t xml:space="preserve">Table </w:t>
      </w:r>
      <w:r w:rsidRPr="003F6E47">
        <w:rPr>
          <w:rFonts w:ascii="Times New Roman" w:hAnsi="Times New Roman" w:cs="Times New Roman"/>
          <w:i w:val="0"/>
          <w:color w:val="000000" w:themeColor="text1"/>
          <w:sz w:val="24"/>
        </w:rPr>
        <w:fldChar w:fldCharType="begin"/>
      </w:r>
      <w:r w:rsidRPr="003F6E47">
        <w:rPr>
          <w:rFonts w:ascii="Times New Roman" w:hAnsi="Times New Roman" w:cs="Times New Roman"/>
          <w:i w:val="0"/>
          <w:color w:val="000000" w:themeColor="text1"/>
          <w:sz w:val="24"/>
        </w:rPr>
        <w:instrText xml:space="preserve"> SEQ Table \* ARABIC </w:instrText>
      </w:r>
      <w:r w:rsidRPr="003F6E47">
        <w:rPr>
          <w:rFonts w:ascii="Times New Roman" w:hAnsi="Times New Roman" w:cs="Times New Roman"/>
          <w:i w:val="0"/>
          <w:color w:val="000000" w:themeColor="text1"/>
          <w:sz w:val="24"/>
        </w:rPr>
        <w:fldChar w:fldCharType="separate"/>
      </w:r>
      <w:r w:rsidR="00A057A7">
        <w:rPr>
          <w:rFonts w:ascii="Times New Roman" w:hAnsi="Times New Roman" w:cs="Times New Roman"/>
          <w:i w:val="0"/>
          <w:noProof/>
          <w:color w:val="000000" w:themeColor="text1"/>
          <w:sz w:val="24"/>
        </w:rPr>
        <w:t>4</w:t>
      </w:r>
      <w:r w:rsidRPr="003F6E47">
        <w:rPr>
          <w:rFonts w:ascii="Times New Roman" w:hAnsi="Times New Roman" w:cs="Times New Roman"/>
          <w:i w:val="0"/>
          <w:color w:val="000000" w:themeColor="text1"/>
          <w:sz w:val="24"/>
        </w:rPr>
        <w:fldChar w:fldCharType="end"/>
      </w:r>
      <w:r w:rsidRPr="003F6E47">
        <w:rPr>
          <w:rFonts w:ascii="Times New Roman" w:hAnsi="Times New Roman" w:cs="Times New Roman"/>
          <w:i w:val="0"/>
          <w:color w:val="000000" w:themeColor="text1"/>
          <w:sz w:val="24"/>
        </w:rPr>
        <w:t>: Policy quality determinants</w:t>
      </w:r>
      <w:bookmarkEnd w:id="30"/>
    </w:p>
    <w:tbl>
      <w:tblPr>
        <w:tblStyle w:val="TableGrid"/>
        <w:tblW w:w="0" w:type="auto"/>
        <w:tblLook w:val="04A0" w:firstRow="1" w:lastRow="0" w:firstColumn="1" w:lastColumn="0" w:noHBand="0" w:noVBand="1"/>
      </w:tblPr>
      <w:tblGrid>
        <w:gridCol w:w="6941"/>
        <w:gridCol w:w="2075"/>
      </w:tblGrid>
      <w:tr w:rsidR="00276485" w:rsidRPr="00F10F3B" w14:paraId="6854B2E1" w14:textId="77777777" w:rsidTr="00E04BDE">
        <w:tc>
          <w:tcPr>
            <w:tcW w:w="6941" w:type="dxa"/>
            <w:shd w:val="clear" w:color="auto" w:fill="C5E0B3" w:themeFill="accent6" w:themeFillTint="66"/>
          </w:tcPr>
          <w:p w14:paraId="4D24A489"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Determinants of quality </w:t>
            </w:r>
          </w:p>
        </w:tc>
        <w:tc>
          <w:tcPr>
            <w:tcW w:w="2075" w:type="dxa"/>
            <w:shd w:val="clear" w:color="auto" w:fill="C5E0B3" w:themeFill="accent6" w:themeFillTint="66"/>
          </w:tcPr>
          <w:p w14:paraId="11C9086B"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Average quality score</w:t>
            </w:r>
          </w:p>
        </w:tc>
      </w:tr>
      <w:tr w:rsidR="00276485" w:rsidRPr="00F10F3B" w14:paraId="2169C0AD" w14:textId="77777777" w:rsidTr="00E04BDE">
        <w:tc>
          <w:tcPr>
            <w:tcW w:w="6941" w:type="dxa"/>
          </w:tcPr>
          <w:p w14:paraId="145F62EB"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Issue, need or problem that needs to be addressed has been clearly identified</w:t>
            </w:r>
          </w:p>
        </w:tc>
        <w:tc>
          <w:tcPr>
            <w:tcW w:w="2075" w:type="dxa"/>
            <w:shd w:val="clear" w:color="auto" w:fill="538135" w:themeFill="accent6" w:themeFillShade="BF"/>
          </w:tcPr>
          <w:p w14:paraId="2A628A8B"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color w:val="E7E6E6" w:themeColor="background2"/>
                <w:sz w:val="20"/>
                <w:szCs w:val="20"/>
              </w:rPr>
              <w:t>3 – Good</w:t>
            </w:r>
          </w:p>
        </w:tc>
      </w:tr>
      <w:tr w:rsidR="00276485" w:rsidRPr="00F10F3B" w14:paraId="359602E7" w14:textId="77777777" w:rsidTr="00E04BDE">
        <w:tc>
          <w:tcPr>
            <w:tcW w:w="6941" w:type="dxa"/>
          </w:tcPr>
          <w:p w14:paraId="71117FF1"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2. Policy has been analysed against other policies before being introduced</w:t>
            </w:r>
          </w:p>
        </w:tc>
        <w:tc>
          <w:tcPr>
            <w:tcW w:w="2075" w:type="dxa"/>
            <w:shd w:val="clear" w:color="auto" w:fill="C5E0B3" w:themeFill="accent6" w:themeFillTint="66"/>
          </w:tcPr>
          <w:p w14:paraId="47662B40"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276485" w:rsidRPr="00F10F3B" w14:paraId="312B605D" w14:textId="77777777" w:rsidTr="00E04BDE">
        <w:tc>
          <w:tcPr>
            <w:tcW w:w="6941" w:type="dxa"/>
          </w:tcPr>
          <w:p w14:paraId="56FA2ACA"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3. Policy has been widely consulted before it is introduced to ensure it is inclusive</w:t>
            </w:r>
          </w:p>
        </w:tc>
        <w:tc>
          <w:tcPr>
            <w:tcW w:w="2075" w:type="dxa"/>
            <w:shd w:val="clear" w:color="auto" w:fill="A8D08D" w:themeFill="accent6" w:themeFillTint="99"/>
          </w:tcPr>
          <w:p w14:paraId="56485D2D"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2 – Fair</w:t>
            </w:r>
          </w:p>
        </w:tc>
      </w:tr>
      <w:tr w:rsidR="00276485" w:rsidRPr="00F10F3B" w14:paraId="663C2F4E" w14:textId="77777777" w:rsidTr="00E04BDE">
        <w:tc>
          <w:tcPr>
            <w:tcW w:w="6941" w:type="dxa"/>
          </w:tcPr>
          <w:p w14:paraId="681CA188"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4. Policy is clear, simple and practical so everyone can understand and comply</w:t>
            </w:r>
          </w:p>
        </w:tc>
        <w:tc>
          <w:tcPr>
            <w:tcW w:w="2075" w:type="dxa"/>
            <w:shd w:val="clear" w:color="auto" w:fill="538135" w:themeFill="accent6" w:themeFillShade="BF"/>
          </w:tcPr>
          <w:p w14:paraId="2D6DBEC4" w14:textId="77777777" w:rsidR="00276485" w:rsidRPr="00F10F3B" w:rsidRDefault="00276485" w:rsidP="00587EDE">
            <w:pPr>
              <w:spacing w:after="0" w:line="360" w:lineRule="auto"/>
              <w:jc w:val="both"/>
              <w:rPr>
                <w:rFonts w:ascii="Times New Roman" w:hAnsi="Times New Roman" w:cs="Times New Roman"/>
                <w:color w:val="E7E6E6" w:themeColor="background2"/>
                <w:sz w:val="20"/>
                <w:szCs w:val="20"/>
              </w:rPr>
            </w:pPr>
            <w:r w:rsidRPr="00F10F3B">
              <w:rPr>
                <w:rFonts w:ascii="Times New Roman" w:hAnsi="Times New Roman" w:cs="Times New Roman"/>
                <w:color w:val="E7E6E6" w:themeColor="background2"/>
                <w:sz w:val="20"/>
                <w:szCs w:val="20"/>
              </w:rPr>
              <w:t>3 – Good</w:t>
            </w:r>
          </w:p>
        </w:tc>
      </w:tr>
      <w:tr w:rsidR="00276485" w:rsidRPr="00F10F3B" w14:paraId="2C12443C" w14:textId="77777777" w:rsidTr="00E04BDE">
        <w:tc>
          <w:tcPr>
            <w:tcW w:w="6941" w:type="dxa"/>
          </w:tcPr>
          <w:p w14:paraId="2DEFB5D4"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 Policy is communicated and disseminated</w:t>
            </w:r>
          </w:p>
        </w:tc>
        <w:tc>
          <w:tcPr>
            <w:tcW w:w="2075" w:type="dxa"/>
            <w:shd w:val="clear" w:color="auto" w:fill="C5E0B3" w:themeFill="accent6" w:themeFillTint="66"/>
          </w:tcPr>
          <w:p w14:paraId="601F4E78"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276485" w:rsidRPr="00F10F3B" w14:paraId="289F7FE3" w14:textId="77777777" w:rsidTr="00E04BDE">
        <w:tc>
          <w:tcPr>
            <w:tcW w:w="6941" w:type="dxa"/>
          </w:tcPr>
          <w:p w14:paraId="53D08830"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6. Policy produces benefits that outweigh costs</w:t>
            </w:r>
          </w:p>
        </w:tc>
        <w:tc>
          <w:tcPr>
            <w:tcW w:w="2075" w:type="dxa"/>
            <w:shd w:val="clear" w:color="auto" w:fill="A8D08D" w:themeFill="accent6" w:themeFillTint="99"/>
          </w:tcPr>
          <w:p w14:paraId="020583D7"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2 – Fair</w:t>
            </w:r>
          </w:p>
        </w:tc>
      </w:tr>
      <w:tr w:rsidR="00276485" w:rsidRPr="00F10F3B" w14:paraId="68D56181" w14:textId="77777777" w:rsidTr="00E04BDE">
        <w:tc>
          <w:tcPr>
            <w:tcW w:w="6941" w:type="dxa"/>
          </w:tcPr>
          <w:p w14:paraId="09F9E476"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7. Policy is enforceable</w:t>
            </w:r>
          </w:p>
        </w:tc>
        <w:tc>
          <w:tcPr>
            <w:tcW w:w="2075" w:type="dxa"/>
            <w:shd w:val="clear" w:color="auto" w:fill="538135" w:themeFill="accent6" w:themeFillShade="BF"/>
          </w:tcPr>
          <w:p w14:paraId="52BE47CD"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color w:val="E7E6E6" w:themeColor="background2"/>
                <w:sz w:val="20"/>
                <w:szCs w:val="20"/>
              </w:rPr>
              <w:t>3 – Good</w:t>
            </w:r>
          </w:p>
        </w:tc>
      </w:tr>
      <w:tr w:rsidR="00276485" w:rsidRPr="00F10F3B" w14:paraId="74E01984" w14:textId="77777777" w:rsidTr="00E04BDE">
        <w:tc>
          <w:tcPr>
            <w:tcW w:w="6941" w:type="dxa"/>
          </w:tcPr>
          <w:p w14:paraId="5D0A907E"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8. Policy can be monitored and evaluated after introduction</w:t>
            </w:r>
          </w:p>
        </w:tc>
        <w:tc>
          <w:tcPr>
            <w:tcW w:w="2075" w:type="dxa"/>
            <w:shd w:val="clear" w:color="auto" w:fill="A8D08D" w:themeFill="accent6" w:themeFillTint="99"/>
          </w:tcPr>
          <w:p w14:paraId="79560A8F" w14:textId="77777777" w:rsidR="00276485" w:rsidRPr="00F10F3B" w:rsidRDefault="00276485"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2 – Fair </w:t>
            </w:r>
          </w:p>
        </w:tc>
      </w:tr>
    </w:tbl>
    <w:p w14:paraId="7229ADC6" w14:textId="553CC9FE" w:rsidR="00E04BDE" w:rsidRPr="00F10F3B" w:rsidRDefault="00E04BDE"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 xml:space="preserve">Source: Compiled by author(s) through analysis of </w:t>
      </w:r>
      <w:r w:rsidR="00B6508B" w:rsidRPr="00F10F3B">
        <w:rPr>
          <w:rFonts w:ascii="Times New Roman" w:hAnsi="Times New Roman" w:cs="Times New Roman"/>
          <w:i/>
          <w:sz w:val="20"/>
          <w:szCs w:val="20"/>
        </w:rPr>
        <w:t xml:space="preserve">64 policies across </w:t>
      </w:r>
      <w:r w:rsidR="009A2561" w:rsidRPr="00F10F3B">
        <w:rPr>
          <w:rFonts w:ascii="Times New Roman" w:hAnsi="Times New Roman" w:cs="Times New Roman"/>
          <w:i/>
          <w:sz w:val="20"/>
          <w:szCs w:val="20"/>
        </w:rPr>
        <w:t>Government</w:t>
      </w:r>
    </w:p>
    <w:p w14:paraId="6CC6E5A3" w14:textId="531F9287" w:rsidR="006A35FE" w:rsidRPr="00F10F3B" w:rsidRDefault="006A35FE" w:rsidP="00B86D0C">
      <w:pPr>
        <w:pStyle w:val="ListParagraph"/>
        <w:numPr>
          <w:ilvl w:val="0"/>
          <w:numId w:val="46"/>
        </w:numPr>
        <w:spacing w:line="360" w:lineRule="auto"/>
        <w:ind w:left="426" w:hanging="426"/>
        <w:contextualSpacing w:val="0"/>
        <w:jc w:val="both"/>
        <w:rPr>
          <w:rFonts w:ascii="Times New Roman" w:hAnsi="Times New Roman" w:cs="Times New Roman"/>
        </w:rPr>
      </w:pPr>
      <w:r w:rsidRPr="00F10F3B">
        <w:rPr>
          <w:rFonts w:ascii="Times New Roman" w:hAnsi="Times New Roman" w:cs="Times New Roman"/>
          <w:b/>
        </w:rPr>
        <w:t xml:space="preserve">Analysis of </w:t>
      </w:r>
      <w:r w:rsidR="009A2561" w:rsidRPr="00F10F3B">
        <w:rPr>
          <w:rFonts w:ascii="Times New Roman" w:hAnsi="Times New Roman" w:cs="Times New Roman"/>
          <w:b/>
        </w:rPr>
        <w:t>Government</w:t>
      </w:r>
      <w:r w:rsidRPr="00F10F3B">
        <w:rPr>
          <w:rFonts w:ascii="Times New Roman" w:hAnsi="Times New Roman" w:cs="Times New Roman"/>
          <w:b/>
        </w:rPr>
        <w:t xml:space="preserve"> policies, plans, and strategies further indicates that several key policies have not been developed and/or aligned to NDPII.</w:t>
      </w:r>
      <w:r w:rsidRPr="00F10F3B">
        <w:rPr>
          <w:rFonts w:ascii="Times New Roman" w:hAnsi="Times New Roman" w:cs="Times New Roman"/>
        </w:rPr>
        <w:t xml:space="preserve"> Several policies, with linked funding, are needed to increase the likelihood of delivering on NDPII’s targets. Key policies include:</w:t>
      </w:r>
    </w:p>
    <w:p w14:paraId="2564A16B" w14:textId="7BC4F8F0" w:rsidR="006A35FE" w:rsidRPr="003F6E47" w:rsidRDefault="007C5CF9" w:rsidP="00B86D0C">
      <w:pPr>
        <w:pStyle w:val="ListParagraph"/>
        <w:numPr>
          <w:ilvl w:val="0"/>
          <w:numId w:val="20"/>
        </w:numPr>
        <w:spacing w:line="360" w:lineRule="auto"/>
        <w:ind w:left="993" w:hanging="630"/>
        <w:contextualSpacing w:val="0"/>
        <w:jc w:val="both"/>
        <w:rPr>
          <w:rFonts w:ascii="Times New Roman" w:hAnsi="Times New Roman" w:cs="Times New Roman"/>
          <w:sz w:val="24"/>
          <w:u w:val="single"/>
        </w:rPr>
      </w:pPr>
      <w:r w:rsidRPr="003F6E47">
        <w:rPr>
          <w:rFonts w:ascii="Times New Roman" w:hAnsi="Times New Roman" w:cs="Times New Roman"/>
          <w:sz w:val="24"/>
          <w:u w:val="single"/>
        </w:rPr>
        <w:t>A</w:t>
      </w:r>
      <w:r w:rsidR="009A1CEA" w:rsidRPr="003F6E47">
        <w:rPr>
          <w:rFonts w:ascii="Times New Roman" w:hAnsi="Times New Roman" w:cs="Times New Roman"/>
          <w:sz w:val="24"/>
          <w:u w:val="single"/>
        </w:rPr>
        <w:t xml:space="preserve"> comprehensive</w:t>
      </w:r>
      <w:r w:rsidRPr="003F6E47">
        <w:rPr>
          <w:rFonts w:ascii="Times New Roman" w:hAnsi="Times New Roman" w:cs="Times New Roman"/>
          <w:sz w:val="24"/>
          <w:u w:val="single"/>
        </w:rPr>
        <w:t xml:space="preserve"> Industrialisation Strategy</w:t>
      </w:r>
      <w:r w:rsidR="006A4B9E" w:rsidRPr="003F6E47">
        <w:rPr>
          <w:rFonts w:ascii="Times New Roman" w:hAnsi="Times New Roman" w:cs="Times New Roman"/>
          <w:sz w:val="24"/>
          <w:u w:val="single"/>
        </w:rPr>
        <w:t>.</w:t>
      </w:r>
      <w:r w:rsidRPr="003F6E47">
        <w:rPr>
          <w:rFonts w:ascii="Times New Roman" w:hAnsi="Times New Roman" w:cs="Times New Roman"/>
          <w:sz w:val="24"/>
          <w:u w:val="single"/>
        </w:rPr>
        <w:t xml:space="preserve"> </w:t>
      </w:r>
      <w:r w:rsidR="005F27C9" w:rsidRPr="003F6E47">
        <w:rPr>
          <w:rFonts w:ascii="Times New Roman" w:hAnsi="Times New Roman" w:cs="Times New Roman"/>
          <w:sz w:val="24"/>
        </w:rPr>
        <w:t xml:space="preserve">Whilst industrialisation has been a key theme of the national budgets over the period under review, NDPII has not been accompanied with </w:t>
      </w:r>
      <w:r w:rsidR="0044691A" w:rsidRPr="003F6E47">
        <w:rPr>
          <w:rFonts w:ascii="Times New Roman" w:hAnsi="Times New Roman" w:cs="Times New Roman"/>
          <w:sz w:val="24"/>
        </w:rPr>
        <w:t xml:space="preserve">a </w:t>
      </w:r>
      <w:r w:rsidR="005F27C9" w:rsidRPr="003F6E47">
        <w:rPr>
          <w:rFonts w:ascii="Times New Roman" w:hAnsi="Times New Roman" w:cs="Times New Roman"/>
          <w:sz w:val="24"/>
        </w:rPr>
        <w:t>policy reform proposal to realise the industrialisation agenda. The sector is still challenged with high costs of production especially utilities (electricity and water) and finance, un</w:t>
      </w:r>
      <w:r w:rsidR="00D12CF1" w:rsidRPr="003F6E47">
        <w:rPr>
          <w:rFonts w:ascii="Times New Roman" w:hAnsi="Times New Roman" w:cs="Times New Roman"/>
          <w:sz w:val="24"/>
        </w:rPr>
        <w:t xml:space="preserve">favourable price competition from imported products and weak industrial capacity of agencies set-up to promote industrialisation. </w:t>
      </w:r>
      <w:r w:rsidR="00FE6F6C" w:rsidRPr="003F6E47">
        <w:rPr>
          <w:rFonts w:ascii="Times New Roman" w:hAnsi="Times New Roman" w:cs="Times New Roman"/>
          <w:sz w:val="24"/>
        </w:rPr>
        <w:t xml:space="preserve">The industrialisation strategy should build on the Buy Uganda, Build Uganda Policy </w:t>
      </w:r>
      <w:r w:rsidR="00786BAC" w:rsidRPr="003F6E47">
        <w:rPr>
          <w:rFonts w:ascii="Times New Roman" w:hAnsi="Times New Roman" w:cs="Times New Roman"/>
          <w:sz w:val="24"/>
        </w:rPr>
        <w:t xml:space="preserve">initiatives to promote sustained industrial development </w:t>
      </w:r>
      <w:r w:rsidR="00BE1939" w:rsidRPr="003F6E47">
        <w:rPr>
          <w:rFonts w:ascii="Times New Roman" w:hAnsi="Times New Roman" w:cs="Times New Roman"/>
          <w:sz w:val="24"/>
        </w:rPr>
        <w:t xml:space="preserve">and interventions to exploit the mineral beneficiation and agricultural potential of the country. </w:t>
      </w:r>
      <w:r w:rsidR="005F789B" w:rsidRPr="003F6E47">
        <w:rPr>
          <w:rFonts w:ascii="Times New Roman" w:hAnsi="Times New Roman" w:cs="Times New Roman"/>
          <w:sz w:val="24"/>
        </w:rPr>
        <w:t xml:space="preserve">The </w:t>
      </w:r>
      <w:r w:rsidR="009A2561" w:rsidRPr="003F6E47">
        <w:rPr>
          <w:rFonts w:ascii="Times New Roman" w:hAnsi="Times New Roman" w:cs="Times New Roman"/>
          <w:sz w:val="24"/>
        </w:rPr>
        <w:t>Government</w:t>
      </w:r>
      <w:r w:rsidR="005F789B" w:rsidRPr="003F6E47">
        <w:rPr>
          <w:rFonts w:ascii="Times New Roman" w:hAnsi="Times New Roman" w:cs="Times New Roman"/>
          <w:sz w:val="24"/>
        </w:rPr>
        <w:t xml:space="preserve"> should also consider strengthening the institutional capacity and capitalisation of the lead </w:t>
      </w:r>
      <w:r w:rsidR="009A2561" w:rsidRPr="003F6E47">
        <w:rPr>
          <w:rFonts w:ascii="Times New Roman" w:hAnsi="Times New Roman" w:cs="Times New Roman"/>
          <w:sz w:val="24"/>
        </w:rPr>
        <w:t>Government</w:t>
      </w:r>
      <w:r w:rsidR="005F789B" w:rsidRPr="003F6E47">
        <w:rPr>
          <w:rFonts w:ascii="Times New Roman" w:hAnsi="Times New Roman" w:cs="Times New Roman"/>
          <w:sz w:val="24"/>
        </w:rPr>
        <w:t xml:space="preserve"> agencies leveraging private sector investment – i.e. UDC</w:t>
      </w:r>
      <w:r w:rsidR="007E5997" w:rsidRPr="003F6E47">
        <w:rPr>
          <w:rFonts w:ascii="Times New Roman" w:hAnsi="Times New Roman" w:cs="Times New Roman"/>
          <w:sz w:val="24"/>
        </w:rPr>
        <w:t xml:space="preserve">, </w:t>
      </w:r>
      <w:r w:rsidR="004E3F4A" w:rsidRPr="003F6E47">
        <w:rPr>
          <w:rFonts w:ascii="Times New Roman" w:hAnsi="Times New Roman" w:cs="Times New Roman"/>
          <w:sz w:val="24"/>
        </w:rPr>
        <w:t>UD</w:t>
      </w:r>
      <w:r w:rsidR="007E5997" w:rsidRPr="003F6E47">
        <w:rPr>
          <w:rFonts w:ascii="Times New Roman" w:hAnsi="Times New Roman" w:cs="Times New Roman"/>
          <w:sz w:val="24"/>
        </w:rPr>
        <w:t>B</w:t>
      </w:r>
      <w:r w:rsidR="0091085B" w:rsidRPr="003F6E47">
        <w:rPr>
          <w:rFonts w:ascii="Times New Roman" w:hAnsi="Times New Roman" w:cs="Times New Roman"/>
          <w:sz w:val="24"/>
        </w:rPr>
        <w:t>, UIA</w:t>
      </w:r>
      <w:r w:rsidR="007E5997" w:rsidRPr="003F6E47">
        <w:rPr>
          <w:rFonts w:ascii="Times New Roman" w:hAnsi="Times New Roman" w:cs="Times New Roman"/>
          <w:sz w:val="24"/>
        </w:rPr>
        <w:t xml:space="preserve"> and Uganda Free Zones Authority</w:t>
      </w:r>
      <w:r w:rsidR="00DD2061" w:rsidRPr="003F6E47">
        <w:rPr>
          <w:rFonts w:ascii="Times New Roman" w:hAnsi="Times New Roman" w:cs="Times New Roman"/>
          <w:sz w:val="24"/>
        </w:rPr>
        <w:t>.</w:t>
      </w:r>
    </w:p>
    <w:p w14:paraId="7F72CB83" w14:textId="15D6688A" w:rsidR="00714E59" w:rsidRPr="003F6E47" w:rsidRDefault="00C973AD" w:rsidP="00B86D0C">
      <w:pPr>
        <w:pStyle w:val="ListParagraph"/>
        <w:numPr>
          <w:ilvl w:val="0"/>
          <w:numId w:val="20"/>
        </w:numPr>
        <w:spacing w:line="360" w:lineRule="auto"/>
        <w:ind w:left="993" w:hanging="630"/>
        <w:contextualSpacing w:val="0"/>
        <w:jc w:val="both"/>
        <w:rPr>
          <w:rFonts w:ascii="Times New Roman" w:hAnsi="Times New Roman" w:cs="Times New Roman"/>
          <w:sz w:val="24"/>
        </w:rPr>
      </w:pPr>
      <w:r w:rsidRPr="003F6E47">
        <w:rPr>
          <w:rFonts w:ascii="Times New Roman" w:hAnsi="Times New Roman" w:cs="Times New Roman"/>
          <w:sz w:val="24"/>
          <w:u w:val="single"/>
        </w:rPr>
        <w:t>An improved Budget Strategy.</w:t>
      </w:r>
      <w:r w:rsidRPr="003F6E47">
        <w:rPr>
          <w:rFonts w:ascii="Times New Roman" w:hAnsi="Times New Roman" w:cs="Times New Roman"/>
          <w:sz w:val="24"/>
        </w:rPr>
        <w:t xml:space="preserve"> At present there is limited fiscal space for </w:t>
      </w:r>
      <w:r w:rsidR="00897D85" w:rsidRPr="003F6E47">
        <w:rPr>
          <w:rFonts w:ascii="Times New Roman" w:hAnsi="Times New Roman" w:cs="Times New Roman"/>
          <w:sz w:val="24"/>
        </w:rPr>
        <w:t xml:space="preserve">additional budget allocations to the priorities outlined in the NDPII, unless domestic revenue mobilisation starts to improve. To free up financial resources </w:t>
      </w:r>
      <w:r w:rsidR="00431D82" w:rsidRPr="003F6E47">
        <w:rPr>
          <w:rFonts w:ascii="Times New Roman" w:hAnsi="Times New Roman" w:cs="Times New Roman"/>
          <w:sz w:val="24"/>
        </w:rPr>
        <w:t xml:space="preserve">and increase allocations towards </w:t>
      </w:r>
      <w:r w:rsidR="004545C8" w:rsidRPr="003F6E47">
        <w:rPr>
          <w:rFonts w:ascii="Times New Roman" w:hAnsi="Times New Roman" w:cs="Times New Roman"/>
          <w:sz w:val="24"/>
        </w:rPr>
        <w:t xml:space="preserve">NDPII priorities the </w:t>
      </w:r>
      <w:r w:rsidR="009A2561" w:rsidRPr="003F6E47">
        <w:rPr>
          <w:rFonts w:ascii="Times New Roman" w:hAnsi="Times New Roman" w:cs="Times New Roman"/>
          <w:sz w:val="24"/>
        </w:rPr>
        <w:t>Government</w:t>
      </w:r>
      <w:r w:rsidR="004545C8" w:rsidRPr="003F6E47">
        <w:rPr>
          <w:rFonts w:ascii="Times New Roman" w:hAnsi="Times New Roman" w:cs="Times New Roman"/>
          <w:sz w:val="24"/>
        </w:rPr>
        <w:t xml:space="preserve"> may consider temporising some infrastructure projects</w:t>
      </w:r>
      <w:r w:rsidR="00321D5B" w:rsidRPr="003F6E47">
        <w:rPr>
          <w:rFonts w:ascii="Times New Roman" w:hAnsi="Times New Roman" w:cs="Times New Roman"/>
          <w:sz w:val="24"/>
        </w:rPr>
        <w:t xml:space="preserve"> and </w:t>
      </w:r>
      <w:r w:rsidR="00853426" w:rsidRPr="003F6E47">
        <w:rPr>
          <w:rFonts w:ascii="Times New Roman" w:hAnsi="Times New Roman" w:cs="Times New Roman"/>
          <w:sz w:val="24"/>
        </w:rPr>
        <w:t xml:space="preserve">continuing to </w:t>
      </w:r>
      <w:r w:rsidR="00321D5B" w:rsidRPr="003F6E47">
        <w:rPr>
          <w:rFonts w:ascii="Times New Roman" w:hAnsi="Times New Roman" w:cs="Times New Roman"/>
          <w:sz w:val="24"/>
        </w:rPr>
        <w:t>invest</w:t>
      </w:r>
      <w:r w:rsidR="00853426" w:rsidRPr="003F6E47">
        <w:rPr>
          <w:rFonts w:ascii="Times New Roman" w:hAnsi="Times New Roman" w:cs="Times New Roman"/>
          <w:sz w:val="24"/>
        </w:rPr>
        <w:t xml:space="preserve"> </w:t>
      </w:r>
      <w:r w:rsidR="00321D5B" w:rsidRPr="003F6E47">
        <w:rPr>
          <w:rFonts w:ascii="Times New Roman" w:hAnsi="Times New Roman" w:cs="Times New Roman"/>
          <w:sz w:val="24"/>
        </w:rPr>
        <w:t xml:space="preserve">resources in </w:t>
      </w:r>
      <w:r w:rsidR="0016425D" w:rsidRPr="003F6E47">
        <w:rPr>
          <w:rFonts w:ascii="Times New Roman" w:hAnsi="Times New Roman" w:cs="Times New Roman"/>
          <w:sz w:val="24"/>
        </w:rPr>
        <w:t xml:space="preserve">ways and </w:t>
      </w:r>
      <w:r w:rsidR="00853426" w:rsidRPr="003F6E47">
        <w:rPr>
          <w:rFonts w:ascii="Times New Roman" w:hAnsi="Times New Roman" w:cs="Times New Roman"/>
          <w:sz w:val="24"/>
        </w:rPr>
        <w:t xml:space="preserve">mechanisms to improve resource mobilisation. </w:t>
      </w:r>
      <w:r w:rsidR="0016425D" w:rsidRPr="003F6E47">
        <w:rPr>
          <w:rFonts w:ascii="Times New Roman" w:hAnsi="Times New Roman" w:cs="Times New Roman"/>
          <w:sz w:val="24"/>
        </w:rPr>
        <w:t xml:space="preserve">It is also advised the </w:t>
      </w:r>
      <w:r w:rsidR="009A2561" w:rsidRPr="003F6E47">
        <w:rPr>
          <w:rFonts w:ascii="Times New Roman" w:hAnsi="Times New Roman" w:cs="Times New Roman"/>
          <w:sz w:val="24"/>
        </w:rPr>
        <w:t>Government</w:t>
      </w:r>
      <w:r w:rsidR="0016425D" w:rsidRPr="003F6E47">
        <w:rPr>
          <w:rFonts w:ascii="Times New Roman" w:hAnsi="Times New Roman" w:cs="Times New Roman"/>
          <w:sz w:val="24"/>
        </w:rPr>
        <w:t xml:space="preserve"> considers </w:t>
      </w:r>
      <w:r w:rsidR="00A32235" w:rsidRPr="003F6E47">
        <w:rPr>
          <w:rFonts w:ascii="Times New Roman" w:hAnsi="Times New Roman" w:cs="Times New Roman"/>
          <w:sz w:val="24"/>
        </w:rPr>
        <w:t xml:space="preserve">a more balanced approach to spending on social development and </w:t>
      </w:r>
      <w:r w:rsidR="00A32235" w:rsidRPr="003F6E47">
        <w:rPr>
          <w:rFonts w:ascii="Times New Roman" w:hAnsi="Times New Roman" w:cs="Times New Roman"/>
          <w:sz w:val="24"/>
        </w:rPr>
        <w:lastRenderedPageBreak/>
        <w:t>infrastructure</w:t>
      </w:r>
      <w:r w:rsidR="00A9106F" w:rsidRPr="003F6E47">
        <w:rPr>
          <w:rFonts w:ascii="Times New Roman" w:hAnsi="Times New Roman" w:cs="Times New Roman"/>
          <w:sz w:val="24"/>
        </w:rPr>
        <w:t xml:space="preserve"> and </w:t>
      </w:r>
      <w:r w:rsidR="000676D1" w:rsidRPr="003F6E47">
        <w:rPr>
          <w:rFonts w:ascii="Times New Roman" w:hAnsi="Times New Roman" w:cs="Times New Roman"/>
          <w:sz w:val="24"/>
        </w:rPr>
        <w:t xml:space="preserve">increasing the alignment of funding to NDPII priorities. </w:t>
      </w:r>
      <w:r w:rsidR="00773C2A" w:rsidRPr="003F6E47">
        <w:rPr>
          <w:rFonts w:ascii="Times New Roman" w:hAnsi="Times New Roman" w:cs="Times New Roman"/>
          <w:sz w:val="24"/>
        </w:rPr>
        <w:t xml:space="preserve">Over the MTR review period the alignment of the budget to NDPII has </w:t>
      </w:r>
      <w:r w:rsidR="00BE135A" w:rsidRPr="003F6E47">
        <w:rPr>
          <w:rFonts w:ascii="Times New Roman" w:hAnsi="Times New Roman" w:cs="Times New Roman"/>
          <w:sz w:val="24"/>
        </w:rPr>
        <w:t>fallen from 75.4% to 59.3%.</w:t>
      </w:r>
    </w:p>
    <w:p w14:paraId="2885FFE2" w14:textId="718825D3" w:rsidR="004545C8" w:rsidRPr="003F6E47" w:rsidRDefault="002061FC" w:rsidP="00B86D0C">
      <w:pPr>
        <w:pStyle w:val="ListParagraph"/>
        <w:numPr>
          <w:ilvl w:val="0"/>
          <w:numId w:val="20"/>
        </w:numPr>
        <w:spacing w:line="360" w:lineRule="auto"/>
        <w:ind w:left="993" w:hanging="630"/>
        <w:contextualSpacing w:val="0"/>
        <w:jc w:val="both"/>
        <w:rPr>
          <w:rFonts w:ascii="Times New Roman" w:hAnsi="Times New Roman" w:cs="Times New Roman"/>
          <w:sz w:val="24"/>
        </w:rPr>
      </w:pPr>
      <w:r w:rsidRPr="003F6E47">
        <w:rPr>
          <w:rFonts w:ascii="Times New Roman" w:hAnsi="Times New Roman" w:cs="Times New Roman"/>
          <w:sz w:val="24"/>
          <w:u w:val="single"/>
        </w:rPr>
        <w:t>An Inclusive Growth Index</w:t>
      </w:r>
      <w:r w:rsidRPr="003F6E47">
        <w:rPr>
          <w:rFonts w:ascii="Times New Roman" w:hAnsi="Times New Roman" w:cs="Times New Roman"/>
          <w:sz w:val="24"/>
        </w:rPr>
        <w:t xml:space="preserve"> The production of an index</w:t>
      </w:r>
      <w:r w:rsidR="00842E56" w:rsidRPr="003F6E47">
        <w:rPr>
          <w:rFonts w:ascii="Times New Roman" w:hAnsi="Times New Roman" w:cs="Times New Roman"/>
          <w:sz w:val="24"/>
        </w:rPr>
        <w:t>,</w:t>
      </w:r>
      <w:r w:rsidRPr="003F6E47">
        <w:rPr>
          <w:rFonts w:ascii="Times New Roman" w:hAnsi="Times New Roman" w:cs="Times New Roman"/>
          <w:sz w:val="24"/>
        </w:rPr>
        <w:t xml:space="preserve"> and associated </w:t>
      </w:r>
      <w:r w:rsidR="00842E56" w:rsidRPr="003F6E47">
        <w:rPr>
          <w:rFonts w:ascii="Times New Roman" w:hAnsi="Times New Roman" w:cs="Times New Roman"/>
          <w:sz w:val="24"/>
        </w:rPr>
        <w:t xml:space="preserve">analysis and </w:t>
      </w:r>
      <w:r w:rsidRPr="003F6E47">
        <w:rPr>
          <w:rFonts w:ascii="Times New Roman" w:hAnsi="Times New Roman" w:cs="Times New Roman"/>
          <w:sz w:val="24"/>
        </w:rPr>
        <w:t>monitoring</w:t>
      </w:r>
      <w:r w:rsidR="00842E56" w:rsidRPr="003F6E47">
        <w:rPr>
          <w:rFonts w:ascii="Times New Roman" w:hAnsi="Times New Roman" w:cs="Times New Roman"/>
          <w:sz w:val="24"/>
        </w:rPr>
        <w:t>,</w:t>
      </w:r>
      <w:r w:rsidRPr="003F6E47">
        <w:rPr>
          <w:rFonts w:ascii="Times New Roman" w:hAnsi="Times New Roman" w:cs="Times New Roman"/>
          <w:sz w:val="24"/>
        </w:rPr>
        <w:t xml:space="preserve"> would allow the </w:t>
      </w:r>
      <w:r w:rsidR="009A2561" w:rsidRPr="003F6E47">
        <w:rPr>
          <w:rFonts w:ascii="Times New Roman" w:hAnsi="Times New Roman" w:cs="Times New Roman"/>
          <w:sz w:val="24"/>
        </w:rPr>
        <w:t>Government</w:t>
      </w:r>
      <w:r w:rsidRPr="003F6E47">
        <w:rPr>
          <w:rFonts w:ascii="Times New Roman" w:hAnsi="Times New Roman" w:cs="Times New Roman"/>
          <w:sz w:val="24"/>
        </w:rPr>
        <w:t xml:space="preserve"> of Uganda to better define measurable targets for reducing interregional differences on inclusive growth</w:t>
      </w:r>
      <w:r w:rsidR="00DA5E6B" w:rsidRPr="003F6E47">
        <w:rPr>
          <w:rFonts w:ascii="Times New Roman" w:hAnsi="Times New Roman" w:cs="Times New Roman"/>
          <w:sz w:val="24"/>
        </w:rPr>
        <w:t>. This analysis could also help co-ordinate and steer MDA and Development Partner Support.</w:t>
      </w:r>
    </w:p>
    <w:p w14:paraId="0D74027C" w14:textId="5C29D503" w:rsidR="00FD7781" w:rsidRPr="003F6E47" w:rsidRDefault="00150FFF" w:rsidP="00B86D0C">
      <w:pPr>
        <w:pStyle w:val="ListParagraph"/>
        <w:numPr>
          <w:ilvl w:val="0"/>
          <w:numId w:val="20"/>
        </w:numPr>
        <w:spacing w:line="360" w:lineRule="auto"/>
        <w:ind w:left="993" w:hanging="630"/>
        <w:contextualSpacing w:val="0"/>
        <w:jc w:val="both"/>
        <w:rPr>
          <w:rFonts w:ascii="Times New Roman" w:hAnsi="Times New Roman" w:cs="Times New Roman"/>
          <w:sz w:val="24"/>
        </w:rPr>
      </w:pPr>
      <w:r w:rsidRPr="003F6E47">
        <w:rPr>
          <w:rFonts w:ascii="Times New Roman" w:hAnsi="Times New Roman" w:cs="Times New Roman"/>
          <w:sz w:val="24"/>
          <w:u w:val="single"/>
        </w:rPr>
        <w:t>Improv</w:t>
      </w:r>
      <w:r w:rsidR="00683AFA" w:rsidRPr="003F6E47">
        <w:rPr>
          <w:rFonts w:ascii="Times New Roman" w:hAnsi="Times New Roman" w:cs="Times New Roman"/>
          <w:sz w:val="24"/>
          <w:u w:val="single"/>
        </w:rPr>
        <w:t>ed</w:t>
      </w:r>
      <w:r w:rsidRPr="003F6E47">
        <w:rPr>
          <w:rFonts w:ascii="Times New Roman" w:hAnsi="Times New Roman" w:cs="Times New Roman"/>
          <w:sz w:val="24"/>
          <w:u w:val="single"/>
        </w:rPr>
        <w:t xml:space="preserve"> regional </w:t>
      </w:r>
      <w:r w:rsidR="00683AFA" w:rsidRPr="003F6E47">
        <w:rPr>
          <w:rFonts w:ascii="Times New Roman" w:hAnsi="Times New Roman" w:cs="Times New Roman"/>
          <w:sz w:val="24"/>
          <w:u w:val="single"/>
        </w:rPr>
        <w:t xml:space="preserve">and local </w:t>
      </w:r>
      <w:r w:rsidRPr="003F6E47">
        <w:rPr>
          <w:rFonts w:ascii="Times New Roman" w:hAnsi="Times New Roman" w:cs="Times New Roman"/>
          <w:sz w:val="24"/>
          <w:u w:val="single"/>
        </w:rPr>
        <w:t>development planning</w:t>
      </w:r>
      <w:r w:rsidR="00683AFA" w:rsidRPr="003F6E47">
        <w:rPr>
          <w:rFonts w:ascii="Times New Roman" w:hAnsi="Times New Roman" w:cs="Times New Roman"/>
          <w:sz w:val="24"/>
          <w:u w:val="single"/>
        </w:rPr>
        <w:t xml:space="preserve"> and fiscal decentralisation</w:t>
      </w:r>
      <w:r w:rsidRPr="003F6E47">
        <w:rPr>
          <w:rFonts w:ascii="Times New Roman" w:hAnsi="Times New Roman" w:cs="Times New Roman"/>
          <w:sz w:val="24"/>
          <w:u w:val="single"/>
        </w:rPr>
        <w:t>.</w:t>
      </w:r>
      <w:r w:rsidR="00E3320C" w:rsidRPr="003F6E47">
        <w:rPr>
          <w:rFonts w:ascii="Times New Roman" w:hAnsi="Times New Roman" w:cs="Times New Roman"/>
          <w:sz w:val="24"/>
        </w:rPr>
        <w:t xml:space="preserve"> If the National Planning Authority added a strong regional development perspective to its national development planning perspective this </w:t>
      </w:r>
      <w:r w:rsidR="00574A0C" w:rsidRPr="003F6E47">
        <w:rPr>
          <w:rFonts w:ascii="Times New Roman" w:hAnsi="Times New Roman" w:cs="Times New Roman"/>
          <w:sz w:val="24"/>
        </w:rPr>
        <w:t>could support sectoral planning within MDAs. Regions and sub-regions have different development potential (or comparative advantages) and face different economic development constraints that require different interventions and support.</w:t>
      </w:r>
      <w:r w:rsidR="00F4440B" w:rsidRPr="003F6E47">
        <w:rPr>
          <w:rFonts w:ascii="Times New Roman" w:hAnsi="Times New Roman" w:cs="Times New Roman"/>
          <w:sz w:val="24"/>
        </w:rPr>
        <w:t xml:space="preserve"> Alongside a need to strengthen regional and local planning, there is also a need to i</w:t>
      </w:r>
      <w:r w:rsidR="004B062F" w:rsidRPr="003F6E47">
        <w:rPr>
          <w:rFonts w:ascii="Times New Roman" w:hAnsi="Times New Roman" w:cs="Times New Roman"/>
          <w:sz w:val="24"/>
        </w:rPr>
        <w:t xml:space="preserve">mprove </w:t>
      </w:r>
      <w:r w:rsidR="00F4440B" w:rsidRPr="003F6E47">
        <w:rPr>
          <w:rFonts w:ascii="Times New Roman" w:hAnsi="Times New Roman" w:cs="Times New Roman"/>
          <w:sz w:val="24"/>
        </w:rPr>
        <w:t>fiscal decentralisation</w:t>
      </w:r>
      <w:r w:rsidR="00124322" w:rsidRPr="003F6E47">
        <w:rPr>
          <w:rFonts w:ascii="Times New Roman" w:hAnsi="Times New Roman" w:cs="Times New Roman"/>
          <w:sz w:val="24"/>
        </w:rPr>
        <w:t xml:space="preserve">. </w:t>
      </w:r>
      <w:r w:rsidR="00B07CC4" w:rsidRPr="003F6E47">
        <w:rPr>
          <w:rFonts w:ascii="Times New Roman" w:hAnsi="Times New Roman" w:cs="Times New Roman"/>
          <w:sz w:val="24"/>
        </w:rPr>
        <w:t xml:space="preserve">Investing in autonomous, well-resourced and capacitated local </w:t>
      </w:r>
      <w:r w:rsidR="009A2561" w:rsidRPr="003F6E47">
        <w:rPr>
          <w:rFonts w:ascii="Times New Roman" w:hAnsi="Times New Roman" w:cs="Times New Roman"/>
          <w:sz w:val="24"/>
        </w:rPr>
        <w:t>Government</w:t>
      </w:r>
      <w:r w:rsidR="00B07CC4" w:rsidRPr="003F6E47">
        <w:rPr>
          <w:rFonts w:ascii="Times New Roman" w:hAnsi="Times New Roman" w:cs="Times New Roman"/>
          <w:sz w:val="24"/>
        </w:rPr>
        <w:t xml:space="preserve">s will support </w:t>
      </w:r>
      <w:r w:rsidR="00483906" w:rsidRPr="003F6E47">
        <w:rPr>
          <w:rFonts w:ascii="Times New Roman" w:hAnsi="Times New Roman" w:cs="Times New Roman"/>
          <w:sz w:val="24"/>
        </w:rPr>
        <w:t xml:space="preserve">planning and fiscal decentralisation at the sub-national level. </w:t>
      </w:r>
      <w:r w:rsidR="007D4C96" w:rsidRPr="003F6E47">
        <w:rPr>
          <w:rFonts w:ascii="Times New Roman" w:hAnsi="Times New Roman" w:cs="Times New Roman"/>
          <w:sz w:val="24"/>
        </w:rPr>
        <w:t>Continuing to build and implement a strategy on regional and local development should help in the delivery of NDPII and subsequent plans.</w:t>
      </w:r>
    </w:p>
    <w:p w14:paraId="7DA38519" w14:textId="1C394934" w:rsidR="00850170" w:rsidRPr="003F6E47" w:rsidRDefault="00B939C0" w:rsidP="00B86D0C">
      <w:pPr>
        <w:pStyle w:val="ListParagraph"/>
        <w:numPr>
          <w:ilvl w:val="0"/>
          <w:numId w:val="20"/>
        </w:numPr>
        <w:spacing w:line="360" w:lineRule="auto"/>
        <w:ind w:left="993" w:hanging="630"/>
        <w:contextualSpacing w:val="0"/>
        <w:jc w:val="both"/>
        <w:rPr>
          <w:rFonts w:ascii="Times New Roman" w:hAnsi="Times New Roman" w:cs="Times New Roman"/>
          <w:sz w:val="24"/>
        </w:rPr>
      </w:pPr>
      <w:r w:rsidRPr="003F6E47">
        <w:rPr>
          <w:rFonts w:ascii="Times New Roman" w:hAnsi="Times New Roman" w:cs="Times New Roman"/>
          <w:sz w:val="24"/>
          <w:u w:val="single"/>
        </w:rPr>
        <w:t>Continued investment in green grow</w:t>
      </w:r>
      <w:r w:rsidR="00202F1A" w:rsidRPr="003F6E47">
        <w:rPr>
          <w:rFonts w:ascii="Times New Roman" w:hAnsi="Times New Roman" w:cs="Times New Roman"/>
          <w:sz w:val="24"/>
          <w:u w:val="single"/>
        </w:rPr>
        <w:t>th policies and initiatives.</w:t>
      </w:r>
      <w:r w:rsidR="00202F1A" w:rsidRPr="003F6E47">
        <w:rPr>
          <w:rFonts w:ascii="Times New Roman" w:hAnsi="Times New Roman" w:cs="Times New Roman"/>
          <w:sz w:val="24"/>
        </w:rPr>
        <w:t xml:space="preserve"> </w:t>
      </w:r>
      <w:r w:rsidR="00C879BC" w:rsidRPr="003F6E47">
        <w:rPr>
          <w:rFonts w:ascii="Times New Roman" w:hAnsi="Times New Roman" w:cs="Times New Roman"/>
          <w:sz w:val="24"/>
        </w:rPr>
        <w:t xml:space="preserve">With most of the poor </w:t>
      </w:r>
      <w:r w:rsidR="009C2997" w:rsidRPr="003F6E47">
        <w:rPr>
          <w:rFonts w:ascii="Times New Roman" w:hAnsi="Times New Roman" w:cs="Times New Roman"/>
          <w:sz w:val="24"/>
        </w:rPr>
        <w:t xml:space="preserve">and </w:t>
      </w:r>
      <w:r w:rsidR="00CB0443" w:rsidRPr="003F6E47">
        <w:rPr>
          <w:rFonts w:ascii="Times New Roman" w:hAnsi="Times New Roman" w:cs="Times New Roman"/>
          <w:sz w:val="24"/>
        </w:rPr>
        <w:t>those</w:t>
      </w:r>
      <w:r w:rsidR="009C2997" w:rsidRPr="003F6E47">
        <w:rPr>
          <w:rFonts w:ascii="Times New Roman" w:hAnsi="Times New Roman" w:cs="Times New Roman"/>
          <w:sz w:val="24"/>
        </w:rPr>
        <w:t xml:space="preserve"> in the bottom 40% income bracket </w:t>
      </w:r>
      <w:r w:rsidR="00C879BC" w:rsidRPr="003F6E47">
        <w:rPr>
          <w:rFonts w:ascii="Times New Roman" w:hAnsi="Times New Roman" w:cs="Times New Roman"/>
          <w:sz w:val="24"/>
        </w:rPr>
        <w:t xml:space="preserve">dependent on agriculture, sustainability of the </w:t>
      </w:r>
      <w:r w:rsidR="009C2997" w:rsidRPr="003F6E47">
        <w:rPr>
          <w:rFonts w:ascii="Times New Roman" w:hAnsi="Times New Roman" w:cs="Times New Roman"/>
          <w:sz w:val="24"/>
        </w:rPr>
        <w:t xml:space="preserve">natural environment in crucial for Uganda. </w:t>
      </w:r>
      <w:r w:rsidR="00E53EAA" w:rsidRPr="003F6E47">
        <w:rPr>
          <w:rFonts w:ascii="Times New Roman" w:hAnsi="Times New Roman" w:cs="Times New Roman"/>
          <w:sz w:val="24"/>
        </w:rPr>
        <w:t>However, n</w:t>
      </w:r>
      <w:r w:rsidR="009C2997" w:rsidRPr="003F6E47">
        <w:rPr>
          <w:rFonts w:ascii="Times New Roman" w:hAnsi="Times New Roman" w:cs="Times New Roman"/>
          <w:sz w:val="24"/>
        </w:rPr>
        <w:t>early 46% of the land in Uganda is severely degraded</w:t>
      </w:r>
      <w:r w:rsidR="00894D05" w:rsidRPr="003F6E47">
        <w:rPr>
          <w:rFonts w:ascii="Times New Roman" w:hAnsi="Times New Roman" w:cs="Times New Roman"/>
          <w:sz w:val="24"/>
        </w:rPr>
        <w:t xml:space="preserve"> (IDA, 2015)</w:t>
      </w:r>
      <w:r w:rsidR="009C2997" w:rsidRPr="003F6E47">
        <w:rPr>
          <w:rFonts w:ascii="Times New Roman" w:hAnsi="Times New Roman" w:cs="Times New Roman"/>
          <w:sz w:val="24"/>
        </w:rPr>
        <w:t xml:space="preserve">. </w:t>
      </w:r>
      <w:r w:rsidR="00894D05" w:rsidRPr="003F6E47">
        <w:rPr>
          <w:rFonts w:ascii="Times New Roman" w:hAnsi="Times New Roman" w:cs="Times New Roman"/>
          <w:sz w:val="24"/>
        </w:rPr>
        <w:t>Moving forward, i</w:t>
      </w:r>
      <w:r w:rsidR="00FF5433" w:rsidRPr="003F6E47">
        <w:rPr>
          <w:rFonts w:ascii="Times New Roman" w:hAnsi="Times New Roman" w:cs="Times New Roman"/>
          <w:sz w:val="24"/>
        </w:rPr>
        <w:t xml:space="preserve">t </w:t>
      </w:r>
      <w:r w:rsidR="00894D05" w:rsidRPr="003F6E47">
        <w:rPr>
          <w:rFonts w:ascii="Times New Roman" w:hAnsi="Times New Roman" w:cs="Times New Roman"/>
          <w:sz w:val="24"/>
        </w:rPr>
        <w:t xml:space="preserve">will be important for the </w:t>
      </w:r>
      <w:r w:rsidR="009A2561" w:rsidRPr="003F6E47">
        <w:rPr>
          <w:rFonts w:ascii="Times New Roman" w:hAnsi="Times New Roman" w:cs="Times New Roman"/>
          <w:sz w:val="24"/>
        </w:rPr>
        <w:t>Government</w:t>
      </w:r>
      <w:r w:rsidR="00894D05" w:rsidRPr="003F6E47">
        <w:rPr>
          <w:rFonts w:ascii="Times New Roman" w:hAnsi="Times New Roman" w:cs="Times New Roman"/>
          <w:sz w:val="24"/>
        </w:rPr>
        <w:t xml:space="preserve"> to </w:t>
      </w:r>
      <w:r w:rsidR="00EF2FB5" w:rsidRPr="003F6E47">
        <w:rPr>
          <w:rFonts w:ascii="Times New Roman" w:hAnsi="Times New Roman" w:cs="Times New Roman"/>
          <w:sz w:val="24"/>
        </w:rPr>
        <w:t xml:space="preserve">consider several green growth options that are economically viable and socially and environmentally sustainable. Many are outlined in </w:t>
      </w:r>
      <w:r w:rsidR="00603D6A" w:rsidRPr="003F6E47">
        <w:rPr>
          <w:rFonts w:ascii="Times New Roman" w:hAnsi="Times New Roman" w:cs="Times New Roman"/>
          <w:sz w:val="24"/>
        </w:rPr>
        <w:t>the study conducted by MFPED entitled “</w:t>
      </w:r>
      <w:r w:rsidR="00D03C77" w:rsidRPr="003F6E47">
        <w:rPr>
          <w:rFonts w:ascii="Times New Roman" w:hAnsi="Times New Roman" w:cs="Times New Roman"/>
          <w:sz w:val="24"/>
        </w:rPr>
        <w:t>Achieving Uganda’s development ambition</w:t>
      </w:r>
      <w:r w:rsidR="00190131" w:rsidRPr="003F6E47">
        <w:rPr>
          <w:rFonts w:ascii="Times New Roman" w:hAnsi="Times New Roman" w:cs="Times New Roman"/>
          <w:sz w:val="24"/>
        </w:rPr>
        <w:t>. The Economic Impact of Green Growth – An Agenda for Action” (MFPED, 2016).</w:t>
      </w:r>
      <w:r w:rsidR="00700C4E" w:rsidRPr="003F6E47">
        <w:rPr>
          <w:rFonts w:ascii="Times New Roman" w:hAnsi="Times New Roman" w:cs="Times New Roman"/>
          <w:sz w:val="24"/>
        </w:rPr>
        <w:t xml:space="preserve"> Implementation of green growth strategies has the potential of not only increasing productivity (a core Objective of NDPII) but will also prevent future environmental costs of soil degra</w:t>
      </w:r>
      <w:r w:rsidR="008C3703" w:rsidRPr="003F6E47">
        <w:rPr>
          <w:rFonts w:ascii="Times New Roman" w:hAnsi="Times New Roman" w:cs="Times New Roman"/>
          <w:sz w:val="24"/>
        </w:rPr>
        <w:t xml:space="preserve">dation and depletion. Investment in green growth in the remaining years of NDPII, and the integration of these options into NDPII </w:t>
      </w:r>
      <w:r w:rsidR="00D13A29" w:rsidRPr="003F6E47">
        <w:rPr>
          <w:rFonts w:ascii="Times New Roman" w:hAnsi="Times New Roman" w:cs="Times New Roman"/>
          <w:sz w:val="24"/>
        </w:rPr>
        <w:t xml:space="preserve">should be considered. </w:t>
      </w:r>
    </w:p>
    <w:p w14:paraId="3BEBCCFF" w14:textId="2628EB30" w:rsidR="00571DA2" w:rsidRPr="003F6E47" w:rsidRDefault="0047717D" w:rsidP="00B86D0C">
      <w:pPr>
        <w:pStyle w:val="ListParagraph"/>
        <w:numPr>
          <w:ilvl w:val="0"/>
          <w:numId w:val="20"/>
        </w:numPr>
        <w:spacing w:line="360" w:lineRule="auto"/>
        <w:ind w:left="993" w:hanging="630"/>
        <w:contextualSpacing w:val="0"/>
        <w:jc w:val="both"/>
        <w:rPr>
          <w:rFonts w:ascii="Times New Roman" w:hAnsi="Times New Roman" w:cs="Times New Roman"/>
          <w:sz w:val="24"/>
        </w:rPr>
      </w:pPr>
      <w:r w:rsidRPr="003F6E47">
        <w:rPr>
          <w:rFonts w:ascii="Times New Roman" w:hAnsi="Times New Roman" w:cs="Times New Roman"/>
          <w:sz w:val="24"/>
          <w:u w:val="single"/>
        </w:rPr>
        <w:lastRenderedPageBreak/>
        <w:t>A Human Capital Development strategy.</w:t>
      </w:r>
      <w:r w:rsidRPr="003F6E47">
        <w:rPr>
          <w:rFonts w:ascii="Times New Roman" w:hAnsi="Times New Roman" w:cs="Times New Roman"/>
          <w:sz w:val="24"/>
        </w:rPr>
        <w:t xml:space="preserve"> </w:t>
      </w:r>
      <w:r w:rsidR="00041A58" w:rsidRPr="003F6E47">
        <w:rPr>
          <w:rFonts w:ascii="Times New Roman" w:hAnsi="Times New Roman" w:cs="Times New Roman"/>
          <w:sz w:val="24"/>
        </w:rPr>
        <w:t xml:space="preserve">In light of the fact that </w:t>
      </w:r>
      <w:r w:rsidR="002A3E6E" w:rsidRPr="003F6E47">
        <w:rPr>
          <w:rFonts w:ascii="Times New Roman" w:hAnsi="Times New Roman" w:cs="Times New Roman"/>
          <w:sz w:val="24"/>
        </w:rPr>
        <w:t>a child born in Uganda today will be 38% as productive when she grows up as she could be if she enjoyed complete education and full healt</w:t>
      </w:r>
      <w:r w:rsidR="00067090" w:rsidRPr="003F6E47">
        <w:rPr>
          <w:rFonts w:ascii="Times New Roman" w:hAnsi="Times New Roman" w:cs="Times New Roman"/>
          <w:sz w:val="24"/>
        </w:rPr>
        <w:t>h (World Bank, 2018)</w:t>
      </w:r>
      <w:r w:rsidR="002A3E6E" w:rsidRPr="003F6E47">
        <w:rPr>
          <w:rFonts w:ascii="Times New Roman" w:hAnsi="Times New Roman" w:cs="Times New Roman"/>
          <w:sz w:val="24"/>
        </w:rPr>
        <w:t xml:space="preserve">, the </w:t>
      </w:r>
      <w:r w:rsidR="009A2561" w:rsidRPr="003F6E47">
        <w:rPr>
          <w:rFonts w:ascii="Times New Roman" w:hAnsi="Times New Roman" w:cs="Times New Roman"/>
          <w:sz w:val="24"/>
        </w:rPr>
        <w:t>Government</w:t>
      </w:r>
      <w:r w:rsidR="002A3E6E" w:rsidRPr="003F6E47">
        <w:rPr>
          <w:rFonts w:ascii="Times New Roman" w:hAnsi="Times New Roman" w:cs="Times New Roman"/>
          <w:sz w:val="24"/>
        </w:rPr>
        <w:t xml:space="preserve"> should consider developing an explicit human capital development strategy. This strategy would look at the holistic development of a </w:t>
      </w:r>
      <w:r w:rsidR="00067090" w:rsidRPr="003F6E47">
        <w:rPr>
          <w:rFonts w:ascii="Times New Roman" w:hAnsi="Times New Roman" w:cs="Times New Roman"/>
          <w:sz w:val="24"/>
        </w:rPr>
        <w:t xml:space="preserve">child – nutrition, health and education and </w:t>
      </w:r>
      <w:r w:rsidR="00860369" w:rsidRPr="003F6E47">
        <w:rPr>
          <w:rFonts w:ascii="Times New Roman" w:hAnsi="Times New Roman" w:cs="Times New Roman"/>
          <w:sz w:val="24"/>
        </w:rPr>
        <w:t xml:space="preserve">seek to share lessons </w:t>
      </w:r>
      <w:r w:rsidR="00E035FC" w:rsidRPr="003F6E47">
        <w:rPr>
          <w:rFonts w:ascii="Times New Roman" w:hAnsi="Times New Roman" w:cs="Times New Roman"/>
          <w:sz w:val="24"/>
        </w:rPr>
        <w:t xml:space="preserve">across </w:t>
      </w:r>
      <w:r w:rsidR="00860369" w:rsidRPr="003F6E47">
        <w:rPr>
          <w:rFonts w:ascii="Times New Roman" w:hAnsi="Times New Roman" w:cs="Times New Roman"/>
          <w:sz w:val="24"/>
        </w:rPr>
        <w:t xml:space="preserve">the social sector. Whilst the Human Capital Index (HCI) for Uganda increased from 0.36 to 0.38 between 2012 and 2017, </w:t>
      </w:r>
      <w:r w:rsidR="00283666" w:rsidRPr="003F6E47">
        <w:rPr>
          <w:rFonts w:ascii="Times New Roman" w:hAnsi="Times New Roman" w:cs="Times New Roman"/>
          <w:sz w:val="24"/>
        </w:rPr>
        <w:t xml:space="preserve">Uganda’s HCI is still lower than the average in the region but is slightly higher than the average for its income group. More could be done </w:t>
      </w:r>
      <w:r w:rsidR="00C13176" w:rsidRPr="003F6E47">
        <w:rPr>
          <w:rFonts w:ascii="Times New Roman" w:hAnsi="Times New Roman" w:cs="Times New Roman"/>
          <w:sz w:val="24"/>
        </w:rPr>
        <w:t>to enhance the productivity of the next generation of workers</w:t>
      </w:r>
      <w:r w:rsidR="00CF5219" w:rsidRPr="003F6E47">
        <w:rPr>
          <w:rFonts w:ascii="Times New Roman" w:hAnsi="Times New Roman" w:cs="Times New Roman"/>
          <w:sz w:val="24"/>
        </w:rPr>
        <w:t xml:space="preserve">; investment now could reap benefits for future development plans and address some of the </w:t>
      </w:r>
      <w:r w:rsidR="008F5654" w:rsidRPr="003F6E47">
        <w:rPr>
          <w:rFonts w:ascii="Times New Roman" w:hAnsi="Times New Roman" w:cs="Times New Roman"/>
          <w:sz w:val="24"/>
        </w:rPr>
        <w:t>binding constraints on Uganda’s development path.</w:t>
      </w:r>
    </w:p>
    <w:p w14:paraId="029A1B7B" w14:textId="77777777" w:rsidR="00752A1D" w:rsidRPr="006759AC" w:rsidRDefault="009A5546"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6759AC">
        <w:rPr>
          <w:rFonts w:ascii="Times New Roman" w:hAnsi="Times New Roman" w:cs="Times New Roman"/>
          <w:b/>
          <w:sz w:val="24"/>
        </w:rPr>
        <w:t xml:space="preserve">Furthermore, to assist in </w:t>
      </w:r>
      <w:r w:rsidR="006B1DB5" w:rsidRPr="006759AC">
        <w:rPr>
          <w:rFonts w:ascii="Times New Roman" w:hAnsi="Times New Roman" w:cs="Times New Roman"/>
          <w:b/>
          <w:sz w:val="24"/>
        </w:rPr>
        <w:t xml:space="preserve">ensuring that </w:t>
      </w:r>
      <w:r w:rsidR="009A2561" w:rsidRPr="006759AC">
        <w:rPr>
          <w:rFonts w:ascii="Times New Roman" w:hAnsi="Times New Roman" w:cs="Times New Roman"/>
          <w:b/>
          <w:sz w:val="24"/>
        </w:rPr>
        <w:t>Government</w:t>
      </w:r>
      <w:r w:rsidR="006B1DB5" w:rsidRPr="006759AC">
        <w:rPr>
          <w:rFonts w:ascii="Times New Roman" w:hAnsi="Times New Roman" w:cs="Times New Roman"/>
          <w:b/>
          <w:sz w:val="24"/>
        </w:rPr>
        <w:t xml:space="preserve"> policies, plans and strategies are of high quality and comprehensive, it is important to continue </w:t>
      </w:r>
      <w:r w:rsidR="005A091F" w:rsidRPr="006759AC">
        <w:rPr>
          <w:rFonts w:ascii="Times New Roman" w:hAnsi="Times New Roman" w:cs="Times New Roman"/>
          <w:b/>
          <w:sz w:val="24"/>
        </w:rPr>
        <w:t>compiling an inventory of policies, plans and strategies in relation to NDPII.</w:t>
      </w:r>
      <w:r w:rsidR="005A091F" w:rsidRPr="006759AC">
        <w:rPr>
          <w:rFonts w:ascii="Times New Roman" w:hAnsi="Times New Roman" w:cs="Times New Roman"/>
          <w:sz w:val="24"/>
        </w:rPr>
        <w:t xml:space="preserve"> </w:t>
      </w:r>
      <w:r w:rsidR="006B1DB5" w:rsidRPr="006759AC">
        <w:rPr>
          <w:rFonts w:ascii="Times New Roman" w:hAnsi="Times New Roman" w:cs="Times New Roman"/>
          <w:b/>
          <w:sz w:val="24"/>
        </w:rPr>
        <w:t xml:space="preserve"> </w:t>
      </w:r>
      <w:r w:rsidR="006B1DB5" w:rsidRPr="006759AC">
        <w:rPr>
          <w:rFonts w:ascii="Times New Roman" w:hAnsi="Times New Roman" w:cs="Times New Roman"/>
          <w:sz w:val="24"/>
        </w:rPr>
        <w:t xml:space="preserve">At present it appears that the NPA and the Office of the President have separate inventories, with different information. Pooling resources and sharing best practice across agencies may help in ensuring that the right policies are being produced to the required standard. A complete inventory would also </w:t>
      </w:r>
      <w:r w:rsidR="005A091F" w:rsidRPr="006759AC">
        <w:rPr>
          <w:rFonts w:ascii="Times New Roman" w:hAnsi="Times New Roman" w:cs="Times New Roman"/>
          <w:sz w:val="24"/>
        </w:rPr>
        <w:t xml:space="preserve">assist the </w:t>
      </w:r>
      <w:r w:rsidR="009A2561" w:rsidRPr="006759AC">
        <w:rPr>
          <w:rFonts w:ascii="Times New Roman" w:hAnsi="Times New Roman" w:cs="Times New Roman"/>
          <w:sz w:val="24"/>
        </w:rPr>
        <w:t>Government</w:t>
      </w:r>
      <w:r w:rsidR="005A091F" w:rsidRPr="006759AC">
        <w:rPr>
          <w:rFonts w:ascii="Times New Roman" w:hAnsi="Times New Roman" w:cs="Times New Roman"/>
          <w:sz w:val="24"/>
        </w:rPr>
        <w:t xml:space="preserve"> in determining if the behaviour and policy direction of MDAs has changed as a result of having a National Development Plan</w:t>
      </w:r>
      <w:r w:rsidR="006B1DB5" w:rsidRPr="006759AC">
        <w:rPr>
          <w:rFonts w:ascii="Times New Roman" w:hAnsi="Times New Roman" w:cs="Times New Roman"/>
          <w:sz w:val="24"/>
        </w:rPr>
        <w:t>, and in identifying d</w:t>
      </w:r>
      <w:r w:rsidR="005A091F" w:rsidRPr="006759AC">
        <w:rPr>
          <w:rFonts w:ascii="Times New Roman" w:hAnsi="Times New Roman" w:cs="Times New Roman"/>
          <w:sz w:val="24"/>
        </w:rPr>
        <w:t xml:space="preserve">uplication and gaps. The </w:t>
      </w:r>
      <w:r w:rsidR="009A2561" w:rsidRPr="006759AC">
        <w:rPr>
          <w:rFonts w:ascii="Times New Roman" w:hAnsi="Times New Roman" w:cs="Times New Roman"/>
          <w:sz w:val="24"/>
        </w:rPr>
        <w:t>Government</w:t>
      </w:r>
      <w:r w:rsidR="005A091F" w:rsidRPr="006759AC">
        <w:rPr>
          <w:rFonts w:ascii="Times New Roman" w:hAnsi="Times New Roman" w:cs="Times New Roman"/>
          <w:sz w:val="24"/>
        </w:rPr>
        <w:t xml:space="preserve"> should also consider renewing its commitment to developing the capacity of the policy analysis cadre and producing guidance on what good policies, plans and strategies look like, and when each intervention (or alternatives) are appropriate. These investments will help in ensuring the quality of policies as outlined in Table 3 continues to improve.</w:t>
      </w:r>
    </w:p>
    <w:p w14:paraId="3CC05B57" w14:textId="2FDE6A20" w:rsidR="00A861B9" w:rsidRPr="006759AC" w:rsidRDefault="00DD1C72"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6759AC">
        <w:rPr>
          <w:rFonts w:ascii="Times New Roman" w:hAnsi="Times New Roman" w:cs="Times New Roman"/>
          <w:b/>
          <w:sz w:val="24"/>
        </w:rPr>
        <w:t xml:space="preserve">NDPII highlights several pre-conditions that are </w:t>
      </w:r>
      <w:r w:rsidR="006F4005" w:rsidRPr="006759AC">
        <w:rPr>
          <w:rFonts w:ascii="Times New Roman" w:hAnsi="Times New Roman" w:cs="Times New Roman"/>
          <w:b/>
          <w:sz w:val="24"/>
        </w:rPr>
        <w:t xml:space="preserve">required for </w:t>
      </w:r>
      <w:r w:rsidR="00207292" w:rsidRPr="006759AC">
        <w:rPr>
          <w:rFonts w:ascii="Times New Roman" w:hAnsi="Times New Roman" w:cs="Times New Roman"/>
          <w:b/>
          <w:sz w:val="24"/>
        </w:rPr>
        <w:t>successful implementation of NDPII.</w:t>
      </w:r>
      <w:r w:rsidR="00207292" w:rsidRPr="006759AC">
        <w:rPr>
          <w:rFonts w:ascii="Times New Roman" w:hAnsi="Times New Roman" w:cs="Times New Roman"/>
          <w:sz w:val="24"/>
        </w:rPr>
        <w:t xml:space="preserve"> These are outlined in Table </w:t>
      </w:r>
      <w:r w:rsidR="004351B2" w:rsidRPr="006759AC">
        <w:rPr>
          <w:rFonts w:ascii="Times New Roman" w:hAnsi="Times New Roman" w:cs="Times New Roman"/>
          <w:sz w:val="24"/>
        </w:rPr>
        <w:t>5</w:t>
      </w:r>
      <w:r w:rsidR="00E64D5A" w:rsidRPr="006759AC">
        <w:rPr>
          <w:rFonts w:ascii="Times New Roman" w:hAnsi="Times New Roman" w:cs="Times New Roman"/>
          <w:sz w:val="24"/>
        </w:rPr>
        <w:t xml:space="preserve"> </w:t>
      </w:r>
      <w:r w:rsidR="00D306C3" w:rsidRPr="006759AC">
        <w:rPr>
          <w:rFonts w:ascii="Times New Roman" w:hAnsi="Times New Roman" w:cs="Times New Roman"/>
          <w:sz w:val="24"/>
        </w:rPr>
        <w:t>and the status of each pre-requisite</w:t>
      </w:r>
      <w:r w:rsidR="003D53E5" w:rsidRPr="006759AC">
        <w:rPr>
          <w:rFonts w:ascii="Times New Roman" w:hAnsi="Times New Roman" w:cs="Times New Roman"/>
          <w:sz w:val="24"/>
        </w:rPr>
        <w:t xml:space="preserve"> (PR)</w:t>
      </w:r>
      <w:r w:rsidR="00E64D5A" w:rsidRPr="006759AC">
        <w:rPr>
          <w:rFonts w:ascii="Times New Roman" w:hAnsi="Times New Roman" w:cs="Times New Roman"/>
          <w:sz w:val="24"/>
        </w:rPr>
        <w:t>,</w:t>
      </w:r>
      <w:r w:rsidR="00D306C3" w:rsidRPr="006759AC">
        <w:rPr>
          <w:rFonts w:ascii="Times New Roman" w:hAnsi="Times New Roman" w:cs="Times New Roman"/>
          <w:sz w:val="24"/>
        </w:rPr>
        <w:t xml:space="preserve"> based on discussions with stakeholders and analysis of secondary information</w:t>
      </w:r>
      <w:r w:rsidR="00E64D5A" w:rsidRPr="006759AC">
        <w:rPr>
          <w:rFonts w:ascii="Times New Roman" w:hAnsi="Times New Roman" w:cs="Times New Roman"/>
          <w:sz w:val="24"/>
        </w:rPr>
        <w:t>,</w:t>
      </w:r>
      <w:r w:rsidR="00D306C3" w:rsidRPr="006759AC">
        <w:rPr>
          <w:rFonts w:ascii="Times New Roman" w:hAnsi="Times New Roman" w:cs="Times New Roman"/>
          <w:sz w:val="24"/>
        </w:rPr>
        <w:t xml:space="preserve"> is provided on a scale of 1 – </w:t>
      </w:r>
      <w:r w:rsidR="00077FC1" w:rsidRPr="006759AC">
        <w:rPr>
          <w:rFonts w:ascii="Times New Roman" w:hAnsi="Times New Roman" w:cs="Times New Roman"/>
          <w:sz w:val="24"/>
        </w:rPr>
        <w:t>3, where 1 refers to poor, requires renewed</w:t>
      </w:r>
      <w:r w:rsidR="00A861B9" w:rsidRPr="006759AC">
        <w:rPr>
          <w:rFonts w:ascii="Times New Roman" w:hAnsi="Times New Roman" w:cs="Times New Roman"/>
          <w:sz w:val="24"/>
        </w:rPr>
        <w:t xml:space="preserve"> efforts to 3 – good, progress is on track.</w:t>
      </w:r>
      <w:r w:rsidR="00FF0A88" w:rsidRPr="006759AC">
        <w:rPr>
          <w:rFonts w:ascii="Times New Roman" w:hAnsi="Times New Roman" w:cs="Times New Roman"/>
          <w:sz w:val="24"/>
        </w:rPr>
        <w:t xml:space="preserve"> </w:t>
      </w:r>
      <w:r w:rsidR="00E64D5A" w:rsidRPr="006759AC">
        <w:rPr>
          <w:rFonts w:ascii="Times New Roman" w:hAnsi="Times New Roman" w:cs="Times New Roman"/>
          <w:sz w:val="24"/>
        </w:rPr>
        <w:t xml:space="preserve">Of the </w:t>
      </w:r>
      <w:r w:rsidR="005B7A2B" w:rsidRPr="006759AC">
        <w:rPr>
          <w:rFonts w:ascii="Times New Roman" w:hAnsi="Times New Roman" w:cs="Times New Roman"/>
          <w:sz w:val="24"/>
        </w:rPr>
        <w:t>11 pre-requisites required for successful NDPII implementation, 9 are off-track at present and require renewed attention.</w:t>
      </w:r>
      <w:r w:rsidR="00F57E84" w:rsidRPr="006759AC">
        <w:rPr>
          <w:rFonts w:ascii="Times New Roman" w:hAnsi="Times New Roman" w:cs="Times New Roman"/>
          <w:sz w:val="24"/>
        </w:rPr>
        <w:t xml:space="preserve"> Insufficient information was available to assess the status of two (fair and transparent pay system and </w:t>
      </w:r>
      <w:r w:rsidR="00F57E84" w:rsidRPr="006759AC">
        <w:rPr>
          <w:rFonts w:ascii="Times New Roman" w:hAnsi="Times New Roman" w:cs="Times New Roman"/>
          <w:sz w:val="24"/>
        </w:rPr>
        <w:lastRenderedPageBreak/>
        <w:t>human resource capacity and conducive working environment</w:t>
      </w:r>
      <w:r w:rsidR="00B8549F" w:rsidRPr="006759AC">
        <w:rPr>
          <w:rFonts w:ascii="Times New Roman" w:hAnsi="Times New Roman" w:cs="Times New Roman"/>
          <w:sz w:val="24"/>
        </w:rPr>
        <w:t>)</w:t>
      </w:r>
      <w:r w:rsidR="00F57E84" w:rsidRPr="006759AC">
        <w:rPr>
          <w:rFonts w:ascii="Times New Roman" w:hAnsi="Times New Roman" w:cs="Times New Roman"/>
          <w:sz w:val="24"/>
        </w:rPr>
        <w:t xml:space="preserve">. </w:t>
      </w:r>
      <w:r w:rsidR="00CD1905" w:rsidRPr="006759AC">
        <w:rPr>
          <w:rFonts w:ascii="Times New Roman" w:hAnsi="Times New Roman" w:cs="Times New Roman"/>
          <w:sz w:val="24"/>
        </w:rPr>
        <w:t>A review of the pre-conditions</w:t>
      </w:r>
      <w:r w:rsidR="00465086" w:rsidRPr="006759AC">
        <w:rPr>
          <w:rFonts w:ascii="Times New Roman" w:hAnsi="Times New Roman" w:cs="Times New Roman"/>
          <w:sz w:val="24"/>
        </w:rPr>
        <w:t xml:space="preserve">, and their current status, is </w:t>
      </w:r>
      <w:r w:rsidR="00CD1905" w:rsidRPr="006759AC">
        <w:rPr>
          <w:rFonts w:ascii="Times New Roman" w:hAnsi="Times New Roman" w:cs="Times New Roman"/>
          <w:sz w:val="24"/>
        </w:rPr>
        <w:t xml:space="preserve">provided below in the </w:t>
      </w:r>
      <w:r w:rsidR="00465086" w:rsidRPr="006759AC">
        <w:rPr>
          <w:rFonts w:ascii="Times New Roman" w:hAnsi="Times New Roman" w:cs="Times New Roman"/>
          <w:sz w:val="24"/>
        </w:rPr>
        <w:t xml:space="preserve">following paragraphs. </w:t>
      </w:r>
    </w:p>
    <w:p w14:paraId="6AC83221" w14:textId="735F700B" w:rsidR="001533A8" w:rsidRPr="006759AC" w:rsidRDefault="001533A8" w:rsidP="00B86D0C">
      <w:pPr>
        <w:pStyle w:val="Caption"/>
        <w:spacing w:line="360" w:lineRule="auto"/>
        <w:jc w:val="both"/>
        <w:rPr>
          <w:rFonts w:ascii="Times New Roman" w:hAnsi="Times New Roman" w:cs="Times New Roman"/>
          <w:i w:val="0"/>
          <w:sz w:val="24"/>
        </w:rPr>
      </w:pPr>
      <w:bookmarkStart w:id="31" w:name="_Toc536205953"/>
      <w:r w:rsidRPr="006759AC">
        <w:rPr>
          <w:rFonts w:ascii="Times New Roman" w:hAnsi="Times New Roman" w:cs="Times New Roman"/>
          <w:i w:val="0"/>
          <w:sz w:val="24"/>
        </w:rPr>
        <w:t xml:space="preserve">Table </w:t>
      </w:r>
      <w:r w:rsidR="001350AC" w:rsidRPr="006759AC">
        <w:rPr>
          <w:rFonts w:ascii="Times New Roman" w:hAnsi="Times New Roman" w:cs="Times New Roman"/>
          <w:i w:val="0"/>
          <w:noProof/>
          <w:sz w:val="24"/>
        </w:rPr>
        <w:fldChar w:fldCharType="begin"/>
      </w:r>
      <w:r w:rsidR="001350AC" w:rsidRPr="006759AC">
        <w:rPr>
          <w:rFonts w:ascii="Times New Roman" w:hAnsi="Times New Roman" w:cs="Times New Roman"/>
          <w:i w:val="0"/>
          <w:noProof/>
          <w:sz w:val="24"/>
        </w:rPr>
        <w:instrText xml:space="preserve"> SEQ Table \* ARABIC </w:instrText>
      </w:r>
      <w:r w:rsidR="001350AC" w:rsidRPr="006759AC">
        <w:rPr>
          <w:rFonts w:ascii="Times New Roman" w:hAnsi="Times New Roman" w:cs="Times New Roman"/>
          <w:i w:val="0"/>
          <w:noProof/>
          <w:sz w:val="24"/>
        </w:rPr>
        <w:fldChar w:fldCharType="separate"/>
      </w:r>
      <w:r w:rsidR="00A057A7">
        <w:rPr>
          <w:rFonts w:ascii="Times New Roman" w:hAnsi="Times New Roman" w:cs="Times New Roman"/>
          <w:i w:val="0"/>
          <w:noProof/>
          <w:sz w:val="24"/>
        </w:rPr>
        <w:t>5</w:t>
      </w:r>
      <w:r w:rsidR="001350AC" w:rsidRPr="006759AC">
        <w:rPr>
          <w:rFonts w:ascii="Times New Roman" w:hAnsi="Times New Roman" w:cs="Times New Roman"/>
          <w:i w:val="0"/>
          <w:noProof/>
          <w:sz w:val="24"/>
        </w:rPr>
        <w:fldChar w:fldCharType="end"/>
      </w:r>
      <w:r w:rsidRPr="006759AC">
        <w:rPr>
          <w:rFonts w:ascii="Times New Roman" w:hAnsi="Times New Roman" w:cs="Times New Roman"/>
          <w:i w:val="0"/>
          <w:sz w:val="24"/>
        </w:rPr>
        <w:t>: Pre-requisites for successful NDPII implementation</w:t>
      </w:r>
      <w:bookmarkEnd w:id="31"/>
    </w:p>
    <w:tbl>
      <w:tblPr>
        <w:tblStyle w:val="TableGrid"/>
        <w:tblW w:w="5000" w:type="pct"/>
        <w:tblLook w:val="04A0" w:firstRow="1" w:lastRow="0" w:firstColumn="1" w:lastColumn="0" w:noHBand="0" w:noVBand="1"/>
      </w:tblPr>
      <w:tblGrid>
        <w:gridCol w:w="7197"/>
        <w:gridCol w:w="1819"/>
      </w:tblGrid>
      <w:tr w:rsidR="001533A8" w:rsidRPr="006759AC" w14:paraId="2064F1DC" w14:textId="77777777" w:rsidTr="00C41B94">
        <w:tc>
          <w:tcPr>
            <w:tcW w:w="3991" w:type="pct"/>
            <w:shd w:val="clear" w:color="auto" w:fill="C5E0B3" w:themeFill="accent6" w:themeFillTint="66"/>
          </w:tcPr>
          <w:p w14:paraId="1D37FA2D" w14:textId="178483B5" w:rsidR="001533A8" w:rsidRPr="006759AC" w:rsidRDefault="001533A8" w:rsidP="00587EDE">
            <w:pPr>
              <w:spacing w:after="0" w:line="360" w:lineRule="auto"/>
              <w:jc w:val="both"/>
              <w:rPr>
                <w:rFonts w:ascii="Times New Roman" w:hAnsi="Times New Roman" w:cs="Times New Roman"/>
                <w:b/>
                <w:sz w:val="20"/>
                <w:szCs w:val="20"/>
              </w:rPr>
            </w:pPr>
            <w:r w:rsidRPr="006759AC">
              <w:rPr>
                <w:rFonts w:ascii="Times New Roman" w:hAnsi="Times New Roman" w:cs="Times New Roman"/>
                <w:b/>
                <w:sz w:val="20"/>
                <w:szCs w:val="20"/>
              </w:rPr>
              <w:t xml:space="preserve">Pre-requisites </w:t>
            </w:r>
            <w:r w:rsidR="003D53E5" w:rsidRPr="006759AC">
              <w:rPr>
                <w:rFonts w:ascii="Times New Roman" w:hAnsi="Times New Roman" w:cs="Times New Roman"/>
                <w:b/>
                <w:sz w:val="20"/>
                <w:szCs w:val="20"/>
              </w:rPr>
              <w:t xml:space="preserve">(PR) </w:t>
            </w:r>
            <w:r w:rsidRPr="006759AC">
              <w:rPr>
                <w:rFonts w:ascii="Times New Roman" w:hAnsi="Times New Roman" w:cs="Times New Roman"/>
                <w:b/>
                <w:sz w:val="20"/>
                <w:szCs w:val="20"/>
              </w:rPr>
              <w:t>for successful NDPII implementation</w:t>
            </w:r>
          </w:p>
        </w:tc>
        <w:tc>
          <w:tcPr>
            <w:tcW w:w="1009" w:type="pct"/>
            <w:shd w:val="clear" w:color="auto" w:fill="C5E0B3" w:themeFill="accent6" w:themeFillTint="66"/>
          </w:tcPr>
          <w:p w14:paraId="07855044" w14:textId="77777777" w:rsidR="001533A8" w:rsidRPr="006759AC" w:rsidRDefault="001533A8" w:rsidP="00587EDE">
            <w:pPr>
              <w:spacing w:after="0" w:line="360" w:lineRule="auto"/>
              <w:jc w:val="both"/>
              <w:rPr>
                <w:rFonts w:ascii="Times New Roman" w:hAnsi="Times New Roman" w:cs="Times New Roman"/>
                <w:b/>
                <w:sz w:val="20"/>
                <w:szCs w:val="20"/>
              </w:rPr>
            </w:pPr>
            <w:r w:rsidRPr="006759AC">
              <w:rPr>
                <w:rFonts w:ascii="Times New Roman" w:hAnsi="Times New Roman" w:cs="Times New Roman"/>
                <w:b/>
                <w:sz w:val="20"/>
                <w:szCs w:val="20"/>
              </w:rPr>
              <w:t>MTR status</w:t>
            </w:r>
          </w:p>
        </w:tc>
      </w:tr>
      <w:tr w:rsidR="001533A8" w:rsidRPr="00F10F3B" w14:paraId="5A963A36" w14:textId="77777777" w:rsidTr="00C41B94">
        <w:tc>
          <w:tcPr>
            <w:tcW w:w="3991" w:type="pct"/>
          </w:tcPr>
          <w:p w14:paraId="5B9F3E64"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Political will and commitment at all levels</w:t>
            </w:r>
          </w:p>
        </w:tc>
        <w:tc>
          <w:tcPr>
            <w:tcW w:w="1009" w:type="pct"/>
            <w:shd w:val="clear" w:color="auto" w:fill="E2EFD9" w:themeFill="accent6" w:themeFillTint="33"/>
            <w:vAlign w:val="center"/>
          </w:tcPr>
          <w:p w14:paraId="07296862"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7876FBF2" w14:textId="77777777" w:rsidTr="00C41B94">
        <w:tc>
          <w:tcPr>
            <w:tcW w:w="3991" w:type="pct"/>
          </w:tcPr>
          <w:p w14:paraId="504415D0"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Ownership of the plan by all</w:t>
            </w:r>
          </w:p>
        </w:tc>
        <w:tc>
          <w:tcPr>
            <w:tcW w:w="1009" w:type="pct"/>
            <w:shd w:val="clear" w:color="auto" w:fill="E2EFD9" w:themeFill="accent6" w:themeFillTint="33"/>
            <w:vAlign w:val="center"/>
          </w:tcPr>
          <w:p w14:paraId="5F05B17D"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7743FC44" w14:textId="77777777" w:rsidTr="00C41B94">
        <w:tc>
          <w:tcPr>
            <w:tcW w:w="3991" w:type="pct"/>
          </w:tcPr>
          <w:p w14:paraId="07AC7691"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An integrated monitoring and evaluation system</w:t>
            </w:r>
          </w:p>
        </w:tc>
        <w:tc>
          <w:tcPr>
            <w:tcW w:w="1009" w:type="pct"/>
            <w:shd w:val="clear" w:color="auto" w:fill="E2EFD9" w:themeFill="accent6" w:themeFillTint="33"/>
            <w:vAlign w:val="center"/>
          </w:tcPr>
          <w:p w14:paraId="7E4D51B1"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01F44CB8" w14:textId="77777777" w:rsidTr="00C41B94">
        <w:tc>
          <w:tcPr>
            <w:tcW w:w="3991" w:type="pct"/>
          </w:tcPr>
          <w:p w14:paraId="0631BE68"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Effective use and management of information for decision making</w:t>
            </w:r>
          </w:p>
        </w:tc>
        <w:tc>
          <w:tcPr>
            <w:tcW w:w="1009" w:type="pct"/>
            <w:shd w:val="clear" w:color="auto" w:fill="E2EFD9" w:themeFill="accent6" w:themeFillTint="33"/>
            <w:vAlign w:val="center"/>
          </w:tcPr>
          <w:p w14:paraId="3D625F71"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1C70604A" w14:textId="77777777" w:rsidTr="00C41B94">
        <w:tc>
          <w:tcPr>
            <w:tcW w:w="3991" w:type="pct"/>
          </w:tcPr>
          <w:p w14:paraId="142FDA15"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Increased private sector capacity</w:t>
            </w:r>
          </w:p>
        </w:tc>
        <w:tc>
          <w:tcPr>
            <w:tcW w:w="1009" w:type="pct"/>
            <w:shd w:val="clear" w:color="auto" w:fill="E2EFD9" w:themeFill="accent6" w:themeFillTint="33"/>
            <w:vAlign w:val="center"/>
          </w:tcPr>
          <w:p w14:paraId="0ACE03B1"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36342176" w14:textId="77777777" w:rsidTr="00C41B94">
        <w:tc>
          <w:tcPr>
            <w:tcW w:w="3991" w:type="pct"/>
          </w:tcPr>
          <w:p w14:paraId="1E2AB932"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Behaviour change, patriotism and progressive reduction of corruption</w:t>
            </w:r>
          </w:p>
        </w:tc>
        <w:tc>
          <w:tcPr>
            <w:tcW w:w="1009" w:type="pct"/>
            <w:shd w:val="clear" w:color="auto" w:fill="E2EFD9" w:themeFill="accent6" w:themeFillTint="33"/>
            <w:vAlign w:val="center"/>
          </w:tcPr>
          <w:p w14:paraId="680F837C"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4596FBA7" w14:textId="77777777" w:rsidTr="00C41B94">
        <w:tc>
          <w:tcPr>
            <w:tcW w:w="3991" w:type="pct"/>
          </w:tcPr>
          <w:p w14:paraId="08F4778C"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Effective monitoring and evaluation to support implementation</w:t>
            </w:r>
          </w:p>
        </w:tc>
        <w:tc>
          <w:tcPr>
            <w:tcW w:w="1009" w:type="pct"/>
            <w:shd w:val="clear" w:color="auto" w:fill="E2EFD9" w:themeFill="accent6" w:themeFillTint="33"/>
            <w:vAlign w:val="center"/>
          </w:tcPr>
          <w:p w14:paraId="259AFADF"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1C734442" w14:textId="77777777" w:rsidTr="00C41B94">
        <w:tc>
          <w:tcPr>
            <w:tcW w:w="3991" w:type="pct"/>
          </w:tcPr>
          <w:p w14:paraId="4C4109D0"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Human resource capacity and conducive working environment</w:t>
            </w:r>
          </w:p>
        </w:tc>
        <w:tc>
          <w:tcPr>
            <w:tcW w:w="1009" w:type="pct"/>
            <w:shd w:val="clear" w:color="auto" w:fill="auto"/>
            <w:vAlign w:val="center"/>
          </w:tcPr>
          <w:p w14:paraId="762249B9"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Unknown</w:t>
            </w:r>
          </w:p>
        </w:tc>
      </w:tr>
      <w:tr w:rsidR="001533A8" w:rsidRPr="00F10F3B" w14:paraId="3941555C" w14:textId="77777777" w:rsidTr="00C41B94">
        <w:tc>
          <w:tcPr>
            <w:tcW w:w="3991" w:type="pct"/>
          </w:tcPr>
          <w:p w14:paraId="0D0E49CF"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A fair and transparent pay system</w:t>
            </w:r>
          </w:p>
        </w:tc>
        <w:tc>
          <w:tcPr>
            <w:tcW w:w="1009" w:type="pct"/>
            <w:vAlign w:val="center"/>
          </w:tcPr>
          <w:p w14:paraId="783235A8"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Unknown</w:t>
            </w:r>
          </w:p>
        </w:tc>
      </w:tr>
      <w:tr w:rsidR="001533A8" w:rsidRPr="00F10F3B" w14:paraId="6555A958" w14:textId="77777777" w:rsidTr="00C41B94">
        <w:tc>
          <w:tcPr>
            <w:tcW w:w="3991" w:type="pct"/>
          </w:tcPr>
          <w:p w14:paraId="1A74707C"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Effective and efficient resource mobilisation and utilisation</w:t>
            </w:r>
          </w:p>
        </w:tc>
        <w:tc>
          <w:tcPr>
            <w:tcW w:w="1009" w:type="pct"/>
            <w:shd w:val="clear" w:color="auto" w:fill="E2EFD9" w:themeFill="accent6" w:themeFillTint="33"/>
            <w:vAlign w:val="center"/>
          </w:tcPr>
          <w:p w14:paraId="000BF228"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r w:rsidR="001533A8" w:rsidRPr="00F10F3B" w14:paraId="2D7BC432" w14:textId="77777777" w:rsidTr="00C41B94">
        <w:tc>
          <w:tcPr>
            <w:tcW w:w="3991" w:type="pct"/>
          </w:tcPr>
          <w:p w14:paraId="224E7362" w14:textId="77777777" w:rsidR="001533A8" w:rsidRPr="00F10F3B" w:rsidRDefault="001533A8" w:rsidP="00587EDE">
            <w:pPr>
              <w:pStyle w:val="ListParagraph"/>
              <w:numPr>
                <w:ilvl w:val="0"/>
                <w:numId w:val="21"/>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Effective partnership with non-state actors</w:t>
            </w:r>
          </w:p>
        </w:tc>
        <w:tc>
          <w:tcPr>
            <w:tcW w:w="1009" w:type="pct"/>
            <w:shd w:val="clear" w:color="auto" w:fill="E2EFD9" w:themeFill="accent6" w:themeFillTint="33"/>
            <w:vAlign w:val="center"/>
          </w:tcPr>
          <w:p w14:paraId="36AD329F" w14:textId="77777777" w:rsidR="001533A8" w:rsidRPr="00F10F3B" w:rsidRDefault="001533A8"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 Poor</w:t>
            </w:r>
          </w:p>
        </w:tc>
      </w:tr>
    </w:tbl>
    <w:p w14:paraId="25EB394A" w14:textId="1D7FDC1D" w:rsidR="001533A8" w:rsidRPr="00F10F3B" w:rsidRDefault="00FB4CBE"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 xml:space="preserve">Source: Compiled by author(s) through analysis </w:t>
      </w:r>
      <w:r w:rsidR="00B8549F" w:rsidRPr="00F10F3B">
        <w:rPr>
          <w:rFonts w:ascii="Times New Roman" w:hAnsi="Times New Roman" w:cs="Times New Roman"/>
          <w:i/>
          <w:sz w:val="20"/>
          <w:szCs w:val="20"/>
        </w:rPr>
        <w:t>of s</w:t>
      </w:r>
      <w:r w:rsidR="00E27049" w:rsidRPr="00F10F3B">
        <w:rPr>
          <w:rFonts w:ascii="Times New Roman" w:hAnsi="Times New Roman" w:cs="Times New Roman"/>
          <w:i/>
          <w:sz w:val="20"/>
          <w:szCs w:val="20"/>
        </w:rPr>
        <w:t>econdary data and discussion with stakeholders</w:t>
      </w:r>
    </w:p>
    <w:p w14:paraId="1AD4C36C" w14:textId="41747601" w:rsidR="00680223" w:rsidRPr="006759AC" w:rsidRDefault="00442F89"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b/>
          <w:sz w:val="24"/>
          <w:szCs w:val="24"/>
        </w:rPr>
        <w:t xml:space="preserve">Many stakeholders, during semi-structured interviews, noted </w:t>
      </w:r>
      <w:r w:rsidR="00A861B9" w:rsidRPr="006759AC">
        <w:rPr>
          <w:rFonts w:ascii="Times New Roman" w:hAnsi="Times New Roman" w:cs="Times New Roman"/>
          <w:b/>
          <w:sz w:val="24"/>
          <w:szCs w:val="24"/>
        </w:rPr>
        <w:t xml:space="preserve">that </w:t>
      </w:r>
      <w:r w:rsidRPr="006759AC">
        <w:rPr>
          <w:rFonts w:ascii="Times New Roman" w:hAnsi="Times New Roman" w:cs="Times New Roman"/>
          <w:b/>
          <w:sz w:val="24"/>
          <w:szCs w:val="24"/>
        </w:rPr>
        <w:t xml:space="preserve">the </w:t>
      </w:r>
      <w:r w:rsidR="009A2561" w:rsidRPr="006759AC">
        <w:rPr>
          <w:rFonts w:ascii="Times New Roman" w:hAnsi="Times New Roman" w:cs="Times New Roman"/>
          <w:b/>
          <w:sz w:val="24"/>
          <w:szCs w:val="24"/>
        </w:rPr>
        <w:t>Government</w:t>
      </w:r>
      <w:r w:rsidRPr="006759AC">
        <w:rPr>
          <w:rFonts w:ascii="Times New Roman" w:hAnsi="Times New Roman" w:cs="Times New Roman"/>
          <w:b/>
          <w:sz w:val="24"/>
          <w:szCs w:val="24"/>
        </w:rPr>
        <w:t xml:space="preserve"> needs to do more to engage with the private sector and non-state actors</w:t>
      </w:r>
      <w:r w:rsidR="00A861B9" w:rsidRPr="006759AC">
        <w:rPr>
          <w:rFonts w:ascii="Times New Roman" w:hAnsi="Times New Roman" w:cs="Times New Roman"/>
          <w:b/>
          <w:sz w:val="24"/>
          <w:szCs w:val="24"/>
        </w:rPr>
        <w:t xml:space="preserve"> in a meaningful way</w:t>
      </w:r>
      <w:r w:rsidR="00465086" w:rsidRPr="006759AC">
        <w:rPr>
          <w:rFonts w:ascii="Times New Roman" w:hAnsi="Times New Roman" w:cs="Times New Roman"/>
          <w:b/>
          <w:sz w:val="24"/>
          <w:szCs w:val="24"/>
        </w:rPr>
        <w:t xml:space="preserve"> (PR2</w:t>
      </w:r>
      <w:r w:rsidR="003D53E5" w:rsidRPr="006759AC">
        <w:rPr>
          <w:rFonts w:ascii="Times New Roman" w:hAnsi="Times New Roman" w:cs="Times New Roman"/>
          <w:b/>
          <w:sz w:val="24"/>
          <w:szCs w:val="24"/>
        </w:rPr>
        <w:t>, PR5, 11)</w:t>
      </w:r>
      <w:r w:rsidRPr="006759AC">
        <w:rPr>
          <w:rFonts w:ascii="Times New Roman" w:hAnsi="Times New Roman" w:cs="Times New Roman"/>
          <w:sz w:val="24"/>
          <w:szCs w:val="24"/>
        </w:rPr>
        <w:t xml:space="preserve">. </w:t>
      </w:r>
      <w:r w:rsidR="00A861B9" w:rsidRPr="006759AC">
        <w:rPr>
          <w:rFonts w:ascii="Times New Roman" w:hAnsi="Times New Roman" w:cs="Times New Roman"/>
          <w:sz w:val="24"/>
          <w:szCs w:val="24"/>
        </w:rPr>
        <w:t>For instance, r</w:t>
      </w:r>
      <w:r w:rsidRPr="006759AC">
        <w:rPr>
          <w:rFonts w:ascii="Times New Roman" w:hAnsi="Times New Roman" w:cs="Times New Roman"/>
          <w:sz w:val="24"/>
          <w:szCs w:val="24"/>
        </w:rPr>
        <w:t xml:space="preserve">espondents at the umbrella Private Sector Foundation were of the view that while the </w:t>
      </w:r>
      <w:r w:rsidR="009A2561" w:rsidRPr="006759AC">
        <w:rPr>
          <w:rFonts w:ascii="Times New Roman" w:hAnsi="Times New Roman" w:cs="Times New Roman"/>
          <w:sz w:val="24"/>
          <w:szCs w:val="24"/>
        </w:rPr>
        <w:t>Government</w:t>
      </w:r>
      <w:r w:rsidRPr="006759AC">
        <w:rPr>
          <w:rFonts w:ascii="Times New Roman" w:hAnsi="Times New Roman" w:cs="Times New Roman"/>
          <w:sz w:val="24"/>
          <w:szCs w:val="24"/>
        </w:rPr>
        <w:t xml:space="preserve"> has been forthcoming on some issues, it needs to be more consistent in its positions. For example, while</w:t>
      </w:r>
      <w:r w:rsidR="004603FC" w:rsidRPr="006759AC">
        <w:rPr>
          <w:rFonts w:ascii="Times New Roman" w:hAnsi="Times New Roman" w:cs="Times New Roman"/>
          <w:sz w:val="24"/>
          <w:szCs w:val="24"/>
        </w:rPr>
        <w:t xml:space="preserve"> Public-Private Partnerships</w:t>
      </w:r>
      <w:r w:rsidRPr="006759AC">
        <w:rPr>
          <w:rFonts w:ascii="Times New Roman" w:hAnsi="Times New Roman" w:cs="Times New Roman"/>
          <w:sz w:val="24"/>
          <w:szCs w:val="24"/>
        </w:rPr>
        <w:t xml:space="preserve"> </w:t>
      </w:r>
      <w:r w:rsidR="004603FC" w:rsidRPr="006759AC">
        <w:rPr>
          <w:rFonts w:ascii="Times New Roman" w:hAnsi="Times New Roman" w:cs="Times New Roman"/>
          <w:sz w:val="24"/>
          <w:szCs w:val="24"/>
        </w:rPr>
        <w:t>(</w:t>
      </w:r>
      <w:r w:rsidRPr="006759AC">
        <w:rPr>
          <w:rFonts w:ascii="Times New Roman" w:hAnsi="Times New Roman" w:cs="Times New Roman"/>
          <w:sz w:val="24"/>
          <w:szCs w:val="24"/>
        </w:rPr>
        <w:t>PPPs</w:t>
      </w:r>
      <w:r w:rsidR="004603FC" w:rsidRPr="006759AC">
        <w:rPr>
          <w:rFonts w:ascii="Times New Roman" w:hAnsi="Times New Roman" w:cs="Times New Roman"/>
          <w:sz w:val="24"/>
          <w:szCs w:val="24"/>
        </w:rPr>
        <w:t>)</w:t>
      </w:r>
      <w:r w:rsidRPr="006759AC">
        <w:rPr>
          <w:rFonts w:ascii="Times New Roman" w:hAnsi="Times New Roman" w:cs="Times New Roman"/>
          <w:sz w:val="24"/>
          <w:szCs w:val="24"/>
        </w:rPr>
        <w:t xml:space="preserve"> were expected to play a key role in financing the NDPII, the modalities for doing so, on a large scale, have not been crafted and hence not much has been achieved to date. </w:t>
      </w:r>
      <w:r w:rsidR="00E35978" w:rsidRPr="006759AC">
        <w:rPr>
          <w:rFonts w:ascii="Times New Roman" w:hAnsi="Times New Roman" w:cs="Times New Roman"/>
          <w:sz w:val="24"/>
          <w:szCs w:val="24"/>
        </w:rPr>
        <w:t xml:space="preserve">Equally, many noted that non-state actors have, to date, not </w:t>
      </w:r>
      <w:r w:rsidR="00875C4D" w:rsidRPr="006759AC">
        <w:rPr>
          <w:rFonts w:ascii="Times New Roman" w:hAnsi="Times New Roman" w:cs="Times New Roman"/>
          <w:sz w:val="24"/>
          <w:szCs w:val="24"/>
        </w:rPr>
        <w:t>played a meaningful role in supporting the delivery of NDPII</w:t>
      </w:r>
      <w:r w:rsidR="00771FF4" w:rsidRPr="006759AC">
        <w:rPr>
          <w:rFonts w:ascii="Times New Roman" w:hAnsi="Times New Roman" w:cs="Times New Roman"/>
          <w:sz w:val="24"/>
          <w:szCs w:val="24"/>
        </w:rPr>
        <w:t>. Uganda is currently ranked 31</w:t>
      </w:r>
      <w:r w:rsidR="007249AF" w:rsidRPr="006759AC">
        <w:rPr>
          <w:rFonts w:ascii="Times New Roman" w:hAnsi="Times New Roman" w:cs="Times New Roman"/>
          <w:sz w:val="24"/>
          <w:szCs w:val="24"/>
        </w:rPr>
        <w:t xml:space="preserve"> out of 100 countries for voice and accountability – the perceived extent to which a country’s citizens are able to participate in selecting their </w:t>
      </w:r>
      <w:r w:rsidR="009A2561" w:rsidRPr="006759AC">
        <w:rPr>
          <w:rFonts w:ascii="Times New Roman" w:hAnsi="Times New Roman" w:cs="Times New Roman"/>
          <w:sz w:val="24"/>
          <w:szCs w:val="24"/>
        </w:rPr>
        <w:t>Government</w:t>
      </w:r>
      <w:r w:rsidR="007249AF" w:rsidRPr="006759AC">
        <w:rPr>
          <w:rFonts w:ascii="Times New Roman" w:hAnsi="Times New Roman" w:cs="Times New Roman"/>
          <w:sz w:val="24"/>
          <w:szCs w:val="24"/>
        </w:rPr>
        <w:t xml:space="preserve"> and </w:t>
      </w:r>
      <w:r w:rsidR="00B34C17" w:rsidRPr="006759AC">
        <w:rPr>
          <w:rFonts w:ascii="Times New Roman" w:hAnsi="Times New Roman" w:cs="Times New Roman"/>
          <w:sz w:val="24"/>
          <w:szCs w:val="24"/>
        </w:rPr>
        <w:t>in freedom of expression and association</w:t>
      </w:r>
      <w:r w:rsidR="00875C4D" w:rsidRPr="006759AC">
        <w:rPr>
          <w:rFonts w:ascii="Times New Roman" w:hAnsi="Times New Roman" w:cs="Times New Roman"/>
          <w:sz w:val="24"/>
          <w:szCs w:val="24"/>
        </w:rPr>
        <w:t xml:space="preserve">. </w:t>
      </w:r>
      <w:r w:rsidR="00B34C17" w:rsidRPr="006759AC">
        <w:rPr>
          <w:rFonts w:ascii="Times New Roman" w:hAnsi="Times New Roman" w:cs="Times New Roman"/>
          <w:sz w:val="24"/>
          <w:szCs w:val="24"/>
        </w:rPr>
        <w:t>Whilst this index has improved over the MTR period, Uganda scored -0.5</w:t>
      </w:r>
      <w:r w:rsidR="000B347C" w:rsidRPr="006759AC">
        <w:rPr>
          <w:rFonts w:ascii="Times New Roman" w:hAnsi="Times New Roman" w:cs="Times New Roman"/>
          <w:sz w:val="24"/>
          <w:szCs w:val="24"/>
        </w:rPr>
        <w:t>7 in 2015, -0.65 in 2016 and -0.59 in 2017, much more c</w:t>
      </w:r>
      <w:r w:rsidR="00151FFB" w:rsidRPr="006759AC">
        <w:rPr>
          <w:rFonts w:ascii="Times New Roman" w:hAnsi="Times New Roman" w:cs="Times New Roman"/>
          <w:sz w:val="24"/>
          <w:szCs w:val="24"/>
        </w:rPr>
        <w:t>an</w:t>
      </w:r>
      <w:r w:rsidR="000B347C" w:rsidRPr="006759AC">
        <w:rPr>
          <w:rFonts w:ascii="Times New Roman" w:hAnsi="Times New Roman" w:cs="Times New Roman"/>
          <w:sz w:val="24"/>
          <w:szCs w:val="24"/>
        </w:rPr>
        <w:t xml:space="preserve"> be done</w:t>
      </w:r>
      <w:r w:rsidR="000B347C" w:rsidRPr="006759AC">
        <w:rPr>
          <w:rStyle w:val="FootnoteReference"/>
          <w:rFonts w:ascii="Times New Roman" w:hAnsi="Times New Roman" w:cs="Times New Roman"/>
          <w:sz w:val="24"/>
          <w:szCs w:val="24"/>
        </w:rPr>
        <w:footnoteReference w:id="3"/>
      </w:r>
      <w:r w:rsidR="00151FFB" w:rsidRPr="006759AC">
        <w:rPr>
          <w:rFonts w:ascii="Times New Roman" w:hAnsi="Times New Roman" w:cs="Times New Roman"/>
          <w:sz w:val="24"/>
          <w:szCs w:val="24"/>
        </w:rPr>
        <w:t xml:space="preserve"> (World Bank, 2017)</w:t>
      </w:r>
      <w:r w:rsidR="000B347C" w:rsidRPr="006759AC">
        <w:rPr>
          <w:rFonts w:ascii="Times New Roman" w:hAnsi="Times New Roman" w:cs="Times New Roman"/>
          <w:sz w:val="24"/>
          <w:szCs w:val="24"/>
        </w:rPr>
        <w:t xml:space="preserve">. </w:t>
      </w:r>
      <w:r w:rsidR="004603FC" w:rsidRPr="006759AC">
        <w:rPr>
          <w:rFonts w:ascii="Times New Roman" w:hAnsi="Times New Roman" w:cs="Times New Roman"/>
          <w:sz w:val="24"/>
          <w:szCs w:val="24"/>
        </w:rPr>
        <w:t>These two pre-requisites for successful NDPII implementation have therefore been scored as poor</w:t>
      </w:r>
      <w:r w:rsidR="00D2501E" w:rsidRPr="006759AC">
        <w:rPr>
          <w:rFonts w:ascii="Times New Roman" w:hAnsi="Times New Roman" w:cs="Times New Roman"/>
          <w:sz w:val="24"/>
          <w:szCs w:val="24"/>
        </w:rPr>
        <w:t>,</w:t>
      </w:r>
      <w:r w:rsidR="004603FC" w:rsidRPr="006759AC">
        <w:rPr>
          <w:rFonts w:ascii="Times New Roman" w:hAnsi="Times New Roman" w:cs="Times New Roman"/>
          <w:sz w:val="24"/>
          <w:szCs w:val="24"/>
        </w:rPr>
        <w:t xml:space="preserve"> and requiring improvements</w:t>
      </w:r>
      <w:r w:rsidR="00D2501E" w:rsidRPr="006759AC">
        <w:rPr>
          <w:rFonts w:ascii="Times New Roman" w:hAnsi="Times New Roman" w:cs="Times New Roman"/>
          <w:sz w:val="24"/>
          <w:szCs w:val="24"/>
        </w:rPr>
        <w:t>,</w:t>
      </w:r>
      <w:r w:rsidR="004603FC" w:rsidRPr="006759AC">
        <w:rPr>
          <w:rFonts w:ascii="Times New Roman" w:hAnsi="Times New Roman" w:cs="Times New Roman"/>
          <w:sz w:val="24"/>
          <w:szCs w:val="24"/>
        </w:rPr>
        <w:t xml:space="preserve"> for the remaining years of NDPII and future plans. </w:t>
      </w:r>
    </w:p>
    <w:p w14:paraId="17DB6063" w14:textId="5788C01E" w:rsidR="00DD1C72" w:rsidRPr="006759AC" w:rsidRDefault="000F0D2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b/>
          <w:sz w:val="24"/>
          <w:szCs w:val="24"/>
        </w:rPr>
        <w:lastRenderedPageBreak/>
        <w:t xml:space="preserve">NDPII identifies a series of governance related </w:t>
      </w:r>
      <w:r w:rsidR="00680223" w:rsidRPr="006759AC">
        <w:rPr>
          <w:rFonts w:ascii="Times New Roman" w:hAnsi="Times New Roman" w:cs="Times New Roman"/>
          <w:b/>
          <w:sz w:val="24"/>
          <w:szCs w:val="24"/>
        </w:rPr>
        <w:t>matters which must be in place for effective delivery of NDPII</w:t>
      </w:r>
      <w:r w:rsidR="00671DF9" w:rsidRPr="006759AC">
        <w:rPr>
          <w:rFonts w:ascii="Times New Roman" w:hAnsi="Times New Roman" w:cs="Times New Roman"/>
          <w:b/>
          <w:sz w:val="24"/>
          <w:szCs w:val="24"/>
        </w:rPr>
        <w:t xml:space="preserve"> (pre-requisites 1-</w:t>
      </w:r>
      <w:r w:rsidR="005A1DFF" w:rsidRPr="006759AC">
        <w:rPr>
          <w:rFonts w:ascii="Times New Roman" w:hAnsi="Times New Roman" w:cs="Times New Roman"/>
          <w:b/>
          <w:sz w:val="24"/>
          <w:szCs w:val="24"/>
        </w:rPr>
        <w:t xml:space="preserve">4, 6-10 </w:t>
      </w:r>
      <w:r w:rsidR="00055F54" w:rsidRPr="006759AC">
        <w:rPr>
          <w:rFonts w:ascii="Times New Roman" w:hAnsi="Times New Roman" w:cs="Times New Roman"/>
          <w:b/>
          <w:sz w:val="24"/>
          <w:szCs w:val="24"/>
        </w:rPr>
        <w:t>above</w:t>
      </w:r>
      <w:r w:rsidR="005A1DFF" w:rsidRPr="006759AC">
        <w:rPr>
          <w:rFonts w:ascii="Times New Roman" w:hAnsi="Times New Roman" w:cs="Times New Roman"/>
          <w:b/>
          <w:sz w:val="24"/>
          <w:szCs w:val="24"/>
        </w:rPr>
        <w:t>)</w:t>
      </w:r>
      <w:r w:rsidR="00680223" w:rsidRPr="006759AC">
        <w:rPr>
          <w:rFonts w:ascii="Times New Roman" w:hAnsi="Times New Roman" w:cs="Times New Roman"/>
          <w:b/>
          <w:sz w:val="24"/>
          <w:szCs w:val="24"/>
        </w:rPr>
        <w:t>.</w:t>
      </w:r>
      <w:r w:rsidR="00680223" w:rsidRPr="006759AC">
        <w:rPr>
          <w:rFonts w:ascii="Times New Roman" w:hAnsi="Times New Roman" w:cs="Times New Roman"/>
          <w:sz w:val="24"/>
          <w:szCs w:val="24"/>
        </w:rPr>
        <w:t xml:space="preserve"> </w:t>
      </w:r>
      <w:r w:rsidR="00D73164" w:rsidRPr="006759AC">
        <w:rPr>
          <w:rFonts w:ascii="Times New Roman" w:hAnsi="Times New Roman" w:cs="Times New Roman"/>
          <w:b/>
          <w:sz w:val="24"/>
          <w:szCs w:val="24"/>
        </w:rPr>
        <w:t>Governance, as a pre-requisite, needs to be strengthened.</w:t>
      </w:r>
      <w:r w:rsidR="00D73164" w:rsidRPr="006759AC">
        <w:rPr>
          <w:rFonts w:ascii="Times New Roman" w:hAnsi="Times New Roman" w:cs="Times New Roman"/>
          <w:sz w:val="24"/>
          <w:szCs w:val="24"/>
        </w:rPr>
        <w:t xml:space="preserve"> </w:t>
      </w:r>
      <w:r w:rsidR="005911F9" w:rsidRPr="006759AC">
        <w:rPr>
          <w:rFonts w:ascii="Times New Roman" w:hAnsi="Times New Roman" w:cs="Times New Roman"/>
          <w:sz w:val="24"/>
          <w:szCs w:val="24"/>
        </w:rPr>
        <w:t>Governance issues noted in NDPII i</w:t>
      </w:r>
      <w:r w:rsidR="00680223" w:rsidRPr="006759AC">
        <w:rPr>
          <w:rFonts w:ascii="Times New Roman" w:hAnsi="Times New Roman" w:cs="Times New Roman"/>
          <w:sz w:val="24"/>
          <w:szCs w:val="24"/>
        </w:rPr>
        <w:t>nclude political wil</w:t>
      </w:r>
      <w:r w:rsidR="00671DF9" w:rsidRPr="006759AC">
        <w:rPr>
          <w:rFonts w:ascii="Times New Roman" w:hAnsi="Times New Roman" w:cs="Times New Roman"/>
          <w:sz w:val="24"/>
          <w:szCs w:val="24"/>
        </w:rPr>
        <w:t>l, ownership</w:t>
      </w:r>
      <w:r w:rsidR="005A1DFF" w:rsidRPr="006759AC">
        <w:rPr>
          <w:rFonts w:ascii="Times New Roman" w:hAnsi="Times New Roman" w:cs="Times New Roman"/>
          <w:sz w:val="24"/>
          <w:szCs w:val="24"/>
        </w:rPr>
        <w:t>, the effective use of M&amp;E and information for decision-making</w:t>
      </w:r>
      <w:r w:rsidR="00203185" w:rsidRPr="006759AC">
        <w:rPr>
          <w:rFonts w:ascii="Times New Roman" w:hAnsi="Times New Roman" w:cs="Times New Roman"/>
          <w:sz w:val="24"/>
          <w:szCs w:val="24"/>
        </w:rPr>
        <w:t xml:space="preserve">, reduced corruption and effective and efficient resource mobilisation and utilisation. </w:t>
      </w:r>
      <w:r w:rsidR="00E72502" w:rsidRPr="006759AC">
        <w:rPr>
          <w:rFonts w:ascii="Times New Roman" w:hAnsi="Times New Roman" w:cs="Times New Roman"/>
          <w:sz w:val="24"/>
          <w:szCs w:val="24"/>
        </w:rPr>
        <w:t xml:space="preserve">In relation to political will, commitment at all levels and ownership of the plan, </w:t>
      </w:r>
      <w:r w:rsidR="008F4F64" w:rsidRPr="006759AC">
        <w:rPr>
          <w:rFonts w:ascii="Times New Roman" w:hAnsi="Times New Roman" w:cs="Times New Roman"/>
          <w:sz w:val="24"/>
          <w:szCs w:val="24"/>
        </w:rPr>
        <w:t xml:space="preserve">respondents in various ministries noted a passing familiarity with issues and solutions contained in NDPII. </w:t>
      </w:r>
      <w:r w:rsidR="006B7201" w:rsidRPr="006759AC">
        <w:rPr>
          <w:rFonts w:ascii="Times New Roman" w:hAnsi="Times New Roman" w:cs="Times New Roman"/>
          <w:sz w:val="24"/>
          <w:szCs w:val="24"/>
        </w:rPr>
        <w:t xml:space="preserve">Some remarked that aligning, and changing their practices, to NDPII would have little impact on their day-to-day work and so wondered why they should. </w:t>
      </w:r>
      <w:r w:rsidR="00D85026" w:rsidRPr="006759AC">
        <w:rPr>
          <w:rFonts w:ascii="Times New Roman" w:hAnsi="Times New Roman" w:cs="Times New Roman"/>
          <w:sz w:val="24"/>
          <w:szCs w:val="24"/>
        </w:rPr>
        <w:t>This illustrates, that ownership and commitment to the NDPII needs to be strengthened</w:t>
      </w:r>
      <w:r w:rsidR="00080BA9" w:rsidRPr="006759AC">
        <w:rPr>
          <w:rFonts w:ascii="Times New Roman" w:hAnsi="Times New Roman" w:cs="Times New Roman"/>
          <w:sz w:val="24"/>
          <w:szCs w:val="24"/>
        </w:rPr>
        <w:t xml:space="preserve"> and is, at present, quite poor. It is noted however that </w:t>
      </w:r>
      <w:r w:rsidR="005C6944" w:rsidRPr="006759AC">
        <w:rPr>
          <w:rFonts w:ascii="Times New Roman" w:hAnsi="Times New Roman" w:cs="Times New Roman"/>
          <w:sz w:val="24"/>
          <w:szCs w:val="24"/>
        </w:rPr>
        <w:t>understanding and ownership of NDPII is better than NDPI.</w:t>
      </w:r>
      <w:r w:rsidR="00D85026" w:rsidRPr="006759AC">
        <w:rPr>
          <w:rFonts w:ascii="Times New Roman" w:hAnsi="Times New Roman" w:cs="Times New Roman"/>
          <w:sz w:val="24"/>
          <w:szCs w:val="24"/>
        </w:rPr>
        <w:t xml:space="preserve"> An Annual NDP Monitoring Forum, convened by the Presidency to examine the Plan’s progress could be one step; </w:t>
      </w:r>
      <w:r w:rsidR="002B046E" w:rsidRPr="006759AC">
        <w:rPr>
          <w:rFonts w:ascii="Times New Roman" w:hAnsi="Times New Roman" w:cs="Times New Roman"/>
          <w:sz w:val="24"/>
          <w:szCs w:val="24"/>
        </w:rPr>
        <w:t xml:space="preserve">smaller and more focused meetings convened by the NPA with MDAs and non-state actors </w:t>
      </w:r>
      <w:r w:rsidR="00A229B1" w:rsidRPr="006759AC">
        <w:rPr>
          <w:rFonts w:ascii="Times New Roman" w:hAnsi="Times New Roman" w:cs="Times New Roman"/>
          <w:sz w:val="24"/>
          <w:szCs w:val="24"/>
        </w:rPr>
        <w:t xml:space="preserve">would help ensure that the necessary </w:t>
      </w:r>
      <w:r w:rsidR="00274185" w:rsidRPr="006759AC">
        <w:rPr>
          <w:rFonts w:ascii="Times New Roman" w:hAnsi="Times New Roman" w:cs="Times New Roman"/>
          <w:sz w:val="24"/>
          <w:szCs w:val="24"/>
        </w:rPr>
        <w:t xml:space="preserve">governance-related </w:t>
      </w:r>
      <w:r w:rsidR="00A229B1" w:rsidRPr="006759AC">
        <w:rPr>
          <w:rFonts w:ascii="Times New Roman" w:hAnsi="Times New Roman" w:cs="Times New Roman"/>
          <w:sz w:val="24"/>
          <w:szCs w:val="24"/>
        </w:rPr>
        <w:t>pre-conditions are in place</w:t>
      </w:r>
      <w:r w:rsidR="00274185" w:rsidRPr="006759AC">
        <w:rPr>
          <w:rFonts w:ascii="Times New Roman" w:hAnsi="Times New Roman" w:cs="Times New Roman"/>
          <w:sz w:val="24"/>
          <w:szCs w:val="24"/>
        </w:rPr>
        <w:t xml:space="preserve"> and/or are being addressed.</w:t>
      </w:r>
      <w:r w:rsidR="00A229B1" w:rsidRPr="006759AC">
        <w:rPr>
          <w:rFonts w:ascii="Times New Roman" w:hAnsi="Times New Roman" w:cs="Times New Roman"/>
          <w:sz w:val="24"/>
          <w:szCs w:val="24"/>
        </w:rPr>
        <w:t xml:space="preserve"> </w:t>
      </w:r>
      <w:r w:rsidR="005C6944" w:rsidRPr="006759AC">
        <w:rPr>
          <w:rFonts w:ascii="Times New Roman" w:hAnsi="Times New Roman" w:cs="Times New Roman"/>
          <w:sz w:val="24"/>
          <w:szCs w:val="24"/>
        </w:rPr>
        <w:t>Traction with the bureaucracy and the public on NDPII needs to be constant.</w:t>
      </w:r>
    </w:p>
    <w:p w14:paraId="41B20F52" w14:textId="22F5F92F" w:rsidR="004331E4" w:rsidRPr="006759AC" w:rsidRDefault="00292A24"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b/>
          <w:sz w:val="24"/>
          <w:szCs w:val="24"/>
        </w:rPr>
        <w:t xml:space="preserve">In relation to </w:t>
      </w:r>
      <w:r w:rsidR="00883660" w:rsidRPr="006759AC">
        <w:rPr>
          <w:rFonts w:ascii="Times New Roman" w:hAnsi="Times New Roman" w:cs="Times New Roman"/>
          <w:b/>
          <w:sz w:val="24"/>
          <w:szCs w:val="24"/>
        </w:rPr>
        <w:t>en</w:t>
      </w:r>
      <w:r w:rsidR="00495AB4" w:rsidRPr="006759AC">
        <w:rPr>
          <w:rFonts w:ascii="Times New Roman" w:hAnsi="Times New Roman" w:cs="Times New Roman"/>
          <w:b/>
          <w:sz w:val="24"/>
          <w:szCs w:val="24"/>
        </w:rPr>
        <w:t xml:space="preserve">suring that NDPII has an </w:t>
      </w:r>
      <w:r w:rsidR="00421F96" w:rsidRPr="006759AC">
        <w:rPr>
          <w:rFonts w:ascii="Times New Roman" w:hAnsi="Times New Roman" w:cs="Times New Roman"/>
          <w:b/>
          <w:sz w:val="24"/>
          <w:szCs w:val="24"/>
        </w:rPr>
        <w:t>“</w:t>
      </w:r>
      <w:r w:rsidR="00495AB4" w:rsidRPr="006759AC">
        <w:rPr>
          <w:rFonts w:ascii="Times New Roman" w:hAnsi="Times New Roman" w:cs="Times New Roman"/>
          <w:b/>
          <w:sz w:val="24"/>
          <w:szCs w:val="24"/>
        </w:rPr>
        <w:t>integrated M&amp;E system</w:t>
      </w:r>
      <w:r w:rsidR="00035B00" w:rsidRPr="006759AC">
        <w:rPr>
          <w:rFonts w:ascii="Times New Roman" w:hAnsi="Times New Roman" w:cs="Times New Roman"/>
          <w:b/>
          <w:sz w:val="24"/>
          <w:szCs w:val="24"/>
        </w:rPr>
        <w:t xml:space="preserve">, carries out effective M&amp;E to support implementation and </w:t>
      </w:r>
      <w:r w:rsidR="003F74C2" w:rsidRPr="006759AC">
        <w:rPr>
          <w:rFonts w:ascii="Times New Roman" w:hAnsi="Times New Roman" w:cs="Times New Roman"/>
          <w:b/>
          <w:sz w:val="24"/>
          <w:szCs w:val="24"/>
        </w:rPr>
        <w:t xml:space="preserve">uses </w:t>
      </w:r>
      <w:r w:rsidR="00CB1C96" w:rsidRPr="006759AC">
        <w:rPr>
          <w:rFonts w:ascii="Times New Roman" w:hAnsi="Times New Roman" w:cs="Times New Roman"/>
          <w:b/>
          <w:sz w:val="24"/>
          <w:szCs w:val="24"/>
        </w:rPr>
        <w:t>information for decision-making</w:t>
      </w:r>
      <w:r w:rsidR="00421F96" w:rsidRPr="006759AC">
        <w:rPr>
          <w:rFonts w:ascii="Times New Roman" w:hAnsi="Times New Roman" w:cs="Times New Roman"/>
          <w:b/>
          <w:sz w:val="24"/>
          <w:szCs w:val="24"/>
        </w:rPr>
        <w:t>”</w:t>
      </w:r>
      <w:r w:rsidR="00CB1C96" w:rsidRPr="006759AC">
        <w:rPr>
          <w:rFonts w:ascii="Times New Roman" w:hAnsi="Times New Roman" w:cs="Times New Roman"/>
          <w:b/>
          <w:sz w:val="24"/>
          <w:szCs w:val="24"/>
        </w:rPr>
        <w:t xml:space="preserve">, progress has been mixed. </w:t>
      </w:r>
      <w:r w:rsidR="00CB1C96" w:rsidRPr="006759AC">
        <w:rPr>
          <w:rFonts w:ascii="Times New Roman" w:hAnsi="Times New Roman" w:cs="Times New Roman"/>
          <w:sz w:val="24"/>
          <w:szCs w:val="24"/>
        </w:rPr>
        <w:t xml:space="preserve">NDPII has a comprehensive results framework and a detailed </w:t>
      </w:r>
      <w:r w:rsidR="009C5EBE" w:rsidRPr="006759AC">
        <w:rPr>
          <w:rFonts w:ascii="Times New Roman" w:hAnsi="Times New Roman" w:cs="Times New Roman"/>
          <w:sz w:val="24"/>
          <w:szCs w:val="24"/>
        </w:rPr>
        <w:t>Implementation Strategy</w:t>
      </w:r>
      <w:r w:rsidR="00CB1C96" w:rsidRPr="006759AC">
        <w:rPr>
          <w:rFonts w:ascii="Times New Roman" w:hAnsi="Times New Roman" w:cs="Times New Roman"/>
          <w:sz w:val="24"/>
          <w:szCs w:val="24"/>
        </w:rPr>
        <w:t xml:space="preserve">. This is distinct improvement on NDPI. </w:t>
      </w:r>
      <w:r w:rsidR="004003F0" w:rsidRPr="006759AC">
        <w:rPr>
          <w:rFonts w:ascii="Times New Roman" w:hAnsi="Times New Roman" w:cs="Times New Roman"/>
          <w:sz w:val="24"/>
          <w:szCs w:val="24"/>
        </w:rPr>
        <w:t xml:space="preserve">However, as noted in NDPII “the culture of evaluation, accountability and of evidence-based management is still relatively week and not yet well-established and widespread”. </w:t>
      </w:r>
      <w:r w:rsidR="0081544D" w:rsidRPr="006759AC">
        <w:rPr>
          <w:rFonts w:ascii="Times New Roman" w:hAnsi="Times New Roman" w:cs="Times New Roman"/>
          <w:sz w:val="24"/>
          <w:szCs w:val="24"/>
        </w:rPr>
        <w:t xml:space="preserve">There is </w:t>
      </w:r>
      <w:r w:rsidR="00C71777" w:rsidRPr="006759AC">
        <w:rPr>
          <w:rFonts w:ascii="Times New Roman" w:hAnsi="Times New Roman" w:cs="Times New Roman"/>
          <w:sz w:val="24"/>
          <w:szCs w:val="24"/>
        </w:rPr>
        <w:t xml:space="preserve">also a </w:t>
      </w:r>
      <w:r w:rsidR="0081544D" w:rsidRPr="006759AC">
        <w:rPr>
          <w:rFonts w:ascii="Times New Roman" w:hAnsi="Times New Roman" w:cs="Times New Roman"/>
          <w:sz w:val="24"/>
          <w:szCs w:val="24"/>
        </w:rPr>
        <w:t>lack of baseline information for most indicators, mismatch between the time of release of survey data and NDP reporting requirements</w:t>
      </w:r>
      <w:r w:rsidR="000C1906" w:rsidRPr="006759AC">
        <w:rPr>
          <w:rFonts w:ascii="Times New Roman" w:hAnsi="Times New Roman" w:cs="Times New Roman"/>
          <w:sz w:val="24"/>
          <w:szCs w:val="24"/>
        </w:rPr>
        <w:t xml:space="preserve">, lack of MIS for the collection, storage and retrieval of data in most MDAs and local </w:t>
      </w:r>
      <w:r w:rsidR="009A2561" w:rsidRPr="006759AC">
        <w:rPr>
          <w:rFonts w:ascii="Times New Roman" w:hAnsi="Times New Roman" w:cs="Times New Roman"/>
          <w:sz w:val="24"/>
          <w:szCs w:val="24"/>
        </w:rPr>
        <w:t>Government</w:t>
      </w:r>
      <w:r w:rsidR="000C1906" w:rsidRPr="006759AC">
        <w:rPr>
          <w:rFonts w:ascii="Times New Roman" w:hAnsi="Times New Roman" w:cs="Times New Roman"/>
          <w:sz w:val="24"/>
          <w:szCs w:val="24"/>
        </w:rPr>
        <w:t xml:space="preserve">s and weak use of M&amp;E findings in decision-making. </w:t>
      </w:r>
      <w:r w:rsidR="00C71777" w:rsidRPr="006759AC">
        <w:rPr>
          <w:rFonts w:ascii="Times New Roman" w:hAnsi="Times New Roman" w:cs="Times New Roman"/>
          <w:sz w:val="24"/>
          <w:szCs w:val="24"/>
        </w:rPr>
        <w:t xml:space="preserve">Considering this information, the status of M&amp;E and the availability of information to inform decision-making, is ranked poor at the time of the MTR. </w:t>
      </w:r>
      <w:r w:rsidR="00BE3E00" w:rsidRPr="006759AC">
        <w:rPr>
          <w:rFonts w:ascii="Times New Roman" w:hAnsi="Times New Roman" w:cs="Times New Roman"/>
          <w:sz w:val="24"/>
          <w:szCs w:val="24"/>
        </w:rPr>
        <w:t xml:space="preserve">Improvements to these pre-conditions is needed in the remaining time of NDPII and </w:t>
      </w:r>
      <w:r w:rsidR="00D952BF" w:rsidRPr="006759AC">
        <w:rPr>
          <w:rFonts w:ascii="Times New Roman" w:hAnsi="Times New Roman" w:cs="Times New Roman"/>
          <w:sz w:val="24"/>
          <w:szCs w:val="24"/>
        </w:rPr>
        <w:t>for future NDP plans. Recommendations for focus in this regard include: ensuring roles and responsibilities across MDAs in relation to M&amp;E is clear</w:t>
      </w:r>
      <w:r w:rsidR="00FE3116" w:rsidRPr="006759AC">
        <w:rPr>
          <w:rFonts w:ascii="Times New Roman" w:hAnsi="Times New Roman" w:cs="Times New Roman"/>
          <w:sz w:val="24"/>
          <w:szCs w:val="24"/>
        </w:rPr>
        <w:t>,</w:t>
      </w:r>
      <w:r w:rsidR="00E775DB" w:rsidRPr="006759AC">
        <w:rPr>
          <w:rFonts w:ascii="Times New Roman" w:hAnsi="Times New Roman" w:cs="Times New Roman"/>
          <w:sz w:val="24"/>
          <w:szCs w:val="24"/>
        </w:rPr>
        <w:t xml:space="preserve"> improving the availability and timeliness of information to inform decision-making e.g. budget allocations</w:t>
      </w:r>
      <w:r w:rsidR="00FE3116" w:rsidRPr="006759AC">
        <w:rPr>
          <w:rFonts w:ascii="Times New Roman" w:hAnsi="Times New Roman" w:cs="Times New Roman"/>
          <w:sz w:val="24"/>
          <w:szCs w:val="24"/>
        </w:rPr>
        <w:t xml:space="preserve">, and enhancing a performance-based culture within the public sector. </w:t>
      </w:r>
    </w:p>
    <w:p w14:paraId="328DBA8E" w14:textId="6C4AF8B1" w:rsidR="00DB5972" w:rsidRPr="006759AC" w:rsidRDefault="00FE3116"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b/>
          <w:sz w:val="24"/>
          <w:szCs w:val="24"/>
        </w:rPr>
        <w:lastRenderedPageBreak/>
        <w:t xml:space="preserve">Two further pre-conditions refer to the need to </w:t>
      </w:r>
      <w:r w:rsidR="00DB5972" w:rsidRPr="006759AC">
        <w:rPr>
          <w:rFonts w:ascii="Times New Roman" w:hAnsi="Times New Roman" w:cs="Times New Roman"/>
          <w:b/>
          <w:sz w:val="24"/>
          <w:szCs w:val="24"/>
        </w:rPr>
        <w:t>reduce corruption and ensure that resources are mobilised and utilised in an effective and efficient manner. Improvements are needed in both pre-</w:t>
      </w:r>
      <w:r w:rsidR="00ED112C" w:rsidRPr="006759AC">
        <w:rPr>
          <w:rFonts w:ascii="Times New Roman" w:hAnsi="Times New Roman" w:cs="Times New Roman"/>
          <w:b/>
          <w:sz w:val="24"/>
          <w:szCs w:val="24"/>
        </w:rPr>
        <w:t>conditions.</w:t>
      </w:r>
      <w:r w:rsidR="00DB5972" w:rsidRPr="006759AC">
        <w:rPr>
          <w:rFonts w:ascii="Times New Roman" w:hAnsi="Times New Roman" w:cs="Times New Roman"/>
          <w:sz w:val="24"/>
          <w:szCs w:val="24"/>
        </w:rPr>
        <w:t xml:space="preserve"> Uganda’s control of corruption score for 2017 was -1.04 (where -2.5 is weak and 2.5 is strong)</w:t>
      </w:r>
      <w:r w:rsidR="00ED112C" w:rsidRPr="006759AC">
        <w:rPr>
          <w:rFonts w:ascii="Times New Roman" w:hAnsi="Times New Roman" w:cs="Times New Roman"/>
          <w:sz w:val="24"/>
          <w:szCs w:val="24"/>
        </w:rPr>
        <w:t xml:space="preserve">; </w:t>
      </w:r>
      <w:r w:rsidR="00DB5972" w:rsidRPr="006759AC">
        <w:rPr>
          <w:rFonts w:ascii="Times New Roman" w:hAnsi="Times New Roman" w:cs="Times New Roman"/>
          <w:sz w:val="24"/>
          <w:szCs w:val="24"/>
        </w:rPr>
        <w:t xml:space="preserve">the average score of the NDPII </w:t>
      </w:r>
      <w:r w:rsidR="00ED112C" w:rsidRPr="006759AC">
        <w:rPr>
          <w:rFonts w:ascii="Times New Roman" w:hAnsi="Times New Roman" w:cs="Times New Roman"/>
          <w:sz w:val="24"/>
          <w:szCs w:val="24"/>
        </w:rPr>
        <w:t>MTR</w:t>
      </w:r>
      <w:r w:rsidR="00DB5972" w:rsidRPr="006759AC">
        <w:rPr>
          <w:rFonts w:ascii="Times New Roman" w:hAnsi="Times New Roman" w:cs="Times New Roman"/>
          <w:sz w:val="24"/>
          <w:szCs w:val="24"/>
        </w:rPr>
        <w:t xml:space="preserve"> period is -1.05. This score is weaker than the score over the NDPI period (-0.99). Uganda’s ranking in its control of corruption has however improved slightly over the NDPII period. In 2014 Uganda had a percentile ranking of 12.98% among all countries (where 0 is lowest and 100 is highest rank); in 2017 this was 13.94%.</w:t>
      </w:r>
      <w:r w:rsidR="004A441B" w:rsidRPr="006759AC">
        <w:rPr>
          <w:rFonts w:ascii="Times New Roman" w:hAnsi="Times New Roman" w:cs="Times New Roman"/>
          <w:sz w:val="24"/>
          <w:szCs w:val="24"/>
        </w:rPr>
        <w:t xml:space="preserve"> More needs to be done to progressive</w:t>
      </w:r>
      <w:r w:rsidR="00D57C78" w:rsidRPr="006759AC">
        <w:rPr>
          <w:rFonts w:ascii="Times New Roman" w:hAnsi="Times New Roman" w:cs="Times New Roman"/>
          <w:sz w:val="24"/>
          <w:szCs w:val="24"/>
        </w:rPr>
        <w:t xml:space="preserve">ly </w:t>
      </w:r>
      <w:r w:rsidR="004A441B" w:rsidRPr="006759AC">
        <w:rPr>
          <w:rFonts w:ascii="Times New Roman" w:hAnsi="Times New Roman" w:cs="Times New Roman"/>
          <w:sz w:val="24"/>
          <w:szCs w:val="24"/>
        </w:rPr>
        <w:t>reduce the incidence of corruption</w:t>
      </w:r>
      <w:r w:rsidR="00D57C78" w:rsidRPr="006759AC">
        <w:rPr>
          <w:rFonts w:ascii="Times New Roman" w:hAnsi="Times New Roman" w:cs="Times New Roman"/>
          <w:sz w:val="24"/>
          <w:szCs w:val="24"/>
        </w:rPr>
        <w:t xml:space="preserve"> across all sectors and levels of </w:t>
      </w:r>
      <w:r w:rsidR="009A2561" w:rsidRPr="006759AC">
        <w:rPr>
          <w:rFonts w:ascii="Times New Roman" w:hAnsi="Times New Roman" w:cs="Times New Roman"/>
          <w:sz w:val="24"/>
          <w:szCs w:val="24"/>
        </w:rPr>
        <w:t>Government</w:t>
      </w:r>
      <w:r w:rsidR="00D57C78" w:rsidRPr="006759AC">
        <w:rPr>
          <w:rFonts w:ascii="Times New Roman" w:hAnsi="Times New Roman" w:cs="Times New Roman"/>
          <w:sz w:val="24"/>
          <w:szCs w:val="24"/>
        </w:rPr>
        <w:t>s</w:t>
      </w:r>
      <w:r w:rsidR="004A441B" w:rsidRPr="006759AC">
        <w:rPr>
          <w:rFonts w:ascii="Times New Roman" w:hAnsi="Times New Roman" w:cs="Times New Roman"/>
          <w:sz w:val="24"/>
          <w:szCs w:val="24"/>
        </w:rPr>
        <w:t xml:space="preserve">. </w:t>
      </w:r>
      <w:r w:rsidR="00EE2C73" w:rsidRPr="006759AC">
        <w:rPr>
          <w:rFonts w:ascii="Times New Roman" w:hAnsi="Times New Roman" w:cs="Times New Roman"/>
          <w:sz w:val="24"/>
          <w:szCs w:val="24"/>
        </w:rPr>
        <w:t xml:space="preserve">Actions that the </w:t>
      </w:r>
      <w:r w:rsidR="009A2561" w:rsidRPr="006759AC">
        <w:rPr>
          <w:rFonts w:ascii="Times New Roman" w:hAnsi="Times New Roman" w:cs="Times New Roman"/>
          <w:sz w:val="24"/>
          <w:szCs w:val="24"/>
        </w:rPr>
        <w:t>Government</w:t>
      </w:r>
      <w:r w:rsidR="00EE2C73" w:rsidRPr="006759AC">
        <w:rPr>
          <w:rFonts w:ascii="Times New Roman" w:hAnsi="Times New Roman" w:cs="Times New Roman"/>
          <w:sz w:val="24"/>
          <w:szCs w:val="24"/>
        </w:rPr>
        <w:t xml:space="preserve"> could take in this regard include</w:t>
      </w:r>
      <w:r w:rsidR="002F0909" w:rsidRPr="006759AC">
        <w:rPr>
          <w:rFonts w:ascii="Times New Roman" w:hAnsi="Times New Roman" w:cs="Times New Roman"/>
          <w:sz w:val="24"/>
          <w:szCs w:val="24"/>
        </w:rPr>
        <w:t>:</w:t>
      </w:r>
      <w:r w:rsidR="00EE2C73" w:rsidRPr="006759AC">
        <w:rPr>
          <w:rFonts w:ascii="Times New Roman" w:hAnsi="Times New Roman" w:cs="Times New Roman"/>
          <w:sz w:val="24"/>
          <w:szCs w:val="24"/>
        </w:rPr>
        <w:t xml:space="preserve"> </w:t>
      </w:r>
      <w:r w:rsidR="00815BB0" w:rsidRPr="006759AC">
        <w:rPr>
          <w:rFonts w:ascii="Times New Roman" w:hAnsi="Times New Roman" w:cs="Times New Roman"/>
          <w:sz w:val="24"/>
          <w:szCs w:val="24"/>
        </w:rPr>
        <w:t xml:space="preserve">providing </w:t>
      </w:r>
      <w:r w:rsidR="002F0909" w:rsidRPr="006759AC">
        <w:rPr>
          <w:rFonts w:ascii="Times New Roman" w:hAnsi="Times New Roman" w:cs="Times New Roman"/>
          <w:sz w:val="24"/>
          <w:szCs w:val="24"/>
        </w:rPr>
        <w:t xml:space="preserve">sufficient funding </w:t>
      </w:r>
      <w:r w:rsidR="00815BB0" w:rsidRPr="006759AC">
        <w:rPr>
          <w:rFonts w:ascii="Times New Roman" w:hAnsi="Times New Roman" w:cs="Times New Roman"/>
          <w:sz w:val="24"/>
          <w:szCs w:val="24"/>
        </w:rPr>
        <w:t>for anti-corrup</w:t>
      </w:r>
      <w:r w:rsidR="002F0909" w:rsidRPr="006759AC">
        <w:rPr>
          <w:rFonts w:ascii="Times New Roman" w:hAnsi="Times New Roman" w:cs="Times New Roman"/>
          <w:sz w:val="24"/>
          <w:szCs w:val="24"/>
        </w:rPr>
        <w:t xml:space="preserve">tion bodies, </w:t>
      </w:r>
      <w:r w:rsidR="00863829" w:rsidRPr="006759AC">
        <w:rPr>
          <w:rFonts w:ascii="Times New Roman" w:hAnsi="Times New Roman" w:cs="Times New Roman"/>
          <w:sz w:val="24"/>
          <w:szCs w:val="24"/>
        </w:rPr>
        <w:t xml:space="preserve">particularly </w:t>
      </w:r>
      <w:r w:rsidR="002F0909" w:rsidRPr="006759AC">
        <w:rPr>
          <w:rFonts w:ascii="Times New Roman" w:hAnsi="Times New Roman" w:cs="Times New Roman"/>
          <w:sz w:val="24"/>
          <w:szCs w:val="24"/>
        </w:rPr>
        <w:t>the Auditor General</w:t>
      </w:r>
      <w:r w:rsidR="0071322C" w:rsidRPr="006759AC">
        <w:rPr>
          <w:rFonts w:ascii="Times New Roman" w:hAnsi="Times New Roman" w:cs="Times New Roman"/>
          <w:sz w:val="24"/>
          <w:szCs w:val="24"/>
        </w:rPr>
        <w:t xml:space="preserve">, Inspectorate of </w:t>
      </w:r>
      <w:r w:rsidR="009A2561" w:rsidRPr="006759AC">
        <w:rPr>
          <w:rFonts w:ascii="Times New Roman" w:hAnsi="Times New Roman" w:cs="Times New Roman"/>
          <w:sz w:val="24"/>
          <w:szCs w:val="24"/>
        </w:rPr>
        <w:t>Government</w:t>
      </w:r>
      <w:r w:rsidR="002F0909" w:rsidRPr="006759AC">
        <w:rPr>
          <w:rFonts w:ascii="Times New Roman" w:hAnsi="Times New Roman" w:cs="Times New Roman"/>
          <w:sz w:val="24"/>
          <w:szCs w:val="24"/>
        </w:rPr>
        <w:t xml:space="preserve"> and Public Accounts Committee; supporting citizen action against corru</w:t>
      </w:r>
      <w:r w:rsidR="001F3B43" w:rsidRPr="006759AC">
        <w:rPr>
          <w:rFonts w:ascii="Times New Roman" w:hAnsi="Times New Roman" w:cs="Times New Roman"/>
          <w:sz w:val="24"/>
          <w:szCs w:val="24"/>
        </w:rPr>
        <w:t>ption;</w:t>
      </w:r>
      <w:r w:rsidR="00A62729" w:rsidRPr="006759AC">
        <w:rPr>
          <w:rFonts w:ascii="Times New Roman" w:hAnsi="Times New Roman" w:cs="Times New Roman"/>
          <w:sz w:val="24"/>
          <w:szCs w:val="24"/>
        </w:rPr>
        <w:t xml:space="preserve"> and ensuring that corruption is punished. </w:t>
      </w:r>
      <w:r w:rsidR="00EC775C" w:rsidRPr="006759AC">
        <w:rPr>
          <w:rFonts w:ascii="Times New Roman" w:hAnsi="Times New Roman" w:cs="Times New Roman"/>
          <w:sz w:val="24"/>
          <w:szCs w:val="24"/>
        </w:rPr>
        <w:t xml:space="preserve">In relation to ensuring that resources are being used in an efficient and effective manner, improvements are also needed. </w:t>
      </w:r>
      <w:r w:rsidR="00047084" w:rsidRPr="006759AC">
        <w:rPr>
          <w:rFonts w:ascii="Times New Roman" w:hAnsi="Times New Roman" w:cs="Times New Roman"/>
          <w:sz w:val="24"/>
          <w:szCs w:val="24"/>
        </w:rPr>
        <w:t>As noted in</w:t>
      </w:r>
      <w:r w:rsidR="002073C5" w:rsidRPr="006759AC">
        <w:rPr>
          <w:rFonts w:ascii="Times New Roman" w:hAnsi="Times New Roman" w:cs="Times New Roman"/>
          <w:sz w:val="24"/>
          <w:szCs w:val="24"/>
        </w:rPr>
        <w:t xml:space="preserve"> the certificate of compliance for the annual budget 2017/18, there is a disconnect between the </w:t>
      </w:r>
      <w:r w:rsidR="00AA275F" w:rsidRPr="006759AC">
        <w:rPr>
          <w:rFonts w:ascii="Times New Roman" w:hAnsi="Times New Roman" w:cs="Times New Roman"/>
          <w:sz w:val="24"/>
          <w:szCs w:val="24"/>
        </w:rPr>
        <w:t xml:space="preserve">intent of the budget and budget allocations, and </w:t>
      </w:r>
      <w:r w:rsidR="00CA7A19" w:rsidRPr="006759AC">
        <w:rPr>
          <w:rFonts w:ascii="Times New Roman" w:hAnsi="Times New Roman" w:cs="Times New Roman"/>
          <w:sz w:val="24"/>
          <w:szCs w:val="24"/>
        </w:rPr>
        <w:t xml:space="preserve">high interest payments (on predominately non-core NDPII projects) </w:t>
      </w:r>
      <w:r w:rsidR="00C1285F" w:rsidRPr="006759AC">
        <w:rPr>
          <w:rFonts w:ascii="Times New Roman" w:hAnsi="Times New Roman" w:cs="Times New Roman"/>
          <w:sz w:val="24"/>
          <w:szCs w:val="24"/>
        </w:rPr>
        <w:t>are</w:t>
      </w:r>
      <w:r w:rsidR="00C7606B" w:rsidRPr="006759AC">
        <w:rPr>
          <w:rFonts w:ascii="Times New Roman" w:hAnsi="Times New Roman" w:cs="Times New Roman"/>
          <w:sz w:val="24"/>
          <w:szCs w:val="24"/>
        </w:rPr>
        <w:t xml:space="preserve"> crowding out budget allocations to key sectors. </w:t>
      </w:r>
      <w:r w:rsidR="00D07275" w:rsidRPr="006759AC">
        <w:rPr>
          <w:rFonts w:ascii="Times New Roman" w:hAnsi="Times New Roman" w:cs="Times New Roman"/>
          <w:sz w:val="24"/>
          <w:szCs w:val="24"/>
        </w:rPr>
        <w:t xml:space="preserve">Scarce financial resources are not being used in an efficient and effective manner. </w:t>
      </w:r>
      <w:r w:rsidR="00621F39" w:rsidRPr="006759AC">
        <w:rPr>
          <w:rFonts w:ascii="Times New Roman" w:hAnsi="Times New Roman" w:cs="Times New Roman"/>
          <w:sz w:val="24"/>
          <w:szCs w:val="24"/>
        </w:rPr>
        <w:t>In light of these facts the status of these pre-conditions is ranked poor and requiring improvement in order to support the effective implementation of NDPII.</w:t>
      </w:r>
    </w:p>
    <w:p w14:paraId="6EE5F030" w14:textId="163E2816" w:rsidR="00B97BD4" w:rsidRPr="003315A4" w:rsidRDefault="00B97BD4" w:rsidP="00B86D0C">
      <w:pPr>
        <w:pStyle w:val="Heading2"/>
        <w:numPr>
          <w:ilvl w:val="1"/>
          <w:numId w:val="45"/>
        </w:numPr>
        <w:spacing w:line="360" w:lineRule="auto"/>
        <w:ind w:left="426" w:hanging="426"/>
        <w:rPr>
          <w:rFonts w:cs="Times New Roman"/>
        </w:rPr>
      </w:pPr>
      <w:bookmarkStart w:id="32" w:name="_Toc3454218"/>
      <w:bookmarkStart w:id="33" w:name="_Toc9269382"/>
      <w:r w:rsidRPr="003315A4">
        <w:rPr>
          <w:rFonts w:cs="Times New Roman"/>
        </w:rPr>
        <w:t xml:space="preserve">Effectiveness of </w:t>
      </w:r>
      <w:r w:rsidR="009A2561" w:rsidRPr="003315A4">
        <w:rPr>
          <w:rFonts w:cs="Times New Roman"/>
        </w:rPr>
        <w:t>Government</w:t>
      </w:r>
      <w:r w:rsidRPr="003315A4">
        <w:rPr>
          <w:rFonts w:cs="Times New Roman"/>
        </w:rPr>
        <w:t xml:space="preserve"> policy in achieving NDPII objectives</w:t>
      </w:r>
      <w:bookmarkEnd w:id="32"/>
      <w:bookmarkEnd w:id="33"/>
    </w:p>
    <w:p w14:paraId="034FA4B6" w14:textId="7F119FDB" w:rsidR="00FC4855" w:rsidRPr="006759AC" w:rsidRDefault="00212FB8"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sz w:val="24"/>
          <w:szCs w:val="24"/>
        </w:rPr>
        <w:t xml:space="preserve">Having conducted an assessment on NDPII’s theory of change </w:t>
      </w:r>
      <w:r w:rsidR="003617BC" w:rsidRPr="006759AC">
        <w:rPr>
          <w:rFonts w:ascii="Times New Roman" w:hAnsi="Times New Roman" w:cs="Times New Roman"/>
          <w:sz w:val="24"/>
          <w:szCs w:val="24"/>
        </w:rPr>
        <w:t xml:space="preserve">(4.1) </w:t>
      </w:r>
      <w:r w:rsidRPr="006759AC">
        <w:rPr>
          <w:rFonts w:ascii="Times New Roman" w:hAnsi="Times New Roman" w:cs="Times New Roman"/>
          <w:sz w:val="24"/>
          <w:szCs w:val="24"/>
        </w:rPr>
        <w:t xml:space="preserve">and the </w:t>
      </w:r>
      <w:r w:rsidR="003617BC" w:rsidRPr="006759AC">
        <w:rPr>
          <w:rFonts w:ascii="Times New Roman" w:hAnsi="Times New Roman" w:cs="Times New Roman"/>
          <w:sz w:val="24"/>
          <w:szCs w:val="24"/>
        </w:rPr>
        <w:t xml:space="preserve">quality of </w:t>
      </w:r>
      <w:r w:rsidR="009A2561" w:rsidRPr="006759AC">
        <w:rPr>
          <w:rFonts w:ascii="Times New Roman" w:hAnsi="Times New Roman" w:cs="Times New Roman"/>
          <w:sz w:val="24"/>
          <w:szCs w:val="24"/>
        </w:rPr>
        <w:t>Government</w:t>
      </w:r>
      <w:r w:rsidR="003617BC" w:rsidRPr="006759AC">
        <w:rPr>
          <w:rFonts w:ascii="Times New Roman" w:hAnsi="Times New Roman" w:cs="Times New Roman"/>
          <w:sz w:val="24"/>
          <w:szCs w:val="24"/>
        </w:rPr>
        <w:t xml:space="preserve"> policies, plans and strategies in relation to NDPII (4.2), this section </w:t>
      </w:r>
      <w:r w:rsidR="00904677" w:rsidRPr="006759AC">
        <w:rPr>
          <w:rFonts w:ascii="Times New Roman" w:hAnsi="Times New Roman" w:cs="Times New Roman"/>
          <w:sz w:val="24"/>
          <w:szCs w:val="24"/>
        </w:rPr>
        <w:t xml:space="preserve">provides an analysis on the </w:t>
      </w:r>
      <w:r w:rsidR="003E7E55" w:rsidRPr="006759AC">
        <w:rPr>
          <w:rFonts w:ascii="Times New Roman" w:hAnsi="Times New Roman" w:cs="Times New Roman"/>
          <w:sz w:val="24"/>
          <w:szCs w:val="24"/>
        </w:rPr>
        <w:t xml:space="preserve">performance </w:t>
      </w:r>
      <w:r w:rsidR="00904677" w:rsidRPr="006759AC">
        <w:rPr>
          <w:rFonts w:ascii="Times New Roman" w:hAnsi="Times New Roman" w:cs="Times New Roman"/>
          <w:sz w:val="24"/>
          <w:szCs w:val="24"/>
        </w:rPr>
        <w:t xml:space="preserve">of </w:t>
      </w:r>
      <w:r w:rsidR="009A2561" w:rsidRPr="006759AC">
        <w:rPr>
          <w:rFonts w:ascii="Times New Roman" w:hAnsi="Times New Roman" w:cs="Times New Roman"/>
          <w:sz w:val="24"/>
          <w:szCs w:val="24"/>
        </w:rPr>
        <w:t>Government</w:t>
      </w:r>
      <w:r w:rsidR="00904677" w:rsidRPr="006759AC">
        <w:rPr>
          <w:rFonts w:ascii="Times New Roman" w:hAnsi="Times New Roman" w:cs="Times New Roman"/>
          <w:sz w:val="24"/>
          <w:szCs w:val="24"/>
        </w:rPr>
        <w:t xml:space="preserve"> Policy in achieving NDPII objectives. It answers </w:t>
      </w:r>
      <w:r w:rsidR="003A3787" w:rsidRPr="006759AC">
        <w:rPr>
          <w:rFonts w:ascii="Times New Roman" w:hAnsi="Times New Roman" w:cs="Times New Roman"/>
          <w:sz w:val="24"/>
          <w:szCs w:val="24"/>
        </w:rPr>
        <w:t>four questions:</w:t>
      </w:r>
    </w:p>
    <w:p w14:paraId="173A65C2" w14:textId="2B3FEB74" w:rsidR="00904677" w:rsidRPr="006759AC" w:rsidRDefault="00644F5D" w:rsidP="00B86D0C">
      <w:pPr>
        <w:pStyle w:val="ListParagraph"/>
        <w:numPr>
          <w:ilvl w:val="0"/>
          <w:numId w:val="1"/>
        </w:numPr>
        <w:spacing w:line="360" w:lineRule="auto"/>
        <w:ind w:left="851" w:right="187" w:hanging="425"/>
        <w:contextualSpacing w:val="0"/>
        <w:jc w:val="both"/>
        <w:rPr>
          <w:rFonts w:ascii="Times New Roman" w:hAnsi="Times New Roman" w:cs="Times New Roman"/>
          <w:sz w:val="24"/>
          <w:szCs w:val="24"/>
        </w:rPr>
      </w:pPr>
      <w:r w:rsidRPr="006759AC">
        <w:rPr>
          <w:rFonts w:ascii="Times New Roman" w:hAnsi="Times New Roman" w:cs="Times New Roman"/>
          <w:sz w:val="24"/>
          <w:szCs w:val="24"/>
        </w:rPr>
        <w:t xml:space="preserve">What has been the </w:t>
      </w:r>
      <w:r w:rsidR="003A3787" w:rsidRPr="006759AC">
        <w:rPr>
          <w:rFonts w:ascii="Times New Roman" w:hAnsi="Times New Roman" w:cs="Times New Roman"/>
          <w:sz w:val="24"/>
          <w:szCs w:val="24"/>
        </w:rPr>
        <w:t xml:space="preserve">extent </w:t>
      </w:r>
      <w:r w:rsidRPr="006759AC">
        <w:rPr>
          <w:rFonts w:ascii="Times New Roman" w:hAnsi="Times New Roman" w:cs="Times New Roman"/>
          <w:sz w:val="24"/>
          <w:szCs w:val="24"/>
        </w:rPr>
        <w:t xml:space="preserve">of progress in relation to the </w:t>
      </w:r>
      <w:r w:rsidR="00904677" w:rsidRPr="006759AC">
        <w:rPr>
          <w:rFonts w:ascii="Times New Roman" w:hAnsi="Times New Roman" w:cs="Times New Roman"/>
          <w:sz w:val="24"/>
          <w:szCs w:val="24"/>
        </w:rPr>
        <w:t>pursuance of export-orientated growth through value-addition,</w:t>
      </w:r>
      <w:r w:rsidR="00973A45" w:rsidRPr="006759AC">
        <w:rPr>
          <w:rFonts w:ascii="Times New Roman" w:hAnsi="Times New Roman" w:cs="Times New Roman"/>
          <w:sz w:val="24"/>
          <w:szCs w:val="24"/>
        </w:rPr>
        <w:t xml:space="preserve"> </w:t>
      </w:r>
      <w:r w:rsidR="00904677" w:rsidRPr="006759AC">
        <w:rPr>
          <w:rFonts w:ascii="Times New Roman" w:hAnsi="Times New Roman" w:cs="Times New Roman"/>
          <w:sz w:val="24"/>
          <w:szCs w:val="24"/>
        </w:rPr>
        <w:t>agro-processing, mineral beneficiation, selected heavy and light manufacturing</w:t>
      </w:r>
      <w:r w:rsidR="003A3787" w:rsidRPr="006759AC">
        <w:rPr>
          <w:rFonts w:ascii="Times New Roman" w:hAnsi="Times New Roman" w:cs="Times New Roman"/>
          <w:sz w:val="24"/>
          <w:szCs w:val="24"/>
        </w:rPr>
        <w:t>? (PS2)</w:t>
      </w:r>
    </w:p>
    <w:p w14:paraId="365E7441" w14:textId="7AC90977" w:rsidR="00904677" w:rsidRPr="006759AC" w:rsidRDefault="00644F5D" w:rsidP="00B86D0C">
      <w:pPr>
        <w:pStyle w:val="ListParagraph"/>
        <w:numPr>
          <w:ilvl w:val="0"/>
          <w:numId w:val="1"/>
        </w:numPr>
        <w:spacing w:line="360" w:lineRule="auto"/>
        <w:ind w:left="851" w:right="187" w:hanging="425"/>
        <w:contextualSpacing w:val="0"/>
        <w:jc w:val="both"/>
        <w:rPr>
          <w:rFonts w:ascii="Times New Roman" w:hAnsi="Times New Roman" w:cs="Times New Roman"/>
          <w:sz w:val="24"/>
          <w:szCs w:val="24"/>
        </w:rPr>
      </w:pPr>
      <w:r w:rsidRPr="006759AC">
        <w:rPr>
          <w:rFonts w:ascii="Times New Roman" w:hAnsi="Times New Roman" w:cs="Times New Roman"/>
          <w:sz w:val="24"/>
          <w:szCs w:val="24"/>
        </w:rPr>
        <w:t>What has been the extent of progress on private</w:t>
      </w:r>
      <w:r w:rsidR="00904677" w:rsidRPr="006759AC">
        <w:rPr>
          <w:rFonts w:ascii="Times New Roman" w:hAnsi="Times New Roman" w:cs="Times New Roman"/>
          <w:sz w:val="24"/>
          <w:szCs w:val="24"/>
        </w:rPr>
        <w:t>-sector led growth, and quasi-market approaches towards achievement of NDPII objectives and targets</w:t>
      </w:r>
      <w:r w:rsidRPr="006759AC">
        <w:rPr>
          <w:rFonts w:ascii="Times New Roman" w:hAnsi="Times New Roman" w:cs="Times New Roman"/>
          <w:sz w:val="24"/>
          <w:szCs w:val="24"/>
        </w:rPr>
        <w:t>? (PS3)</w:t>
      </w:r>
    </w:p>
    <w:p w14:paraId="609EC4F7" w14:textId="09DE13EA" w:rsidR="00904677" w:rsidRPr="006759AC" w:rsidRDefault="00904677" w:rsidP="00B86D0C">
      <w:pPr>
        <w:pStyle w:val="ListParagraph"/>
        <w:numPr>
          <w:ilvl w:val="0"/>
          <w:numId w:val="1"/>
        </w:numPr>
        <w:spacing w:line="360" w:lineRule="auto"/>
        <w:ind w:left="851" w:right="187" w:hanging="425"/>
        <w:contextualSpacing w:val="0"/>
        <w:jc w:val="both"/>
        <w:rPr>
          <w:rFonts w:ascii="Times New Roman" w:hAnsi="Times New Roman" w:cs="Times New Roman"/>
          <w:sz w:val="24"/>
          <w:szCs w:val="24"/>
        </w:rPr>
      </w:pPr>
      <w:r w:rsidRPr="006759AC">
        <w:rPr>
          <w:rFonts w:ascii="Times New Roman" w:hAnsi="Times New Roman" w:cs="Times New Roman"/>
          <w:sz w:val="24"/>
          <w:szCs w:val="24"/>
        </w:rPr>
        <w:t>How effectively have growth and poverty reduction policy objectives been reconciled in the course of NDPII implementation</w:t>
      </w:r>
      <w:r w:rsidR="00644F5D" w:rsidRPr="006759AC">
        <w:rPr>
          <w:rFonts w:ascii="Times New Roman" w:hAnsi="Times New Roman" w:cs="Times New Roman"/>
          <w:sz w:val="24"/>
          <w:szCs w:val="24"/>
        </w:rPr>
        <w:t>, to date</w:t>
      </w:r>
      <w:r w:rsidRPr="006759AC">
        <w:rPr>
          <w:rFonts w:ascii="Times New Roman" w:hAnsi="Times New Roman" w:cs="Times New Roman"/>
          <w:sz w:val="24"/>
          <w:szCs w:val="24"/>
        </w:rPr>
        <w:t>?</w:t>
      </w:r>
      <w:r w:rsidR="00644F5D" w:rsidRPr="006759AC">
        <w:rPr>
          <w:rFonts w:ascii="Times New Roman" w:hAnsi="Times New Roman" w:cs="Times New Roman"/>
          <w:sz w:val="24"/>
          <w:szCs w:val="24"/>
        </w:rPr>
        <w:t xml:space="preserve"> (PS10)</w:t>
      </w:r>
    </w:p>
    <w:p w14:paraId="6978DC62" w14:textId="2CD7B393" w:rsidR="003A3787" w:rsidRPr="006759AC" w:rsidRDefault="00C6491C" w:rsidP="00B86D0C">
      <w:pPr>
        <w:pStyle w:val="ListParagraph"/>
        <w:numPr>
          <w:ilvl w:val="0"/>
          <w:numId w:val="1"/>
        </w:numPr>
        <w:spacing w:line="360" w:lineRule="auto"/>
        <w:ind w:left="851" w:right="187" w:hanging="425"/>
        <w:contextualSpacing w:val="0"/>
        <w:jc w:val="both"/>
        <w:rPr>
          <w:rFonts w:ascii="Times New Roman" w:hAnsi="Times New Roman" w:cs="Times New Roman"/>
          <w:sz w:val="24"/>
          <w:szCs w:val="24"/>
        </w:rPr>
      </w:pPr>
      <w:r w:rsidRPr="006759AC">
        <w:rPr>
          <w:rFonts w:ascii="Times New Roman" w:hAnsi="Times New Roman" w:cs="Times New Roman"/>
          <w:sz w:val="24"/>
          <w:szCs w:val="24"/>
        </w:rPr>
        <w:lastRenderedPageBreak/>
        <w:t>W</w:t>
      </w:r>
      <w:r w:rsidR="00904677" w:rsidRPr="006759AC">
        <w:rPr>
          <w:rFonts w:ascii="Times New Roman" w:hAnsi="Times New Roman" w:cs="Times New Roman"/>
          <w:sz w:val="24"/>
          <w:szCs w:val="24"/>
        </w:rPr>
        <w:t xml:space="preserve">hat efficiency gains </w:t>
      </w:r>
      <w:r w:rsidRPr="006759AC">
        <w:rPr>
          <w:rFonts w:ascii="Times New Roman" w:hAnsi="Times New Roman" w:cs="Times New Roman"/>
          <w:sz w:val="24"/>
          <w:szCs w:val="24"/>
        </w:rPr>
        <w:t xml:space="preserve">have </w:t>
      </w:r>
      <w:r w:rsidR="00904677" w:rsidRPr="006759AC">
        <w:rPr>
          <w:rFonts w:ascii="Times New Roman" w:hAnsi="Times New Roman" w:cs="Times New Roman"/>
          <w:sz w:val="24"/>
          <w:szCs w:val="24"/>
        </w:rPr>
        <w:t xml:space="preserve">been realised in </w:t>
      </w:r>
      <w:r w:rsidR="009A2561" w:rsidRPr="006759AC">
        <w:rPr>
          <w:rFonts w:ascii="Times New Roman" w:hAnsi="Times New Roman" w:cs="Times New Roman"/>
          <w:sz w:val="24"/>
          <w:szCs w:val="24"/>
        </w:rPr>
        <w:t>Government</w:t>
      </w:r>
      <w:r w:rsidR="00904677" w:rsidRPr="006759AC">
        <w:rPr>
          <w:rFonts w:ascii="Times New Roman" w:hAnsi="Times New Roman" w:cs="Times New Roman"/>
          <w:sz w:val="24"/>
          <w:szCs w:val="24"/>
        </w:rPr>
        <w:t xml:space="preserve"> as a result of NDPII?</w:t>
      </w:r>
      <w:r w:rsidRPr="006759AC">
        <w:rPr>
          <w:rFonts w:ascii="Times New Roman" w:hAnsi="Times New Roman" w:cs="Times New Roman"/>
          <w:sz w:val="24"/>
          <w:szCs w:val="24"/>
        </w:rPr>
        <w:t xml:space="preserve"> (PS11)</w:t>
      </w:r>
    </w:p>
    <w:p w14:paraId="1133B050" w14:textId="4D07A272" w:rsidR="00904677" w:rsidRPr="006759AC" w:rsidRDefault="00C6491C" w:rsidP="00B86D0C">
      <w:pPr>
        <w:pStyle w:val="ListParagraph"/>
        <w:numPr>
          <w:ilvl w:val="0"/>
          <w:numId w:val="1"/>
        </w:numPr>
        <w:spacing w:line="360" w:lineRule="auto"/>
        <w:ind w:left="851" w:right="187" w:hanging="425"/>
        <w:contextualSpacing w:val="0"/>
        <w:jc w:val="both"/>
        <w:rPr>
          <w:rFonts w:ascii="Times New Roman" w:hAnsi="Times New Roman" w:cs="Times New Roman"/>
          <w:sz w:val="24"/>
          <w:szCs w:val="24"/>
        </w:rPr>
      </w:pPr>
      <w:r w:rsidRPr="006759AC">
        <w:rPr>
          <w:rFonts w:ascii="Times New Roman" w:hAnsi="Times New Roman" w:cs="Times New Roman"/>
          <w:sz w:val="24"/>
          <w:szCs w:val="24"/>
        </w:rPr>
        <w:t>To what extent h</w:t>
      </w:r>
      <w:r w:rsidR="00904677" w:rsidRPr="006759AC">
        <w:rPr>
          <w:rFonts w:ascii="Times New Roman" w:hAnsi="Times New Roman" w:cs="Times New Roman"/>
          <w:sz w:val="24"/>
          <w:szCs w:val="24"/>
        </w:rPr>
        <w:t xml:space="preserve">as </w:t>
      </w:r>
      <w:r w:rsidRPr="006759AC">
        <w:rPr>
          <w:rFonts w:ascii="Times New Roman" w:hAnsi="Times New Roman" w:cs="Times New Roman"/>
          <w:sz w:val="24"/>
          <w:szCs w:val="24"/>
        </w:rPr>
        <w:t>N</w:t>
      </w:r>
      <w:r w:rsidR="00904677" w:rsidRPr="006759AC">
        <w:rPr>
          <w:rFonts w:ascii="Times New Roman" w:hAnsi="Times New Roman" w:cs="Times New Roman"/>
          <w:sz w:val="24"/>
          <w:szCs w:val="24"/>
        </w:rPr>
        <w:t>DPII been an effective mechanism for ensuring that economic growth does not have a detrimental impact on the environment?</w:t>
      </w:r>
      <w:r w:rsidRPr="006759AC">
        <w:rPr>
          <w:rFonts w:ascii="Times New Roman" w:hAnsi="Times New Roman" w:cs="Times New Roman"/>
          <w:sz w:val="24"/>
          <w:szCs w:val="24"/>
        </w:rPr>
        <w:t xml:space="preserve"> (PS12)</w:t>
      </w:r>
    </w:p>
    <w:p w14:paraId="4119B903" w14:textId="250C4B4F" w:rsidR="00B51A48" w:rsidRPr="006759AC" w:rsidRDefault="00A74BBE"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6759AC">
        <w:rPr>
          <w:rFonts w:ascii="Times New Roman" w:hAnsi="Times New Roman" w:cs="Times New Roman"/>
          <w:b/>
          <w:sz w:val="24"/>
          <w:szCs w:val="24"/>
        </w:rPr>
        <w:t>The performance of each a</w:t>
      </w:r>
      <w:r w:rsidR="00E60FD8" w:rsidRPr="006759AC">
        <w:rPr>
          <w:rFonts w:ascii="Times New Roman" w:hAnsi="Times New Roman" w:cs="Times New Roman"/>
          <w:b/>
          <w:sz w:val="24"/>
          <w:szCs w:val="24"/>
        </w:rPr>
        <w:t>rea of investigation is</w:t>
      </w:r>
      <w:r w:rsidR="00B83EEF" w:rsidRPr="006759AC">
        <w:rPr>
          <w:rFonts w:ascii="Times New Roman" w:hAnsi="Times New Roman" w:cs="Times New Roman"/>
          <w:b/>
          <w:sz w:val="24"/>
          <w:szCs w:val="24"/>
        </w:rPr>
        <w:t xml:space="preserve"> provided </w:t>
      </w:r>
      <w:r w:rsidR="00E60FD8" w:rsidRPr="006759AC">
        <w:rPr>
          <w:rFonts w:ascii="Times New Roman" w:hAnsi="Times New Roman" w:cs="Times New Roman"/>
          <w:b/>
          <w:sz w:val="24"/>
          <w:szCs w:val="24"/>
        </w:rPr>
        <w:t>in Table 6 overleaf</w:t>
      </w:r>
      <w:r w:rsidR="00201127" w:rsidRPr="006759AC">
        <w:rPr>
          <w:rFonts w:ascii="Times New Roman" w:hAnsi="Times New Roman" w:cs="Times New Roman"/>
          <w:b/>
          <w:sz w:val="24"/>
          <w:szCs w:val="24"/>
        </w:rPr>
        <w:t>.</w:t>
      </w:r>
      <w:r w:rsidR="00201127" w:rsidRPr="006759AC">
        <w:rPr>
          <w:rFonts w:ascii="Times New Roman" w:hAnsi="Times New Roman" w:cs="Times New Roman"/>
          <w:sz w:val="24"/>
          <w:szCs w:val="24"/>
        </w:rPr>
        <w:t xml:space="preserve"> </w:t>
      </w:r>
      <w:r w:rsidR="00201127" w:rsidRPr="006759AC">
        <w:rPr>
          <w:rFonts w:ascii="Times New Roman" w:hAnsi="Times New Roman" w:cs="Times New Roman"/>
          <w:b/>
          <w:sz w:val="24"/>
          <w:szCs w:val="24"/>
        </w:rPr>
        <w:t xml:space="preserve">Overall, </w:t>
      </w:r>
      <w:r w:rsidR="003C5ED0" w:rsidRPr="006759AC">
        <w:rPr>
          <w:rFonts w:ascii="Times New Roman" w:hAnsi="Times New Roman" w:cs="Times New Roman"/>
          <w:b/>
          <w:sz w:val="24"/>
          <w:szCs w:val="24"/>
        </w:rPr>
        <w:t>economic growth has fluctuated over the review period and is below the NDPII target of 6.3%. Growth has also not been as inclusive</w:t>
      </w:r>
      <w:r w:rsidR="00EB33E2" w:rsidRPr="006759AC">
        <w:rPr>
          <w:rFonts w:ascii="Times New Roman" w:hAnsi="Times New Roman" w:cs="Times New Roman"/>
          <w:b/>
          <w:sz w:val="24"/>
          <w:szCs w:val="24"/>
        </w:rPr>
        <w:t xml:space="preserve"> </w:t>
      </w:r>
      <w:r w:rsidR="003C5ED0" w:rsidRPr="006759AC">
        <w:rPr>
          <w:rFonts w:ascii="Times New Roman" w:hAnsi="Times New Roman" w:cs="Times New Roman"/>
          <w:b/>
          <w:sz w:val="24"/>
          <w:szCs w:val="24"/>
        </w:rPr>
        <w:t>as desired</w:t>
      </w:r>
      <w:r w:rsidR="003C5ED0" w:rsidRPr="006759AC">
        <w:rPr>
          <w:rFonts w:ascii="Times New Roman" w:hAnsi="Times New Roman" w:cs="Times New Roman"/>
          <w:sz w:val="24"/>
          <w:szCs w:val="24"/>
        </w:rPr>
        <w:t xml:space="preserve"> – GDP per capita is below the NDPII target</w:t>
      </w:r>
      <w:r w:rsidR="00B322C0" w:rsidRPr="006759AC">
        <w:rPr>
          <w:rFonts w:ascii="Times New Roman" w:hAnsi="Times New Roman" w:cs="Times New Roman"/>
          <w:sz w:val="24"/>
          <w:szCs w:val="24"/>
        </w:rPr>
        <w:t xml:space="preserve">s and </w:t>
      </w:r>
      <w:r w:rsidR="003C5ED0" w:rsidRPr="006759AC">
        <w:rPr>
          <w:rFonts w:ascii="Times New Roman" w:hAnsi="Times New Roman" w:cs="Times New Roman"/>
          <w:sz w:val="24"/>
          <w:szCs w:val="24"/>
        </w:rPr>
        <w:t>Uganda has seen a decline in the growth and development index by 4.2%. Agriculture value addition, mineral beneficiation, manufacturing and private-sector activities have also performed at a slower rate than expected.</w:t>
      </w:r>
      <w:r w:rsidR="009D38A0" w:rsidRPr="006759AC">
        <w:rPr>
          <w:rFonts w:ascii="Times New Roman" w:hAnsi="Times New Roman" w:cs="Times New Roman"/>
          <w:sz w:val="24"/>
          <w:szCs w:val="24"/>
        </w:rPr>
        <w:t xml:space="preserve"> </w:t>
      </w:r>
      <w:r w:rsidR="00B51A48" w:rsidRPr="006759AC">
        <w:rPr>
          <w:rFonts w:ascii="Times New Roman" w:hAnsi="Times New Roman" w:cs="Times New Roman"/>
          <w:sz w:val="24"/>
          <w:szCs w:val="24"/>
        </w:rPr>
        <w:t xml:space="preserve">Considering </w:t>
      </w:r>
      <w:r w:rsidR="00B83EEF" w:rsidRPr="006759AC">
        <w:rPr>
          <w:rFonts w:ascii="Times New Roman" w:hAnsi="Times New Roman" w:cs="Times New Roman"/>
          <w:sz w:val="24"/>
          <w:szCs w:val="24"/>
        </w:rPr>
        <w:t xml:space="preserve">current </w:t>
      </w:r>
      <w:r w:rsidR="00B51A48" w:rsidRPr="006759AC">
        <w:rPr>
          <w:rFonts w:ascii="Times New Roman" w:hAnsi="Times New Roman" w:cs="Times New Roman"/>
          <w:sz w:val="24"/>
          <w:szCs w:val="24"/>
        </w:rPr>
        <w:t xml:space="preserve">progress against the indicators of effectiveness outlined in Table 6, the </w:t>
      </w:r>
      <w:r w:rsidR="009A2561" w:rsidRPr="006759AC">
        <w:rPr>
          <w:rFonts w:ascii="Times New Roman" w:hAnsi="Times New Roman" w:cs="Times New Roman"/>
          <w:sz w:val="24"/>
          <w:szCs w:val="24"/>
        </w:rPr>
        <w:t>Government</w:t>
      </w:r>
      <w:r w:rsidR="00B51A48" w:rsidRPr="006759AC">
        <w:rPr>
          <w:rFonts w:ascii="Times New Roman" w:hAnsi="Times New Roman" w:cs="Times New Roman"/>
          <w:sz w:val="24"/>
          <w:szCs w:val="24"/>
        </w:rPr>
        <w:t xml:space="preserve"> of Uganda may not achieve some of the NDPII targets. For instance, it is unlikely that the NDPII target of GDP growth of 6.3% by 2019/20 will be achieved. Uganda would need to grow at 8.5% over the remaining two years which is ambitious given that several growth-enabling projects have stalled and productive sectors e.g. agriculture and manufacturing are not growing. Private sector-led and inclusive growth – two ideals of NDPII are also providing to be slow on account of several binding constraints e.g. poor access to electricity and credit, high population growth rates and depreciation of the Ugandan Shilling. </w:t>
      </w:r>
    </w:p>
    <w:p w14:paraId="663A91F0" w14:textId="76F7D14A" w:rsidR="004815A2" w:rsidRPr="003315A4" w:rsidRDefault="000923B4"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3315A4">
        <w:rPr>
          <w:rFonts w:ascii="Times New Roman" w:hAnsi="Times New Roman" w:cs="Times New Roman"/>
          <w:sz w:val="24"/>
          <w:szCs w:val="24"/>
        </w:rPr>
        <w:t xml:space="preserve">From a policy and strategic </w:t>
      </w:r>
      <w:r w:rsidR="00720F19" w:rsidRPr="003315A4">
        <w:rPr>
          <w:rFonts w:ascii="Times New Roman" w:hAnsi="Times New Roman" w:cs="Times New Roman"/>
          <w:sz w:val="24"/>
          <w:szCs w:val="24"/>
        </w:rPr>
        <w:t xml:space="preserve">direction </w:t>
      </w:r>
      <w:r w:rsidRPr="003315A4">
        <w:rPr>
          <w:rFonts w:ascii="Times New Roman" w:hAnsi="Times New Roman" w:cs="Times New Roman"/>
          <w:sz w:val="24"/>
          <w:szCs w:val="24"/>
        </w:rPr>
        <w:t>perspective, w</w:t>
      </w:r>
      <w:r w:rsidR="009D38A0" w:rsidRPr="003315A4">
        <w:rPr>
          <w:rFonts w:ascii="Times New Roman" w:hAnsi="Times New Roman" w:cs="Times New Roman"/>
          <w:sz w:val="24"/>
          <w:szCs w:val="24"/>
        </w:rPr>
        <w:t>eaker than expected performance is the result of slow or ineffective policy implementation (in turn the result of insufficient funding, leadership, buy-in, capacity</w:t>
      </w:r>
      <w:r w:rsidR="00531DB8" w:rsidRPr="003315A4">
        <w:rPr>
          <w:rFonts w:ascii="Times New Roman" w:hAnsi="Times New Roman" w:cs="Times New Roman"/>
          <w:sz w:val="24"/>
          <w:szCs w:val="24"/>
        </w:rPr>
        <w:t>,</w:t>
      </w:r>
      <w:r w:rsidR="009D38A0" w:rsidRPr="003315A4">
        <w:rPr>
          <w:rFonts w:ascii="Times New Roman" w:hAnsi="Times New Roman" w:cs="Times New Roman"/>
          <w:sz w:val="24"/>
          <w:szCs w:val="24"/>
        </w:rPr>
        <w:t xml:space="preserve"> underutilised acquired capacity</w:t>
      </w:r>
      <w:r w:rsidR="00531DB8" w:rsidRPr="003315A4">
        <w:rPr>
          <w:rFonts w:ascii="Times New Roman" w:hAnsi="Times New Roman" w:cs="Times New Roman"/>
          <w:sz w:val="24"/>
          <w:szCs w:val="24"/>
        </w:rPr>
        <w:t>,</w:t>
      </w:r>
      <w:r w:rsidR="009D38A0" w:rsidRPr="003315A4">
        <w:rPr>
          <w:rFonts w:ascii="Times New Roman" w:hAnsi="Times New Roman" w:cs="Times New Roman"/>
          <w:sz w:val="24"/>
          <w:szCs w:val="24"/>
        </w:rPr>
        <w:t xml:space="preserve"> policy gaps/inconsistencies</w:t>
      </w:r>
      <w:r w:rsidR="00531DB8" w:rsidRPr="003315A4">
        <w:rPr>
          <w:rFonts w:ascii="Times New Roman" w:hAnsi="Times New Roman" w:cs="Times New Roman"/>
          <w:sz w:val="24"/>
          <w:szCs w:val="24"/>
        </w:rPr>
        <w:t>,</w:t>
      </w:r>
      <w:r w:rsidR="009D38A0" w:rsidRPr="003315A4">
        <w:rPr>
          <w:rFonts w:ascii="Times New Roman" w:hAnsi="Times New Roman" w:cs="Times New Roman"/>
          <w:sz w:val="24"/>
          <w:szCs w:val="24"/>
        </w:rPr>
        <w:t xml:space="preserve"> and/or poor performance management), a challenging operating context over the MTR period (e.g. drought) and persistent weaknesses in the efficiency and effectiveness of </w:t>
      </w:r>
      <w:r w:rsidR="009A2561" w:rsidRPr="003315A4">
        <w:rPr>
          <w:rFonts w:ascii="Times New Roman" w:hAnsi="Times New Roman" w:cs="Times New Roman"/>
          <w:sz w:val="24"/>
          <w:szCs w:val="24"/>
        </w:rPr>
        <w:t>Government</w:t>
      </w:r>
      <w:r w:rsidR="009D38A0" w:rsidRPr="003315A4">
        <w:rPr>
          <w:rFonts w:ascii="Times New Roman" w:hAnsi="Times New Roman" w:cs="Times New Roman"/>
          <w:sz w:val="24"/>
          <w:szCs w:val="24"/>
        </w:rPr>
        <w:t>.</w:t>
      </w:r>
      <w:r w:rsidR="00D37AC3" w:rsidRPr="003315A4">
        <w:rPr>
          <w:rFonts w:ascii="Times New Roman" w:hAnsi="Times New Roman" w:cs="Times New Roman"/>
          <w:sz w:val="24"/>
          <w:szCs w:val="24"/>
        </w:rPr>
        <w:t xml:space="preserve"> </w:t>
      </w:r>
      <w:r w:rsidR="003631A2" w:rsidRPr="003315A4">
        <w:rPr>
          <w:rFonts w:ascii="Times New Roman" w:hAnsi="Times New Roman" w:cs="Times New Roman"/>
          <w:sz w:val="24"/>
          <w:szCs w:val="24"/>
        </w:rPr>
        <w:t xml:space="preserve">Suggestions on how </w:t>
      </w:r>
      <w:r w:rsidR="00D37AC3" w:rsidRPr="003315A4">
        <w:rPr>
          <w:rFonts w:ascii="Times New Roman" w:hAnsi="Times New Roman" w:cs="Times New Roman"/>
          <w:sz w:val="24"/>
          <w:szCs w:val="24"/>
        </w:rPr>
        <w:t xml:space="preserve">to improve the effectiveness of </w:t>
      </w:r>
      <w:r w:rsidR="009A2561" w:rsidRPr="003315A4">
        <w:rPr>
          <w:rFonts w:ascii="Times New Roman" w:hAnsi="Times New Roman" w:cs="Times New Roman"/>
          <w:sz w:val="24"/>
          <w:szCs w:val="24"/>
        </w:rPr>
        <w:t>Government</w:t>
      </w:r>
      <w:r w:rsidR="00D37AC3" w:rsidRPr="003315A4">
        <w:rPr>
          <w:rFonts w:ascii="Times New Roman" w:hAnsi="Times New Roman" w:cs="Times New Roman"/>
          <w:sz w:val="24"/>
          <w:szCs w:val="24"/>
        </w:rPr>
        <w:t xml:space="preserve"> policy, over the remaining years of NDPII and in future plans, are </w:t>
      </w:r>
      <w:r w:rsidR="003631A2" w:rsidRPr="003315A4">
        <w:rPr>
          <w:rFonts w:ascii="Times New Roman" w:hAnsi="Times New Roman" w:cs="Times New Roman"/>
          <w:sz w:val="24"/>
          <w:szCs w:val="24"/>
        </w:rPr>
        <w:t>in Table 7.</w:t>
      </w:r>
    </w:p>
    <w:p w14:paraId="25905165" w14:textId="77777777" w:rsidR="003315A4" w:rsidRPr="003315A4" w:rsidRDefault="003315A4"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3315A4">
        <w:rPr>
          <w:rFonts w:ascii="Times New Roman" w:hAnsi="Times New Roman" w:cs="Times New Roman"/>
          <w:b/>
          <w:sz w:val="24"/>
          <w:szCs w:val="24"/>
        </w:rPr>
        <w:t>There are several ways to improve the effectiveness of Government policy</w:t>
      </w:r>
      <w:r w:rsidRPr="003315A4">
        <w:rPr>
          <w:rFonts w:ascii="Times New Roman" w:hAnsi="Times New Roman" w:cs="Times New Roman"/>
          <w:sz w:val="24"/>
          <w:szCs w:val="24"/>
        </w:rPr>
        <w:t xml:space="preserve">, suggestions of how are outlined in Table 7. Ultimately, there is a need to improve the quality of policies </w:t>
      </w:r>
      <w:r w:rsidRPr="003315A4">
        <w:rPr>
          <w:rFonts w:ascii="Times New Roman" w:hAnsi="Times New Roman" w:cs="Times New Roman"/>
          <w:i/>
          <w:sz w:val="24"/>
          <w:szCs w:val="24"/>
        </w:rPr>
        <w:t xml:space="preserve">and </w:t>
      </w:r>
      <w:r w:rsidRPr="003315A4">
        <w:rPr>
          <w:rFonts w:ascii="Times New Roman" w:hAnsi="Times New Roman" w:cs="Times New Roman"/>
          <w:sz w:val="24"/>
          <w:szCs w:val="24"/>
        </w:rPr>
        <w:t xml:space="preserve">ensure that policies are being implemented through: consistent and adequate funding, sufficient programme management capacity and capability, and effective performance management. To improve the effectiveness of Government policy, it is also recommended that the Government considers the recommendations outlined in </w:t>
      </w:r>
      <w:r w:rsidRPr="003315A4">
        <w:rPr>
          <w:rFonts w:ascii="Times New Roman" w:hAnsi="Times New Roman" w:cs="Times New Roman"/>
          <w:sz w:val="24"/>
          <w:szCs w:val="24"/>
        </w:rPr>
        <w:lastRenderedPageBreak/>
        <w:t xml:space="preserve">previous sections – namely, addressing gaps in current public policy e.g. industrialisation, and continuing to invest in ensuring that pre-conditions for effective implementation are in-place. </w:t>
      </w:r>
    </w:p>
    <w:p w14:paraId="40EC9A56" w14:textId="77777777" w:rsidR="003315A4" w:rsidRPr="00F10F3B" w:rsidRDefault="003315A4" w:rsidP="00587EDE">
      <w:pPr>
        <w:spacing w:after="0" w:line="360" w:lineRule="auto"/>
        <w:jc w:val="both"/>
        <w:rPr>
          <w:rFonts w:ascii="Times New Roman" w:hAnsi="Times New Roman" w:cs="Times New Roman"/>
        </w:rPr>
        <w:sectPr w:rsidR="003315A4" w:rsidRPr="00F10F3B" w:rsidSect="00A71905">
          <w:pgSz w:w="11906" w:h="16838"/>
          <w:pgMar w:top="1440" w:right="1440" w:bottom="1440" w:left="1440" w:header="708" w:footer="708" w:gutter="0"/>
          <w:cols w:space="708"/>
          <w:titlePg/>
          <w:docGrid w:linePitch="360"/>
        </w:sectPr>
      </w:pPr>
    </w:p>
    <w:p w14:paraId="681BEFEA" w14:textId="4A294D6A" w:rsidR="004815A2" w:rsidRPr="003315A4" w:rsidRDefault="004815A2" w:rsidP="00587EDE">
      <w:pPr>
        <w:pStyle w:val="Caption"/>
        <w:spacing w:line="360" w:lineRule="auto"/>
        <w:ind w:left="-426"/>
        <w:jc w:val="both"/>
        <w:rPr>
          <w:rFonts w:ascii="Times New Roman" w:hAnsi="Times New Roman" w:cs="Times New Roman"/>
          <w:b w:val="0"/>
          <w:i w:val="0"/>
          <w:color w:val="000000" w:themeColor="text1"/>
          <w:sz w:val="24"/>
        </w:rPr>
      </w:pPr>
      <w:bookmarkStart w:id="34" w:name="_Toc536205954"/>
      <w:r w:rsidRPr="003315A4">
        <w:rPr>
          <w:rFonts w:ascii="Times New Roman" w:hAnsi="Times New Roman" w:cs="Times New Roman"/>
          <w:i w:val="0"/>
          <w:color w:val="000000" w:themeColor="text1"/>
          <w:sz w:val="24"/>
        </w:rPr>
        <w:lastRenderedPageBreak/>
        <w:t xml:space="preserve">Table </w:t>
      </w:r>
      <w:r w:rsidRPr="003315A4">
        <w:rPr>
          <w:rFonts w:ascii="Times New Roman" w:hAnsi="Times New Roman" w:cs="Times New Roman"/>
          <w:i w:val="0"/>
          <w:color w:val="000000" w:themeColor="text1"/>
          <w:sz w:val="24"/>
        </w:rPr>
        <w:fldChar w:fldCharType="begin"/>
      </w:r>
      <w:r w:rsidRPr="003315A4">
        <w:rPr>
          <w:rFonts w:ascii="Times New Roman" w:hAnsi="Times New Roman" w:cs="Times New Roman"/>
          <w:i w:val="0"/>
          <w:color w:val="000000" w:themeColor="text1"/>
          <w:sz w:val="24"/>
        </w:rPr>
        <w:instrText xml:space="preserve"> SEQ Table \* ARABIC </w:instrText>
      </w:r>
      <w:r w:rsidRPr="003315A4">
        <w:rPr>
          <w:rFonts w:ascii="Times New Roman" w:hAnsi="Times New Roman" w:cs="Times New Roman"/>
          <w:i w:val="0"/>
          <w:color w:val="000000" w:themeColor="text1"/>
          <w:sz w:val="24"/>
        </w:rPr>
        <w:fldChar w:fldCharType="separate"/>
      </w:r>
      <w:r w:rsidR="00A057A7">
        <w:rPr>
          <w:rFonts w:ascii="Times New Roman" w:hAnsi="Times New Roman" w:cs="Times New Roman"/>
          <w:i w:val="0"/>
          <w:noProof/>
          <w:color w:val="000000" w:themeColor="text1"/>
          <w:sz w:val="24"/>
        </w:rPr>
        <w:t>6</w:t>
      </w:r>
      <w:r w:rsidRPr="003315A4">
        <w:rPr>
          <w:rFonts w:ascii="Times New Roman" w:hAnsi="Times New Roman" w:cs="Times New Roman"/>
          <w:i w:val="0"/>
          <w:color w:val="000000" w:themeColor="text1"/>
          <w:sz w:val="24"/>
        </w:rPr>
        <w:fldChar w:fldCharType="end"/>
      </w:r>
      <w:r w:rsidRPr="003315A4">
        <w:rPr>
          <w:rFonts w:ascii="Times New Roman" w:hAnsi="Times New Roman" w:cs="Times New Roman"/>
          <w:i w:val="0"/>
          <w:color w:val="000000" w:themeColor="text1"/>
          <w:sz w:val="24"/>
        </w:rPr>
        <w:t xml:space="preserve">: Effectiveness of </w:t>
      </w:r>
      <w:r w:rsidR="009A2561" w:rsidRPr="003315A4">
        <w:rPr>
          <w:rFonts w:ascii="Times New Roman" w:hAnsi="Times New Roman" w:cs="Times New Roman"/>
          <w:i w:val="0"/>
          <w:color w:val="000000" w:themeColor="text1"/>
          <w:sz w:val="24"/>
        </w:rPr>
        <w:t>Government</w:t>
      </w:r>
      <w:r w:rsidRPr="003315A4">
        <w:rPr>
          <w:rFonts w:ascii="Times New Roman" w:hAnsi="Times New Roman" w:cs="Times New Roman"/>
          <w:i w:val="0"/>
          <w:color w:val="000000" w:themeColor="text1"/>
          <w:sz w:val="24"/>
        </w:rPr>
        <w:t xml:space="preserve"> policy in achieving NDPII objectives</w:t>
      </w:r>
      <w:bookmarkEnd w:id="34"/>
    </w:p>
    <w:tbl>
      <w:tblPr>
        <w:tblStyle w:val="TableGrid"/>
        <w:tblW w:w="14885" w:type="dxa"/>
        <w:tblInd w:w="-431" w:type="dxa"/>
        <w:tblLayout w:type="fixed"/>
        <w:tblLook w:val="04A0" w:firstRow="1" w:lastRow="0" w:firstColumn="1" w:lastColumn="0" w:noHBand="0" w:noVBand="1"/>
      </w:tblPr>
      <w:tblGrid>
        <w:gridCol w:w="318"/>
        <w:gridCol w:w="2376"/>
        <w:gridCol w:w="12191"/>
      </w:tblGrid>
      <w:tr w:rsidR="00860AA5" w:rsidRPr="003315A4" w14:paraId="1F0467DD" w14:textId="77777777" w:rsidTr="001C50D7">
        <w:tc>
          <w:tcPr>
            <w:tcW w:w="318" w:type="dxa"/>
            <w:shd w:val="clear" w:color="auto" w:fill="C5E0B3" w:themeFill="accent6" w:themeFillTint="66"/>
          </w:tcPr>
          <w:p w14:paraId="12CFC950"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w:t>
            </w:r>
          </w:p>
        </w:tc>
        <w:tc>
          <w:tcPr>
            <w:tcW w:w="2376" w:type="dxa"/>
            <w:shd w:val="clear" w:color="auto" w:fill="C5E0B3" w:themeFill="accent6" w:themeFillTint="66"/>
          </w:tcPr>
          <w:p w14:paraId="486ACBB8"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 xml:space="preserve">Indicators of effectiveness </w:t>
            </w:r>
          </w:p>
        </w:tc>
        <w:tc>
          <w:tcPr>
            <w:tcW w:w="12191" w:type="dxa"/>
            <w:shd w:val="clear" w:color="auto" w:fill="C5E0B3" w:themeFill="accent6" w:themeFillTint="66"/>
          </w:tcPr>
          <w:p w14:paraId="44161A86" w14:textId="6AA39F4A"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Status</w:t>
            </w:r>
          </w:p>
        </w:tc>
      </w:tr>
      <w:tr w:rsidR="00860AA5" w:rsidRPr="003315A4" w14:paraId="4D2BBFB5" w14:textId="77777777" w:rsidTr="00B82873">
        <w:tc>
          <w:tcPr>
            <w:tcW w:w="318" w:type="dxa"/>
            <w:shd w:val="clear" w:color="auto" w:fill="E2EFD9" w:themeFill="accent6" w:themeFillTint="33"/>
          </w:tcPr>
          <w:p w14:paraId="07115351"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1</w:t>
            </w:r>
          </w:p>
        </w:tc>
        <w:tc>
          <w:tcPr>
            <w:tcW w:w="2376" w:type="dxa"/>
            <w:shd w:val="clear" w:color="auto" w:fill="E2EFD9" w:themeFill="accent6" w:themeFillTint="33"/>
          </w:tcPr>
          <w:p w14:paraId="3EB60F96"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Export-orientated growth</w:t>
            </w:r>
          </w:p>
          <w:p w14:paraId="73C41EC3" w14:textId="41378F92"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NDPII Target:</w:t>
            </w:r>
            <w:r w:rsidRPr="003315A4">
              <w:rPr>
                <w:rFonts w:ascii="Times New Roman" w:hAnsi="Times New Roman" w:cs="Times New Roman"/>
                <w:sz w:val="20"/>
                <w:szCs w:val="20"/>
              </w:rPr>
              <w:t xml:space="preserve"> Average annual real GDP growth to be 6.3%</w:t>
            </w:r>
          </w:p>
          <w:p w14:paraId="0A6F1072" w14:textId="4E477DED"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Progress:</w:t>
            </w:r>
            <w:r w:rsidRPr="003315A4">
              <w:rPr>
                <w:rFonts w:ascii="Times New Roman" w:hAnsi="Times New Roman" w:cs="Times New Roman"/>
                <w:b/>
                <w:sz w:val="20"/>
                <w:szCs w:val="20"/>
              </w:rPr>
              <w:t xml:space="preserve"> </w:t>
            </w:r>
            <w:r w:rsidR="00EC5609" w:rsidRPr="003315A4">
              <w:rPr>
                <w:rFonts w:ascii="Times New Roman" w:hAnsi="Times New Roman" w:cs="Times New Roman"/>
                <w:sz w:val="20"/>
                <w:szCs w:val="20"/>
              </w:rPr>
              <w:t xml:space="preserve">Mixed. </w:t>
            </w:r>
            <w:r w:rsidR="009F3EA5" w:rsidRPr="003315A4">
              <w:rPr>
                <w:rFonts w:ascii="Times New Roman" w:hAnsi="Times New Roman" w:cs="Times New Roman"/>
                <w:sz w:val="20"/>
                <w:szCs w:val="20"/>
              </w:rPr>
              <w:t>Growth has been slower than expected, but positive.</w:t>
            </w:r>
          </w:p>
        </w:tc>
        <w:tc>
          <w:tcPr>
            <w:tcW w:w="12191" w:type="dxa"/>
          </w:tcPr>
          <w:p w14:paraId="61D698F7" w14:textId="635A353C" w:rsidR="00860AA5" w:rsidRPr="003315A4" w:rsidRDefault="00860AA5" w:rsidP="00587EDE">
            <w:pPr>
              <w:pStyle w:val="ListParagraph"/>
              <w:numPr>
                <w:ilvl w:val="0"/>
                <w:numId w:val="7"/>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GDP at 2009/10 constant prices increased from 53,279 billion shillings in 2014/15 to 61,514 billion in 2017/18 (UBOS, 2018).</w:t>
            </w:r>
          </w:p>
          <w:p w14:paraId="00B71460" w14:textId="5B98D1FE" w:rsidR="00860AA5" w:rsidRPr="003315A4" w:rsidRDefault="00860AA5" w:rsidP="00587EDE">
            <w:pPr>
              <w:pStyle w:val="ListParagraph"/>
              <w:numPr>
                <w:ilvl w:val="0"/>
                <w:numId w:val="7"/>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annual real GDP growth rate has fluctuated over the review period. Real GDP growth was 5.2% in 2014/15, falling to 3.9% in 2016/17 and recovering to 6.1% in 2017/18. This is an average of 4.9% over the review period and lower than the NDPII target of 6.3%. This rate is also lower than the average annual GDP growth rate of 5.4% under NDPI. It is unlikely that the NDPII target of average GDP growth to be 6.3% by 2019/20 will be achieved. Uganda would need to grow at 8.5% over the remaining two years.</w:t>
            </w:r>
          </w:p>
          <w:p w14:paraId="044C783E" w14:textId="77777777" w:rsidR="00A463D0" w:rsidRPr="003315A4" w:rsidRDefault="00860AA5" w:rsidP="00587EDE">
            <w:pPr>
              <w:pStyle w:val="ListParagraph"/>
              <w:numPr>
                <w:ilvl w:val="0"/>
                <w:numId w:val="7"/>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From 2011 to 2016, Uganda’s exports increased at an annualised rate of 3.4%, from USD$2.5 billion in 2011 to USD$2.85 billion in 2016. The most recent exports are led by gold (24.8% of total exports) and coffee (13.7%), raw tobacco (3.3%), tea (2.9%) and cocoa beans (2.6%)</w:t>
            </w:r>
            <w:r w:rsidRPr="003315A4">
              <w:rPr>
                <w:rStyle w:val="FootnoteReference"/>
                <w:rFonts w:ascii="Times New Roman" w:hAnsi="Times New Roman" w:cs="Times New Roman"/>
                <w:sz w:val="20"/>
                <w:szCs w:val="20"/>
              </w:rPr>
              <w:footnoteReference w:id="4"/>
            </w:r>
            <w:r w:rsidRPr="003315A4">
              <w:rPr>
                <w:rFonts w:ascii="Times New Roman" w:hAnsi="Times New Roman" w:cs="Times New Roman"/>
                <w:sz w:val="20"/>
                <w:szCs w:val="20"/>
              </w:rPr>
              <w:t xml:space="preserve">. </w:t>
            </w:r>
            <w:r w:rsidR="008D5FA9" w:rsidRPr="003315A4">
              <w:rPr>
                <w:rFonts w:ascii="Times New Roman" w:hAnsi="Times New Roman" w:cs="Times New Roman"/>
                <w:sz w:val="20"/>
                <w:szCs w:val="20"/>
              </w:rPr>
              <w:t xml:space="preserve">Exports as a % of GDP </w:t>
            </w:r>
            <w:r w:rsidR="00A72902" w:rsidRPr="003315A4">
              <w:rPr>
                <w:rFonts w:ascii="Times New Roman" w:hAnsi="Times New Roman" w:cs="Times New Roman"/>
                <w:sz w:val="20"/>
                <w:szCs w:val="20"/>
              </w:rPr>
              <w:t xml:space="preserve">increased from 9.93 in 2014/15 to </w:t>
            </w:r>
            <w:r w:rsidR="00AF6558" w:rsidRPr="003315A4">
              <w:rPr>
                <w:rFonts w:ascii="Times New Roman" w:hAnsi="Times New Roman" w:cs="Times New Roman"/>
                <w:sz w:val="20"/>
                <w:szCs w:val="20"/>
              </w:rPr>
              <w:t>12.72 in 2017/18.</w:t>
            </w:r>
            <w:r w:rsidR="007D3EEF" w:rsidRPr="003315A4">
              <w:rPr>
                <w:rFonts w:ascii="Times New Roman" w:hAnsi="Times New Roman" w:cs="Times New Roman"/>
                <w:sz w:val="20"/>
                <w:szCs w:val="20"/>
              </w:rPr>
              <w:t xml:space="preserve"> Imports as a % of GDP have also increased over the period, from 18.09% of GDP in 2014/15 to </w:t>
            </w:r>
            <w:r w:rsidR="001B2148" w:rsidRPr="003315A4">
              <w:rPr>
                <w:rFonts w:ascii="Times New Roman" w:hAnsi="Times New Roman" w:cs="Times New Roman"/>
                <w:sz w:val="20"/>
                <w:szCs w:val="20"/>
              </w:rPr>
              <w:t>20.07 in 2017/18.</w:t>
            </w:r>
            <w:r w:rsidR="0093618B" w:rsidRPr="003315A4">
              <w:rPr>
                <w:rFonts w:ascii="Times New Roman" w:hAnsi="Times New Roman" w:cs="Times New Roman"/>
                <w:sz w:val="20"/>
                <w:szCs w:val="20"/>
              </w:rPr>
              <w:t xml:space="preserve"> The current account balance has </w:t>
            </w:r>
            <w:r w:rsidR="0042502D" w:rsidRPr="003315A4">
              <w:rPr>
                <w:rFonts w:ascii="Times New Roman" w:hAnsi="Times New Roman" w:cs="Times New Roman"/>
                <w:sz w:val="20"/>
                <w:szCs w:val="20"/>
              </w:rPr>
              <w:t xml:space="preserve">improved. </w:t>
            </w:r>
          </w:p>
          <w:p w14:paraId="0A9555C9" w14:textId="16EDFA36" w:rsidR="00860AA5" w:rsidRPr="003315A4" w:rsidRDefault="00A463D0" w:rsidP="00587EDE">
            <w:pPr>
              <w:pStyle w:val="ListParagraph"/>
              <w:numPr>
                <w:ilvl w:val="0"/>
                <w:numId w:val="7"/>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According to UN COMTRADE, Uganda’s exports have increased from $2,407.7million in 2013 to $2,901.4 million in 2017, representing </w:t>
            </w:r>
            <w:r w:rsidR="00EE0A6B" w:rsidRPr="003315A4">
              <w:rPr>
                <w:rFonts w:ascii="Times New Roman" w:hAnsi="Times New Roman" w:cs="Times New Roman"/>
                <w:sz w:val="20"/>
                <w:szCs w:val="20"/>
              </w:rPr>
              <w:t xml:space="preserve">20.5% growth over a five-year period. </w:t>
            </w:r>
            <w:r w:rsidR="0059109E" w:rsidRPr="003315A4">
              <w:rPr>
                <w:rFonts w:ascii="Times New Roman" w:hAnsi="Times New Roman" w:cs="Times New Roman"/>
                <w:sz w:val="20"/>
                <w:szCs w:val="20"/>
              </w:rPr>
              <w:t>The export</w:t>
            </w:r>
            <w:r w:rsidR="00747EC4" w:rsidRPr="003315A4">
              <w:rPr>
                <w:rFonts w:ascii="Times New Roman" w:hAnsi="Times New Roman" w:cs="Times New Roman"/>
                <w:sz w:val="20"/>
                <w:szCs w:val="20"/>
              </w:rPr>
              <w:t xml:space="preserve"> value </w:t>
            </w:r>
            <w:r w:rsidR="0059109E" w:rsidRPr="003315A4">
              <w:rPr>
                <w:rFonts w:ascii="Times New Roman" w:hAnsi="Times New Roman" w:cs="Times New Roman"/>
                <w:sz w:val="20"/>
                <w:szCs w:val="20"/>
              </w:rPr>
              <w:t xml:space="preserve">of some commodities has </w:t>
            </w:r>
            <w:r w:rsidR="00747EC4" w:rsidRPr="003315A4">
              <w:rPr>
                <w:rFonts w:ascii="Times New Roman" w:hAnsi="Times New Roman" w:cs="Times New Roman"/>
                <w:sz w:val="20"/>
                <w:szCs w:val="20"/>
              </w:rPr>
              <w:t>increased</w:t>
            </w:r>
            <w:r w:rsidR="0059109E" w:rsidRPr="003315A4">
              <w:rPr>
                <w:rFonts w:ascii="Times New Roman" w:hAnsi="Times New Roman" w:cs="Times New Roman"/>
                <w:sz w:val="20"/>
                <w:szCs w:val="20"/>
              </w:rPr>
              <w:t xml:space="preserve"> over the MTR period e.g. </w:t>
            </w:r>
            <w:r w:rsidR="00EF70CE" w:rsidRPr="003315A4">
              <w:rPr>
                <w:rFonts w:ascii="Times New Roman" w:hAnsi="Times New Roman" w:cs="Times New Roman"/>
                <w:sz w:val="20"/>
                <w:szCs w:val="20"/>
              </w:rPr>
              <w:t>coffee, gold, sugar, maize, beans and cotton</w:t>
            </w:r>
            <w:r w:rsidR="0059109E" w:rsidRPr="003315A4">
              <w:rPr>
                <w:rFonts w:ascii="Times New Roman" w:hAnsi="Times New Roman" w:cs="Times New Roman"/>
                <w:sz w:val="20"/>
                <w:szCs w:val="20"/>
              </w:rPr>
              <w:t xml:space="preserve">; the export </w:t>
            </w:r>
            <w:r w:rsidR="00747EC4" w:rsidRPr="003315A4">
              <w:rPr>
                <w:rFonts w:ascii="Times New Roman" w:hAnsi="Times New Roman" w:cs="Times New Roman"/>
                <w:sz w:val="20"/>
                <w:szCs w:val="20"/>
              </w:rPr>
              <w:t xml:space="preserve">value of other commodities e.g. tea, rice, fish fillets has </w:t>
            </w:r>
            <w:r w:rsidR="0005111C" w:rsidRPr="003315A4">
              <w:rPr>
                <w:rFonts w:ascii="Times New Roman" w:hAnsi="Times New Roman" w:cs="Times New Roman"/>
                <w:sz w:val="20"/>
                <w:szCs w:val="20"/>
              </w:rPr>
              <w:t xml:space="preserve">fallen. </w:t>
            </w:r>
          </w:p>
          <w:p w14:paraId="1E08A842" w14:textId="52C5CE88" w:rsidR="00860AA5" w:rsidRPr="003315A4" w:rsidRDefault="00860AA5" w:rsidP="00587EDE">
            <w:pPr>
              <w:pStyle w:val="ListParagraph"/>
              <w:numPr>
                <w:ilvl w:val="0"/>
                <w:numId w:val="7"/>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Logistics Performance Index (LPI) indicates strengths and weaknesses in the performance of trade logistics. The 2018 LPI ranked Uganda 72</w:t>
            </w:r>
            <w:r w:rsidRPr="003315A4">
              <w:rPr>
                <w:rFonts w:ascii="Times New Roman" w:hAnsi="Times New Roman" w:cs="Times New Roman"/>
                <w:sz w:val="20"/>
                <w:szCs w:val="20"/>
                <w:vertAlign w:val="superscript"/>
              </w:rPr>
              <w:t>nd</w:t>
            </w:r>
            <w:r w:rsidRPr="003315A4">
              <w:rPr>
                <w:rFonts w:ascii="Times New Roman" w:hAnsi="Times New Roman" w:cs="Times New Roman"/>
                <w:sz w:val="20"/>
                <w:szCs w:val="20"/>
              </w:rPr>
              <w:t xml:space="preserve"> out of 167 countries. Broadly speaking, Uganda’s customs and border processes are good for the region but improvements are needed in the speed, simplicity and predictability of formalities. Uganda’s trade and transport infrastructure was also assessed to be poor, impacting export-led growth. Support is </w:t>
            </w:r>
            <w:r w:rsidR="0005111C" w:rsidRPr="003315A4">
              <w:rPr>
                <w:rFonts w:ascii="Times New Roman" w:hAnsi="Times New Roman" w:cs="Times New Roman"/>
                <w:sz w:val="20"/>
                <w:szCs w:val="20"/>
              </w:rPr>
              <w:t xml:space="preserve">also </w:t>
            </w:r>
            <w:r w:rsidRPr="003315A4">
              <w:rPr>
                <w:rFonts w:ascii="Times New Roman" w:hAnsi="Times New Roman" w:cs="Times New Roman"/>
                <w:sz w:val="20"/>
                <w:szCs w:val="20"/>
              </w:rPr>
              <w:t>needed to improve the quality and logistics services.</w:t>
            </w:r>
          </w:p>
        </w:tc>
      </w:tr>
      <w:tr w:rsidR="00860AA5" w:rsidRPr="003315A4" w14:paraId="10C87AC6" w14:textId="77777777" w:rsidTr="00B82873">
        <w:tc>
          <w:tcPr>
            <w:tcW w:w="318" w:type="dxa"/>
            <w:shd w:val="clear" w:color="auto" w:fill="E2EFD9" w:themeFill="accent6" w:themeFillTint="33"/>
          </w:tcPr>
          <w:p w14:paraId="22666F24"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2</w:t>
            </w:r>
          </w:p>
        </w:tc>
        <w:tc>
          <w:tcPr>
            <w:tcW w:w="2376" w:type="dxa"/>
            <w:shd w:val="clear" w:color="auto" w:fill="E2EFD9" w:themeFill="accent6" w:themeFillTint="33"/>
          </w:tcPr>
          <w:p w14:paraId="6EB2DBC3"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 xml:space="preserve">Agricultural value-addition </w:t>
            </w:r>
          </w:p>
          <w:p w14:paraId="785A3F8A" w14:textId="5117C1D0" w:rsidR="001405A5" w:rsidRPr="003315A4" w:rsidRDefault="001405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lastRenderedPageBreak/>
              <w:t>NDPII Target:</w:t>
            </w:r>
            <w:r w:rsidR="003067F3" w:rsidRPr="003315A4">
              <w:rPr>
                <w:rFonts w:ascii="Times New Roman" w:hAnsi="Times New Roman" w:cs="Times New Roman"/>
                <w:sz w:val="20"/>
                <w:szCs w:val="20"/>
              </w:rPr>
              <w:t xml:space="preserve"> </w:t>
            </w:r>
            <w:r w:rsidR="00130F28" w:rsidRPr="003315A4">
              <w:rPr>
                <w:rFonts w:ascii="Times New Roman" w:hAnsi="Times New Roman" w:cs="Times New Roman"/>
                <w:sz w:val="20"/>
                <w:szCs w:val="20"/>
              </w:rPr>
              <w:t xml:space="preserve">% increase in the value addition of exports for different products </w:t>
            </w:r>
            <w:r w:rsidR="00863F55" w:rsidRPr="003315A4">
              <w:rPr>
                <w:rFonts w:ascii="Times New Roman" w:hAnsi="Times New Roman" w:cs="Times New Roman"/>
                <w:sz w:val="20"/>
                <w:szCs w:val="20"/>
              </w:rPr>
              <w:t xml:space="preserve">and </w:t>
            </w:r>
            <w:r w:rsidR="00C652F0" w:rsidRPr="003315A4">
              <w:rPr>
                <w:rFonts w:ascii="Times New Roman" w:hAnsi="Times New Roman" w:cs="Times New Roman"/>
                <w:sz w:val="20"/>
                <w:szCs w:val="20"/>
              </w:rPr>
              <w:t>an increase</w:t>
            </w:r>
            <w:r w:rsidR="00863F55" w:rsidRPr="003315A4">
              <w:rPr>
                <w:rFonts w:ascii="Times New Roman" w:hAnsi="Times New Roman" w:cs="Times New Roman"/>
                <w:sz w:val="20"/>
                <w:szCs w:val="20"/>
              </w:rPr>
              <w:t xml:space="preserve"> in exports.</w:t>
            </w:r>
          </w:p>
          <w:p w14:paraId="4EC274EB" w14:textId="2D68292E" w:rsidR="001405A5" w:rsidRPr="003315A4" w:rsidRDefault="001405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Progress:</w:t>
            </w:r>
            <w:r w:rsidR="001D275F" w:rsidRPr="003315A4">
              <w:rPr>
                <w:rFonts w:ascii="Times New Roman" w:hAnsi="Times New Roman" w:cs="Times New Roman"/>
                <w:i/>
                <w:sz w:val="20"/>
                <w:szCs w:val="20"/>
              </w:rPr>
              <w:t xml:space="preserve"> </w:t>
            </w:r>
            <w:r w:rsidR="001D275F" w:rsidRPr="003315A4">
              <w:rPr>
                <w:rFonts w:ascii="Times New Roman" w:hAnsi="Times New Roman" w:cs="Times New Roman"/>
                <w:sz w:val="20"/>
                <w:szCs w:val="20"/>
              </w:rPr>
              <w:t>Positive but s</w:t>
            </w:r>
            <w:r w:rsidRPr="003315A4">
              <w:rPr>
                <w:rFonts w:ascii="Times New Roman" w:hAnsi="Times New Roman" w:cs="Times New Roman"/>
                <w:sz w:val="20"/>
                <w:szCs w:val="20"/>
              </w:rPr>
              <w:t>low.</w:t>
            </w:r>
            <w:r w:rsidR="001D275F" w:rsidRPr="003315A4">
              <w:rPr>
                <w:rFonts w:ascii="Times New Roman" w:hAnsi="Times New Roman" w:cs="Times New Roman"/>
                <w:sz w:val="20"/>
                <w:szCs w:val="20"/>
              </w:rPr>
              <w:t xml:space="preserve"> Increased investment is needed to increase pace of change.</w:t>
            </w:r>
          </w:p>
        </w:tc>
        <w:tc>
          <w:tcPr>
            <w:tcW w:w="12191" w:type="dxa"/>
          </w:tcPr>
          <w:p w14:paraId="150C4818" w14:textId="361D5BD1" w:rsidR="00860AA5" w:rsidRPr="003315A4" w:rsidRDefault="00860AA5" w:rsidP="00587EDE">
            <w:pPr>
              <w:pStyle w:val="ListParagraph"/>
              <w:numPr>
                <w:ilvl w:val="0"/>
                <w:numId w:val="8"/>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lastRenderedPageBreak/>
              <w:t xml:space="preserve">Agriculture has seen a positive annual GDP growth rate over the review period. However, the contribution of agriculture, forestry and fishing to GDP declined by 1.4% over the review period (UBOS, 2018).  </w:t>
            </w:r>
          </w:p>
          <w:p w14:paraId="133689B4" w14:textId="60647635" w:rsidR="00860AA5" w:rsidRPr="003315A4" w:rsidRDefault="00860AA5" w:rsidP="00587EDE">
            <w:pPr>
              <w:pStyle w:val="ListParagraph"/>
              <w:numPr>
                <w:ilvl w:val="0"/>
                <w:numId w:val="8"/>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lastRenderedPageBreak/>
              <w:t>The agriculture sector has grown at a slow rate, averaging 2.7% over the review period.</w:t>
            </w:r>
            <w:r w:rsidR="001405A5" w:rsidRPr="003315A4">
              <w:rPr>
                <w:rFonts w:ascii="Times New Roman" w:hAnsi="Times New Roman" w:cs="Times New Roman"/>
                <w:sz w:val="20"/>
                <w:szCs w:val="20"/>
              </w:rPr>
              <w:t xml:space="preserve"> Growth remains lumpy and slow.</w:t>
            </w:r>
            <w:r w:rsidRPr="003315A4">
              <w:rPr>
                <w:rFonts w:ascii="Times New Roman" w:hAnsi="Times New Roman" w:cs="Times New Roman"/>
                <w:sz w:val="20"/>
                <w:szCs w:val="20"/>
              </w:rPr>
              <w:t xml:space="preserve"> This is however an improvement on the average annual growth rate of 2.1% registered over the NDPI period. </w:t>
            </w:r>
          </w:p>
          <w:p w14:paraId="5B5C8F18" w14:textId="77777777" w:rsidR="0060729F" w:rsidRPr="003315A4" w:rsidRDefault="00860AA5" w:rsidP="00587EDE">
            <w:pPr>
              <w:pStyle w:val="ListParagraph"/>
              <w:numPr>
                <w:ilvl w:val="0"/>
                <w:numId w:val="8"/>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contribution of all agriculture sub-sectors to GDP registered a decline in the review period with the exception of cash crops that registered a 0.1 increase. This increase is attributable to an increase in the production and productivity of coffee.</w:t>
            </w:r>
            <w:r w:rsidR="0060729F" w:rsidRPr="003315A4">
              <w:rPr>
                <w:rFonts w:ascii="Times New Roman" w:hAnsi="Times New Roman" w:cs="Times New Roman"/>
                <w:sz w:val="20"/>
                <w:szCs w:val="20"/>
              </w:rPr>
              <w:t xml:space="preserve"> </w:t>
            </w:r>
          </w:p>
          <w:p w14:paraId="2E4D6EB9" w14:textId="45359CCD" w:rsidR="00860AA5" w:rsidRPr="003315A4" w:rsidRDefault="0060729F" w:rsidP="00587EDE">
            <w:pPr>
              <w:pStyle w:val="ListParagraph"/>
              <w:numPr>
                <w:ilvl w:val="0"/>
                <w:numId w:val="8"/>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GDP from cash crops averaged 6.7% over the first three years of NDPII</w:t>
            </w:r>
            <w:r w:rsidR="00AF57A6" w:rsidRPr="003315A4">
              <w:rPr>
                <w:rFonts w:ascii="Times New Roman" w:hAnsi="Times New Roman" w:cs="Times New Roman"/>
                <w:sz w:val="20"/>
                <w:szCs w:val="20"/>
              </w:rPr>
              <w:t xml:space="preserve">, compared to an average of 2.6% over the NDPI period. This is a positive result, attributable to </w:t>
            </w:r>
            <w:r w:rsidR="009A2561" w:rsidRPr="003315A4">
              <w:rPr>
                <w:rFonts w:ascii="Times New Roman" w:hAnsi="Times New Roman" w:cs="Times New Roman"/>
                <w:sz w:val="20"/>
                <w:szCs w:val="20"/>
              </w:rPr>
              <w:t>Government</w:t>
            </w:r>
            <w:r w:rsidR="00AF57A6" w:rsidRPr="003315A4">
              <w:rPr>
                <w:rFonts w:ascii="Times New Roman" w:hAnsi="Times New Roman" w:cs="Times New Roman"/>
                <w:sz w:val="20"/>
                <w:szCs w:val="20"/>
              </w:rPr>
              <w:t xml:space="preserve"> efforts to revamp key cash crops especially coffee, cocoa and tea. </w:t>
            </w:r>
            <w:r w:rsidR="00244E6F" w:rsidRPr="003315A4">
              <w:rPr>
                <w:rFonts w:ascii="Times New Roman" w:hAnsi="Times New Roman" w:cs="Times New Roman"/>
                <w:sz w:val="20"/>
                <w:szCs w:val="20"/>
              </w:rPr>
              <w:t xml:space="preserve">It is not enough however to </w:t>
            </w:r>
            <w:r w:rsidR="00F8078B" w:rsidRPr="003315A4">
              <w:rPr>
                <w:rFonts w:ascii="Times New Roman" w:hAnsi="Times New Roman" w:cs="Times New Roman"/>
                <w:sz w:val="20"/>
                <w:szCs w:val="20"/>
              </w:rPr>
              <w:t xml:space="preserve">lift the growth rate of the </w:t>
            </w:r>
            <w:r w:rsidR="00CA4860" w:rsidRPr="003315A4">
              <w:rPr>
                <w:rFonts w:ascii="Times New Roman" w:hAnsi="Times New Roman" w:cs="Times New Roman"/>
                <w:sz w:val="20"/>
                <w:szCs w:val="20"/>
              </w:rPr>
              <w:t>sector, nor</w:t>
            </w:r>
            <w:r w:rsidR="00F8078B" w:rsidRPr="003315A4">
              <w:rPr>
                <w:rFonts w:ascii="Times New Roman" w:hAnsi="Times New Roman" w:cs="Times New Roman"/>
                <w:sz w:val="20"/>
                <w:szCs w:val="20"/>
              </w:rPr>
              <w:t xml:space="preserve"> </w:t>
            </w:r>
            <w:r w:rsidR="00CA4860" w:rsidRPr="003315A4">
              <w:rPr>
                <w:rFonts w:ascii="Times New Roman" w:hAnsi="Times New Roman" w:cs="Times New Roman"/>
                <w:sz w:val="20"/>
                <w:szCs w:val="20"/>
              </w:rPr>
              <w:t>meet the value-addition targets set out in the results framework.</w:t>
            </w:r>
          </w:p>
          <w:p w14:paraId="6B9D68C0" w14:textId="76671D35" w:rsidR="00860AA5" w:rsidRPr="003315A4" w:rsidRDefault="00860AA5" w:rsidP="00587EDE">
            <w:pPr>
              <w:pStyle w:val="ListParagraph"/>
              <w:numPr>
                <w:ilvl w:val="0"/>
                <w:numId w:val="8"/>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Drought affected the agriculture sector in 2015/16 and 2016/1</w:t>
            </w:r>
            <w:r w:rsidR="00C652F0" w:rsidRPr="003315A4">
              <w:rPr>
                <w:rFonts w:ascii="Times New Roman" w:hAnsi="Times New Roman" w:cs="Times New Roman"/>
                <w:sz w:val="20"/>
                <w:szCs w:val="20"/>
              </w:rPr>
              <w:t>7, impacting on growth of the sector.</w:t>
            </w:r>
          </w:p>
        </w:tc>
      </w:tr>
      <w:tr w:rsidR="00860AA5" w:rsidRPr="003315A4" w14:paraId="0F60F681" w14:textId="77777777" w:rsidTr="00B82873">
        <w:tc>
          <w:tcPr>
            <w:tcW w:w="318" w:type="dxa"/>
            <w:shd w:val="clear" w:color="auto" w:fill="E2EFD9" w:themeFill="accent6" w:themeFillTint="33"/>
          </w:tcPr>
          <w:p w14:paraId="761ABC7E"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lastRenderedPageBreak/>
              <w:t>3</w:t>
            </w:r>
          </w:p>
        </w:tc>
        <w:tc>
          <w:tcPr>
            <w:tcW w:w="2376" w:type="dxa"/>
            <w:shd w:val="clear" w:color="auto" w:fill="E2EFD9" w:themeFill="accent6" w:themeFillTint="33"/>
          </w:tcPr>
          <w:p w14:paraId="7ABE214F"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 xml:space="preserve">Mineral beneficiation </w:t>
            </w:r>
          </w:p>
          <w:p w14:paraId="180EA927"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NDPII Target:</w:t>
            </w:r>
            <w:r w:rsidRPr="003315A4">
              <w:rPr>
                <w:rFonts w:ascii="Times New Roman" w:hAnsi="Times New Roman" w:cs="Times New Roman"/>
                <w:sz w:val="20"/>
                <w:szCs w:val="20"/>
              </w:rPr>
              <w:t xml:space="preserve"> Industry sector</w:t>
            </w:r>
            <w:r w:rsidRPr="003315A4">
              <w:rPr>
                <w:rStyle w:val="FootnoteReference"/>
                <w:rFonts w:ascii="Times New Roman" w:hAnsi="Times New Roman" w:cs="Times New Roman"/>
                <w:sz w:val="20"/>
                <w:szCs w:val="20"/>
              </w:rPr>
              <w:footnoteReference w:id="5"/>
            </w:r>
            <w:r w:rsidRPr="003315A4">
              <w:rPr>
                <w:rFonts w:ascii="Times New Roman" w:hAnsi="Times New Roman" w:cs="Times New Roman"/>
                <w:sz w:val="20"/>
                <w:szCs w:val="20"/>
              </w:rPr>
              <w:t xml:space="preserve"> was projected to contribute 27.3% of GDP in 2015/16 and 27.4% in 2017/18</w:t>
            </w:r>
          </w:p>
          <w:p w14:paraId="00281076" w14:textId="449A49E5" w:rsidR="001D275F" w:rsidRPr="003315A4" w:rsidRDefault="001D275F" w:rsidP="00587EDE">
            <w:pPr>
              <w:spacing w:line="360" w:lineRule="auto"/>
              <w:jc w:val="both"/>
              <w:rPr>
                <w:rFonts w:ascii="Times New Roman" w:hAnsi="Times New Roman" w:cs="Times New Roman"/>
                <w:i/>
                <w:sz w:val="20"/>
                <w:szCs w:val="20"/>
              </w:rPr>
            </w:pPr>
            <w:r w:rsidRPr="003315A4">
              <w:rPr>
                <w:rFonts w:ascii="Times New Roman" w:hAnsi="Times New Roman" w:cs="Times New Roman"/>
                <w:i/>
                <w:sz w:val="20"/>
                <w:szCs w:val="20"/>
              </w:rPr>
              <w:t>Progress:</w:t>
            </w:r>
            <w:r w:rsidR="00F34351" w:rsidRPr="003315A4">
              <w:rPr>
                <w:rFonts w:ascii="Times New Roman" w:hAnsi="Times New Roman" w:cs="Times New Roman"/>
                <w:i/>
                <w:sz w:val="20"/>
                <w:szCs w:val="20"/>
              </w:rPr>
              <w:t xml:space="preserve"> </w:t>
            </w:r>
            <w:r w:rsidR="00F34351" w:rsidRPr="003315A4">
              <w:rPr>
                <w:rFonts w:ascii="Times New Roman" w:hAnsi="Times New Roman" w:cs="Times New Roman"/>
                <w:sz w:val="20"/>
                <w:szCs w:val="20"/>
              </w:rPr>
              <w:t>Positive but slow. Increased investment is needed to increase pace of change.</w:t>
            </w:r>
          </w:p>
        </w:tc>
        <w:tc>
          <w:tcPr>
            <w:tcW w:w="12191" w:type="dxa"/>
          </w:tcPr>
          <w:p w14:paraId="1C0C32F2" w14:textId="03A7D1A3" w:rsidR="00860AA5" w:rsidRPr="003315A4" w:rsidRDefault="00860AA5" w:rsidP="00587EDE">
            <w:pPr>
              <w:pStyle w:val="ListParagraph"/>
              <w:numPr>
                <w:ilvl w:val="0"/>
                <w:numId w:val="10"/>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contribution of industry to GDP declined by 0.1% over the review period (UBOS, 2018). 18.7% of GDP was attributable to industry in 2015/16 and 18.6% in 2017/18. This is below the NDPII target.</w:t>
            </w:r>
          </w:p>
          <w:p w14:paraId="1B0B2A9C" w14:textId="77777777" w:rsidR="00860AA5" w:rsidRPr="003315A4" w:rsidRDefault="00860AA5" w:rsidP="00587EDE">
            <w:pPr>
              <w:pStyle w:val="ListParagraph"/>
              <w:numPr>
                <w:ilvl w:val="0"/>
                <w:numId w:val="10"/>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Growth rates for industry also declined but have remained positive - from 7.8% in 2014/15 to 6.1% in 2017/18. Mining and quarrying is the largest contributor to the industry sector.</w:t>
            </w:r>
          </w:p>
          <w:p w14:paraId="166E697B" w14:textId="77777777" w:rsidR="00860AA5" w:rsidRPr="003315A4" w:rsidRDefault="00860AA5" w:rsidP="00587EDE">
            <w:pPr>
              <w:pStyle w:val="ListParagraph"/>
              <w:numPr>
                <w:ilvl w:val="0"/>
                <w:numId w:val="10"/>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Growth in mining and quarrying activities has been lumpy over the NDPII review period. Overall, mining and quarrying activities have grown by 10.9% over the first three years of NDPII; this compares favourably to the average of 11.8% over the five-year NDPI period. </w:t>
            </w:r>
          </w:p>
          <w:p w14:paraId="24D1601D" w14:textId="28822ACC" w:rsidR="00860AA5" w:rsidRPr="003315A4" w:rsidRDefault="009A2561" w:rsidP="00587EDE">
            <w:pPr>
              <w:pStyle w:val="ListParagraph"/>
              <w:numPr>
                <w:ilvl w:val="0"/>
                <w:numId w:val="10"/>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Government</w:t>
            </w:r>
            <w:r w:rsidR="00372C53" w:rsidRPr="003315A4">
              <w:rPr>
                <w:rFonts w:ascii="Times New Roman" w:hAnsi="Times New Roman" w:cs="Times New Roman"/>
                <w:sz w:val="20"/>
                <w:szCs w:val="20"/>
              </w:rPr>
              <w:t xml:space="preserve"> </w:t>
            </w:r>
            <w:r w:rsidR="00860AA5" w:rsidRPr="003315A4">
              <w:rPr>
                <w:rFonts w:ascii="Times New Roman" w:hAnsi="Times New Roman" w:cs="Times New Roman"/>
                <w:sz w:val="20"/>
                <w:szCs w:val="20"/>
              </w:rPr>
              <w:t>has sort to attract private investment in the mining and quarrying sub-sector</w:t>
            </w:r>
            <w:r w:rsidR="001D275F" w:rsidRPr="003315A4">
              <w:rPr>
                <w:rFonts w:ascii="Times New Roman" w:hAnsi="Times New Roman" w:cs="Times New Roman"/>
                <w:sz w:val="20"/>
                <w:szCs w:val="20"/>
              </w:rPr>
              <w:t xml:space="preserve"> </w:t>
            </w:r>
            <w:r w:rsidR="00C92221" w:rsidRPr="003315A4">
              <w:rPr>
                <w:rFonts w:ascii="Times New Roman" w:hAnsi="Times New Roman" w:cs="Times New Roman"/>
                <w:sz w:val="20"/>
                <w:szCs w:val="20"/>
              </w:rPr>
              <w:t xml:space="preserve">and has invested in mineral valued addition projects. </w:t>
            </w:r>
            <w:r w:rsidR="001D275F" w:rsidRPr="003315A4">
              <w:rPr>
                <w:rFonts w:ascii="Times New Roman" w:hAnsi="Times New Roman" w:cs="Times New Roman"/>
                <w:sz w:val="20"/>
                <w:szCs w:val="20"/>
              </w:rPr>
              <w:t xml:space="preserve">Progress is however slow. </w:t>
            </w:r>
            <w:r w:rsidR="00C92221" w:rsidRPr="003315A4">
              <w:rPr>
                <w:rFonts w:ascii="Times New Roman" w:hAnsi="Times New Roman" w:cs="Times New Roman"/>
                <w:sz w:val="20"/>
                <w:szCs w:val="20"/>
              </w:rPr>
              <w:t xml:space="preserve">For instance, </w:t>
            </w:r>
            <w:r w:rsidR="002E6355" w:rsidRPr="003315A4">
              <w:rPr>
                <w:rFonts w:ascii="Times New Roman" w:hAnsi="Times New Roman" w:cs="Times New Roman"/>
                <w:sz w:val="20"/>
                <w:szCs w:val="20"/>
              </w:rPr>
              <w:t xml:space="preserve">in 2017/18, the </w:t>
            </w:r>
            <w:r w:rsidRPr="003315A4">
              <w:rPr>
                <w:rFonts w:ascii="Times New Roman" w:hAnsi="Times New Roman" w:cs="Times New Roman"/>
                <w:sz w:val="20"/>
                <w:szCs w:val="20"/>
              </w:rPr>
              <w:t>Government</w:t>
            </w:r>
            <w:r w:rsidR="002E6355" w:rsidRPr="003315A4">
              <w:rPr>
                <w:rFonts w:ascii="Times New Roman" w:hAnsi="Times New Roman" w:cs="Times New Roman"/>
                <w:sz w:val="20"/>
                <w:szCs w:val="20"/>
              </w:rPr>
              <w:t xml:space="preserve"> invested in setting up an integrated cement plant. The part </w:t>
            </w:r>
            <w:r w:rsidRPr="003315A4">
              <w:rPr>
                <w:rFonts w:ascii="Times New Roman" w:hAnsi="Times New Roman" w:cs="Times New Roman"/>
                <w:sz w:val="20"/>
                <w:szCs w:val="20"/>
              </w:rPr>
              <w:t>Government</w:t>
            </w:r>
            <w:r w:rsidR="002E6355" w:rsidRPr="003315A4">
              <w:rPr>
                <w:rFonts w:ascii="Times New Roman" w:hAnsi="Times New Roman" w:cs="Times New Roman"/>
                <w:sz w:val="20"/>
                <w:szCs w:val="20"/>
              </w:rPr>
              <w:t xml:space="preserve"> owned-plant (45%) </w:t>
            </w:r>
            <w:r w:rsidR="001D275F" w:rsidRPr="003315A4">
              <w:rPr>
                <w:rFonts w:ascii="Times New Roman" w:hAnsi="Times New Roman" w:cs="Times New Roman"/>
                <w:sz w:val="20"/>
                <w:szCs w:val="20"/>
              </w:rPr>
              <w:t xml:space="preserve">is expected to produce cement, marble and lime. To date a feasibility study and land acquisition has been undertaken. Other projects commissioned during the review period include a glass manufacturing plant (70% </w:t>
            </w:r>
            <w:r w:rsidRPr="003315A4">
              <w:rPr>
                <w:rFonts w:ascii="Times New Roman" w:hAnsi="Times New Roman" w:cs="Times New Roman"/>
                <w:sz w:val="20"/>
                <w:szCs w:val="20"/>
              </w:rPr>
              <w:t>Government</w:t>
            </w:r>
            <w:r w:rsidR="001D275F" w:rsidRPr="003315A4">
              <w:rPr>
                <w:rFonts w:ascii="Times New Roman" w:hAnsi="Times New Roman" w:cs="Times New Roman"/>
                <w:sz w:val="20"/>
                <w:szCs w:val="20"/>
              </w:rPr>
              <w:t xml:space="preserve"> owned), a salt chemical plan (70% </w:t>
            </w:r>
            <w:r w:rsidRPr="003315A4">
              <w:rPr>
                <w:rFonts w:ascii="Times New Roman" w:hAnsi="Times New Roman" w:cs="Times New Roman"/>
                <w:sz w:val="20"/>
                <w:szCs w:val="20"/>
              </w:rPr>
              <w:t>Government</w:t>
            </w:r>
            <w:r w:rsidR="001D275F" w:rsidRPr="003315A4">
              <w:rPr>
                <w:rFonts w:ascii="Times New Roman" w:hAnsi="Times New Roman" w:cs="Times New Roman"/>
                <w:sz w:val="20"/>
                <w:szCs w:val="20"/>
              </w:rPr>
              <w:t xml:space="preserve"> owned) and a feasibility study into the beneficiation of iron ore deposits.</w:t>
            </w:r>
          </w:p>
        </w:tc>
      </w:tr>
      <w:tr w:rsidR="00860AA5" w:rsidRPr="003315A4" w14:paraId="1DFA6602" w14:textId="77777777" w:rsidTr="00B82873">
        <w:tc>
          <w:tcPr>
            <w:tcW w:w="318" w:type="dxa"/>
            <w:shd w:val="clear" w:color="auto" w:fill="E2EFD9" w:themeFill="accent6" w:themeFillTint="33"/>
          </w:tcPr>
          <w:p w14:paraId="15DD6EA9"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lastRenderedPageBreak/>
              <w:t>4</w:t>
            </w:r>
          </w:p>
        </w:tc>
        <w:tc>
          <w:tcPr>
            <w:tcW w:w="2376" w:type="dxa"/>
            <w:shd w:val="clear" w:color="auto" w:fill="E2EFD9" w:themeFill="accent6" w:themeFillTint="33"/>
          </w:tcPr>
          <w:p w14:paraId="6AEAFAEB"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Heavy and light manufacturing</w:t>
            </w:r>
          </w:p>
          <w:p w14:paraId="7CEBB8E6"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NDPII Target</w:t>
            </w:r>
            <w:r w:rsidRPr="003315A4">
              <w:rPr>
                <w:rFonts w:ascii="Times New Roman" w:hAnsi="Times New Roman" w:cs="Times New Roman"/>
                <w:sz w:val="20"/>
                <w:szCs w:val="20"/>
              </w:rPr>
              <w:t>: Industry sector was projected to contribute 27.3% of GDP in 2015/16 and 27.4% in 2017/18</w:t>
            </w:r>
          </w:p>
          <w:p w14:paraId="173FF9CF" w14:textId="7E75306A" w:rsidR="00176D28" w:rsidRPr="003315A4" w:rsidRDefault="00176D28"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Progress:</w:t>
            </w:r>
            <w:r w:rsidRPr="003315A4">
              <w:rPr>
                <w:rFonts w:ascii="Times New Roman" w:hAnsi="Times New Roman" w:cs="Times New Roman"/>
                <w:sz w:val="20"/>
                <w:szCs w:val="20"/>
              </w:rPr>
              <w:t xml:space="preserve"> Poor. </w:t>
            </w:r>
            <w:r w:rsidR="00E745E1" w:rsidRPr="003315A4">
              <w:rPr>
                <w:rFonts w:ascii="Times New Roman" w:hAnsi="Times New Roman" w:cs="Times New Roman"/>
                <w:sz w:val="20"/>
                <w:szCs w:val="20"/>
              </w:rPr>
              <w:t>Manufacturing annual growth rates have fallen.</w:t>
            </w:r>
          </w:p>
        </w:tc>
        <w:tc>
          <w:tcPr>
            <w:tcW w:w="12191" w:type="dxa"/>
          </w:tcPr>
          <w:p w14:paraId="0C5F3EB0" w14:textId="353EA3AD" w:rsidR="00860AA5" w:rsidRPr="003315A4" w:rsidRDefault="00860AA5" w:rsidP="00587EDE">
            <w:pPr>
              <w:pStyle w:val="ListParagraph"/>
              <w:numPr>
                <w:ilvl w:val="0"/>
                <w:numId w:val="9"/>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Manufacturing annual growth rates fell over the NDPII review period - from 11.6% in 2014/15 to 1.7% in 2017/18. The annual average growth was 1.5% for the first three years of NDPII compared to 4.4% over the NDPI period. </w:t>
            </w:r>
          </w:p>
          <w:p w14:paraId="3F19EE1A" w14:textId="7D8FF2B0" w:rsidR="00932E7C" w:rsidRPr="003315A4" w:rsidRDefault="00932E7C" w:rsidP="00587EDE">
            <w:pPr>
              <w:pStyle w:val="ListParagraph"/>
              <w:numPr>
                <w:ilvl w:val="0"/>
                <w:numId w:val="9"/>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The industry </w:t>
            </w:r>
            <w:r w:rsidR="005B3AED" w:rsidRPr="003315A4">
              <w:rPr>
                <w:rFonts w:ascii="Times New Roman" w:hAnsi="Times New Roman" w:cs="Times New Roman"/>
                <w:sz w:val="20"/>
                <w:szCs w:val="20"/>
              </w:rPr>
              <w:t xml:space="preserve">sector </w:t>
            </w:r>
            <w:r w:rsidRPr="003315A4">
              <w:rPr>
                <w:rFonts w:ascii="Times New Roman" w:hAnsi="Times New Roman" w:cs="Times New Roman"/>
                <w:sz w:val="20"/>
                <w:szCs w:val="20"/>
              </w:rPr>
              <w:t xml:space="preserve">contributed </w:t>
            </w:r>
            <w:r w:rsidR="00D320D4" w:rsidRPr="003315A4">
              <w:rPr>
                <w:rFonts w:ascii="Times New Roman" w:hAnsi="Times New Roman" w:cs="Times New Roman"/>
                <w:sz w:val="20"/>
                <w:szCs w:val="20"/>
              </w:rPr>
              <w:t>18.7</w:t>
            </w:r>
            <w:r w:rsidRPr="003315A4">
              <w:rPr>
                <w:rFonts w:ascii="Times New Roman" w:hAnsi="Times New Roman" w:cs="Times New Roman"/>
                <w:sz w:val="20"/>
                <w:szCs w:val="20"/>
              </w:rPr>
              <w:t xml:space="preserve">% of GDP in 2015/16 and </w:t>
            </w:r>
            <w:r w:rsidR="005B3AED" w:rsidRPr="003315A4">
              <w:rPr>
                <w:rFonts w:ascii="Times New Roman" w:hAnsi="Times New Roman" w:cs="Times New Roman"/>
                <w:sz w:val="20"/>
                <w:szCs w:val="20"/>
              </w:rPr>
              <w:t>18.6</w:t>
            </w:r>
            <w:r w:rsidRPr="003315A4">
              <w:rPr>
                <w:rFonts w:ascii="Times New Roman" w:hAnsi="Times New Roman" w:cs="Times New Roman"/>
                <w:sz w:val="20"/>
                <w:szCs w:val="20"/>
              </w:rPr>
              <w:t>% in 2017/18. This is below the NDPII target.</w:t>
            </w:r>
          </w:p>
          <w:p w14:paraId="3CF49A2A" w14:textId="0287A983" w:rsidR="00860AA5" w:rsidRPr="003315A4" w:rsidRDefault="00860AA5" w:rsidP="00587EDE">
            <w:pPr>
              <w:pStyle w:val="ListParagraph"/>
              <w:numPr>
                <w:ilvl w:val="0"/>
                <w:numId w:val="9"/>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Weak manufacturing growth is attributable to uncompetitive products</w:t>
            </w:r>
            <w:r w:rsidR="00176D28" w:rsidRPr="003315A4">
              <w:rPr>
                <w:rFonts w:ascii="Times New Roman" w:hAnsi="Times New Roman" w:cs="Times New Roman"/>
                <w:sz w:val="20"/>
                <w:szCs w:val="20"/>
              </w:rPr>
              <w:t>.</w:t>
            </w:r>
            <w:r w:rsidR="005256B7" w:rsidRPr="003315A4">
              <w:rPr>
                <w:rFonts w:ascii="Times New Roman" w:hAnsi="Times New Roman" w:cs="Times New Roman"/>
                <w:sz w:val="20"/>
                <w:szCs w:val="20"/>
              </w:rPr>
              <w:t xml:space="preserve"> </w:t>
            </w:r>
            <w:r w:rsidR="00176D28" w:rsidRPr="003315A4">
              <w:rPr>
                <w:rFonts w:ascii="Times New Roman" w:hAnsi="Times New Roman" w:cs="Times New Roman"/>
                <w:sz w:val="20"/>
                <w:szCs w:val="20"/>
              </w:rPr>
              <w:t>T</w:t>
            </w:r>
            <w:r w:rsidRPr="003315A4">
              <w:rPr>
                <w:rFonts w:ascii="Times New Roman" w:hAnsi="Times New Roman" w:cs="Times New Roman"/>
                <w:sz w:val="20"/>
                <w:szCs w:val="20"/>
              </w:rPr>
              <w:t xml:space="preserve">he high cost of utilities (power and water), old technology and an unsupportive business environment (e.g. high interest rates) undermine the competitiveness of the sector. </w:t>
            </w:r>
          </w:p>
          <w:p w14:paraId="0ECB07E4" w14:textId="77777777" w:rsidR="00860AA5" w:rsidRPr="003315A4" w:rsidRDefault="00860AA5" w:rsidP="00587EDE">
            <w:pPr>
              <w:pStyle w:val="ListParagraph"/>
              <w:numPr>
                <w:ilvl w:val="0"/>
                <w:numId w:val="9"/>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Growth of electricity, water and construction sub-sectors (average of 6.2%, 6.4% and 6.5% respectively) over the NDPII period will however hopefully help boost manufacturing. </w:t>
            </w:r>
          </w:p>
        </w:tc>
      </w:tr>
      <w:tr w:rsidR="00860AA5" w:rsidRPr="003315A4" w14:paraId="182A95FF" w14:textId="77777777" w:rsidTr="00B82873">
        <w:tc>
          <w:tcPr>
            <w:tcW w:w="318" w:type="dxa"/>
            <w:shd w:val="clear" w:color="auto" w:fill="E2EFD9" w:themeFill="accent6" w:themeFillTint="33"/>
          </w:tcPr>
          <w:p w14:paraId="2A282CB3"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5</w:t>
            </w:r>
          </w:p>
        </w:tc>
        <w:tc>
          <w:tcPr>
            <w:tcW w:w="2376" w:type="dxa"/>
            <w:shd w:val="clear" w:color="auto" w:fill="E2EFD9" w:themeFill="accent6" w:themeFillTint="33"/>
          </w:tcPr>
          <w:p w14:paraId="62479DED"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Private-sector led growth</w:t>
            </w:r>
          </w:p>
          <w:p w14:paraId="4A131EAB"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NDPII Targets</w:t>
            </w:r>
            <w:r w:rsidRPr="003315A4">
              <w:rPr>
                <w:rFonts w:ascii="Times New Roman" w:hAnsi="Times New Roman" w:cs="Times New Roman"/>
                <w:sz w:val="20"/>
                <w:szCs w:val="20"/>
              </w:rPr>
              <w:t>: Uganda to be 120 out of 189 countries in ease of doing business index by 2017/18. Uganda to be 110 out of 148 countries in global competitiveness index by 2017/18.</w:t>
            </w:r>
          </w:p>
          <w:p w14:paraId="44CE89F0" w14:textId="1767307C" w:rsidR="00327891" w:rsidRPr="003315A4" w:rsidRDefault="00327891" w:rsidP="00587EDE">
            <w:pPr>
              <w:spacing w:line="360" w:lineRule="auto"/>
              <w:jc w:val="both"/>
              <w:rPr>
                <w:rFonts w:ascii="Times New Roman" w:hAnsi="Times New Roman" w:cs="Times New Roman"/>
                <w:i/>
                <w:sz w:val="20"/>
                <w:szCs w:val="20"/>
              </w:rPr>
            </w:pPr>
            <w:r w:rsidRPr="003315A4">
              <w:rPr>
                <w:rFonts w:ascii="Times New Roman" w:hAnsi="Times New Roman" w:cs="Times New Roman"/>
                <w:i/>
                <w:sz w:val="20"/>
                <w:szCs w:val="20"/>
              </w:rPr>
              <w:t xml:space="preserve">Progress: </w:t>
            </w:r>
            <w:r w:rsidR="00A238A7" w:rsidRPr="003315A4">
              <w:rPr>
                <w:rFonts w:ascii="Times New Roman" w:hAnsi="Times New Roman" w:cs="Times New Roman"/>
                <w:sz w:val="20"/>
                <w:szCs w:val="20"/>
              </w:rPr>
              <w:t xml:space="preserve">Positive </w:t>
            </w:r>
            <w:r w:rsidR="00DC5885" w:rsidRPr="003315A4">
              <w:rPr>
                <w:rFonts w:ascii="Times New Roman" w:hAnsi="Times New Roman" w:cs="Times New Roman"/>
                <w:sz w:val="20"/>
                <w:szCs w:val="20"/>
              </w:rPr>
              <w:t>but slow.</w:t>
            </w:r>
            <w:r w:rsidR="00DC5885" w:rsidRPr="003315A4">
              <w:rPr>
                <w:rFonts w:ascii="Times New Roman" w:hAnsi="Times New Roman" w:cs="Times New Roman"/>
                <w:i/>
                <w:sz w:val="20"/>
                <w:szCs w:val="20"/>
              </w:rPr>
              <w:t xml:space="preserve"> </w:t>
            </w:r>
          </w:p>
        </w:tc>
        <w:tc>
          <w:tcPr>
            <w:tcW w:w="12191" w:type="dxa"/>
          </w:tcPr>
          <w:p w14:paraId="428E943A" w14:textId="2A4E38EB" w:rsidR="00860AA5" w:rsidRPr="003315A4" w:rsidRDefault="00860AA5" w:rsidP="00587EDE">
            <w:pPr>
              <w:pStyle w:val="ListParagraph"/>
              <w:numPr>
                <w:ilvl w:val="0"/>
                <w:numId w:val="6"/>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Uganda was ranked 127 out of 190 countries</w:t>
            </w:r>
            <w:r w:rsidR="000311B8" w:rsidRPr="003315A4">
              <w:rPr>
                <w:rFonts w:ascii="Times New Roman" w:hAnsi="Times New Roman" w:cs="Times New Roman"/>
                <w:sz w:val="20"/>
                <w:szCs w:val="20"/>
              </w:rPr>
              <w:t xml:space="preserve"> in the ease of doing business</w:t>
            </w:r>
            <w:r w:rsidRPr="003315A4">
              <w:rPr>
                <w:rFonts w:ascii="Times New Roman" w:hAnsi="Times New Roman" w:cs="Times New Roman"/>
                <w:sz w:val="20"/>
                <w:szCs w:val="20"/>
              </w:rPr>
              <w:t xml:space="preserve"> (2019 Doing Business Report). Over the first three years of NDPII, Uganda has improved its ranking by 8 positions but is </w:t>
            </w:r>
            <w:r w:rsidR="000311B8" w:rsidRPr="003315A4">
              <w:rPr>
                <w:rFonts w:ascii="Times New Roman" w:hAnsi="Times New Roman" w:cs="Times New Roman"/>
                <w:sz w:val="20"/>
                <w:szCs w:val="20"/>
              </w:rPr>
              <w:t xml:space="preserve">lagging behind </w:t>
            </w:r>
            <w:r w:rsidRPr="003315A4">
              <w:rPr>
                <w:rFonts w:ascii="Times New Roman" w:hAnsi="Times New Roman" w:cs="Times New Roman"/>
                <w:sz w:val="20"/>
                <w:szCs w:val="20"/>
              </w:rPr>
              <w:t>its target ranking</w:t>
            </w:r>
            <w:r w:rsidR="000311B8" w:rsidRPr="003315A4">
              <w:rPr>
                <w:rFonts w:ascii="Times New Roman" w:hAnsi="Times New Roman" w:cs="Times New Roman"/>
                <w:sz w:val="20"/>
                <w:szCs w:val="20"/>
              </w:rPr>
              <w:t xml:space="preserve"> (120/190).</w:t>
            </w:r>
            <w:r w:rsidR="00D10F57" w:rsidRPr="003315A4">
              <w:rPr>
                <w:rFonts w:ascii="Times New Roman" w:hAnsi="Times New Roman" w:cs="Times New Roman"/>
                <w:sz w:val="20"/>
                <w:szCs w:val="20"/>
              </w:rPr>
              <w:t xml:space="preserve"> The business environment in Uganda has improved more slowly than comparative economics across the world. </w:t>
            </w:r>
            <w:r w:rsidR="000674BC" w:rsidRPr="003315A4">
              <w:rPr>
                <w:rFonts w:ascii="Times New Roman" w:hAnsi="Times New Roman" w:cs="Times New Roman"/>
                <w:sz w:val="20"/>
                <w:szCs w:val="20"/>
              </w:rPr>
              <w:t>Uganda has made improvements in ease of starting a business, dealing with construction permits</w:t>
            </w:r>
            <w:r w:rsidR="00A24958" w:rsidRPr="003315A4">
              <w:rPr>
                <w:rFonts w:ascii="Times New Roman" w:hAnsi="Times New Roman" w:cs="Times New Roman"/>
                <w:sz w:val="20"/>
                <w:szCs w:val="20"/>
              </w:rPr>
              <w:t>, getting credit, paying taxes and trading across borders. It has however continued to struggle with helping businesses have access to electricity, register property</w:t>
            </w:r>
            <w:r w:rsidR="006D59B6" w:rsidRPr="003315A4">
              <w:rPr>
                <w:rFonts w:ascii="Times New Roman" w:hAnsi="Times New Roman" w:cs="Times New Roman"/>
                <w:sz w:val="20"/>
                <w:szCs w:val="20"/>
              </w:rPr>
              <w:t>, protect minority investors and resolve insolvency.</w:t>
            </w:r>
          </w:p>
          <w:p w14:paraId="15EA6AB6" w14:textId="477CCDB1" w:rsidR="00DC5885" w:rsidRPr="003315A4" w:rsidRDefault="00DC5885" w:rsidP="00587EDE">
            <w:pPr>
              <w:pStyle w:val="ListParagraph"/>
              <w:numPr>
                <w:ilvl w:val="0"/>
                <w:numId w:val="6"/>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Key business reforms implemented by Uganda in recent years includ</w:t>
            </w:r>
            <w:r w:rsidR="00211CAB" w:rsidRPr="003315A4">
              <w:rPr>
                <w:rFonts w:ascii="Times New Roman" w:hAnsi="Times New Roman" w:cs="Times New Roman"/>
                <w:sz w:val="20"/>
                <w:szCs w:val="20"/>
              </w:rPr>
              <w:t xml:space="preserve">e improving the efficiency of taxpayer services, </w:t>
            </w:r>
            <w:r w:rsidR="00E86535" w:rsidRPr="003315A4">
              <w:rPr>
                <w:rFonts w:ascii="Times New Roman" w:hAnsi="Times New Roman" w:cs="Times New Roman"/>
                <w:sz w:val="20"/>
                <w:szCs w:val="20"/>
              </w:rPr>
              <w:t>easing trading across borders through expanded hours of customs authorities and implementation of ASYCUDA</w:t>
            </w:r>
            <w:r w:rsidR="00AD3278" w:rsidRPr="003315A4">
              <w:rPr>
                <w:rFonts w:ascii="Times New Roman" w:hAnsi="Times New Roman" w:cs="Times New Roman"/>
                <w:sz w:val="20"/>
                <w:szCs w:val="20"/>
              </w:rPr>
              <w:t>,</w:t>
            </w:r>
            <w:r w:rsidR="00FE3AED" w:rsidRPr="003315A4">
              <w:rPr>
                <w:rFonts w:ascii="Times New Roman" w:hAnsi="Times New Roman" w:cs="Times New Roman"/>
                <w:sz w:val="20"/>
                <w:szCs w:val="20"/>
              </w:rPr>
              <w:t xml:space="preserve"> establishment of a credit reference bureau, reforms of the court system (to enforce contracts) and </w:t>
            </w:r>
            <w:r w:rsidR="00F40E95" w:rsidRPr="003315A4">
              <w:rPr>
                <w:rFonts w:ascii="Times New Roman" w:hAnsi="Times New Roman" w:cs="Times New Roman"/>
                <w:sz w:val="20"/>
                <w:szCs w:val="20"/>
              </w:rPr>
              <w:t>improving the efficiency of property transfers.</w:t>
            </w:r>
          </w:p>
          <w:p w14:paraId="72D95F51" w14:textId="291A3166" w:rsidR="00860AA5" w:rsidRPr="003315A4" w:rsidRDefault="00860AA5" w:rsidP="00587EDE">
            <w:pPr>
              <w:pStyle w:val="ListParagraph"/>
              <w:numPr>
                <w:ilvl w:val="0"/>
                <w:numId w:val="6"/>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Uganda was ranked 117</w:t>
            </w:r>
            <w:r w:rsidRPr="003315A4">
              <w:rPr>
                <w:rFonts w:ascii="Times New Roman" w:hAnsi="Times New Roman" w:cs="Times New Roman"/>
                <w:sz w:val="20"/>
                <w:szCs w:val="20"/>
                <w:vertAlign w:val="superscript"/>
              </w:rPr>
              <w:t>th</w:t>
            </w:r>
            <w:r w:rsidRPr="003315A4">
              <w:rPr>
                <w:rFonts w:ascii="Times New Roman" w:hAnsi="Times New Roman" w:cs="Times New Roman"/>
                <w:sz w:val="20"/>
                <w:szCs w:val="20"/>
              </w:rPr>
              <w:t xml:space="preserve"> out of 140 countries in the global competitiveness index (2017/18). This is below the NDPII target for 2017/18. Uganda’s competitiveness has also fallen over the review period. Uganda’s GCI rank was 113 ou</w:t>
            </w:r>
            <w:r w:rsidR="004B63DE" w:rsidRPr="003315A4">
              <w:rPr>
                <w:rFonts w:ascii="Times New Roman" w:hAnsi="Times New Roman" w:cs="Times New Roman"/>
                <w:sz w:val="20"/>
                <w:szCs w:val="20"/>
              </w:rPr>
              <w:t>t</w:t>
            </w:r>
            <w:r w:rsidRPr="003315A4">
              <w:rPr>
                <w:rFonts w:ascii="Times New Roman" w:hAnsi="Times New Roman" w:cs="Times New Roman"/>
                <w:sz w:val="20"/>
                <w:szCs w:val="20"/>
              </w:rPr>
              <w:t xml:space="preserve"> of 135 countries in 2016/17 and 115 out of 140 countries in 2015/16. Four of the 12 pillars that make up the index registered a decline in scores, indicating reduced competitiveness. </w:t>
            </w:r>
          </w:p>
        </w:tc>
      </w:tr>
      <w:tr w:rsidR="00860AA5" w:rsidRPr="003315A4" w14:paraId="3B611DA6" w14:textId="77777777" w:rsidTr="00B82873">
        <w:tc>
          <w:tcPr>
            <w:tcW w:w="318" w:type="dxa"/>
            <w:shd w:val="clear" w:color="auto" w:fill="E2EFD9" w:themeFill="accent6" w:themeFillTint="33"/>
          </w:tcPr>
          <w:p w14:paraId="34C91CF2"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t>6</w:t>
            </w:r>
          </w:p>
        </w:tc>
        <w:tc>
          <w:tcPr>
            <w:tcW w:w="2376" w:type="dxa"/>
            <w:shd w:val="clear" w:color="auto" w:fill="E2EFD9" w:themeFill="accent6" w:themeFillTint="33"/>
          </w:tcPr>
          <w:p w14:paraId="22684A6E"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Inclusive growth</w:t>
            </w:r>
          </w:p>
          <w:p w14:paraId="04A2AB6E"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lastRenderedPageBreak/>
              <w:t>NDPII Target: Uganda to attain lower-middle income status, with an estimated GDP per capita of $1,033 by 2019/20.</w:t>
            </w:r>
          </w:p>
          <w:p w14:paraId="6F974631" w14:textId="77777777" w:rsidR="00860AA5" w:rsidRPr="003315A4" w:rsidRDefault="00860AA5" w:rsidP="00587EDE">
            <w:pPr>
              <w:spacing w:line="360" w:lineRule="auto"/>
              <w:jc w:val="both"/>
              <w:rPr>
                <w:rFonts w:ascii="Times New Roman" w:hAnsi="Times New Roman" w:cs="Times New Roman"/>
                <w:sz w:val="20"/>
                <w:szCs w:val="20"/>
              </w:rPr>
            </w:pPr>
          </w:p>
          <w:p w14:paraId="196CBE96" w14:textId="263A263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NDPII Target:</w:t>
            </w:r>
            <w:r w:rsidRPr="003315A4">
              <w:rPr>
                <w:rFonts w:ascii="Times New Roman" w:hAnsi="Times New Roman" w:cs="Times New Roman"/>
                <w:sz w:val="20"/>
                <w:szCs w:val="20"/>
              </w:rPr>
              <w:t xml:space="preserve"> Uganda to attain a GDP per capita of $833 in 2015/16 and $931 by 2017/18.</w:t>
            </w:r>
          </w:p>
          <w:p w14:paraId="1FD8E3F3" w14:textId="0400EC69" w:rsidR="00841E3F" w:rsidRPr="003315A4" w:rsidRDefault="00841E3F"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Progress:</w:t>
            </w:r>
            <w:r w:rsidR="00D10FA2" w:rsidRPr="003315A4">
              <w:rPr>
                <w:rFonts w:ascii="Times New Roman" w:hAnsi="Times New Roman" w:cs="Times New Roman"/>
                <w:i/>
                <w:sz w:val="20"/>
                <w:szCs w:val="20"/>
              </w:rPr>
              <w:t xml:space="preserve"> </w:t>
            </w:r>
            <w:r w:rsidR="00EC7C63" w:rsidRPr="003315A4">
              <w:rPr>
                <w:rFonts w:ascii="Times New Roman" w:hAnsi="Times New Roman" w:cs="Times New Roman"/>
                <w:sz w:val="20"/>
                <w:szCs w:val="20"/>
              </w:rPr>
              <w:t>Slow. GDP per capita has only increased by 0.</w:t>
            </w:r>
            <w:r w:rsidR="00DE3C1B" w:rsidRPr="003315A4">
              <w:rPr>
                <w:rFonts w:ascii="Times New Roman" w:hAnsi="Times New Roman" w:cs="Times New Roman"/>
                <w:sz w:val="20"/>
                <w:szCs w:val="20"/>
              </w:rPr>
              <w:t>5% since 2010/11. There has been an increase in poverty</w:t>
            </w:r>
            <w:r w:rsidR="00BD03DB" w:rsidRPr="003315A4">
              <w:rPr>
                <w:rFonts w:ascii="Times New Roman" w:hAnsi="Times New Roman" w:cs="Times New Roman"/>
                <w:sz w:val="20"/>
                <w:szCs w:val="20"/>
              </w:rPr>
              <w:t xml:space="preserve"> and income inequality</w:t>
            </w:r>
            <w:r w:rsidR="00DE3C1B" w:rsidRPr="003315A4">
              <w:rPr>
                <w:rFonts w:ascii="Times New Roman" w:hAnsi="Times New Roman" w:cs="Times New Roman"/>
                <w:sz w:val="20"/>
                <w:szCs w:val="20"/>
              </w:rPr>
              <w:t xml:space="preserve">. </w:t>
            </w:r>
            <w:r w:rsidR="00C1535E" w:rsidRPr="003315A4">
              <w:rPr>
                <w:rFonts w:ascii="Times New Roman" w:hAnsi="Times New Roman" w:cs="Times New Roman"/>
                <w:sz w:val="20"/>
                <w:szCs w:val="20"/>
              </w:rPr>
              <w:t>It is unlikely that Uganda will reach lower middle</w:t>
            </w:r>
            <w:r w:rsidR="00563B8B" w:rsidRPr="003315A4">
              <w:rPr>
                <w:rFonts w:ascii="Times New Roman" w:hAnsi="Times New Roman" w:cs="Times New Roman"/>
                <w:sz w:val="20"/>
                <w:szCs w:val="20"/>
              </w:rPr>
              <w:t>-</w:t>
            </w:r>
            <w:r w:rsidR="00C1535E" w:rsidRPr="003315A4">
              <w:rPr>
                <w:rFonts w:ascii="Times New Roman" w:hAnsi="Times New Roman" w:cs="Times New Roman"/>
                <w:sz w:val="20"/>
                <w:szCs w:val="20"/>
              </w:rPr>
              <w:t>income status by 2020.</w:t>
            </w:r>
          </w:p>
          <w:p w14:paraId="7BD852D6" w14:textId="77777777" w:rsidR="00860AA5" w:rsidRPr="003315A4" w:rsidRDefault="00860AA5" w:rsidP="00587EDE">
            <w:pPr>
              <w:spacing w:line="360" w:lineRule="auto"/>
              <w:jc w:val="both"/>
              <w:rPr>
                <w:rFonts w:ascii="Times New Roman" w:hAnsi="Times New Roman" w:cs="Times New Roman"/>
                <w:sz w:val="20"/>
                <w:szCs w:val="20"/>
              </w:rPr>
            </w:pPr>
          </w:p>
        </w:tc>
        <w:tc>
          <w:tcPr>
            <w:tcW w:w="12191" w:type="dxa"/>
          </w:tcPr>
          <w:p w14:paraId="34EECD7C" w14:textId="2665BB55"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lastRenderedPageBreak/>
              <w:t xml:space="preserve">Economic growth has been positive over the past seven years but has slowed. </w:t>
            </w:r>
            <w:r w:rsidR="00253B3C" w:rsidRPr="003315A4">
              <w:rPr>
                <w:rFonts w:ascii="Times New Roman" w:hAnsi="Times New Roman" w:cs="Times New Roman"/>
                <w:sz w:val="20"/>
                <w:szCs w:val="20"/>
              </w:rPr>
              <w:t>Nominal GDP has grown largely in line with NDPII projections, however the depreciation of the Uganda Shilling and high population growth has limited growth of GDP per c</w:t>
            </w:r>
            <w:r w:rsidR="00391171" w:rsidRPr="003315A4">
              <w:rPr>
                <w:rFonts w:ascii="Times New Roman" w:hAnsi="Times New Roman" w:cs="Times New Roman"/>
                <w:sz w:val="20"/>
                <w:szCs w:val="20"/>
              </w:rPr>
              <w:t xml:space="preserve">apita. </w:t>
            </w:r>
            <w:r w:rsidRPr="003315A4">
              <w:rPr>
                <w:rFonts w:ascii="Times New Roman" w:hAnsi="Times New Roman" w:cs="Times New Roman"/>
                <w:sz w:val="20"/>
                <w:szCs w:val="20"/>
              </w:rPr>
              <w:t xml:space="preserve">GDP per capita only increased </w:t>
            </w:r>
            <w:r w:rsidRPr="003315A4">
              <w:rPr>
                <w:rFonts w:ascii="Times New Roman" w:hAnsi="Times New Roman" w:cs="Times New Roman"/>
                <w:sz w:val="20"/>
                <w:szCs w:val="20"/>
              </w:rPr>
              <w:lastRenderedPageBreak/>
              <w:t>with 0.5% p.a. since 2010/11. The average for the EAC was 5.9% per annum.</w:t>
            </w:r>
            <w:r w:rsidR="00391171" w:rsidRPr="003315A4">
              <w:rPr>
                <w:rFonts w:ascii="Times New Roman" w:hAnsi="Times New Roman" w:cs="Times New Roman"/>
                <w:sz w:val="20"/>
                <w:szCs w:val="20"/>
              </w:rPr>
              <w:t xml:space="preserve"> This is likely to continue in the short to medium term on account of Uganda’s limited export base. </w:t>
            </w:r>
          </w:p>
          <w:p w14:paraId="206A7F89" w14:textId="0138B264"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GDP per capita is below NDPII targets for 2015/16, 2016/17 and 2017/18 (UBOS, 2018).</w:t>
            </w:r>
            <w:r w:rsidR="00391171" w:rsidRPr="003315A4">
              <w:rPr>
                <w:rFonts w:ascii="Times New Roman" w:hAnsi="Times New Roman" w:cs="Times New Roman"/>
                <w:sz w:val="20"/>
                <w:szCs w:val="20"/>
              </w:rPr>
              <w:t xml:space="preserve"> </w:t>
            </w:r>
            <w:r w:rsidRPr="003315A4">
              <w:rPr>
                <w:rFonts w:ascii="Times New Roman" w:hAnsi="Times New Roman" w:cs="Times New Roman"/>
                <w:sz w:val="20"/>
                <w:szCs w:val="20"/>
              </w:rPr>
              <w:t>The NDPII GDP per capita target for 2015/16 was $833; the actual was $767.</w:t>
            </w:r>
            <w:r w:rsidR="00391171" w:rsidRPr="003315A4">
              <w:rPr>
                <w:rFonts w:ascii="Times New Roman" w:hAnsi="Times New Roman" w:cs="Times New Roman"/>
                <w:sz w:val="20"/>
                <w:szCs w:val="20"/>
              </w:rPr>
              <w:t xml:space="preserve"> </w:t>
            </w:r>
            <w:r w:rsidRPr="003315A4">
              <w:rPr>
                <w:rFonts w:ascii="Times New Roman" w:hAnsi="Times New Roman" w:cs="Times New Roman"/>
                <w:sz w:val="20"/>
                <w:szCs w:val="20"/>
              </w:rPr>
              <w:t>The NDPII GDP per capita target for 2016/17 was $888; the actual was $774.</w:t>
            </w:r>
            <w:r w:rsidR="00391171" w:rsidRPr="003315A4">
              <w:rPr>
                <w:rFonts w:ascii="Times New Roman" w:hAnsi="Times New Roman" w:cs="Times New Roman"/>
                <w:sz w:val="20"/>
                <w:szCs w:val="20"/>
              </w:rPr>
              <w:t xml:space="preserve"> </w:t>
            </w:r>
            <w:r w:rsidRPr="003315A4">
              <w:rPr>
                <w:rFonts w:ascii="Times New Roman" w:hAnsi="Times New Roman" w:cs="Times New Roman"/>
                <w:sz w:val="20"/>
                <w:szCs w:val="20"/>
              </w:rPr>
              <w:t>The NDPII GDP per capital target for 2017/18 was $931; the actual was $799</w:t>
            </w:r>
            <w:r w:rsidR="00391171" w:rsidRPr="003315A4">
              <w:rPr>
                <w:rFonts w:ascii="Times New Roman" w:hAnsi="Times New Roman" w:cs="Times New Roman"/>
                <w:sz w:val="20"/>
                <w:szCs w:val="20"/>
              </w:rPr>
              <w:t>.</w:t>
            </w:r>
          </w:p>
          <w:p w14:paraId="30AB69C9" w14:textId="5A68400A"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The inclusive growth and development index of the World Economic Forum (2017) recorded a decline in inclusiveness of 4.2% placing Uganda in the category of </w:t>
            </w:r>
            <w:r w:rsidR="00B65B16" w:rsidRPr="003315A4">
              <w:rPr>
                <w:rFonts w:ascii="Times New Roman" w:hAnsi="Times New Roman" w:cs="Times New Roman"/>
                <w:sz w:val="20"/>
                <w:szCs w:val="20"/>
              </w:rPr>
              <w:t>“</w:t>
            </w:r>
            <w:r w:rsidRPr="003315A4">
              <w:rPr>
                <w:rFonts w:ascii="Times New Roman" w:hAnsi="Times New Roman" w:cs="Times New Roman"/>
                <w:sz w:val="20"/>
                <w:szCs w:val="20"/>
              </w:rPr>
              <w:t xml:space="preserve">slow receding </w:t>
            </w:r>
            <w:r w:rsidR="00B65B16" w:rsidRPr="003315A4">
              <w:rPr>
                <w:rFonts w:ascii="Times New Roman" w:hAnsi="Times New Roman" w:cs="Times New Roman"/>
                <w:sz w:val="20"/>
                <w:szCs w:val="20"/>
              </w:rPr>
              <w:t>countries”</w:t>
            </w:r>
            <w:r w:rsidRPr="003315A4">
              <w:rPr>
                <w:rFonts w:ascii="Times New Roman" w:hAnsi="Times New Roman" w:cs="Times New Roman"/>
                <w:sz w:val="20"/>
                <w:szCs w:val="20"/>
              </w:rPr>
              <w:t>. Uganda was ranked 64/79 among peers with an overall index rating of 3.28 (on a scale of 1-7 - best).</w:t>
            </w:r>
            <w:r w:rsidR="00391171" w:rsidRPr="003315A4">
              <w:rPr>
                <w:rFonts w:ascii="Times New Roman" w:hAnsi="Times New Roman" w:cs="Times New Roman"/>
                <w:sz w:val="20"/>
                <w:szCs w:val="20"/>
              </w:rPr>
              <w:t xml:space="preserve"> Further details are contained in Annex 5.</w:t>
            </w:r>
          </w:p>
          <w:p w14:paraId="3B0614A5" w14:textId="77777777"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Uganda recorded an increase in poverty between 2012/13 and 2016/17 from 19.5% to 21.4% and 6.4 to 8.0 million. </w:t>
            </w:r>
          </w:p>
          <w:p w14:paraId="7352C27F" w14:textId="40A6498E"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The HDI index increased with only 0.86% </w:t>
            </w:r>
            <w:r w:rsidR="00BD03DB" w:rsidRPr="003315A4">
              <w:rPr>
                <w:rFonts w:ascii="Times New Roman" w:hAnsi="Times New Roman" w:cs="Times New Roman"/>
                <w:sz w:val="20"/>
                <w:szCs w:val="20"/>
              </w:rPr>
              <w:t>per annum</w:t>
            </w:r>
            <w:r w:rsidRPr="003315A4">
              <w:rPr>
                <w:rFonts w:ascii="Times New Roman" w:hAnsi="Times New Roman" w:cs="Times New Roman"/>
                <w:sz w:val="20"/>
                <w:szCs w:val="20"/>
              </w:rPr>
              <w:t xml:space="preserve"> between 2010 and 2017, which is significantly less than the period before.</w:t>
            </w:r>
          </w:p>
          <w:p w14:paraId="48FC8A0E" w14:textId="77777777"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Income inequality increased slightly, and gender inequality decreased slightly over the NDPI and NDP2 period.</w:t>
            </w:r>
          </w:p>
          <w:p w14:paraId="1B49281C" w14:textId="3030C604"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For employment no conclusive data </w:t>
            </w:r>
            <w:r w:rsidR="00391171" w:rsidRPr="003315A4">
              <w:rPr>
                <w:rFonts w:ascii="Times New Roman" w:hAnsi="Times New Roman" w:cs="Times New Roman"/>
                <w:sz w:val="20"/>
                <w:szCs w:val="20"/>
              </w:rPr>
              <w:t xml:space="preserve">is </w:t>
            </w:r>
            <w:r w:rsidRPr="003315A4">
              <w:rPr>
                <w:rFonts w:ascii="Times New Roman" w:hAnsi="Times New Roman" w:cs="Times New Roman"/>
                <w:sz w:val="20"/>
                <w:szCs w:val="20"/>
              </w:rPr>
              <w:t xml:space="preserve">available </w:t>
            </w:r>
            <w:r w:rsidR="00391171" w:rsidRPr="003315A4">
              <w:rPr>
                <w:rFonts w:ascii="Times New Roman" w:hAnsi="Times New Roman" w:cs="Times New Roman"/>
                <w:sz w:val="20"/>
                <w:szCs w:val="20"/>
              </w:rPr>
              <w:t xml:space="preserve">to </w:t>
            </w:r>
            <w:r w:rsidRPr="003315A4">
              <w:rPr>
                <w:rFonts w:ascii="Times New Roman" w:hAnsi="Times New Roman" w:cs="Times New Roman"/>
                <w:sz w:val="20"/>
                <w:szCs w:val="20"/>
              </w:rPr>
              <w:t xml:space="preserve">indicate a change in the number or percentage of people that have productive employment or work. On the other hand, labour productivity in agriculture has </w:t>
            </w:r>
            <w:r w:rsidR="00C1535E" w:rsidRPr="003315A4">
              <w:rPr>
                <w:rFonts w:ascii="Times New Roman" w:hAnsi="Times New Roman" w:cs="Times New Roman"/>
                <w:sz w:val="20"/>
                <w:szCs w:val="20"/>
              </w:rPr>
              <w:t>fallen</w:t>
            </w:r>
            <w:r w:rsidR="00BD03DB" w:rsidRPr="003315A4">
              <w:rPr>
                <w:rFonts w:ascii="Times New Roman" w:hAnsi="Times New Roman" w:cs="Times New Roman"/>
                <w:sz w:val="20"/>
                <w:szCs w:val="20"/>
              </w:rPr>
              <w:t xml:space="preserve">; this is </w:t>
            </w:r>
            <w:r w:rsidRPr="003315A4">
              <w:rPr>
                <w:rFonts w:ascii="Times New Roman" w:hAnsi="Times New Roman" w:cs="Times New Roman"/>
                <w:sz w:val="20"/>
                <w:szCs w:val="20"/>
              </w:rPr>
              <w:t xml:space="preserve">significant since </w:t>
            </w:r>
            <w:r w:rsidR="00BD03DB" w:rsidRPr="003315A4">
              <w:rPr>
                <w:rFonts w:ascii="Times New Roman" w:hAnsi="Times New Roman" w:cs="Times New Roman"/>
                <w:sz w:val="20"/>
                <w:szCs w:val="20"/>
              </w:rPr>
              <w:t>most of</w:t>
            </w:r>
            <w:r w:rsidRPr="003315A4">
              <w:rPr>
                <w:rFonts w:ascii="Times New Roman" w:hAnsi="Times New Roman" w:cs="Times New Roman"/>
                <w:sz w:val="20"/>
                <w:szCs w:val="20"/>
              </w:rPr>
              <w:t xml:space="preserve"> the population</w:t>
            </w:r>
            <w:r w:rsidR="00BD03DB" w:rsidRPr="003315A4">
              <w:rPr>
                <w:rFonts w:ascii="Times New Roman" w:hAnsi="Times New Roman" w:cs="Times New Roman"/>
                <w:sz w:val="20"/>
                <w:szCs w:val="20"/>
              </w:rPr>
              <w:t xml:space="preserve"> are engaged in agricultural activities. </w:t>
            </w:r>
            <w:r w:rsidRPr="003315A4">
              <w:rPr>
                <w:rFonts w:ascii="Times New Roman" w:hAnsi="Times New Roman" w:cs="Times New Roman"/>
                <w:sz w:val="20"/>
                <w:szCs w:val="20"/>
              </w:rPr>
              <w:t xml:space="preserve"> </w:t>
            </w:r>
          </w:p>
          <w:p w14:paraId="609478A9" w14:textId="5743465D"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Access to social services</w:t>
            </w:r>
            <w:r w:rsidR="00BD03DB" w:rsidRPr="003315A4">
              <w:rPr>
                <w:rFonts w:ascii="Times New Roman" w:hAnsi="Times New Roman" w:cs="Times New Roman"/>
                <w:sz w:val="20"/>
                <w:szCs w:val="20"/>
              </w:rPr>
              <w:t xml:space="preserve"> is noted by many to have</w:t>
            </w:r>
            <w:r w:rsidRPr="003315A4">
              <w:rPr>
                <w:rFonts w:ascii="Times New Roman" w:hAnsi="Times New Roman" w:cs="Times New Roman"/>
                <w:sz w:val="20"/>
                <w:szCs w:val="20"/>
              </w:rPr>
              <w:t xml:space="preserve"> improved marginally over the last seven years, while expenditure on social services as % of GDP has declined, negatively affecting the quality and sustainability of these services.</w:t>
            </w:r>
          </w:p>
          <w:p w14:paraId="1E9B0024" w14:textId="1434A5AC" w:rsidR="00860AA5" w:rsidRPr="003315A4" w:rsidRDefault="00860AA5" w:rsidP="00587EDE">
            <w:pPr>
              <w:pStyle w:val="ListParagraph"/>
              <w:numPr>
                <w:ilvl w:val="0"/>
                <w:numId w:val="11"/>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Regarding balanced regional development, </w:t>
            </w:r>
            <w:r w:rsidR="00BD03DB" w:rsidRPr="003315A4">
              <w:rPr>
                <w:rFonts w:ascii="Times New Roman" w:hAnsi="Times New Roman" w:cs="Times New Roman"/>
                <w:sz w:val="20"/>
                <w:szCs w:val="20"/>
              </w:rPr>
              <w:t xml:space="preserve">secondary data indicates that </w:t>
            </w:r>
            <w:r w:rsidRPr="003315A4">
              <w:rPr>
                <w:rFonts w:ascii="Times New Roman" w:hAnsi="Times New Roman" w:cs="Times New Roman"/>
                <w:sz w:val="20"/>
                <w:szCs w:val="20"/>
              </w:rPr>
              <w:t>some progress has been made, especially in the North, but Karamoja stays far behind and the Eastern Region is lagging behind as well</w:t>
            </w:r>
            <w:r w:rsidR="00C1535E" w:rsidRPr="003315A4">
              <w:rPr>
                <w:rFonts w:ascii="Times New Roman" w:hAnsi="Times New Roman" w:cs="Times New Roman"/>
                <w:sz w:val="20"/>
                <w:szCs w:val="20"/>
              </w:rPr>
              <w:t>.</w:t>
            </w:r>
          </w:p>
        </w:tc>
      </w:tr>
      <w:tr w:rsidR="00860AA5" w:rsidRPr="003315A4" w14:paraId="3F9A6993" w14:textId="77777777" w:rsidTr="00B82873">
        <w:tc>
          <w:tcPr>
            <w:tcW w:w="318" w:type="dxa"/>
            <w:shd w:val="clear" w:color="auto" w:fill="E2EFD9" w:themeFill="accent6" w:themeFillTint="33"/>
          </w:tcPr>
          <w:p w14:paraId="17BB4877"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lastRenderedPageBreak/>
              <w:t>7</w:t>
            </w:r>
          </w:p>
        </w:tc>
        <w:tc>
          <w:tcPr>
            <w:tcW w:w="2376" w:type="dxa"/>
            <w:shd w:val="clear" w:color="auto" w:fill="E2EFD9" w:themeFill="accent6" w:themeFillTint="33"/>
          </w:tcPr>
          <w:p w14:paraId="06D7CAEF" w14:textId="28D77768"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 xml:space="preserve">Efficiency and productivity of </w:t>
            </w:r>
            <w:r w:rsidR="009A2561" w:rsidRPr="003315A4">
              <w:rPr>
                <w:rFonts w:ascii="Times New Roman" w:hAnsi="Times New Roman" w:cs="Times New Roman"/>
                <w:b/>
                <w:sz w:val="20"/>
                <w:szCs w:val="20"/>
              </w:rPr>
              <w:t>Government</w:t>
            </w:r>
          </w:p>
          <w:p w14:paraId="16F3B1B9" w14:textId="1A25857F"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lastRenderedPageBreak/>
              <w:t>NDPII Target:</w:t>
            </w:r>
            <w:r w:rsidRPr="003315A4">
              <w:rPr>
                <w:rFonts w:ascii="Times New Roman" w:hAnsi="Times New Roman" w:cs="Times New Roman"/>
                <w:sz w:val="20"/>
                <w:szCs w:val="20"/>
              </w:rPr>
              <w:t xml:space="preserve"> Uganda had a baseline </w:t>
            </w:r>
            <w:r w:rsidR="009A2561" w:rsidRPr="003315A4">
              <w:rPr>
                <w:rFonts w:ascii="Times New Roman" w:hAnsi="Times New Roman" w:cs="Times New Roman"/>
                <w:sz w:val="20"/>
                <w:szCs w:val="20"/>
              </w:rPr>
              <w:t>Government</w:t>
            </w:r>
            <w:r w:rsidRPr="003315A4">
              <w:rPr>
                <w:rFonts w:ascii="Times New Roman" w:hAnsi="Times New Roman" w:cs="Times New Roman"/>
                <w:sz w:val="20"/>
                <w:szCs w:val="20"/>
              </w:rPr>
              <w:t xml:space="preserve"> effectiveness index score of -0.57 in 2012/13 and a target of 0.01 in 2019/20.</w:t>
            </w:r>
          </w:p>
          <w:p w14:paraId="778AD89D" w14:textId="23415B9F" w:rsidR="00BD03DB" w:rsidRPr="003315A4" w:rsidRDefault="00BD03DB"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Progress:</w:t>
            </w:r>
            <w:r w:rsidR="00E92A20" w:rsidRPr="003315A4">
              <w:rPr>
                <w:rFonts w:ascii="Times New Roman" w:hAnsi="Times New Roman" w:cs="Times New Roman"/>
                <w:i/>
                <w:sz w:val="20"/>
                <w:szCs w:val="20"/>
              </w:rPr>
              <w:t xml:space="preserve"> </w:t>
            </w:r>
            <w:r w:rsidR="00E92A20" w:rsidRPr="003315A4">
              <w:rPr>
                <w:rFonts w:ascii="Times New Roman" w:hAnsi="Times New Roman" w:cs="Times New Roman"/>
                <w:sz w:val="20"/>
                <w:szCs w:val="20"/>
              </w:rPr>
              <w:t xml:space="preserve">Poor. </w:t>
            </w:r>
            <w:r w:rsidR="00AC504C" w:rsidRPr="003315A4">
              <w:rPr>
                <w:rFonts w:ascii="Times New Roman" w:hAnsi="Times New Roman" w:cs="Times New Roman"/>
                <w:sz w:val="20"/>
                <w:szCs w:val="20"/>
              </w:rPr>
              <w:t xml:space="preserve">Uganda’s control of corruption score has improved but </w:t>
            </w:r>
            <w:r w:rsidR="009A2561" w:rsidRPr="003315A4">
              <w:rPr>
                <w:rFonts w:ascii="Times New Roman" w:hAnsi="Times New Roman" w:cs="Times New Roman"/>
                <w:sz w:val="20"/>
                <w:szCs w:val="20"/>
              </w:rPr>
              <w:t>Government</w:t>
            </w:r>
            <w:r w:rsidR="00AC504C" w:rsidRPr="003315A4">
              <w:rPr>
                <w:rFonts w:ascii="Times New Roman" w:hAnsi="Times New Roman" w:cs="Times New Roman"/>
                <w:sz w:val="20"/>
                <w:szCs w:val="20"/>
              </w:rPr>
              <w:t xml:space="preserve"> effectiveness has fallen overall. </w:t>
            </w:r>
          </w:p>
        </w:tc>
        <w:tc>
          <w:tcPr>
            <w:tcW w:w="12191" w:type="dxa"/>
          </w:tcPr>
          <w:p w14:paraId="4E92C709" w14:textId="2972A234" w:rsidR="00671F46" w:rsidRPr="003315A4" w:rsidRDefault="00860AA5" w:rsidP="00587EDE">
            <w:pPr>
              <w:pStyle w:val="ListParagraph"/>
              <w:numPr>
                <w:ilvl w:val="0"/>
                <w:numId w:val="23"/>
              </w:numPr>
              <w:spacing w:line="360" w:lineRule="auto"/>
              <w:contextualSpacing w:val="0"/>
              <w:jc w:val="both"/>
              <w:rPr>
                <w:rFonts w:ascii="Times New Roman" w:hAnsi="Times New Roman" w:cs="Times New Roman"/>
                <w:color w:val="000000" w:themeColor="text1"/>
                <w:sz w:val="20"/>
                <w:szCs w:val="20"/>
              </w:rPr>
            </w:pPr>
            <w:r w:rsidRPr="003315A4">
              <w:rPr>
                <w:rFonts w:ascii="Times New Roman" w:hAnsi="Times New Roman" w:cs="Times New Roman"/>
                <w:color w:val="000000" w:themeColor="text1"/>
                <w:sz w:val="20"/>
                <w:szCs w:val="20"/>
              </w:rPr>
              <w:lastRenderedPageBreak/>
              <w:t xml:space="preserve">Uganda’s </w:t>
            </w:r>
            <w:r w:rsidR="009A2561" w:rsidRPr="003315A4">
              <w:rPr>
                <w:rFonts w:ascii="Times New Roman" w:hAnsi="Times New Roman" w:cs="Times New Roman"/>
                <w:color w:val="000000" w:themeColor="text1"/>
                <w:sz w:val="20"/>
                <w:szCs w:val="20"/>
              </w:rPr>
              <w:t>Government</w:t>
            </w:r>
            <w:r w:rsidRPr="003315A4">
              <w:rPr>
                <w:rFonts w:ascii="Times New Roman" w:hAnsi="Times New Roman" w:cs="Times New Roman"/>
                <w:color w:val="000000" w:themeColor="text1"/>
                <w:sz w:val="20"/>
                <w:szCs w:val="20"/>
              </w:rPr>
              <w:t xml:space="preserve"> effectiveness index, reflecting the perceived quality of public services and quality of the civil service, has fallen over the NDPII period. In 2014, Uganda had a percentile rank of 32.6% among all countries (ranging from 0 lowest to 100 highest rank); in 2017 this had </w:t>
            </w:r>
            <w:r w:rsidRPr="003315A4">
              <w:rPr>
                <w:rFonts w:ascii="Times New Roman" w:hAnsi="Times New Roman" w:cs="Times New Roman"/>
                <w:color w:val="000000" w:themeColor="text1"/>
                <w:sz w:val="20"/>
                <w:szCs w:val="20"/>
              </w:rPr>
              <w:lastRenderedPageBreak/>
              <w:t xml:space="preserve">fallen to 31.7% (World Bank, 2017). Uganda’s current </w:t>
            </w:r>
            <w:r w:rsidR="009A2561" w:rsidRPr="003315A4">
              <w:rPr>
                <w:rFonts w:ascii="Times New Roman" w:hAnsi="Times New Roman" w:cs="Times New Roman"/>
                <w:color w:val="000000" w:themeColor="text1"/>
                <w:sz w:val="20"/>
                <w:szCs w:val="20"/>
              </w:rPr>
              <w:t>Government</w:t>
            </w:r>
            <w:r w:rsidRPr="003315A4">
              <w:rPr>
                <w:rFonts w:ascii="Times New Roman" w:hAnsi="Times New Roman" w:cs="Times New Roman"/>
                <w:color w:val="000000" w:themeColor="text1"/>
                <w:sz w:val="20"/>
                <w:szCs w:val="20"/>
              </w:rPr>
              <w:t xml:space="preserve"> effectiveness rank is -0.58 where -2.5 is weak governance and 2.5 is strong governance. It is unlikely to reach the 2019/20 target of 0.01. </w:t>
            </w:r>
          </w:p>
          <w:p w14:paraId="1501DFE0" w14:textId="0AA1B45F" w:rsidR="00897BC1" w:rsidRPr="003315A4" w:rsidRDefault="00897BC1" w:rsidP="00587EDE">
            <w:pPr>
              <w:pStyle w:val="ListParagraph"/>
              <w:numPr>
                <w:ilvl w:val="0"/>
                <w:numId w:val="23"/>
              </w:numPr>
              <w:spacing w:line="360" w:lineRule="auto"/>
              <w:contextualSpacing w:val="0"/>
              <w:jc w:val="both"/>
              <w:rPr>
                <w:rFonts w:ascii="Times New Roman" w:hAnsi="Times New Roman" w:cs="Times New Roman"/>
                <w:color w:val="000000" w:themeColor="text1"/>
                <w:sz w:val="20"/>
                <w:szCs w:val="20"/>
              </w:rPr>
            </w:pPr>
            <w:r w:rsidRPr="003315A4">
              <w:rPr>
                <w:rFonts w:ascii="Times New Roman" w:hAnsi="Times New Roman" w:cs="Times New Roman"/>
                <w:color w:val="000000" w:themeColor="text1"/>
                <w:sz w:val="20"/>
                <w:szCs w:val="20"/>
              </w:rPr>
              <w:t xml:space="preserve">Uganda’s average </w:t>
            </w:r>
            <w:r w:rsidR="009A2561" w:rsidRPr="003315A4">
              <w:rPr>
                <w:rFonts w:ascii="Times New Roman" w:hAnsi="Times New Roman" w:cs="Times New Roman"/>
                <w:color w:val="000000" w:themeColor="text1"/>
                <w:sz w:val="20"/>
                <w:szCs w:val="20"/>
              </w:rPr>
              <w:t>Government</w:t>
            </w:r>
            <w:r w:rsidRPr="003315A4">
              <w:rPr>
                <w:rFonts w:ascii="Times New Roman" w:hAnsi="Times New Roman" w:cs="Times New Roman"/>
                <w:color w:val="000000" w:themeColor="text1"/>
                <w:sz w:val="20"/>
                <w:szCs w:val="20"/>
              </w:rPr>
              <w:t xml:space="preserve"> Effectiveness score</w:t>
            </w:r>
            <w:r w:rsidR="00487277" w:rsidRPr="003315A4">
              <w:rPr>
                <w:rFonts w:ascii="Times New Roman" w:hAnsi="Times New Roman" w:cs="Times New Roman"/>
                <w:color w:val="000000" w:themeColor="text1"/>
                <w:sz w:val="20"/>
                <w:szCs w:val="20"/>
              </w:rPr>
              <w:t xml:space="preserve"> for the </w:t>
            </w:r>
            <w:r w:rsidRPr="003315A4">
              <w:rPr>
                <w:rFonts w:ascii="Times New Roman" w:hAnsi="Times New Roman" w:cs="Times New Roman"/>
                <w:color w:val="000000" w:themeColor="text1"/>
                <w:sz w:val="20"/>
                <w:szCs w:val="20"/>
              </w:rPr>
              <w:t xml:space="preserve">MTR period is </w:t>
            </w:r>
            <w:r w:rsidR="00487277" w:rsidRPr="003315A4">
              <w:rPr>
                <w:rFonts w:ascii="Times New Roman" w:hAnsi="Times New Roman" w:cs="Times New Roman"/>
                <w:color w:val="000000" w:themeColor="text1"/>
                <w:sz w:val="20"/>
                <w:szCs w:val="20"/>
              </w:rPr>
              <w:t>-0.55; this is lower than the average score for the NDPI period. This is concerning</w:t>
            </w:r>
            <w:r w:rsidR="00E92A20" w:rsidRPr="003315A4">
              <w:rPr>
                <w:rFonts w:ascii="Times New Roman" w:hAnsi="Times New Roman" w:cs="Times New Roman"/>
                <w:color w:val="000000" w:themeColor="text1"/>
                <w:sz w:val="20"/>
                <w:szCs w:val="20"/>
              </w:rPr>
              <w:t xml:space="preserve"> and below the NDPII target of 0.01 in 2019/20. It is unlikely that this target will be achieved. </w:t>
            </w:r>
            <w:r w:rsidR="00487277" w:rsidRPr="003315A4">
              <w:rPr>
                <w:rFonts w:ascii="Times New Roman" w:hAnsi="Times New Roman" w:cs="Times New Roman"/>
                <w:color w:val="000000" w:themeColor="text1"/>
                <w:sz w:val="20"/>
                <w:szCs w:val="20"/>
              </w:rPr>
              <w:t xml:space="preserve"> </w:t>
            </w:r>
          </w:p>
          <w:p w14:paraId="7A5590A1" w14:textId="55EE044B" w:rsidR="00860AA5" w:rsidRPr="003315A4" w:rsidRDefault="00860AA5" w:rsidP="00587EDE">
            <w:pPr>
              <w:pStyle w:val="ListParagraph"/>
              <w:numPr>
                <w:ilvl w:val="0"/>
                <w:numId w:val="23"/>
              </w:numPr>
              <w:spacing w:line="360" w:lineRule="auto"/>
              <w:contextualSpacing w:val="0"/>
              <w:jc w:val="both"/>
              <w:rPr>
                <w:rFonts w:ascii="Times New Roman" w:hAnsi="Times New Roman" w:cs="Times New Roman"/>
                <w:color w:val="000000" w:themeColor="text1"/>
                <w:sz w:val="20"/>
                <w:szCs w:val="20"/>
              </w:rPr>
            </w:pPr>
            <w:r w:rsidRPr="003315A4">
              <w:rPr>
                <w:rFonts w:ascii="Times New Roman" w:hAnsi="Times New Roman" w:cs="Times New Roman"/>
                <w:color w:val="000000" w:themeColor="text1"/>
                <w:sz w:val="20"/>
                <w:szCs w:val="20"/>
              </w:rPr>
              <w:t>Uganda had a CPI score of 26 in 2017 (where 0 is highly corrupt and 100 is very clean) and was ranked 151 out of 180 countries. This score is the same as 2014 but below the CPI score of 29 given in 2012. Uganda’s control of corruption score for 2017 was -1.04 (where -2.5 is weak and 2.5 is strong) and the average score of the</w:t>
            </w:r>
            <w:r w:rsidR="00E92A20" w:rsidRPr="003315A4">
              <w:rPr>
                <w:rFonts w:ascii="Times New Roman" w:hAnsi="Times New Roman" w:cs="Times New Roman"/>
                <w:color w:val="000000" w:themeColor="text1"/>
                <w:sz w:val="20"/>
                <w:szCs w:val="20"/>
              </w:rPr>
              <w:t xml:space="preserve"> MTR </w:t>
            </w:r>
            <w:r w:rsidRPr="003315A4">
              <w:rPr>
                <w:rFonts w:ascii="Times New Roman" w:hAnsi="Times New Roman" w:cs="Times New Roman"/>
                <w:color w:val="000000" w:themeColor="text1"/>
                <w:sz w:val="20"/>
                <w:szCs w:val="20"/>
              </w:rPr>
              <w:t>period is -1.05. This score is weaker than the score over the NDPI period (-0.99). Uganda’s ranking in its control of corruption has however improved slightly over the NDPII period. In 2014 Uganda had a percentile ranking of 12.98% among all countries (where 0 is lowest and 100 is highest rank); in 2017 this was 13.94%.</w:t>
            </w:r>
          </w:p>
        </w:tc>
      </w:tr>
      <w:tr w:rsidR="00860AA5" w:rsidRPr="003315A4" w14:paraId="41B19A26" w14:textId="77777777" w:rsidTr="00B82873">
        <w:tc>
          <w:tcPr>
            <w:tcW w:w="318" w:type="dxa"/>
            <w:shd w:val="clear" w:color="auto" w:fill="E2EFD9" w:themeFill="accent6" w:themeFillTint="33"/>
          </w:tcPr>
          <w:p w14:paraId="21D0F443" w14:textId="77777777" w:rsidR="00860AA5" w:rsidRPr="003315A4" w:rsidRDefault="00860AA5" w:rsidP="00587EDE">
            <w:pPr>
              <w:spacing w:line="360" w:lineRule="auto"/>
              <w:jc w:val="both"/>
              <w:rPr>
                <w:rFonts w:ascii="Times New Roman" w:hAnsi="Times New Roman" w:cs="Times New Roman"/>
                <w:sz w:val="20"/>
                <w:szCs w:val="20"/>
              </w:rPr>
            </w:pPr>
            <w:r w:rsidRPr="003315A4">
              <w:rPr>
                <w:rFonts w:ascii="Times New Roman" w:hAnsi="Times New Roman" w:cs="Times New Roman"/>
                <w:sz w:val="20"/>
                <w:szCs w:val="20"/>
              </w:rPr>
              <w:lastRenderedPageBreak/>
              <w:t>8</w:t>
            </w:r>
          </w:p>
        </w:tc>
        <w:tc>
          <w:tcPr>
            <w:tcW w:w="2376" w:type="dxa"/>
            <w:shd w:val="clear" w:color="auto" w:fill="E2EFD9" w:themeFill="accent6" w:themeFillTint="33"/>
          </w:tcPr>
          <w:p w14:paraId="2072AFA2" w14:textId="77777777" w:rsidR="00860AA5" w:rsidRPr="003315A4" w:rsidRDefault="00860AA5" w:rsidP="00587EDE">
            <w:pPr>
              <w:spacing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Environmental impact</w:t>
            </w:r>
          </w:p>
          <w:p w14:paraId="71EA7576" w14:textId="170A3E63" w:rsidR="00AC504C" w:rsidRPr="003315A4" w:rsidRDefault="00D74000" w:rsidP="00587EDE">
            <w:pPr>
              <w:spacing w:line="360" w:lineRule="auto"/>
              <w:jc w:val="both"/>
              <w:rPr>
                <w:rFonts w:ascii="Times New Roman" w:hAnsi="Times New Roman" w:cs="Times New Roman"/>
                <w:sz w:val="20"/>
                <w:szCs w:val="20"/>
              </w:rPr>
            </w:pPr>
            <w:r w:rsidRPr="003315A4">
              <w:rPr>
                <w:rFonts w:ascii="Times New Roman" w:hAnsi="Times New Roman" w:cs="Times New Roman"/>
                <w:i/>
                <w:sz w:val="20"/>
                <w:szCs w:val="20"/>
              </w:rPr>
              <w:t xml:space="preserve">Broad </w:t>
            </w:r>
            <w:r w:rsidR="00AC504C" w:rsidRPr="003315A4">
              <w:rPr>
                <w:rFonts w:ascii="Times New Roman" w:hAnsi="Times New Roman" w:cs="Times New Roman"/>
                <w:i/>
                <w:sz w:val="20"/>
                <w:szCs w:val="20"/>
              </w:rPr>
              <w:t>NDPII Target</w:t>
            </w:r>
            <w:r w:rsidRPr="003315A4">
              <w:rPr>
                <w:rFonts w:ascii="Times New Roman" w:hAnsi="Times New Roman" w:cs="Times New Roman"/>
                <w:i/>
                <w:sz w:val="20"/>
                <w:szCs w:val="20"/>
              </w:rPr>
              <w:t>s</w:t>
            </w:r>
            <w:r w:rsidR="00AC504C" w:rsidRPr="003315A4">
              <w:rPr>
                <w:rFonts w:ascii="Times New Roman" w:hAnsi="Times New Roman" w:cs="Times New Roman"/>
                <w:i/>
                <w:sz w:val="20"/>
                <w:szCs w:val="20"/>
              </w:rPr>
              <w:t>:</w:t>
            </w:r>
            <w:r w:rsidR="00F67A43" w:rsidRPr="003315A4">
              <w:rPr>
                <w:rFonts w:ascii="Times New Roman" w:hAnsi="Times New Roman" w:cs="Times New Roman"/>
                <w:sz w:val="20"/>
                <w:szCs w:val="20"/>
              </w:rPr>
              <w:t xml:space="preserve"> In</w:t>
            </w:r>
            <w:r w:rsidRPr="003315A4">
              <w:rPr>
                <w:rFonts w:ascii="Times New Roman" w:hAnsi="Times New Roman" w:cs="Times New Roman"/>
                <w:sz w:val="20"/>
                <w:szCs w:val="20"/>
              </w:rPr>
              <w:t>creased level of restoration of degraded fragile ecosystems and a clean and productive environment</w:t>
            </w:r>
            <w:r w:rsidR="00F620A8" w:rsidRPr="003315A4">
              <w:rPr>
                <w:rFonts w:ascii="Times New Roman" w:hAnsi="Times New Roman" w:cs="Times New Roman"/>
                <w:sz w:val="20"/>
                <w:szCs w:val="20"/>
              </w:rPr>
              <w:t>.</w:t>
            </w:r>
          </w:p>
          <w:p w14:paraId="6837693B" w14:textId="31FDC9D2" w:rsidR="00AC504C" w:rsidRPr="003315A4" w:rsidRDefault="00AC504C" w:rsidP="00587EDE">
            <w:pPr>
              <w:spacing w:line="360" w:lineRule="auto"/>
              <w:jc w:val="both"/>
              <w:rPr>
                <w:rFonts w:ascii="Times New Roman" w:hAnsi="Times New Roman" w:cs="Times New Roman"/>
                <w:sz w:val="20"/>
                <w:szCs w:val="20"/>
              </w:rPr>
            </w:pPr>
            <w:r w:rsidRPr="003315A4">
              <w:rPr>
                <w:rFonts w:ascii="Times New Roman" w:hAnsi="Times New Roman" w:cs="Times New Roman"/>
                <w:b/>
                <w:i/>
                <w:sz w:val="20"/>
                <w:szCs w:val="20"/>
              </w:rPr>
              <w:t>Progres</w:t>
            </w:r>
            <w:r w:rsidR="00D74000" w:rsidRPr="003315A4">
              <w:rPr>
                <w:rFonts w:ascii="Times New Roman" w:hAnsi="Times New Roman" w:cs="Times New Roman"/>
                <w:b/>
                <w:i/>
                <w:sz w:val="20"/>
                <w:szCs w:val="20"/>
              </w:rPr>
              <w:t>s</w:t>
            </w:r>
            <w:r w:rsidRPr="003315A4">
              <w:rPr>
                <w:rFonts w:ascii="Times New Roman" w:hAnsi="Times New Roman" w:cs="Times New Roman"/>
                <w:b/>
                <w:i/>
                <w:sz w:val="20"/>
                <w:szCs w:val="20"/>
              </w:rPr>
              <w:t>:</w:t>
            </w:r>
            <w:r w:rsidR="00D74000" w:rsidRPr="003315A4">
              <w:rPr>
                <w:rFonts w:ascii="Times New Roman" w:hAnsi="Times New Roman" w:cs="Times New Roman"/>
                <w:sz w:val="20"/>
                <w:szCs w:val="20"/>
              </w:rPr>
              <w:t xml:space="preserve"> </w:t>
            </w:r>
            <w:r w:rsidR="00122398" w:rsidRPr="003315A4">
              <w:rPr>
                <w:rFonts w:ascii="Times New Roman" w:hAnsi="Times New Roman" w:cs="Times New Roman"/>
                <w:sz w:val="20"/>
                <w:szCs w:val="20"/>
              </w:rPr>
              <w:t xml:space="preserve">Poor. </w:t>
            </w:r>
            <w:r w:rsidR="00F620A8" w:rsidRPr="003315A4">
              <w:rPr>
                <w:rFonts w:ascii="Times New Roman" w:hAnsi="Times New Roman" w:cs="Times New Roman"/>
                <w:sz w:val="20"/>
                <w:szCs w:val="20"/>
              </w:rPr>
              <w:t>Full impact of growth strategies unknown.</w:t>
            </w:r>
          </w:p>
        </w:tc>
        <w:tc>
          <w:tcPr>
            <w:tcW w:w="12191" w:type="dxa"/>
          </w:tcPr>
          <w:p w14:paraId="7D87BAE1" w14:textId="79B4A990" w:rsidR="00860AA5" w:rsidRPr="003315A4" w:rsidRDefault="00D74000" w:rsidP="00587EDE">
            <w:pPr>
              <w:pStyle w:val="ListParagraph"/>
              <w:numPr>
                <w:ilvl w:val="0"/>
                <w:numId w:val="24"/>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 xml:space="preserve">NDPII </w:t>
            </w:r>
            <w:r w:rsidR="00CA4BAF" w:rsidRPr="003315A4">
              <w:rPr>
                <w:rFonts w:ascii="Times New Roman" w:hAnsi="Times New Roman" w:cs="Times New Roman"/>
                <w:sz w:val="20"/>
                <w:szCs w:val="20"/>
              </w:rPr>
              <w:t xml:space="preserve">encourages the protection and restoration of degraded fragile ecosystems, the development and </w:t>
            </w:r>
            <w:r w:rsidR="00570013" w:rsidRPr="003315A4">
              <w:rPr>
                <w:rFonts w:ascii="Times New Roman" w:hAnsi="Times New Roman" w:cs="Times New Roman"/>
                <w:sz w:val="20"/>
                <w:szCs w:val="20"/>
              </w:rPr>
              <w:t xml:space="preserve">dissemination of information on environmental management and building the capacity at all levels of </w:t>
            </w:r>
            <w:r w:rsidR="009A2561" w:rsidRPr="003315A4">
              <w:rPr>
                <w:rFonts w:ascii="Times New Roman" w:hAnsi="Times New Roman" w:cs="Times New Roman"/>
                <w:sz w:val="20"/>
                <w:szCs w:val="20"/>
              </w:rPr>
              <w:t>Government</w:t>
            </w:r>
            <w:r w:rsidR="00570013" w:rsidRPr="003315A4">
              <w:rPr>
                <w:rFonts w:ascii="Times New Roman" w:hAnsi="Times New Roman" w:cs="Times New Roman"/>
                <w:sz w:val="20"/>
                <w:szCs w:val="20"/>
              </w:rPr>
              <w:t xml:space="preserve"> to consider the </w:t>
            </w:r>
            <w:r w:rsidR="00B57152" w:rsidRPr="003315A4">
              <w:rPr>
                <w:rFonts w:ascii="Times New Roman" w:hAnsi="Times New Roman" w:cs="Times New Roman"/>
                <w:sz w:val="20"/>
                <w:szCs w:val="20"/>
              </w:rPr>
              <w:t>environment in their operations. Overall, NDPII seeks to grow the economy, whilst having a n</w:t>
            </w:r>
            <w:r w:rsidR="00BF0AFC" w:rsidRPr="003315A4">
              <w:rPr>
                <w:rFonts w:ascii="Times New Roman" w:hAnsi="Times New Roman" w:cs="Times New Roman"/>
                <w:sz w:val="20"/>
                <w:szCs w:val="20"/>
              </w:rPr>
              <w:t>on</w:t>
            </w:r>
            <w:r w:rsidR="00B57152" w:rsidRPr="003315A4">
              <w:rPr>
                <w:rFonts w:ascii="Times New Roman" w:hAnsi="Times New Roman" w:cs="Times New Roman"/>
                <w:sz w:val="20"/>
                <w:szCs w:val="20"/>
              </w:rPr>
              <w:t>-</w:t>
            </w:r>
            <w:r w:rsidR="00BF0AFC" w:rsidRPr="003315A4">
              <w:rPr>
                <w:rFonts w:ascii="Times New Roman" w:hAnsi="Times New Roman" w:cs="Times New Roman"/>
                <w:sz w:val="20"/>
                <w:szCs w:val="20"/>
              </w:rPr>
              <w:t>detrimental impact on the environment</w:t>
            </w:r>
            <w:r w:rsidR="00B57152" w:rsidRPr="003315A4">
              <w:rPr>
                <w:rFonts w:ascii="Times New Roman" w:hAnsi="Times New Roman" w:cs="Times New Roman"/>
                <w:sz w:val="20"/>
                <w:szCs w:val="20"/>
              </w:rPr>
              <w:t>.</w:t>
            </w:r>
          </w:p>
          <w:p w14:paraId="1428B791" w14:textId="77777777" w:rsidR="00B57152" w:rsidRPr="003315A4" w:rsidRDefault="00122398" w:rsidP="00587EDE">
            <w:pPr>
              <w:pStyle w:val="ListParagraph"/>
              <w:numPr>
                <w:ilvl w:val="0"/>
                <w:numId w:val="24"/>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The Uganda Wildlife Research and Training Institute</w:t>
            </w:r>
            <w:r w:rsidR="00DE42D7" w:rsidRPr="003315A4">
              <w:rPr>
                <w:rFonts w:ascii="Times New Roman" w:hAnsi="Times New Roman" w:cs="Times New Roman"/>
                <w:sz w:val="20"/>
                <w:szCs w:val="20"/>
              </w:rPr>
              <w:t xml:space="preserve"> </w:t>
            </w:r>
            <w:r w:rsidRPr="003315A4">
              <w:rPr>
                <w:rFonts w:ascii="Times New Roman" w:hAnsi="Times New Roman" w:cs="Times New Roman"/>
                <w:sz w:val="20"/>
                <w:szCs w:val="20"/>
              </w:rPr>
              <w:t xml:space="preserve">(2018) notes that </w:t>
            </w:r>
            <w:r w:rsidR="00DE42D7" w:rsidRPr="003315A4">
              <w:rPr>
                <w:rFonts w:ascii="Times New Roman" w:hAnsi="Times New Roman" w:cs="Times New Roman"/>
                <w:sz w:val="20"/>
                <w:szCs w:val="20"/>
              </w:rPr>
              <w:t>Uganda los</w:t>
            </w:r>
            <w:r w:rsidR="00093E75" w:rsidRPr="003315A4">
              <w:rPr>
                <w:rFonts w:ascii="Times New Roman" w:hAnsi="Times New Roman" w:cs="Times New Roman"/>
                <w:sz w:val="20"/>
                <w:szCs w:val="20"/>
              </w:rPr>
              <w:t>t</w:t>
            </w:r>
            <w:r w:rsidR="00DE42D7" w:rsidRPr="003315A4">
              <w:rPr>
                <w:rFonts w:ascii="Times New Roman" w:hAnsi="Times New Roman" w:cs="Times New Roman"/>
                <w:sz w:val="20"/>
                <w:szCs w:val="20"/>
              </w:rPr>
              <w:t xml:space="preserve"> approximately 90,000 hec</w:t>
            </w:r>
            <w:r w:rsidR="00093E75" w:rsidRPr="003315A4">
              <w:rPr>
                <w:rFonts w:ascii="Times New Roman" w:hAnsi="Times New Roman" w:cs="Times New Roman"/>
                <w:sz w:val="20"/>
                <w:szCs w:val="20"/>
              </w:rPr>
              <w:t xml:space="preserve">tares of forest cover annually between 1990 and 2010. </w:t>
            </w:r>
            <w:r w:rsidR="005A705A" w:rsidRPr="003315A4">
              <w:rPr>
                <w:rFonts w:ascii="Times New Roman" w:hAnsi="Times New Roman" w:cs="Times New Roman"/>
                <w:sz w:val="20"/>
                <w:szCs w:val="20"/>
              </w:rPr>
              <w:t xml:space="preserve">Forest cover loss is now estimated to have increased to an estimated 200,000 hectares annually due to a high </w:t>
            </w:r>
            <w:r w:rsidR="00CE4CC1" w:rsidRPr="003315A4">
              <w:rPr>
                <w:rFonts w:ascii="Times New Roman" w:hAnsi="Times New Roman" w:cs="Times New Roman"/>
                <w:sz w:val="20"/>
                <w:szCs w:val="20"/>
              </w:rPr>
              <w:t xml:space="preserve">a </w:t>
            </w:r>
            <w:r w:rsidR="005A705A" w:rsidRPr="003315A4">
              <w:rPr>
                <w:rFonts w:ascii="Times New Roman" w:hAnsi="Times New Roman" w:cs="Times New Roman"/>
                <w:sz w:val="20"/>
                <w:szCs w:val="20"/>
              </w:rPr>
              <w:t>population growth rate</w:t>
            </w:r>
            <w:r w:rsidR="00CE4CC1" w:rsidRPr="003315A4">
              <w:rPr>
                <w:rFonts w:ascii="Times New Roman" w:hAnsi="Times New Roman" w:cs="Times New Roman"/>
                <w:sz w:val="20"/>
                <w:szCs w:val="20"/>
              </w:rPr>
              <w:t xml:space="preserve">, migration and use of </w:t>
            </w:r>
            <w:r w:rsidR="00EE374E" w:rsidRPr="003315A4">
              <w:rPr>
                <w:rFonts w:ascii="Times New Roman" w:hAnsi="Times New Roman" w:cs="Times New Roman"/>
                <w:sz w:val="20"/>
                <w:szCs w:val="20"/>
              </w:rPr>
              <w:t xml:space="preserve">firewood and charcoal as fuel. </w:t>
            </w:r>
            <w:r w:rsidR="00AC4C70" w:rsidRPr="003315A4">
              <w:rPr>
                <w:rFonts w:ascii="Times New Roman" w:hAnsi="Times New Roman" w:cs="Times New Roman"/>
                <w:sz w:val="20"/>
                <w:szCs w:val="20"/>
              </w:rPr>
              <w:t xml:space="preserve">NDPII targeted Uganda to have 19.25% covered by forests by 2019/20. </w:t>
            </w:r>
            <w:r w:rsidR="009261E9" w:rsidRPr="003315A4">
              <w:rPr>
                <w:rFonts w:ascii="Times New Roman" w:hAnsi="Times New Roman" w:cs="Times New Roman"/>
                <w:sz w:val="20"/>
                <w:szCs w:val="20"/>
              </w:rPr>
              <w:t xml:space="preserve">Today forests and woodlands cover an estimated 15.2% of Uganda’s land surface. </w:t>
            </w:r>
            <w:r w:rsidR="00612808" w:rsidRPr="003315A4">
              <w:rPr>
                <w:rFonts w:ascii="Times New Roman" w:hAnsi="Times New Roman" w:cs="Times New Roman"/>
                <w:sz w:val="20"/>
                <w:szCs w:val="20"/>
              </w:rPr>
              <w:t xml:space="preserve">The </w:t>
            </w:r>
            <w:r w:rsidR="00294F02" w:rsidRPr="003315A4">
              <w:rPr>
                <w:rFonts w:ascii="Times New Roman" w:hAnsi="Times New Roman" w:cs="Times New Roman"/>
                <w:sz w:val="20"/>
                <w:szCs w:val="20"/>
              </w:rPr>
              <w:t xml:space="preserve">2017/18 Certificate of Compliance posits an even worse scenario – that </w:t>
            </w:r>
            <w:r w:rsidR="003536E9" w:rsidRPr="003315A4">
              <w:rPr>
                <w:rFonts w:ascii="Times New Roman" w:hAnsi="Times New Roman" w:cs="Times New Roman"/>
                <w:sz w:val="20"/>
                <w:szCs w:val="20"/>
              </w:rPr>
              <w:t>forestry as a percentage of total land area has declined from 14% in 2012/13 to 9%</w:t>
            </w:r>
            <w:r w:rsidR="00770BA3" w:rsidRPr="003315A4">
              <w:rPr>
                <w:rFonts w:ascii="Times New Roman" w:hAnsi="Times New Roman" w:cs="Times New Roman"/>
                <w:sz w:val="20"/>
                <w:szCs w:val="20"/>
              </w:rPr>
              <w:t xml:space="preserve"> in 2017.</w:t>
            </w:r>
          </w:p>
          <w:p w14:paraId="30CCF3CC" w14:textId="56EFC05B" w:rsidR="00770BA3" w:rsidRPr="003315A4" w:rsidRDefault="00770BA3" w:rsidP="00587EDE">
            <w:pPr>
              <w:pStyle w:val="ListParagraph"/>
              <w:numPr>
                <w:ilvl w:val="0"/>
                <w:numId w:val="24"/>
              </w:numPr>
              <w:spacing w:line="360" w:lineRule="auto"/>
              <w:contextualSpacing w:val="0"/>
              <w:jc w:val="both"/>
              <w:rPr>
                <w:rFonts w:ascii="Times New Roman" w:hAnsi="Times New Roman" w:cs="Times New Roman"/>
                <w:sz w:val="20"/>
                <w:szCs w:val="20"/>
              </w:rPr>
            </w:pPr>
            <w:r w:rsidRPr="003315A4">
              <w:rPr>
                <w:rFonts w:ascii="Times New Roman" w:hAnsi="Times New Roman" w:cs="Times New Roman"/>
                <w:sz w:val="20"/>
                <w:szCs w:val="20"/>
              </w:rPr>
              <w:t>Significant emphasis should be given to green-growth strategies and halting the decline and degradation of the natural environment. This can be achieved through increasing funding to the environment sector and reviewing and revising the supporting policies and legal framework.</w:t>
            </w:r>
          </w:p>
        </w:tc>
      </w:tr>
    </w:tbl>
    <w:p w14:paraId="6AF842CA" w14:textId="77777777" w:rsidR="004815A2" w:rsidRPr="00F10F3B" w:rsidRDefault="004815A2" w:rsidP="00587EDE">
      <w:pPr>
        <w:spacing w:line="360" w:lineRule="auto"/>
        <w:jc w:val="both"/>
        <w:rPr>
          <w:rFonts w:ascii="Times New Roman" w:hAnsi="Times New Roman" w:cs="Times New Roman"/>
        </w:rPr>
        <w:sectPr w:rsidR="004815A2" w:rsidRPr="00F10F3B" w:rsidSect="00A71905">
          <w:pgSz w:w="16838" w:h="11906" w:orient="landscape"/>
          <w:pgMar w:top="1440" w:right="1440" w:bottom="1440" w:left="1440" w:header="709" w:footer="709" w:gutter="0"/>
          <w:cols w:space="708"/>
          <w:titlePg/>
          <w:docGrid w:linePitch="360"/>
        </w:sectPr>
      </w:pPr>
    </w:p>
    <w:p w14:paraId="557370C1" w14:textId="72C5310C" w:rsidR="004815A2" w:rsidRPr="003315A4" w:rsidRDefault="000F7689" w:rsidP="00B86D0C">
      <w:pPr>
        <w:pStyle w:val="Caption"/>
        <w:spacing w:after="0" w:line="360" w:lineRule="auto"/>
        <w:jc w:val="both"/>
        <w:rPr>
          <w:rFonts w:ascii="Times New Roman" w:hAnsi="Times New Roman" w:cs="Times New Roman"/>
          <w:i w:val="0"/>
          <w:sz w:val="24"/>
        </w:rPr>
      </w:pPr>
      <w:bookmarkStart w:id="35" w:name="_Toc536205955"/>
      <w:r w:rsidRPr="003315A4">
        <w:rPr>
          <w:rFonts w:ascii="Times New Roman" w:hAnsi="Times New Roman" w:cs="Times New Roman"/>
          <w:i w:val="0"/>
          <w:sz w:val="24"/>
        </w:rPr>
        <w:lastRenderedPageBreak/>
        <w:t xml:space="preserve">Table </w:t>
      </w:r>
      <w:r w:rsidR="001350AC" w:rsidRPr="003315A4">
        <w:rPr>
          <w:rFonts w:ascii="Times New Roman" w:hAnsi="Times New Roman" w:cs="Times New Roman"/>
          <w:i w:val="0"/>
          <w:noProof/>
          <w:sz w:val="24"/>
        </w:rPr>
        <w:fldChar w:fldCharType="begin"/>
      </w:r>
      <w:r w:rsidR="001350AC" w:rsidRPr="003315A4">
        <w:rPr>
          <w:rFonts w:ascii="Times New Roman" w:hAnsi="Times New Roman" w:cs="Times New Roman"/>
          <w:i w:val="0"/>
          <w:noProof/>
          <w:sz w:val="24"/>
        </w:rPr>
        <w:instrText xml:space="preserve"> SEQ Table \* ARABIC </w:instrText>
      </w:r>
      <w:r w:rsidR="001350AC" w:rsidRPr="003315A4">
        <w:rPr>
          <w:rFonts w:ascii="Times New Roman" w:hAnsi="Times New Roman" w:cs="Times New Roman"/>
          <w:i w:val="0"/>
          <w:noProof/>
          <w:sz w:val="24"/>
        </w:rPr>
        <w:fldChar w:fldCharType="separate"/>
      </w:r>
      <w:r w:rsidR="00A057A7">
        <w:rPr>
          <w:rFonts w:ascii="Times New Roman" w:hAnsi="Times New Roman" w:cs="Times New Roman"/>
          <w:i w:val="0"/>
          <w:noProof/>
          <w:sz w:val="24"/>
        </w:rPr>
        <w:t>7</w:t>
      </w:r>
      <w:r w:rsidR="001350AC" w:rsidRPr="003315A4">
        <w:rPr>
          <w:rFonts w:ascii="Times New Roman" w:hAnsi="Times New Roman" w:cs="Times New Roman"/>
          <w:i w:val="0"/>
          <w:noProof/>
          <w:sz w:val="24"/>
        </w:rPr>
        <w:fldChar w:fldCharType="end"/>
      </w:r>
      <w:r w:rsidRPr="003315A4">
        <w:rPr>
          <w:rFonts w:ascii="Times New Roman" w:hAnsi="Times New Roman" w:cs="Times New Roman"/>
          <w:i w:val="0"/>
          <w:sz w:val="24"/>
        </w:rPr>
        <w:t>: Improving policy effectiveness</w:t>
      </w:r>
      <w:bookmarkEnd w:id="35"/>
    </w:p>
    <w:tbl>
      <w:tblPr>
        <w:tblStyle w:val="TableGrid"/>
        <w:tblW w:w="9209" w:type="dxa"/>
        <w:shd w:val="clear" w:color="auto" w:fill="E2EFD9" w:themeFill="accent6" w:themeFillTint="33"/>
        <w:tblLook w:val="04A0" w:firstRow="1" w:lastRow="0" w:firstColumn="1" w:lastColumn="0" w:noHBand="0" w:noVBand="1"/>
      </w:tblPr>
      <w:tblGrid>
        <w:gridCol w:w="9209"/>
      </w:tblGrid>
      <w:tr w:rsidR="00F26055" w:rsidRPr="00F10F3B" w14:paraId="39D06996" w14:textId="77777777" w:rsidTr="00B86D0C">
        <w:tc>
          <w:tcPr>
            <w:tcW w:w="9209" w:type="dxa"/>
            <w:shd w:val="clear" w:color="auto" w:fill="E2EFD9" w:themeFill="accent6" w:themeFillTint="33"/>
          </w:tcPr>
          <w:p w14:paraId="53380684" w14:textId="30492DB2" w:rsidR="00F26055" w:rsidRPr="00F10F3B" w:rsidRDefault="00F26055" w:rsidP="00587EDE">
            <w:pPr>
              <w:pStyle w:val="ListParagraph"/>
              <w:numPr>
                <w:ilvl w:val="0"/>
                <w:numId w:val="22"/>
              </w:numPr>
              <w:spacing w:line="360" w:lineRule="auto"/>
              <w:ind w:left="357" w:hanging="357"/>
              <w:contextualSpacing w:val="0"/>
              <w:jc w:val="both"/>
              <w:rPr>
                <w:rFonts w:ascii="Times New Roman" w:hAnsi="Times New Roman" w:cs="Times New Roman"/>
              </w:rPr>
            </w:pPr>
            <w:r w:rsidRPr="00F10F3B">
              <w:rPr>
                <w:rFonts w:ascii="Times New Roman" w:hAnsi="Times New Roman" w:cs="Times New Roman"/>
                <w:i/>
              </w:rPr>
              <w:t>Improve the quality</w:t>
            </w:r>
            <w:r w:rsidRPr="00F10F3B">
              <w:rPr>
                <w:rFonts w:ascii="Times New Roman" w:hAnsi="Times New Roman" w:cs="Times New Roman"/>
              </w:rPr>
              <w:t xml:space="preserve"> of </w:t>
            </w:r>
            <w:r w:rsidR="009A2561" w:rsidRPr="00F10F3B">
              <w:rPr>
                <w:rFonts w:ascii="Times New Roman" w:hAnsi="Times New Roman" w:cs="Times New Roman"/>
              </w:rPr>
              <w:t>Government</w:t>
            </w:r>
            <w:r w:rsidRPr="00F10F3B">
              <w:rPr>
                <w:rFonts w:ascii="Times New Roman" w:hAnsi="Times New Roman" w:cs="Times New Roman"/>
              </w:rPr>
              <w:t xml:space="preserve"> policy, as outlined in section 4.2;</w:t>
            </w:r>
          </w:p>
          <w:p w14:paraId="04096688" w14:textId="56022C95" w:rsidR="00BF22EA" w:rsidRPr="00F10F3B" w:rsidRDefault="00A0407C" w:rsidP="00587EDE">
            <w:pPr>
              <w:pStyle w:val="ListParagraph"/>
              <w:numPr>
                <w:ilvl w:val="0"/>
                <w:numId w:val="22"/>
              </w:numPr>
              <w:spacing w:line="360" w:lineRule="auto"/>
              <w:contextualSpacing w:val="0"/>
              <w:jc w:val="both"/>
              <w:rPr>
                <w:rFonts w:ascii="Times New Roman" w:hAnsi="Times New Roman" w:cs="Times New Roman"/>
              </w:rPr>
            </w:pPr>
            <w:r w:rsidRPr="00F10F3B">
              <w:rPr>
                <w:rFonts w:ascii="Times New Roman" w:hAnsi="Times New Roman" w:cs="Times New Roman"/>
                <w:i/>
              </w:rPr>
              <w:t>I</w:t>
            </w:r>
            <w:r w:rsidR="00BF22EA" w:rsidRPr="00F10F3B">
              <w:rPr>
                <w:rFonts w:ascii="Times New Roman" w:hAnsi="Times New Roman" w:cs="Times New Roman"/>
                <w:i/>
              </w:rPr>
              <w:t>mprove public investment management</w:t>
            </w:r>
            <w:r w:rsidR="007C4100" w:rsidRPr="00F10F3B">
              <w:rPr>
                <w:rFonts w:ascii="Times New Roman" w:hAnsi="Times New Roman" w:cs="Times New Roman"/>
                <w:i/>
              </w:rPr>
              <w:t xml:space="preserve"> (PIM)</w:t>
            </w:r>
            <w:r w:rsidR="00BF22EA" w:rsidRPr="00F10F3B">
              <w:rPr>
                <w:rFonts w:ascii="Times New Roman" w:hAnsi="Times New Roman" w:cs="Times New Roman"/>
                <w:i/>
              </w:rPr>
              <w:t xml:space="preserve">. </w:t>
            </w:r>
            <w:r w:rsidR="00BF22EA" w:rsidRPr="00F10F3B">
              <w:rPr>
                <w:rFonts w:ascii="Times New Roman" w:hAnsi="Times New Roman" w:cs="Times New Roman"/>
              </w:rPr>
              <w:t xml:space="preserve">Uganda scored a D in the 2017 PEFA assessment for public investment management. </w:t>
            </w:r>
            <w:r w:rsidR="00C61EBE" w:rsidRPr="00F10F3B">
              <w:rPr>
                <w:rFonts w:ascii="Times New Roman" w:hAnsi="Times New Roman" w:cs="Times New Roman"/>
              </w:rPr>
              <w:t xml:space="preserve">The report states that </w:t>
            </w:r>
            <w:r w:rsidR="003F258E" w:rsidRPr="00F10F3B">
              <w:rPr>
                <w:rFonts w:ascii="Times New Roman" w:hAnsi="Times New Roman" w:cs="Times New Roman"/>
              </w:rPr>
              <w:t xml:space="preserve">only 10% of projects </w:t>
            </w:r>
            <w:r w:rsidR="00C61EBE" w:rsidRPr="00F10F3B">
              <w:rPr>
                <w:rFonts w:ascii="Times New Roman" w:hAnsi="Times New Roman" w:cs="Times New Roman"/>
              </w:rPr>
              <w:t xml:space="preserve">are subject to independent economic analysis, guidelines for project selection are </w:t>
            </w:r>
            <w:r w:rsidR="00607BF3" w:rsidRPr="00F10F3B">
              <w:rPr>
                <w:rFonts w:ascii="Times New Roman" w:hAnsi="Times New Roman" w:cs="Times New Roman"/>
              </w:rPr>
              <w:t xml:space="preserve">not consistently used (most projects are selected on the basis of financing rather than adequacy of design), </w:t>
            </w:r>
            <w:r w:rsidR="00B42AC2" w:rsidRPr="00F10F3B">
              <w:rPr>
                <w:rFonts w:ascii="Times New Roman" w:hAnsi="Times New Roman" w:cs="Times New Roman"/>
              </w:rPr>
              <w:t>recurrent costs are not adequately considered</w:t>
            </w:r>
            <w:r w:rsidR="00A0181E" w:rsidRPr="00F10F3B">
              <w:rPr>
                <w:rFonts w:ascii="Times New Roman" w:hAnsi="Times New Roman" w:cs="Times New Roman"/>
              </w:rPr>
              <w:t xml:space="preserve">, </w:t>
            </w:r>
            <w:r w:rsidR="00116CA6" w:rsidRPr="00F10F3B">
              <w:rPr>
                <w:rFonts w:ascii="Times New Roman" w:hAnsi="Times New Roman" w:cs="Times New Roman"/>
              </w:rPr>
              <w:t>procurement is slow</w:t>
            </w:r>
            <w:r w:rsidR="00B42AC2" w:rsidRPr="00F10F3B">
              <w:rPr>
                <w:rFonts w:ascii="Times New Roman" w:hAnsi="Times New Roman" w:cs="Times New Roman"/>
              </w:rPr>
              <w:t xml:space="preserve"> and </w:t>
            </w:r>
            <w:r w:rsidRPr="00F10F3B">
              <w:rPr>
                <w:rFonts w:ascii="Times New Roman" w:hAnsi="Times New Roman" w:cs="Times New Roman"/>
              </w:rPr>
              <w:t>there are no standard rules and procedures to monitor all projects</w:t>
            </w:r>
            <w:r w:rsidR="006E5D50" w:rsidRPr="00F10F3B">
              <w:rPr>
                <w:rFonts w:ascii="Times New Roman" w:hAnsi="Times New Roman" w:cs="Times New Roman"/>
              </w:rPr>
              <w:t>.</w:t>
            </w:r>
            <w:r w:rsidRPr="00F10F3B">
              <w:rPr>
                <w:rFonts w:ascii="Times New Roman" w:hAnsi="Times New Roman" w:cs="Times New Roman"/>
              </w:rPr>
              <w:t xml:space="preserve"> </w:t>
            </w:r>
            <w:r w:rsidR="00EE666C" w:rsidRPr="00F10F3B">
              <w:rPr>
                <w:rFonts w:ascii="Times New Roman" w:hAnsi="Times New Roman" w:cs="Times New Roman"/>
              </w:rPr>
              <w:t>Moreover, in June 2015, NDPII had a list of 742 projects</w:t>
            </w:r>
            <w:r w:rsidR="0032643D" w:rsidRPr="00F10F3B">
              <w:rPr>
                <w:rFonts w:ascii="Times New Roman" w:hAnsi="Times New Roman" w:cs="Times New Roman"/>
              </w:rPr>
              <w:t xml:space="preserve"> comprised of “ongoing” and “retained” projects from ND</w:t>
            </w:r>
            <w:r w:rsidR="00875D90" w:rsidRPr="00F10F3B">
              <w:rPr>
                <w:rFonts w:ascii="Times New Roman" w:hAnsi="Times New Roman" w:cs="Times New Roman"/>
              </w:rPr>
              <w:t>P</w:t>
            </w:r>
            <w:r w:rsidR="0032643D" w:rsidRPr="00F10F3B">
              <w:rPr>
                <w:rFonts w:ascii="Times New Roman" w:hAnsi="Times New Roman" w:cs="Times New Roman"/>
              </w:rPr>
              <w:t xml:space="preserve">I and new projects. </w:t>
            </w:r>
            <w:r w:rsidR="00060444" w:rsidRPr="00F10F3B">
              <w:rPr>
                <w:rFonts w:ascii="Times New Roman" w:hAnsi="Times New Roman" w:cs="Times New Roman"/>
              </w:rPr>
              <w:t xml:space="preserve">No projects </w:t>
            </w:r>
            <w:r w:rsidR="007C4100" w:rsidRPr="00F10F3B">
              <w:rPr>
                <w:rFonts w:ascii="Times New Roman" w:hAnsi="Times New Roman" w:cs="Times New Roman"/>
              </w:rPr>
              <w:t>from NDPI were dropped for new ones under NDPII yet effective prioritization</w:t>
            </w:r>
            <w:r w:rsidR="00BB3533" w:rsidRPr="00F10F3B">
              <w:rPr>
                <w:rFonts w:ascii="Times New Roman" w:hAnsi="Times New Roman" w:cs="Times New Roman"/>
              </w:rPr>
              <w:t>, and appraisal of projects,</w:t>
            </w:r>
            <w:r w:rsidR="007C4100" w:rsidRPr="00F10F3B">
              <w:rPr>
                <w:rFonts w:ascii="Times New Roman" w:hAnsi="Times New Roman" w:cs="Times New Roman"/>
              </w:rPr>
              <w:t xml:space="preserve"> through an improved PIM system</w:t>
            </w:r>
            <w:r w:rsidR="000C120F" w:rsidRPr="00F10F3B">
              <w:rPr>
                <w:rFonts w:ascii="Times New Roman" w:hAnsi="Times New Roman" w:cs="Times New Roman"/>
              </w:rPr>
              <w:t xml:space="preserve"> coul</w:t>
            </w:r>
            <w:r w:rsidR="006E5D50" w:rsidRPr="00F10F3B">
              <w:rPr>
                <w:rFonts w:ascii="Times New Roman" w:hAnsi="Times New Roman" w:cs="Times New Roman"/>
              </w:rPr>
              <w:t>d</w:t>
            </w:r>
            <w:r w:rsidR="0032643D" w:rsidRPr="00F10F3B">
              <w:rPr>
                <w:rFonts w:ascii="Times New Roman" w:hAnsi="Times New Roman" w:cs="Times New Roman"/>
              </w:rPr>
              <w:t xml:space="preserve"> help in improving </w:t>
            </w:r>
            <w:r w:rsidR="006E5D50" w:rsidRPr="00F10F3B">
              <w:rPr>
                <w:rFonts w:ascii="Times New Roman" w:hAnsi="Times New Roman" w:cs="Times New Roman"/>
              </w:rPr>
              <w:t xml:space="preserve">the effectiveness of </w:t>
            </w:r>
            <w:r w:rsidR="009A2561" w:rsidRPr="00F10F3B">
              <w:rPr>
                <w:rFonts w:ascii="Times New Roman" w:hAnsi="Times New Roman" w:cs="Times New Roman"/>
              </w:rPr>
              <w:t>Government</w:t>
            </w:r>
            <w:r w:rsidR="006E5D50" w:rsidRPr="00F10F3B">
              <w:rPr>
                <w:rFonts w:ascii="Times New Roman" w:hAnsi="Times New Roman" w:cs="Times New Roman"/>
              </w:rPr>
              <w:t xml:space="preserve"> policy;</w:t>
            </w:r>
          </w:p>
          <w:p w14:paraId="36B216AA" w14:textId="5B4DC438" w:rsidR="00540577" w:rsidRPr="00F10F3B" w:rsidRDefault="00540577" w:rsidP="00587EDE">
            <w:pPr>
              <w:pStyle w:val="ListParagraph"/>
              <w:numPr>
                <w:ilvl w:val="0"/>
                <w:numId w:val="22"/>
              </w:numPr>
              <w:spacing w:line="360" w:lineRule="auto"/>
              <w:contextualSpacing w:val="0"/>
              <w:jc w:val="both"/>
              <w:rPr>
                <w:rFonts w:ascii="Times New Roman" w:hAnsi="Times New Roman" w:cs="Times New Roman"/>
                <w:i/>
              </w:rPr>
            </w:pPr>
            <w:r w:rsidRPr="00F10F3B">
              <w:rPr>
                <w:rFonts w:ascii="Times New Roman" w:hAnsi="Times New Roman" w:cs="Times New Roman"/>
                <w:i/>
              </w:rPr>
              <w:t xml:space="preserve">Improve the </w:t>
            </w:r>
            <w:r w:rsidR="003D3ED3" w:rsidRPr="00F10F3B">
              <w:rPr>
                <w:rFonts w:ascii="Times New Roman" w:hAnsi="Times New Roman" w:cs="Times New Roman"/>
                <w:i/>
              </w:rPr>
              <w:t>timeliness</w:t>
            </w:r>
            <w:r w:rsidR="005050F6" w:rsidRPr="00F10F3B">
              <w:rPr>
                <w:rFonts w:ascii="Times New Roman" w:hAnsi="Times New Roman" w:cs="Times New Roman"/>
                <w:i/>
              </w:rPr>
              <w:t xml:space="preserve"> and certainty</w:t>
            </w:r>
            <w:r w:rsidR="003D3ED3" w:rsidRPr="00F10F3B">
              <w:rPr>
                <w:rFonts w:ascii="Times New Roman" w:hAnsi="Times New Roman" w:cs="Times New Roman"/>
                <w:i/>
              </w:rPr>
              <w:t xml:space="preserve"> of</w:t>
            </w:r>
            <w:r w:rsidR="009E7959" w:rsidRPr="00F10F3B">
              <w:rPr>
                <w:rFonts w:ascii="Times New Roman" w:hAnsi="Times New Roman" w:cs="Times New Roman"/>
                <w:i/>
              </w:rPr>
              <w:t xml:space="preserve"> fund</w:t>
            </w:r>
            <w:r w:rsidR="003D3ED3" w:rsidRPr="00F10F3B">
              <w:rPr>
                <w:rFonts w:ascii="Times New Roman" w:hAnsi="Times New Roman" w:cs="Times New Roman"/>
                <w:i/>
              </w:rPr>
              <w:t xml:space="preserve"> release</w:t>
            </w:r>
            <w:r w:rsidR="009E7959" w:rsidRPr="00F10F3B">
              <w:rPr>
                <w:rFonts w:ascii="Times New Roman" w:hAnsi="Times New Roman" w:cs="Times New Roman"/>
                <w:i/>
              </w:rPr>
              <w:t xml:space="preserve"> to sub-national </w:t>
            </w:r>
            <w:r w:rsidR="009A2561" w:rsidRPr="00F10F3B">
              <w:rPr>
                <w:rFonts w:ascii="Times New Roman" w:hAnsi="Times New Roman" w:cs="Times New Roman"/>
                <w:i/>
              </w:rPr>
              <w:t>Government</w:t>
            </w:r>
            <w:r w:rsidR="009E7959" w:rsidRPr="00F10F3B">
              <w:rPr>
                <w:rFonts w:ascii="Times New Roman" w:hAnsi="Times New Roman" w:cs="Times New Roman"/>
                <w:i/>
              </w:rPr>
              <w:t xml:space="preserve">s and MDAs. </w:t>
            </w:r>
            <w:r w:rsidR="007B2F00" w:rsidRPr="00F10F3B">
              <w:rPr>
                <w:rFonts w:ascii="Times New Roman" w:hAnsi="Times New Roman" w:cs="Times New Roman"/>
              </w:rPr>
              <w:t xml:space="preserve">The slow release of funds </w:t>
            </w:r>
            <w:r w:rsidR="00F70046" w:rsidRPr="00F10F3B">
              <w:rPr>
                <w:rFonts w:ascii="Times New Roman" w:hAnsi="Times New Roman" w:cs="Times New Roman"/>
              </w:rPr>
              <w:t xml:space="preserve">affects the ability of MDAs and sub-national </w:t>
            </w:r>
            <w:r w:rsidR="009A2561" w:rsidRPr="00F10F3B">
              <w:rPr>
                <w:rFonts w:ascii="Times New Roman" w:hAnsi="Times New Roman" w:cs="Times New Roman"/>
              </w:rPr>
              <w:t>Government</w:t>
            </w:r>
            <w:r w:rsidR="00F70046" w:rsidRPr="00F10F3B">
              <w:rPr>
                <w:rFonts w:ascii="Times New Roman" w:hAnsi="Times New Roman" w:cs="Times New Roman"/>
              </w:rPr>
              <w:t>s</w:t>
            </w:r>
            <w:r w:rsidR="007B2F00" w:rsidRPr="00F10F3B">
              <w:rPr>
                <w:rFonts w:ascii="Times New Roman" w:hAnsi="Times New Roman" w:cs="Times New Roman"/>
              </w:rPr>
              <w:t xml:space="preserve"> to implement policies in an effective manner</w:t>
            </w:r>
            <w:r w:rsidR="00250DB9" w:rsidRPr="00F10F3B">
              <w:rPr>
                <w:rFonts w:ascii="Times New Roman" w:hAnsi="Times New Roman" w:cs="Times New Roman"/>
              </w:rPr>
              <w:t xml:space="preserve">. For instance, intermittent financing of the Uganda Development Corporation has impacted on its ability to </w:t>
            </w:r>
            <w:r w:rsidR="007E373E" w:rsidRPr="00F10F3B">
              <w:rPr>
                <w:rFonts w:ascii="Times New Roman" w:hAnsi="Times New Roman" w:cs="Times New Roman"/>
              </w:rPr>
              <w:t>finance or co-finance agro-processing, tourism and mineral development projects – priorities under NDPII</w:t>
            </w:r>
            <w:r w:rsidR="00F70046" w:rsidRPr="00F10F3B">
              <w:rPr>
                <w:rFonts w:ascii="Times New Roman" w:hAnsi="Times New Roman" w:cs="Times New Roman"/>
              </w:rPr>
              <w:t>;</w:t>
            </w:r>
          </w:p>
          <w:p w14:paraId="3B8C7E31" w14:textId="3CE826E7" w:rsidR="00F26055" w:rsidRPr="00F10F3B" w:rsidRDefault="00882ACD" w:rsidP="00587EDE">
            <w:pPr>
              <w:pStyle w:val="ListParagraph"/>
              <w:numPr>
                <w:ilvl w:val="0"/>
                <w:numId w:val="22"/>
              </w:numPr>
              <w:spacing w:line="360" w:lineRule="auto"/>
              <w:contextualSpacing w:val="0"/>
              <w:jc w:val="both"/>
              <w:rPr>
                <w:rFonts w:ascii="Times New Roman" w:hAnsi="Times New Roman" w:cs="Times New Roman"/>
              </w:rPr>
            </w:pPr>
            <w:r w:rsidRPr="00F10F3B">
              <w:rPr>
                <w:rFonts w:ascii="Times New Roman" w:hAnsi="Times New Roman" w:cs="Times New Roman"/>
                <w:i/>
              </w:rPr>
              <w:t>Work with the wider system</w:t>
            </w:r>
            <w:r w:rsidRPr="00F10F3B">
              <w:rPr>
                <w:rFonts w:ascii="Times New Roman" w:hAnsi="Times New Roman" w:cs="Times New Roman"/>
              </w:rPr>
              <w:t xml:space="preserve">. Policies are never implemented </w:t>
            </w:r>
            <w:r w:rsidR="009A14E6" w:rsidRPr="00F10F3B">
              <w:rPr>
                <w:rFonts w:ascii="Times New Roman" w:hAnsi="Times New Roman" w:cs="Times New Roman"/>
              </w:rPr>
              <w:t xml:space="preserve">in vacuum – they must compete for </w:t>
            </w:r>
            <w:r w:rsidR="00246116" w:rsidRPr="00F10F3B">
              <w:rPr>
                <w:rFonts w:ascii="Times New Roman" w:hAnsi="Times New Roman" w:cs="Times New Roman"/>
              </w:rPr>
              <w:t>resources and attention with other national policies and local priorities – and</w:t>
            </w:r>
            <w:r w:rsidR="00FD56B6" w:rsidRPr="00F10F3B">
              <w:rPr>
                <w:rFonts w:ascii="Times New Roman" w:hAnsi="Times New Roman" w:cs="Times New Roman"/>
              </w:rPr>
              <w:t xml:space="preserve"> can draw upon assets that often already exist</w:t>
            </w:r>
            <w:r w:rsidR="00842C07" w:rsidRPr="00F10F3B">
              <w:rPr>
                <w:rFonts w:ascii="Times New Roman" w:hAnsi="Times New Roman" w:cs="Times New Roman"/>
              </w:rPr>
              <w:t>.</w:t>
            </w:r>
            <w:r w:rsidR="007C4A5B" w:rsidRPr="00F10F3B">
              <w:rPr>
                <w:rFonts w:ascii="Times New Roman" w:hAnsi="Times New Roman" w:cs="Times New Roman"/>
              </w:rPr>
              <w:t xml:space="preserve"> Understand the dynamics in the environment (political, institutional, </w:t>
            </w:r>
            <w:r w:rsidR="00842C07" w:rsidRPr="00F10F3B">
              <w:rPr>
                <w:rFonts w:ascii="Times New Roman" w:hAnsi="Times New Roman" w:cs="Times New Roman"/>
              </w:rPr>
              <w:t xml:space="preserve">social, </w:t>
            </w:r>
            <w:r w:rsidR="007C4A5B" w:rsidRPr="00F10F3B">
              <w:rPr>
                <w:rFonts w:ascii="Times New Roman" w:hAnsi="Times New Roman" w:cs="Times New Roman"/>
              </w:rPr>
              <w:t>cultural</w:t>
            </w:r>
            <w:r w:rsidR="00842C07" w:rsidRPr="00F10F3B">
              <w:rPr>
                <w:rFonts w:ascii="Times New Roman" w:hAnsi="Times New Roman" w:cs="Times New Roman"/>
              </w:rPr>
              <w:t xml:space="preserve">) and use this analysis to </w:t>
            </w:r>
            <w:r w:rsidR="00713088" w:rsidRPr="00F10F3B">
              <w:rPr>
                <w:rFonts w:ascii="Times New Roman" w:hAnsi="Times New Roman" w:cs="Times New Roman"/>
              </w:rPr>
              <w:t xml:space="preserve">adapt and </w:t>
            </w:r>
            <w:r w:rsidR="00842C07" w:rsidRPr="00F10F3B">
              <w:rPr>
                <w:rFonts w:ascii="Times New Roman" w:hAnsi="Times New Roman" w:cs="Times New Roman"/>
              </w:rPr>
              <w:t>support effective implementation;</w:t>
            </w:r>
          </w:p>
          <w:p w14:paraId="09ADD386" w14:textId="6E778A1B" w:rsidR="008B29A9" w:rsidRPr="00F10F3B" w:rsidRDefault="00FD56B6" w:rsidP="00587EDE">
            <w:pPr>
              <w:pStyle w:val="ListParagraph"/>
              <w:numPr>
                <w:ilvl w:val="0"/>
                <w:numId w:val="22"/>
              </w:numPr>
              <w:spacing w:line="360" w:lineRule="auto"/>
              <w:contextualSpacing w:val="0"/>
              <w:jc w:val="both"/>
              <w:rPr>
                <w:rFonts w:ascii="Times New Roman" w:hAnsi="Times New Roman" w:cs="Times New Roman"/>
              </w:rPr>
            </w:pPr>
            <w:r w:rsidRPr="00F10F3B">
              <w:rPr>
                <w:rFonts w:ascii="Times New Roman" w:hAnsi="Times New Roman" w:cs="Times New Roman"/>
                <w:i/>
              </w:rPr>
              <w:t>Stay close to implementers</w:t>
            </w:r>
            <w:r w:rsidRPr="00F10F3B">
              <w:rPr>
                <w:rFonts w:ascii="Times New Roman" w:hAnsi="Times New Roman" w:cs="Times New Roman"/>
              </w:rPr>
              <w:t>.</w:t>
            </w:r>
            <w:r w:rsidR="004F4E2B" w:rsidRPr="00F10F3B">
              <w:rPr>
                <w:rFonts w:ascii="Times New Roman" w:hAnsi="Times New Roman" w:cs="Times New Roman"/>
              </w:rPr>
              <w:t xml:space="preserve"> Bringing others into policymaking is important, but once implementation begins </w:t>
            </w:r>
            <w:r w:rsidR="009A2561" w:rsidRPr="00F10F3B">
              <w:rPr>
                <w:rFonts w:ascii="Times New Roman" w:hAnsi="Times New Roman" w:cs="Times New Roman"/>
              </w:rPr>
              <w:t>Government</w:t>
            </w:r>
            <w:r w:rsidR="008B29A9" w:rsidRPr="00F10F3B">
              <w:rPr>
                <w:rFonts w:ascii="Times New Roman" w:hAnsi="Times New Roman" w:cs="Times New Roman"/>
              </w:rPr>
              <w:t xml:space="preserve"> also needs to keep strong links with where change is happening </w:t>
            </w:r>
            <w:r w:rsidR="0049486F" w:rsidRPr="00F10F3B">
              <w:rPr>
                <w:rFonts w:ascii="Times New Roman" w:hAnsi="Times New Roman" w:cs="Times New Roman"/>
              </w:rPr>
              <w:t xml:space="preserve">e.g. private sector </w:t>
            </w:r>
            <w:r w:rsidR="008B29A9" w:rsidRPr="00F10F3B">
              <w:rPr>
                <w:rFonts w:ascii="Times New Roman" w:hAnsi="Times New Roman" w:cs="Times New Roman"/>
              </w:rPr>
              <w:t>to understand how policies are working in the real world;</w:t>
            </w:r>
          </w:p>
          <w:p w14:paraId="75CC585B" w14:textId="22772CA4" w:rsidR="008B29A9" w:rsidRPr="00F10F3B" w:rsidRDefault="008B29A9" w:rsidP="00587EDE">
            <w:pPr>
              <w:pStyle w:val="ListParagraph"/>
              <w:numPr>
                <w:ilvl w:val="0"/>
                <w:numId w:val="22"/>
              </w:numPr>
              <w:spacing w:line="360" w:lineRule="auto"/>
              <w:contextualSpacing w:val="0"/>
              <w:jc w:val="both"/>
              <w:rPr>
                <w:rFonts w:ascii="Times New Roman" w:hAnsi="Times New Roman" w:cs="Times New Roman"/>
              </w:rPr>
            </w:pPr>
            <w:r w:rsidRPr="00F10F3B">
              <w:rPr>
                <w:rFonts w:ascii="Times New Roman" w:hAnsi="Times New Roman" w:cs="Times New Roman"/>
                <w:i/>
              </w:rPr>
              <w:t>Stay focused</w:t>
            </w:r>
            <w:r w:rsidRPr="00F10F3B">
              <w:rPr>
                <w:rFonts w:ascii="Times New Roman" w:hAnsi="Times New Roman" w:cs="Times New Roman"/>
              </w:rPr>
              <w:t xml:space="preserve">. Continuity is an essential ingredient of effective implementation. </w:t>
            </w:r>
            <w:r w:rsidR="009D3273" w:rsidRPr="00F10F3B">
              <w:rPr>
                <w:rFonts w:ascii="Times New Roman" w:hAnsi="Times New Roman" w:cs="Times New Roman"/>
              </w:rPr>
              <w:t>Long time-spans introduce significant risk to achieving policy goals</w:t>
            </w:r>
            <w:r w:rsidR="00AA3EB3" w:rsidRPr="00F10F3B">
              <w:rPr>
                <w:rFonts w:ascii="Times New Roman" w:hAnsi="Times New Roman" w:cs="Times New Roman"/>
              </w:rPr>
              <w:t>. Support the ability to stay focused through a well-developed communication plan</w:t>
            </w:r>
            <w:r w:rsidR="00F2136E" w:rsidRPr="00F10F3B">
              <w:rPr>
                <w:rFonts w:ascii="Times New Roman" w:hAnsi="Times New Roman" w:cs="Times New Roman"/>
              </w:rPr>
              <w:t>, strong leadership and accountability framework</w:t>
            </w:r>
            <w:r w:rsidR="002E02E5" w:rsidRPr="00F10F3B">
              <w:rPr>
                <w:rFonts w:ascii="Times New Roman" w:hAnsi="Times New Roman" w:cs="Times New Roman"/>
              </w:rPr>
              <w:t>;</w:t>
            </w:r>
          </w:p>
          <w:p w14:paraId="48A9261B" w14:textId="7FAFEFD2" w:rsidR="009D3273" w:rsidRPr="00F10F3B" w:rsidRDefault="009D3273" w:rsidP="00587EDE">
            <w:pPr>
              <w:pStyle w:val="ListParagraph"/>
              <w:numPr>
                <w:ilvl w:val="0"/>
                <w:numId w:val="22"/>
              </w:numPr>
              <w:spacing w:line="360" w:lineRule="auto"/>
              <w:contextualSpacing w:val="0"/>
              <w:jc w:val="both"/>
              <w:rPr>
                <w:rFonts w:ascii="Times New Roman" w:hAnsi="Times New Roman" w:cs="Times New Roman"/>
              </w:rPr>
            </w:pPr>
            <w:r w:rsidRPr="00F10F3B">
              <w:rPr>
                <w:rFonts w:ascii="Times New Roman" w:hAnsi="Times New Roman" w:cs="Times New Roman"/>
                <w:i/>
              </w:rPr>
              <w:t xml:space="preserve">Use </w:t>
            </w:r>
            <w:r w:rsidR="000F7689" w:rsidRPr="00F10F3B">
              <w:rPr>
                <w:rFonts w:ascii="Times New Roman" w:hAnsi="Times New Roman" w:cs="Times New Roman"/>
                <w:i/>
              </w:rPr>
              <w:t>M</w:t>
            </w:r>
            <w:r w:rsidRPr="00F10F3B">
              <w:rPr>
                <w:rFonts w:ascii="Times New Roman" w:hAnsi="Times New Roman" w:cs="Times New Roman"/>
                <w:i/>
              </w:rPr>
              <w:t>inisters</w:t>
            </w:r>
            <w:r w:rsidR="005D701C" w:rsidRPr="00F10F3B">
              <w:rPr>
                <w:rFonts w:ascii="Times New Roman" w:hAnsi="Times New Roman" w:cs="Times New Roman"/>
                <w:i/>
              </w:rPr>
              <w:t>, as appropriate,</w:t>
            </w:r>
            <w:r w:rsidRPr="00F10F3B">
              <w:rPr>
                <w:rFonts w:ascii="Times New Roman" w:hAnsi="Times New Roman" w:cs="Times New Roman"/>
                <w:i/>
              </w:rPr>
              <w:t xml:space="preserve"> to drive progress</w:t>
            </w:r>
            <w:r w:rsidRPr="00F10F3B">
              <w:rPr>
                <w:rFonts w:ascii="Times New Roman" w:hAnsi="Times New Roman" w:cs="Times New Roman"/>
              </w:rPr>
              <w:t xml:space="preserve">. Whilst politics can add many complications to implementation, Ministers can </w:t>
            </w:r>
            <w:r w:rsidR="005D701C" w:rsidRPr="00F10F3B">
              <w:rPr>
                <w:rFonts w:ascii="Times New Roman" w:hAnsi="Times New Roman" w:cs="Times New Roman"/>
              </w:rPr>
              <w:t xml:space="preserve">also </w:t>
            </w:r>
            <w:r w:rsidRPr="00F10F3B">
              <w:rPr>
                <w:rFonts w:ascii="Times New Roman" w:hAnsi="Times New Roman" w:cs="Times New Roman"/>
              </w:rPr>
              <w:t>play a crucial role in setting milestones and using regular stocktakes to keep up momentum</w:t>
            </w:r>
            <w:r w:rsidR="002E02E5" w:rsidRPr="00F10F3B">
              <w:rPr>
                <w:rFonts w:ascii="Times New Roman" w:hAnsi="Times New Roman" w:cs="Times New Roman"/>
              </w:rPr>
              <w:t>;</w:t>
            </w:r>
            <w:r w:rsidR="002D5B7E" w:rsidRPr="00F10F3B">
              <w:rPr>
                <w:rFonts w:ascii="Times New Roman" w:hAnsi="Times New Roman" w:cs="Times New Roman"/>
              </w:rPr>
              <w:t xml:space="preserve"> and</w:t>
            </w:r>
          </w:p>
          <w:p w14:paraId="435548A3" w14:textId="203BD96D" w:rsidR="007204C6" w:rsidRPr="00F10F3B" w:rsidRDefault="002E02E5" w:rsidP="00587EDE">
            <w:pPr>
              <w:pStyle w:val="ListParagraph"/>
              <w:numPr>
                <w:ilvl w:val="0"/>
                <w:numId w:val="22"/>
              </w:numPr>
              <w:spacing w:line="360" w:lineRule="auto"/>
              <w:ind w:left="357" w:hanging="357"/>
              <w:contextualSpacing w:val="0"/>
              <w:jc w:val="both"/>
              <w:rPr>
                <w:rFonts w:ascii="Times New Roman" w:hAnsi="Times New Roman" w:cs="Times New Roman"/>
              </w:rPr>
            </w:pPr>
            <w:r w:rsidRPr="00F10F3B">
              <w:rPr>
                <w:rFonts w:ascii="Times New Roman" w:hAnsi="Times New Roman" w:cs="Times New Roman"/>
                <w:i/>
              </w:rPr>
              <w:t xml:space="preserve">Develop the </w:t>
            </w:r>
            <w:r w:rsidR="000A19E9" w:rsidRPr="00F10F3B">
              <w:rPr>
                <w:rFonts w:ascii="Times New Roman" w:hAnsi="Times New Roman" w:cs="Times New Roman"/>
                <w:i/>
              </w:rPr>
              <w:t xml:space="preserve">capacity </w:t>
            </w:r>
            <w:r w:rsidR="00DE65AA" w:rsidRPr="00F10F3B">
              <w:rPr>
                <w:rFonts w:ascii="Times New Roman" w:hAnsi="Times New Roman" w:cs="Times New Roman"/>
                <w:i/>
              </w:rPr>
              <w:t>of those involved in policy-making</w:t>
            </w:r>
            <w:r w:rsidR="00D14A4D" w:rsidRPr="00F10F3B">
              <w:rPr>
                <w:rFonts w:ascii="Times New Roman" w:hAnsi="Times New Roman" w:cs="Times New Roman"/>
                <w:i/>
              </w:rPr>
              <w:t xml:space="preserve"> and policy implementation reviews</w:t>
            </w:r>
            <w:r w:rsidR="000A19E9" w:rsidRPr="00F10F3B">
              <w:rPr>
                <w:rFonts w:ascii="Times New Roman" w:hAnsi="Times New Roman" w:cs="Times New Roman"/>
              </w:rPr>
              <w:t xml:space="preserve">, ensuring civil servants can </w:t>
            </w:r>
            <w:r w:rsidR="000966CC" w:rsidRPr="00F10F3B">
              <w:rPr>
                <w:rFonts w:ascii="Times New Roman" w:hAnsi="Times New Roman" w:cs="Times New Roman"/>
              </w:rPr>
              <w:t>improve their analytic abilities and awareness of the latest ideas and development</w:t>
            </w:r>
            <w:r w:rsidR="00D14A4D" w:rsidRPr="00F10F3B">
              <w:rPr>
                <w:rFonts w:ascii="Times New Roman" w:hAnsi="Times New Roman" w:cs="Times New Roman"/>
              </w:rPr>
              <w:t>s</w:t>
            </w:r>
            <w:r w:rsidR="000966CC" w:rsidRPr="00F10F3B">
              <w:rPr>
                <w:rFonts w:ascii="Times New Roman" w:hAnsi="Times New Roman" w:cs="Times New Roman"/>
              </w:rPr>
              <w:t>. There should be a</w:t>
            </w:r>
            <w:r w:rsidR="003557B0" w:rsidRPr="00F10F3B">
              <w:rPr>
                <w:rFonts w:ascii="Times New Roman" w:hAnsi="Times New Roman" w:cs="Times New Roman"/>
              </w:rPr>
              <w:t>n</w:t>
            </w:r>
            <w:r w:rsidR="000966CC" w:rsidRPr="00F10F3B">
              <w:rPr>
                <w:rFonts w:ascii="Times New Roman" w:hAnsi="Times New Roman" w:cs="Times New Roman"/>
              </w:rPr>
              <w:t xml:space="preserve"> emphasis on strengthening areas such as policy design, innovation</w:t>
            </w:r>
            <w:r w:rsidR="005D701C" w:rsidRPr="00F10F3B">
              <w:rPr>
                <w:rFonts w:ascii="Times New Roman" w:hAnsi="Times New Roman" w:cs="Times New Roman"/>
              </w:rPr>
              <w:t xml:space="preserve">, </w:t>
            </w:r>
            <w:r w:rsidR="000966CC" w:rsidRPr="00F10F3B">
              <w:rPr>
                <w:rFonts w:ascii="Times New Roman" w:hAnsi="Times New Roman" w:cs="Times New Roman"/>
              </w:rPr>
              <w:t>influencing</w:t>
            </w:r>
            <w:r w:rsidR="005D701C" w:rsidRPr="00F10F3B">
              <w:rPr>
                <w:rFonts w:ascii="Times New Roman" w:hAnsi="Times New Roman" w:cs="Times New Roman"/>
              </w:rPr>
              <w:t xml:space="preserve"> and accountability. </w:t>
            </w:r>
          </w:p>
        </w:tc>
      </w:tr>
    </w:tbl>
    <w:p w14:paraId="14400C5B" w14:textId="5F880714" w:rsidR="00630D2F" w:rsidRPr="00F10F3B" w:rsidRDefault="00630D2F" w:rsidP="00587EDE">
      <w:pPr>
        <w:spacing w:before="120" w:line="360" w:lineRule="auto"/>
        <w:ind w:left="34"/>
        <w:jc w:val="both"/>
        <w:rPr>
          <w:rFonts w:ascii="Times New Roman" w:hAnsi="Times New Roman" w:cs="Times New Roman"/>
          <w:i/>
          <w:sz w:val="20"/>
          <w:szCs w:val="20"/>
        </w:rPr>
      </w:pPr>
      <w:r w:rsidRPr="00F10F3B">
        <w:rPr>
          <w:rFonts w:ascii="Times New Roman" w:hAnsi="Times New Roman" w:cs="Times New Roman"/>
          <w:i/>
          <w:sz w:val="20"/>
          <w:szCs w:val="20"/>
        </w:rPr>
        <w:t xml:space="preserve">Source: Compiled by author </w:t>
      </w:r>
    </w:p>
    <w:p w14:paraId="10EF5BDE" w14:textId="4E7D46E9" w:rsidR="00B97BD4" w:rsidRPr="00F10F3B" w:rsidRDefault="00B97BD4" w:rsidP="00587EDE">
      <w:pPr>
        <w:pStyle w:val="Heading2"/>
        <w:numPr>
          <w:ilvl w:val="1"/>
          <w:numId w:val="45"/>
        </w:numPr>
        <w:spacing w:line="360" w:lineRule="auto"/>
        <w:ind w:left="426" w:hanging="426"/>
        <w:rPr>
          <w:rFonts w:cs="Times New Roman"/>
        </w:rPr>
      </w:pPr>
      <w:bookmarkStart w:id="36" w:name="_Toc3454219"/>
      <w:bookmarkStart w:id="37" w:name="_Toc9269383"/>
      <w:r w:rsidRPr="00F10F3B">
        <w:rPr>
          <w:rFonts w:cs="Times New Roman"/>
        </w:rPr>
        <w:lastRenderedPageBreak/>
        <w:t xml:space="preserve">Alignment of </w:t>
      </w:r>
      <w:r w:rsidR="009A2561" w:rsidRPr="00F10F3B">
        <w:rPr>
          <w:rFonts w:cs="Times New Roman"/>
        </w:rPr>
        <w:t>Government</w:t>
      </w:r>
      <w:r w:rsidRPr="00F10F3B">
        <w:rPr>
          <w:rFonts w:cs="Times New Roman"/>
        </w:rPr>
        <w:t xml:space="preserve"> plans, policies and strategies to NDPII</w:t>
      </w:r>
      <w:bookmarkEnd w:id="36"/>
      <w:bookmarkEnd w:id="37"/>
    </w:p>
    <w:p w14:paraId="40D5BE24" w14:textId="39710387" w:rsidR="00D2239B" w:rsidRPr="003315A4" w:rsidRDefault="00D2239B"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3315A4">
        <w:rPr>
          <w:rFonts w:ascii="Times New Roman" w:hAnsi="Times New Roman" w:cs="Times New Roman"/>
          <w:sz w:val="24"/>
          <w:szCs w:val="24"/>
        </w:rPr>
        <w:t xml:space="preserve">This section provides an analysis on the alignment of </w:t>
      </w:r>
      <w:r w:rsidR="009A2561" w:rsidRPr="003315A4">
        <w:rPr>
          <w:rFonts w:ascii="Times New Roman" w:hAnsi="Times New Roman" w:cs="Times New Roman"/>
          <w:sz w:val="24"/>
          <w:szCs w:val="24"/>
        </w:rPr>
        <w:t>Government</w:t>
      </w:r>
      <w:r w:rsidRPr="003315A4">
        <w:rPr>
          <w:rFonts w:ascii="Times New Roman" w:hAnsi="Times New Roman" w:cs="Times New Roman"/>
          <w:sz w:val="24"/>
          <w:szCs w:val="24"/>
        </w:rPr>
        <w:t xml:space="preserve"> plans, policies and strategies to NDPII. It builds on sections 4.1, 4.2 and </w:t>
      </w:r>
      <w:r w:rsidR="00B86D0C" w:rsidRPr="003315A4">
        <w:rPr>
          <w:rFonts w:ascii="Times New Roman" w:hAnsi="Times New Roman" w:cs="Times New Roman"/>
          <w:sz w:val="24"/>
          <w:szCs w:val="24"/>
        </w:rPr>
        <w:t>4.3, which</w:t>
      </w:r>
      <w:r w:rsidRPr="003315A4">
        <w:rPr>
          <w:rFonts w:ascii="Times New Roman" w:hAnsi="Times New Roman" w:cs="Times New Roman"/>
          <w:sz w:val="24"/>
          <w:szCs w:val="24"/>
        </w:rPr>
        <w:t xml:space="preserve"> investigated NDPII’s theory of change and the quality and effectiveness of </w:t>
      </w:r>
      <w:r w:rsidR="009A2561" w:rsidRPr="003315A4">
        <w:rPr>
          <w:rFonts w:ascii="Times New Roman" w:hAnsi="Times New Roman" w:cs="Times New Roman"/>
          <w:sz w:val="24"/>
          <w:szCs w:val="24"/>
        </w:rPr>
        <w:t>Government</w:t>
      </w:r>
      <w:r w:rsidRPr="003315A4">
        <w:rPr>
          <w:rFonts w:ascii="Times New Roman" w:hAnsi="Times New Roman" w:cs="Times New Roman"/>
          <w:sz w:val="24"/>
          <w:szCs w:val="24"/>
        </w:rPr>
        <w:t xml:space="preserve"> policies, plans and strategies. </w:t>
      </w:r>
      <w:r w:rsidR="000C5096" w:rsidRPr="003315A4">
        <w:rPr>
          <w:rFonts w:ascii="Times New Roman" w:hAnsi="Times New Roman" w:cs="Times New Roman"/>
          <w:sz w:val="24"/>
          <w:szCs w:val="24"/>
        </w:rPr>
        <w:t xml:space="preserve">It answers </w:t>
      </w:r>
      <w:r w:rsidR="00525F05" w:rsidRPr="003315A4">
        <w:rPr>
          <w:rFonts w:ascii="Times New Roman" w:hAnsi="Times New Roman" w:cs="Times New Roman"/>
          <w:sz w:val="24"/>
          <w:szCs w:val="24"/>
        </w:rPr>
        <w:t>t</w:t>
      </w:r>
      <w:r w:rsidR="0021024D" w:rsidRPr="003315A4">
        <w:rPr>
          <w:rFonts w:ascii="Times New Roman" w:hAnsi="Times New Roman" w:cs="Times New Roman"/>
          <w:sz w:val="24"/>
          <w:szCs w:val="24"/>
        </w:rPr>
        <w:t>hree</w:t>
      </w:r>
      <w:r w:rsidR="000C5096" w:rsidRPr="003315A4">
        <w:rPr>
          <w:rFonts w:ascii="Times New Roman" w:hAnsi="Times New Roman" w:cs="Times New Roman"/>
          <w:sz w:val="24"/>
          <w:szCs w:val="24"/>
        </w:rPr>
        <w:t xml:space="preserve"> questions:</w:t>
      </w:r>
    </w:p>
    <w:p w14:paraId="37F916C6" w14:textId="65B11931" w:rsidR="00167D9B" w:rsidRPr="003315A4" w:rsidRDefault="001D7712" w:rsidP="00B86D0C">
      <w:pPr>
        <w:pStyle w:val="ListParagraph"/>
        <w:numPr>
          <w:ilvl w:val="0"/>
          <w:numId w:val="25"/>
        </w:numPr>
        <w:spacing w:line="360" w:lineRule="auto"/>
        <w:ind w:left="748" w:hanging="357"/>
        <w:contextualSpacing w:val="0"/>
        <w:jc w:val="both"/>
        <w:rPr>
          <w:rFonts w:ascii="Times New Roman" w:hAnsi="Times New Roman" w:cs="Times New Roman"/>
          <w:sz w:val="24"/>
        </w:rPr>
      </w:pPr>
      <w:r w:rsidRPr="003315A4">
        <w:rPr>
          <w:rFonts w:ascii="Times New Roman" w:hAnsi="Times New Roman" w:cs="Times New Roman"/>
          <w:sz w:val="24"/>
        </w:rPr>
        <w:t xml:space="preserve">How consistent is </w:t>
      </w:r>
      <w:r w:rsidR="009A2561" w:rsidRPr="003315A4">
        <w:rPr>
          <w:rFonts w:ascii="Times New Roman" w:hAnsi="Times New Roman" w:cs="Times New Roman"/>
          <w:sz w:val="24"/>
        </w:rPr>
        <w:t>Government</w:t>
      </w:r>
      <w:r w:rsidRPr="003315A4">
        <w:rPr>
          <w:rFonts w:ascii="Times New Roman" w:hAnsi="Times New Roman" w:cs="Times New Roman"/>
          <w:sz w:val="24"/>
        </w:rPr>
        <w:t xml:space="preserve"> in guiding the country towards middle-income status</w:t>
      </w:r>
      <w:r w:rsidR="0021024D" w:rsidRPr="003315A4">
        <w:rPr>
          <w:rFonts w:ascii="Times New Roman" w:hAnsi="Times New Roman" w:cs="Times New Roman"/>
          <w:sz w:val="24"/>
        </w:rPr>
        <w:t xml:space="preserve"> – are the imperatives in place to achieve this milestone</w:t>
      </w:r>
      <w:r w:rsidRPr="003315A4">
        <w:rPr>
          <w:rFonts w:ascii="Times New Roman" w:hAnsi="Times New Roman" w:cs="Times New Roman"/>
          <w:sz w:val="24"/>
        </w:rPr>
        <w:t>? (PS1)</w:t>
      </w:r>
    </w:p>
    <w:p w14:paraId="75862903" w14:textId="69F7EC4F" w:rsidR="0021024D" w:rsidRPr="003315A4" w:rsidRDefault="0021024D" w:rsidP="00B86D0C">
      <w:pPr>
        <w:pStyle w:val="ListParagraph"/>
        <w:numPr>
          <w:ilvl w:val="0"/>
          <w:numId w:val="25"/>
        </w:numPr>
        <w:spacing w:line="360" w:lineRule="auto"/>
        <w:ind w:left="748" w:hanging="357"/>
        <w:contextualSpacing w:val="0"/>
        <w:jc w:val="both"/>
        <w:rPr>
          <w:rFonts w:ascii="Times New Roman" w:hAnsi="Times New Roman" w:cs="Times New Roman"/>
          <w:sz w:val="24"/>
        </w:rPr>
      </w:pPr>
      <w:r w:rsidRPr="003315A4">
        <w:rPr>
          <w:rFonts w:ascii="Times New Roman" w:hAnsi="Times New Roman" w:cs="Times New Roman"/>
          <w:sz w:val="24"/>
        </w:rPr>
        <w:t>To what extent have the NDPII policies/strategies informed and driven priorities for sector and MDA plans? (PS</w:t>
      </w:r>
      <w:r w:rsidR="00EC32A0" w:rsidRPr="003315A4">
        <w:rPr>
          <w:rFonts w:ascii="Times New Roman" w:hAnsi="Times New Roman" w:cs="Times New Roman"/>
          <w:sz w:val="24"/>
        </w:rPr>
        <w:t>6)</w:t>
      </w:r>
    </w:p>
    <w:p w14:paraId="4FFA3C90" w14:textId="31597B32" w:rsidR="000C5096" w:rsidRPr="003315A4" w:rsidRDefault="00DC3EA3" w:rsidP="00B86D0C">
      <w:pPr>
        <w:pStyle w:val="ListParagraph"/>
        <w:numPr>
          <w:ilvl w:val="0"/>
          <w:numId w:val="25"/>
        </w:numPr>
        <w:spacing w:line="360" w:lineRule="auto"/>
        <w:ind w:left="748" w:hanging="357"/>
        <w:contextualSpacing w:val="0"/>
        <w:jc w:val="both"/>
        <w:rPr>
          <w:rFonts w:ascii="Times New Roman" w:hAnsi="Times New Roman" w:cs="Times New Roman"/>
          <w:sz w:val="24"/>
        </w:rPr>
      </w:pPr>
      <w:r w:rsidRPr="003315A4">
        <w:rPr>
          <w:rFonts w:ascii="Times New Roman" w:hAnsi="Times New Roman" w:cs="Times New Roman"/>
          <w:sz w:val="24"/>
        </w:rPr>
        <w:t xml:space="preserve">Is there a common understanding of NDPII strategy and policy among </w:t>
      </w:r>
      <w:r w:rsidR="009A2561" w:rsidRPr="003315A4">
        <w:rPr>
          <w:rFonts w:ascii="Times New Roman" w:hAnsi="Times New Roman" w:cs="Times New Roman"/>
          <w:sz w:val="24"/>
        </w:rPr>
        <w:t>Government</w:t>
      </w:r>
      <w:r w:rsidRPr="003315A4">
        <w:rPr>
          <w:rFonts w:ascii="Times New Roman" w:hAnsi="Times New Roman" w:cs="Times New Roman"/>
          <w:sz w:val="24"/>
        </w:rPr>
        <w:t>, Development Partners, Civil Society, the Private Sector and others? (PS4)</w:t>
      </w:r>
    </w:p>
    <w:p w14:paraId="4BA4F242" w14:textId="0EE2676F" w:rsidR="00B23417" w:rsidRPr="003315A4" w:rsidRDefault="00815F01"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3315A4">
        <w:rPr>
          <w:rFonts w:ascii="Times New Roman" w:hAnsi="Times New Roman" w:cs="Times New Roman"/>
          <w:sz w:val="24"/>
          <w:szCs w:val="24"/>
        </w:rPr>
        <w:t xml:space="preserve">To answer the question “how consistent is </w:t>
      </w:r>
      <w:r w:rsidR="009A2561" w:rsidRPr="003315A4">
        <w:rPr>
          <w:rFonts w:ascii="Times New Roman" w:hAnsi="Times New Roman" w:cs="Times New Roman"/>
          <w:sz w:val="24"/>
          <w:szCs w:val="24"/>
        </w:rPr>
        <w:t>Government</w:t>
      </w:r>
      <w:r w:rsidRPr="003315A4">
        <w:rPr>
          <w:rFonts w:ascii="Times New Roman" w:hAnsi="Times New Roman" w:cs="Times New Roman"/>
          <w:sz w:val="24"/>
          <w:szCs w:val="24"/>
        </w:rPr>
        <w:t xml:space="preserve"> in guiding the country towards middle-income status</w:t>
      </w:r>
      <w:r w:rsidR="00053C57" w:rsidRPr="003315A4">
        <w:rPr>
          <w:rFonts w:ascii="Times New Roman" w:hAnsi="Times New Roman" w:cs="Times New Roman"/>
          <w:sz w:val="24"/>
          <w:szCs w:val="24"/>
        </w:rPr>
        <w:t>?</w:t>
      </w:r>
      <w:r w:rsidRPr="003315A4">
        <w:rPr>
          <w:rFonts w:ascii="Times New Roman" w:hAnsi="Times New Roman" w:cs="Times New Roman"/>
          <w:sz w:val="24"/>
          <w:szCs w:val="24"/>
        </w:rPr>
        <w:t xml:space="preserve">”, an assessment has been conducted on </w:t>
      </w:r>
      <w:r w:rsidR="0067305E" w:rsidRPr="003315A4">
        <w:rPr>
          <w:rFonts w:ascii="Times New Roman" w:hAnsi="Times New Roman" w:cs="Times New Roman"/>
          <w:sz w:val="24"/>
          <w:szCs w:val="24"/>
        </w:rPr>
        <w:t xml:space="preserve">the extent to which </w:t>
      </w:r>
      <w:r w:rsidR="00B23417" w:rsidRPr="003315A4">
        <w:rPr>
          <w:rFonts w:ascii="Times New Roman" w:hAnsi="Times New Roman" w:cs="Times New Roman"/>
          <w:sz w:val="24"/>
          <w:szCs w:val="24"/>
        </w:rPr>
        <w:t xml:space="preserve">planning and budgeting processes are aligned, and the extent to which </w:t>
      </w:r>
      <w:r w:rsidR="00053C57" w:rsidRPr="003315A4">
        <w:rPr>
          <w:rFonts w:ascii="Times New Roman" w:hAnsi="Times New Roman" w:cs="Times New Roman"/>
          <w:sz w:val="24"/>
          <w:szCs w:val="24"/>
        </w:rPr>
        <w:t xml:space="preserve">sector and MDA plans </w:t>
      </w:r>
      <w:r w:rsidR="0067305E" w:rsidRPr="003315A4">
        <w:rPr>
          <w:rFonts w:ascii="Times New Roman" w:hAnsi="Times New Roman" w:cs="Times New Roman"/>
          <w:sz w:val="24"/>
          <w:szCs w:val="24"/>
        </w:rPr>
        <w:t>are aligned to N</w:t>
      </w:r>
      <w:r w:rsidR="00053C57" w:rsidRPr="003315A4">
        <w:rPr>
          <w:rFonts w:ascii="Times New Roman" w:hAnsi="Times New Roman" w:cs="Times New Roman"/>
          <w:sz w:val="24"/>
          <w:szCs w:val="24"/>
        </w:rPr>
        <w:t>DPII</w:t>
      </w:r>
      <w:r w:rsidR="00B23417" w:rsidRPr="003315A4">
        <w:rPr>
          <w:rFonts w:ascii="Times New Roman" w:hAnsi="Times New Roman" w:cs="Times New Roman"/>
          <w:sz w:val="24"/>
          <w:szCs w:val="24"/>
        </w:rPr>
        <w:t xml:space="preserve">. </w:t>
      </w:r>
      <w:r w:rsidR="0021024D" w:rsidRPr="003315A4">
        <w:rPr>
          <w:rFonts w:ascii="Times New Roman" w:hAnsi="Times New Roman" w:cs="Times New Roman"/>
          <w:sz w:val="24"/>
          <w:szCs w:val="24"/>
        </w:rPr>
        <w:t xml:space="preserve">If the </w:t>
      </w:r>
      <w:r w:rsidR="009A2561" w:rsidRPr="003315A4">
        <w:rPr>
          <w:rFonts w:ascii="Times New Roman" w:hAnsi="Times New Roman" w:cs="Times New Roman"/>
          <w:sz w:val="24"/>
          <w:szCs w:val="24"/>
        </w:rPr>
        <w:t>Government</w:t>
      </w:r>
      <w:r w:rsidR="0021024D" w:rsidRPr="003315A4">
        <w:rPr>
          <w:rFonts w:ascii="Times New Roman" w:hAnsi="Times New Roman" w:cs="Times New Roman"/>
          <w:sz w:val="24"/>
          <w:szCs w:val="24"/>
        </w:rPr>
        <w:t xml:space="preserve"> is consistent in guiding the country towards middle-income status this will be shown through high alignment of sector and MDAs plans towards and NDPII and close alignment of financial resources to NDPII.</w:t>
      </w:r>
      <w:r w:rsidR="00B23417" w:rsidRPr="003315A4">
        <w:rPr>
          <w:rFonts w:ascii="Times New Roman" w:hAnsi="Times New Roman" w:cs="Times New Roman"/>
          <w:sz w:val="24"/>
          <w:szCs w:val="24"/>
        </w:rPr>
        <w:t xml:space="preserve"> </w:t>
      </w:r>
    </w:p>
    <w:p w14:paraId="01BBACCE" w14:textId="7FC6388D" w:rsidR="004D7704" w:rsidRPr="003315A4" w:rsidRDefault="002A0F2E"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315A4">
        <w:rPr>
          <w:rFonts w:ascii="Times New Roman" w:hAnsi="Times New Roman" w:cs="Times New Roman"/>
          <w:b/>
          <w:sz w:val="24"/>
        </w:rPr>
        <w:t xml:space="preserve">On an annual basis, </w:t>
      </w:r>
      <w:r w:rsidR="009456A0" w:rsidRPr="003315A4">
        <w:rPr>
          <w:rFonts w:ascii="Times New Roman" w:hAnsi="Times New Roman" w:cs="Times New Roman"/>
          <w:b/>
          <w:sz w:val="24"/>
        </w:rPr>
        <w:t>NPA</w:t>
      </w:r>
      <w:r w:rsidRPr="003315A4">
        <w:rPr>
          <w:rFonts w:ascii="Times New Roman" w:hAnsi="Times New Roman" w:cs="Times New Roman"/>
          <w:b/>
          <w:sz w:val="24"/>
        </w:rPr>
        <w:t xml:space="preserve"> </w:t>
      </w:r>
      <w:r w:rsidR="009456A0" w:rsidRPr="003315A4">
        <w:rPr>
          <w:rFonts w:ascii="Times New Roman" w:hAnsi="Times New Roman" w:cs="Times New Roman"/>
          <w:b/>
          <w:sz w:val="24"/>
        </w:rPr>
        <w:t xml:space="preserve">assesses if the </w:t>
      </w:r>
      <w:r w:rsidRPr="003315A4">
        <w:rPr>
          <w:rFonts w:ascii="Times New Roman" w:hAnsi="Times New Roman" w:cs="Times New Roman"/>
          <w:b/>
          <w:sz w:val="24"/>
        </w:rPr>
        <w:t xml:space="preserve">annual budget is consistent with the NDPII, Charter for Fiscal Responsibility and National Budget Framework Paper. </w:t>
      </w:r>
      <w:r w:rsidRPr="003315A4">
        <w:rPr>
          <w:rFonts w:ascii="Times New Roman" w:hAnsi="Times New Roman" w:cs="Times New Roman"/>
          <w:sz w:val="24"/>
        </w:rPr>
        <w:t>This information is reported in the Annual Certificate of Compliance</w:t>
      </w:r>
      <w:r w:rsidR="000F1C23" w:rsidRPr="003315A4">
        <w:rPr>
          <w:rFonts w:ascii="Times New Roman" w:hAnsi="Times New Roman" w:cs="Times New Roman"/>
          <w:sz w:val="24"/>
        </w:rPr>
        <w:t xml:space="preserve"> (CoC)</w:t>
      </w:r>
      <w:r w:rsidRPr="003315A4">
        <w:rPr>
          <w:rFonts w:ascii="Times New Roman" w:hAnsi="Times New Roman" w:cs="Times New Roman"/>
          <w:sz w:val="24"/>
        </w:rPr>
        <w:t xml:space="preserve">. </w:t>
      </w:r>
      <w:r w:rsidR="004D7704" w:rsidRPr="003315A4">
        <w:rPr>
          <w:rFonts w:ascii="Times New Roman" w:hAnsi="Times New Roman" w:cs="Times New Roman"/>
          <w:sz w:val="24"/>
        </w:rPr>
        <w:t>Table 7 provides a</w:t>
      </w:r>
      <w:r w:rsidR="00447105" w:rsidRPr="003315A4">
        <w:rPr>
          <w:rFonts w:ascii="Times New Roman" w:hAnsi="Times New Roman" w:cs="Times New Roman"/>
          <w:sz w:val="24"/>
        </w:rPr>
        <w:t xml:space="preserve"> summary </w:t>
      </w:r>
      <w:r w:rsidR="004D7704" w:rsidRPr="003315A4">
        <w:rPr>
          <w:rFonts w:ascii="Times New Roman" w:hAnsi="Times New Roman" w:cs="Times New Roman"/>
          <w:sz w:val="24"/>
        </w:rPr>
        <w:t xml:space="preserve">of </w:t>
      </w:r>
      <w:r w:rsidR="00447105" w:rsidRPr="003315A4">
        <w:rPr>
          <w:rFonts w:ascii="Times New Roman" w:hAnsi="Times New Roman" w:cs="Times New Roman"/>
          <w:sz w:val="24"/>
        </w:rPr>
        <w:t xml:space="preserve">the </w:t>
      </w:r>
      <w:r w:rsidR="004D7704" w:rsidRPr="003315A4">
        <w:rPr>
          <w:rFonts w:ascii="Times New Roman" w:hAnsi="Times New Roman" w:cs="Times New Roman"/>
          <w:sz w:val="24"/>
        </w:rPr>
        <w:t>alignment</w:t>
      </w:r>
      <w:r w:rsidR="00447105" w:rsidRPr="003315A4">
        <w:rPr>
          <w:rFonts w:ascii="Times New Roman" w:hAnsi="Times New Roman" w:cs="Times New Roman"/>
          <w:sz w:val="24"/>
        </w:rPr>
        <w:t xml:space="preserve"> assessments</w:t>
      </w:r>
      <w:r w:rsidR="004D7704" w:rsidRPr="003315A4">
        <w:rPr>
          <w:rFonts w:ascii="Times New Roman" w:hAnsi="Times New Roman" w:cs="Times New Roman"/>
          <w:sz w:val="24"/>
        </w:rPr>
        <w:t xml:space="preserve"> across four parameters. The first level (A) provides an assessment of whether the annual budget macroeconomic targets are consistent with the NDPII medium-term macroeconomic targets and outcomes. Level B, National Strategic Direction, assesses whether the annual budget</w:t>
      </w:r>
      <w:r w:rsidR="00AE7115" w:rsidRPr="003315A4">
        <w:rPr>
          <w:rFonts w:ascii="Times New Roman" w:hAnsi="Times New Roman" w:cs="Times New Roman"/>
          <w:sz w:val="24"/>
        </w:rPr>
        <w:t>’s</w:t>
      </w:r>
      <w:r w:rsidR="004D7704" w:rsidRPr="003315A4">
        <w:rPr>
          <w:rFonts w:ascii="Times New Roman" w:hAnsi="Times New Roman" w:cs="Times New Roman"/>
          <w:sz w:val="24"/>
        </w:rPr>
        <w:t xml:space="preserve"> strategic directions are consistent with NDPII’s strategic directions. In the third level, C, an assessment has been made by NPA as to whether the annual budget strategic directions have been translated into sector/MDA specific interventions to deliver the NDPII targets. Level D assesses whether local </w:t>
      </w:r>
      <w:r w:rsidR="009A2561" w:rsidRPr="003315A4">
        <w:rPr>
          <w:rFonts w:ascii="Times New Roman" w:hAnsi="Times New Roman" w:cs="Times New Roman"/>
          <w:sz w:val="24"/>
        </w:rPr>
        <w:t>Government</w:t>
      </w:r>
      <w:r w:rsidR="004D7704" w:rsidRPr="003315A4">
        <w:rPr>
          <w:rFonts w:ascii="Times New Roman" w:hAnsi="Times New Roman" w:cs="Times New Roman"/>
          <w:sz w:val="24"/>
        </w:rPr>
        <w:t xml:space="preserve"> interventions are focused on delivering NDPII targets and outcomes. </w:t>
      </w:r>
    </w:p>
    <w:p w14:paraId="3000918F" w14:textId="77777777" w:rsidR="00B86D0C" w:rsidRDefault="00B86D0C">
      <w:pPr>
        <w:spacing w:after="160" w:line="259" w:lineRule="auto"/>
        <w:rPr>
          <w:rFonts w:ascii="Times New Roman" w:hAnsi="Times New Roman" w:cs="Times New Roman"/>
          <w:b/>
          <w:iCs/>
          <w:sz w:val="24"/>
          <w:szCs w:val="18"/>
        </w:rPr>
      </w:pPr>
      <w:bookmarkStart w:id="38" w:name="_Toc536205956"/>
      <w:r>
        <w:rPr>
          <w:rFonts w:ascii="Times New Roman" w:hAnsi="Times New Roman" w:cs="Times New Roman"/>
          <w:i/>
          <w:sz w:val="24"/>
        </w:rPr>
        <w:br w:type="page"/>
      </w:r>
    </w:p>
    <w:p w14:paraId="049A8C9C" w14:textId="51D08E60" w:rsidR="004C5020" w:rsidRPr="003315A4" w:rsidRDefault="004C5020" w:rsidP="00587EDE">
      <w:pPr>
        <w:pStyle w:val="Caption"/>
        <w:spacing w:line="360" w:lineRule="auto"/>
        <w:jc w:val="both"/>
        <w:rPr>
          <w:rFonts w:ascii="Times New Roman" w:hAnsi="Times New Roman" w:cs="Times New Roman"/>
          <w:i w:val="0"/>
          <w:sz w:val="24"/>
        </w:rPr>
      </w:pPr>
      <w:r w:rsidRPr="003315A4">
        <w:rPr>
          <w:rFonts w:ascii="Times New Roman" w:hAnsi="Times New Roman" w:cs="Times New Roman"/>
          <w:i w:val="0"/>
          <w:sz w:val="24"/>
        </w:rPr>
        <w:lastRenderedPageBreak/>
        <w:t xml:space="preserve">Table </w:t>
      </w:r>
      <w:r w:rsidR="001350AC" w:rsidRPr="003315A4">
        <w:rPr>
          <w:rFonts w:ascii="Times New Roman" w:hAnsi="Times New Roman" w:cs="Times New Roman"/>
          <w:i w:val="0"/>
          <w:noProof/>
          <w:sz w:val="24"/>
        </w:rPr>
        <w:fldChar w:fldCharType="begin"/>
      </w:r>
      <w:r w:rsidR="001350AC" w:rsidRPr="003315A4">
        <w:rPr>
          <w:rFonts w:ascii="Times New Roman" w:hAnsi="Times New Roman" w:cs="Times New Roman"/>
          <w:i w:val="0"/>
          <w:noProof/>
          <w:sz w:val="24"/>
        </w:rPr>
        <w:instrText xml:space="preserve"> SEQ Table \* ARABIC </w:instrText>
      </w:r>
      <w:r w:rsidR="001350AC" w:rsidRPr="003315A4">
        <w:rPr>
          <w:rFonts w:ascii="Times New Roman" w:hAnsi="Times New Roman" w:cs="Times New Roman"/>
          <w:i w:val="0"/>
          <w:noProof/>
          <w:sz w:val="24"/>
        </w:rPr>
        <w:fldChar w:fldCharType="separate"/>
      </w:r>
      <w:r w:rsidR="00A057A7">
        <w:rPr>
          <w:rFonts w:ascii="Times New Roman" w:hAnsi="Times New Roman" w:cs="Times New Roman"/>
          <w:i w:val="0"/>
          <w:noProof/>
          <w:sz w:val="24"/>
        </w:rPr>
        <w:t>8</w:t>
      </w:r>
      <w:r w:rsidR="001350AC" w:rsidRPr="003315A4">
        <w:rPr>
          <w:rFonts w:ascii="Times New Roman" w:hAnsi="Times New Roman" w:cs="Times New Roman"/>
          <w:i w:val="0"/>
          <w:noProof/>
          <w:sz w:val="24"/>
        </w:rPr>
        <w:fldChar w:fldCharType="end"/>
      </w:r>
      <w:r w:rsidRPr="003315A4">
        <w:rPr>
          <w:rFonts w:ascii="Times New Roman" w:hAnsi="Times New Roman" w:cs="Times New Roman"/>
          <w:i w:val="0"/>
          <w:sz w:val="24"/>
        </w:rPr>
        <w:t>: Certificate of compliance assessments (2015/16-2017/18)</w:t>
      </w:r>
      <w:bookmarkEnd w:id="38"/>
    </w:p>
    <w:tbl>
      <w:tblPr>
        <w:tblStyle w:val="TableGrid"/>
        <w:tblW w:w="9351" w:type="dxa"/>
        <w:tblLook w:val="04A0" w:firstRow="1" w:lastRow="0" w:firstColumn="1" w:lastColumn="0" w:noHBand="0" w:noVBand="1"/>
      </w:tblPr>
      <w:tblGrid>
        <w:gridCol w:w="2624"/>
        <w:gridCol w:w="1139"/>
        <w:gridCol w:w="2773"/>
        <w:gridCol w:w="2815"/>
      </w:tblGrid>
      <w:tr w:rsidR="004C5020" w:rsidRPr="003315A4" w14:paraId="144C0476" w14:textId="77777777" w:rsidTr="00C41B94">
        <w:tc>
          <w:tcPr>
            <w:tcW w:w="2640" w:type="dxa"/>
            <w:vMerge w:val="restart"/>
            <w:shd w:val="clear" w:color="auto" w:fill="C5E0B3" w:themeFill="accent6" w:themeFillTint="66"/>
          </w:tcPr>
          <w:p w14:paraId="3810E249" w14:textId="77777777" w:rsidR="004C5020" w:rsidRPr="003315A4" w:rsidRDefault="004C5020" w:rsidP="00587EDE">
            <w:pPr>
              <w:spacing w:after="0"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Level of assessment</w:t>
            </w:r>
          </w:p>
        </w:tc>
        <w:tc>
          <w:tcPr>
            <w:tcW w:w="1083" w:type="dxa"/>
            <w:shd w:val="clear" w:color="auto" w:fill="C5E0B3" w:themeFill="accent6" w:themeFillTint="66"/>
          </w:tcPr>
          <w:p w14:paraId="7AC5EB66" w14:textId="77777777" w:rsidR="004C5020" w:rsidRPr="003315A4" w:rsidRDefault="004C5020" w:rsidP="00587EDE">
            <w:pPr>
              <w:spacing w:after="0"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FY2015/16</w:t>
            </w:r>
          </w:p>
        </w:tc>
        <w:tc>
          <w:tcPr>
            <w:tcW w:w="2793" w:type="dxa"/>
            <w:shd w:val="clear" w:color="auto" w:fill="C5E0B3" w:themeFill="accent6" w:themeFillTint="66"/>
          </w:tcPr>
          <w:p w14:paraId="15E4A2F1" w14:textId="77777777" w:rsidR="004C5020" w:rsidRPr="003315A4" w:rsidRDefault="004C5020" w:rsidP="00587EDE">
            <w:pPr>
              <w:spacing w:after="0"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FY2016/17</w:t>
            </w:r>
          </w:p>
        </w:tc>
        <w:tc>
          <w:tcPr>
            <w:tcW w:w="2835" w:type="dxa"/>
            <w:shd w:val="clear" w:color="auto" w:fill="C5E0B3" w:themeFill="accent6" w:themeFillTint="66"/>
          </w:tcPr>
          <w:p w14:paraId="7F4BA6D4" w14:textId="77777777" w:rsidR="004C5020" w:rsidRPr="003315A4" w:rsidRDefault="004C5020" w:rsidP="00587EDE">
            <w:pPr>
              <w:spacing w:after="0"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FY2017/18</w:t>
            </w:r>
          </w:p>
        </w:tc>
      </w:tr>
      <w:tr w:rsidR="004C5020" w:rsidRPr="003315A4" w14:paraId="74A87787" w14:textId="77777777" w:rsidTr="00C41B94">
        <w:tc>
          <w:tcPr>
            <w:tcW w:w="2640" w:type="dxa"/>
            <w:vMerge/>
            <w:shd w:val="clear" w:color="auto" w:fill="C5E0B3" w:themeFill="accent6" w:themeFillTint="66"/>
          </w:tcPr>
          <w:p w14:paraId="4353D6A5" w14:textId="77777777" w:rsidR="004C5020" w:rsidRPr="003315A4" w:rsidRDefault="004C5020" w:rsidP="00587EDE">
            <w:pPr>
              <w:spacing w:after="0" w:line="360" w:lineRule="auto"/>
              <w:jc w:val="both"/>
              <w:rPr>
                <w:rFonts w:ascii="Times New Roman" w:hAnsi="Times New Roman" w:cs="Times New Roman"/>
                <w:b/>
                <w:sz w:val="20"/>
                <w:szCs w:val="20"/>
              </w:rPr>
            </w:pPr>
          </w:p>
        </w:tc>
        <w:tc>
          <w:tcPr>
            <w:tcW w:w="6711" w:type="dxa"/>
            <w:gridSpan w:val="3"/>
            <w:shd w:val="clear" w:color="auto" w:fill="C5E0B3" w:themeFill="accent6" w:themeFillTint="66"/>
          </w:tcPr>
          <w:p w14:paraId="025E3F21" w14:textId="77777777" w:rsidR="004C5020" w:rsidRPr="003315A4" w:rsidRDefault="004C5020" w:rsidP="00587EDE">
            <w:pPr>
              <w:spacing w:after="0" w:line="360" w:lineRule="auto"/>
              <w:jc w:val="both"/>
              <w:rPr>
                <w:rFonts w:ascii="Times New Roman" w:hAnsi="Times New Roman" w:cs="Times New Roman"/>
                <w:b/>
                <w:sz w:val="20"/>
                <w:szCs w:val="20"/>
              </w:rPr>
            </w:pPr>
            <w:r w:rsidRPr="003315A4">
              <w:rPr>
                <w:rFonts w:ascii="Times New Roman" w:hAnsi="Times New Roman" w:cs="Times New Roman"/>
                <w:b/>
                <w:sz w:val="20"/>
                <w:szCs w:val="20"/>
              </w:rPr>
              <w:t>Weighted scores and classification</w:t>
            </w:r>
          </w:p>
        </w:tc>
      </w:tr>
      <w:tr w:rsidR="004C5020" w:rsidRPr="00F10F3B" w14:paraId="154B86D0" w14:textId="77777777" w:rsidTr="00C41B94">
        <w:tc>
          <w:tcPr>
            <w:tcW w:w="2640" w:type="dxa"/>
          </w:tcPr>
          <w:p w14:paraId="7DFE6C21"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A. Macroeconomic</w:t>
            </w:r>
          </w:p>
        </w:tc>
        <w:tc>
          <w:tcPr>
            <w:tcW w:w="1083" w:type="dxa"/>
          </w:tcPr>
          <w:p w14:paraId="24872919"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71.7%</w:t>
            </w:r>
          </w:p>
        </w:tc>
        <w:tc>
          <w:tcPr>
            <w:tcW w:w="2793" w:type="dxa"/>
          </w:tcPr>
          <w:p w14:paraId="70406857"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48.1% - Unsatisfactory</w:t>
            </w:r>
          </w:p>
        </w:tc>
        <w:tc>
          <w:tcPr>
            <w:tcW w:w="2835" w:type="dxa"/>
          </w:tcPr>
          <w:p w14:paraId="71EFBDA6"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41.9% - Unsatisfactory</w:t>
            </w:r>
          </w:p>
        </w:tc>
      </w:tr>
      <w:tr w:rsidR="004C5020" w:rsidRPr="00F10F3B" w14:paraId="5DE408F6" w14:textId="77777777" w:rsidTr="00C41B94">
        <w:tc>
          <w:tcPr>
            <w:tcW w:w="2640" w:type="dxa"/>
          </w:tcPr>
          <w:p w14:paraId="0D7F96A2"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B. National strategic direction</w:t>
            </w:r>
          </w:p>
        </w:tc>
        <w:tc>
          <w:tcPr>
            <w:tcW w:w="1083" w:type="dxa"/>
          </w:tcPr>
          <w:p w14:paraId="72C279C0"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75.4%</w:t>
            </w:r>
          </w:p>
        </w:tc>
        <w:tc>
          <w:tcPr>
            <w:tcW w:w="2793" w:type="dxa"/>
          </w:tcPr>
          <w:p w14:paraId="29C59DBB"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74.2% - Satisfactory</w:t>
            </w:r>
          </w:p>
        </w:tc>
        <w:tc>
          <w:tcPr>
            <w:tcW w:w="2835" w:type="dxa"/>
          </w:tcPr>
          <w:p w14:paraId="1D40E6D4"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59.3% - Unsatisfactory</w:t>
            </w:r>
          </w:p>
        </w:tc>
      </w:tr>
      <w:tr w:rsidR="004C5020" w:rsidRPr="00F10F3B" w14:paraId="7B0FFF82" w14:textId="77777777" w:rsidTr="00C41B94">
        <w:tc>
          <w:tcPr>
            <w:tcW w:w="2640" w:type="dxa"/>
          </w:tcPr>
          <w:p w14:paraId="1038BD2E"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C. Sectors/MDAs</w:t>
            </w:r>
          </w:p>
        </w:tc>
        <w:tc>
          <w:tcPr>
            <w:tcW w:w="1083" w:type="dxa"/>
          </w:tcPr>
          <w:p w14:paraId="6BBE5231"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57.7%</w:t>
            </w:r>
          </w:p>
        </w:tc>
        <w:tc>
          <w:tcPr>
            <w:tcW w:w="2793" w:type="dxa"/>
          </w:tcPr>
          <w:p w14:paraId="7F6422C0"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60.1% - Moderately satisfactory</w:t>
            </w:r>
          </w:p>
        </w:tc>
        <w:tc>
          <w:tcPr>
            <w:tcW w:w="2835" w:type="dxa"/>
          </w:tcPr>
          <w:p w14:paraId="3F9610D1"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53.2% - Unsatisfactory</w:t>
            </w:r>
          </w:p>
        </w:tc>
      </w:tr>
      <w:tr w:rsidR="004C5020" w:rsidRPr="00F10F3B" w14:paraId="0F42CA86" w14:textId="77777777" w:rsidTr="00C41B94">
        <w:tc>
          <w:tcPr>
            <w:tcW w:w="2640" w:type="dxa"/>
          </w:tcPr>
          <w:p w14:paraId="2FCA1969" w14:textId="7B90C340"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D. Local </w:t>
            </w:r>
            <w:r w:rsidR="009A2561" w:rsidRPr="00F10F3B">
              <w:rPr>
                <w:rFonts w:ascii="Times New Roman" w:hAnsi="Times New Roman" w:cs="Times New Roman"/>
                <w:sz w:val="20"/>
                <w:szCs w:val="20"/>
              </w:rPr>
              <w:t>Government</w:t>
            </w:r>
            <w:r w:rsidRPr="00F10F3B">
              <w:rPr>
                <w:rFonts w:ascii="Times New Roman" w:hAnsi="Times New Roman" w:cs="Times New Roman"/>
                <w:sz w:val="20"/>
                <w:szCs w:val="20"/>
              </w:rPr>
              <w:t>s</w:t>
            </w:r>
          </w:p>
        </w:tc>
        <w:tc>
          <w:tcPr>
            <w:tcW w:w="1083" w:type="dxa"/>
          </w:tcPr>
          <w:p w14:paraId="773D9C4B"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Unknown</w:t>
            </w:r>
          </w:p>
        </w:tc>
        <w:tc>
          <w:tcPr>
            <w:tcW w:w="2793" w:type="dxa"/>
          </w:tcPr>
          <w:p w14:paraId="11A1F092"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51.8% - Moderately satisfactory</w:t>
            </w:r>
          </w:p>
        </w:tc>
        <w:tc>
          <w:tcPr>
            <w:tcW w:w="2835" w:type="dxa"/>
          </w:tcPr>
          <w:p w14:paraId="0C96C651"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62.2% - Moderately satisfactory</w:t>
            </w:r>
          </w:p>
        </w:tc>
      </w:tr>
      <w:tr w:rsidR="004C5020" w:rsidRPr="00F10F3B" w14:paraId="38BD7CD8" w14:textId="77777777" w:rsidTr="00C41B94">
        <w:tc>
          <w:tcPr>
            <w:tcW w:w="2640" w:type="dxa"/>
          </w:tcPr>
          <w:p w14:paraId="106039E5"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Overall score (weighted)</w:t>
            </w:r>
          </w:p>
        </w:tc>
        <w:tc>
          <w:tcPr>
            <w:tcW w:w="1083" w:type="dxa"/>
          </w:tcPr>
          <w:p w14:paraId="5699B70B"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68.3%</w:t>
            </w:r>
          </w:p>
        </w:tc>
        <w:tc>
          <w:tcPr>
            <w:tcW w:w="2793" w:type="dxa"/>
          </w:tcPr>
          <w:p w14:paraId="62100B51"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58.8% - Moderately satisfactory</w:t>
            </w:r>
          </w:p>
        </w:tc>
        <w:tc>
          <w:tcPr>
            <w:tcW w:w="2835" w:type="dxa"/>
          </w:tcPr>
          <w:p w14:paraId="1C8F18F7" w14:textId="77777777" w:rsidR="004C5020" w:rsidRPr="00F10F3B" w:rsidRDefault="004C5020"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54.0% - Unsatisfactory</w:t>
            </w:r>
          </w:p>
        </w:tc>
      </w:tr>
    </w:tbl>
    <w:p w14:paraId="6F72E522" w14:textId="05877A85" w:rsidR="00762083" w:rsidRPr="00F10F3B" w:rsidRDefault="004C5020" w:rsidP="00587EDE">
      <w:pPr>
        <w:spacing w:before="120" w:line="360" w:lineRule="auto"/>
        <w:ind w:left="34"/>
        <w:jc w:val="both"/>
        <w:rPr>
          <w:rFonts w:ascii="Times New Roman" w:hAnsi="Times New Roman" w:cs="Times New Roman"/>
          <w:i/>
          <w:sz w:val="20"/>
          <w:szCs w:val="20"/>
        </w:rPr>
      </w:pPr>
      <w:r w:rsidRPr="00F10F3B">
        <w:rPr>
          <w:rFonts w:ascii="Times New Roman" w:hAnsi="Times New Roman" w:cs="Times New Roman"/>
          <w:i/>
          <w:sz w:val="20"/>
          <w:szCs w:val="20"/>
        </w:rPr>
        <w:t>Source: National Planning Authority</w:t>
      </w:r>
    </w:p>
    <w:p w14:paraId="3EAD2B87" w14:textId="7659D5FB" w:rsidR="0050227E" w:rsidRPr="003315A4" w:rsidRDefault="004301CE"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315A4">
        <w:rPr>
          <w:rFonts w:ascii="Times New Roman" w:hAnsi="Times New Roman" w:cs="Times New Roman"/>
          <w:b/>
          <w:sz w:val="24"/>
        </w:rPr>
        <w:t xml:space="preserve">As noted in Table 7, there is a disconnect between planning and budgeting at the macroeconomic level. </w:t>
      </w:r>
      <w:r w:rsidR="0040342A" w:rsidRPr="003315A4">
        <w:rPr>
          <w:rFonts w:ascii="Times New Roman" w:hAnsi="Times New Roman" w:cs="Times New Roman"/>
          <w:sz w:val="24"/>
        </w:rPr>
        <w:t xml:space="preserve">Alignment was noted to be 41.9% - “Unsatisfactory” in FY2017/18. </w:t>
      </w:r>
      <w:r w:rsidRPr="003315A4">
        <w:rPr>
          <w:rFonts w:ascii="Times New Roman" w:hAnsi="Times New Roman" w:cs="Times New Roman"/>
          <w:sz w:val="24"/>
        </w:rPr>
        <w:t xml:space="preserve">In the 2017/18 budget the macroeconomic targets differ by 17% from the NDPII targets. Budget targets appear to more closely tied to the IMF’s Policy Supported Instrument (PSI) targets than the NDPII. This is not too surprising as the annual budget and MTEF are flexible instruments and need to be; the NDPII is rigid. </w:t>
      </w:r>
      <w:r w:rsidR="0050227E" w:rsidRPr="003315A4">
        <w:rPr>
          <w:rFonts w:ascii="Times New Roman" w:hAnsi="Times New Roman" w:cs="Times New Roman"/>
          <w:sz w:val="24"/>
        </w:rPr>
        <w:t>However, alignment</w:t>
      </w:r>
      <w:r w:rsidR="0021215A" w:rsidRPr="003315A4">
        <w:rPr>
          <w:rFonts w:ascii="Times New Roman" w:hAnsi="Times New Roman" w:cs="Times New Roman"/>
          <w:sz w:val="24"/>
        </w:rPr>
        <w:t>, at the macroeconomic level,</w:t>
      </w:r>
      <w:r w:rsidR="0050227E" w:rsidRPr="003315A4">
        <w:rPr>
          <w:rFonts w:ascii="Times New Roman" w:hAnsi="Times New Roman" w:cs="Times New Roman"/>
          <w:sz w:val="24"/>
        </w:rPr>
        <w:t xml:space="preserve"> could be strengthened through</w:t>
      </w:r>
      <w:r w:rsidR="0021215A" w:rsidRPr="003315A4">
        <w:rPr>
          <w:rFonts w:ascii="Times New Roman" w:hAnsi="Times New Roman" w:cs="Times New Roman"/>
          <w:sz w:val="24"/>
        </w:rPr>
        <w:t>:</w:t>
      </w:r>
      <w:r w:rsidR="0050227E" w:rsidRPr="003315A4">
        <w:rPr>
          <w:rFonts w:ascii="Times New Roman" w:hAnsi="Times New Roman" w:cs="Times New Roman"/>
          <w:sz w:val="24"/>
        </w:rPr>
        <w:t xml:space="preserve"> </w:t>
      </w:r>
    </w:p>
    <w:p w14:paraId="0B41C9FB" w14:textId="467FB02F" w:rsidR="0050227E" w:rsidRPr="003315A4" w:rsidRDefault="00F04C9F" w:rsidP="00B86D0C">
      <w:pPr>
        <w:pStyle w:val="ListParagraph"/>
        <w:numPr>
          <w:ilvl w:val="0"/>
          <w:numId w:val="27"/>
        </w:numPr>
        <w:spacing w:line="360" w:lineRule="auto"/>
        <w:contextualSpacing w:val="0"/>
        <w:jc w:val="both"/>
        <w:rPr>
          <w:rFonts w:ascii="Times New Roman" w:hAnsi="Times New Roman" w:cs="Times New Roman"/>
          <w:sz w:val="24"/>
        </w:rPr>
      </w:pPr>
      <w:r w:rsidRPr="003315A4">
        <w:rPr>
          <w:rFonts w:ascii="Times New Roman" w:hAnsi="Times New Roman" w:cs="Times New Roman"/>
          <w:sz w:val="24"/>
        </w:rPr>
        <w:t>Inclusion of NDP</w:t>
      </w:r>
      <w:r w:rsidR="005009CA" w:rsidRPr="003315A4">
        <w:rPr>
          <w:rFonts w:ascii="Times New Roman" w:hAnsi="Times New Roman" w:cs="Times New Roman"/>
          <w:sz w:val="24"/>
        </w:rPr>
        <w:t>II</w:t>
      </w:r>
      <w:r w:rsidRPr="003315A4">
        <w:rPr>
          <w:rFonts w:ascii="Times New Roman" w:hAnsi="Times New Roman" w:cs="Times New Roman"/>
          <w:sz w:val="24"/>
        </w:rPr>
        <w:t xml:space="preserve"> processes in</w:t>
      </w:r>
      <w:r w:rsidR="005009CA" w:rsidRPr="003315A4">
        <w:rPr>
          <w:rFonts w:ascii="Times New Roman" w:hAnsi="Times New Roman" w:cs="Times New Roman"/>
          <w:sz w:val="24"/>
        </w:rPr>
        <w:t>to</w:t>
      </w:r>
      <w:r w:rsidRPr="003315A4">
        <w:rPr>
          <w:rFonts w:ascii="Times New Roman" w:hAnsi="Times New Roman" w:cs="Times New Roman"/>
          <w:sz w:val="24"/>
        </w:rPr>
        <w:t xml:space="preserve"> the Budget Calendar to ensure that </w:t>
      </w:r>
      <w:r w:rsidR="006C192D" w:rsidRPr="003315A4">
        <w:rPr>
          <w:rFonts w:ascii="Times New Roman" w:hAnsi="Times New Roman" w:cs="Times New Roman"/>
          <w:sz w:val="24"/>
        </w:rPr>
        <w:t>analysis produced by NPA is being factored into the budget process e.g. during review and update of the MTEF;</w:t>
      </w:r>
    </w:p>
    <w:p w14:paraId="0D1D90B6" w14:textId="3045D3E7" w:rsidR="006C192D" w:rsidRPr="003315A4" w:rsidRDefault="00C77F3F" w:rsidP="00B86D0C">
      <w:pPr>
        <w:pStyle w:val="ListParagraph"/>
        <w:numPr>
          <w:ilvl w:val="0"/>
          <w:numId w:val="27"/>
        </w:numPr>
        <w:spacing w:line="360" w:lineRule="auto"/>
        <w:contextualSpacing w:val="0"/>
        <w:jc w:val="both"/>
        <w:rPr>
          <w:rFonts w:ascii="Times New Roman" w:hAnsi="Times New Roman" w:cs="Times New Roman"/>
          <w:sz w:val="24"/>
        </w:rPr>
      </w:pPr>
      <w:r w:rsidRPr="003315A4">
        <w:rPr>
          <w:rFonts w:ascii="Times New Roman" w:hAnsi="Times New Roman" w:cs="Times New Roman"/>
          <w:sz w:val="24"/>
        </w:rPr>
        <w:t>D</w:t>
      </w:r>
      <w:r w:rsidR="009D51D1" w:rsidRPr="003315A4">
        <w:rPr>
          <w:rFonts w:ascii="Times New Roman" w:hAnsi="Times New Roman" w:cs="Times New Roman"/>
          <w:sz w:val="24"/>
        </w:rPr>
        <w:t xml:space="preserve">iscussion between agencies of </w:t>
      </w:r>
      <w:r w:rsidR="009A2561" w:rsidRPr="003315A4">
        <w:rPr>
          <w:rFonts w:ascii="Times New Roman" w:hAnsi="Times New Roman" w:cs="Times New Roman"/>
          <w:sz w:val="24"/>
        </w:rPr>
        <w:t>Government</w:t>
      </w:r>
      <w:r w:rsidR="009D51D1" w:rsidRPr="003315A4">
        <w:rPr>
          <w:rFonts w:ascii="Times New Roman" w:hAnsi="Times New Roman" w:cs="Times New Roman"/>
          <w:sz w:val="24"/>
        </w:rPr>
        <w:t xml:space="preserve"> </w:t>
      </w:r>
      <w:r w:rsidR="009F27E1" w:rsidRPr="003315A4">
        <w:rPr>
          <w:rFonts w:ascii="Times New Roman" w:hAnsi="Times New Roman" w:cs="Times New Roman"/>
          <w:sz w:val="24"/>
        </w:rPr>
        <w:t>on how to harmonize and reconcile differences in purpose between PSI</w:t>
      </w:r>
      <w:r w:rsidR="003523A7" w:rsidRPr="003315A4">
        <w:rPr>
          <w:rFonts w:ascii="Times New Roman" w:hAnsi="Times New Roman" w:cs="Times New Roman"/>
          <w:sz w:val="24"/>
        </w:rPr>
        <w:t xml:space="preserve"> processes, the annual budget process </w:t>
      </w:r>
      <w:r w:rsidR="009F27E1" w:rsidRPr="003315A4">
        <w:rPr>
          <w:rFonts w:ascii="Times New Roman" w:hAnsi="Times New Roman" w:cs="Times New Roman"/>
          <w:sz w:val="24"/>
        </w:rPr>
        <w:t>and NDPII;</w:t>
      </w:r>
      <w:r w:rsidR="002359F3" w:rsidRPr="003315A4">
        <w:rPr>
          <w:rFonts w:ascii="Times New Roman" w:hAnsi="Times New Roman" w:cs="Times New Roman"/>
          <w:sz w:val="24"/>
        </w:rPr>
        <w:t xml:space="preserve"> and</w:t>
      </w:r>
    </w:p>
    <w:p w14:paraId="7552BA22" w14:textId="6AA871BF" w:rsidR="004D7704" w:rsidRPr="003315A4" w:rsidRDefault="00C77F3F" w:rsidP="00B86D0C">
      <w:pPr>
        <w:pStyle w:val="ListParagraph"/>
        <w:numPr>
          <w:ilvl w:val="0"/>
          <w:numId w:val="27"/>
        </w:numPr>
        <w:spacing w:line="360" w:lineRule="auto"/>
        <w:contextualSpacing w:val="0"/>
        <w:jc w:val="both"/>
        <w:rPr>
          <w:rFonts w:ascii="Times New Roman" w:hAnsi="Times New Roman" w:cs="Times New Roman"/>
          <w:b/>
          <w:sz w:val="24"/>
        </w:rPr>
      </w:pPr>
      <w:r w:rsidRPr="003315A4">
        <w:rPr>
          <w:rFonts w:ascii="Times New Roman" w:hAnsi="Times New Roman" w:cs="Times New Roman"/>
          <w:sz w:val="24"/>
        </w:rPr>
        <w:t>Discussion and agreement between agencies and Parliamentarians on the purpose of the C</w:t>
      </w:r>
      <w:r w:rsidR="000F1C23" w:rsidRPr="003315A4">
        <w:rPr>
          <w:rFonts w:ascii="Times New Roman" w:hAnsi="Times New Roman" w:cs="Times New Roman"/>
          <w:sz w:val="24"/>
        </w:rPr>
        <w:t>oC.</w:t>
      </w:r>
      <w:r w:rsidRPr="003315A4">
        <w:rPr>
          <w:rFonts w:ascii="Times New Roman" w:hAnsi="Times New Roman" w:cs="Times New Roman"/>
          <w:sz w:val="24"/>
        </w:rPr>
        <w:t xml:space="preserve"> </w:t>
      </w:r>
      <w:r w:rsidR="001110A7" w:rsidRPr="003315A4">
        <w:rPr>
          <w:rFonts w:ascii="Times New Roman" w:hAnsi="Times New Roman" w:cs="Times New Roman"/>
          <w:sz w:val="24"/>
        </w:rPr>
        <w:t>A</w:t>
      </w:r>
      <w:r w:rsidR="0050215F" w:rsidRPr="003315A4">
        <w:rPr>
          <w:rFonts w:ascii="Times New Roman" w:hAnsi="Times New Roman" w:cs="Times New Roman"/>
          <w:sz w:val="24"/>
        </w:rPr>
        <w:t xml:space="preserve">n annual </w:t>
      </w:r>
      <w:r w:rsidR="000F1C23" w:rsidRPr="003315A4">
        <w:rPr>
          <w:rFonts w:ascii="Times New Roman" w:hAnsi="Times New Roman" w:cs="Times New Roman"/>
          <w:sz w:val="24"/>
        </w:rPr>
        <w:t xml:space="preserve">CoC </w:t>
      </w:r>
      <w:r w:rsidR="00ED611B" w:rsidRPr="003315A4">
        <w:rPr>
          <w:rFonts w:ascii="Times New Roman" w:hAnsi="Times New Roman" w:cs="Times New Roman"/>
          <w:sz w:val="24"/>
        </w:rPr>
        <w:t xml:space="preserve">is a requirement under the Public Financial Management Act (2015). </w:t>
      </w:r>
      <w:r w:rsidR="00FD60D9" w:rsidRPr="003315A4">
        <w:rPr>
          <w:rFonts w:ascii="Times New Roman" w:hAnsi="Times New Roman" w:cs="Times New Roman"/>
          <w:sz w:val="24"/>
        </w:rPr>
        <w:t>Section 13(6) of the Act</w:t>
      </w:r>
      <w:r w:rsidR="00D575F0" w:rsidRPr="003315A4">
        <w:rPr>
          <w:rFonts w:ascii="Times New Roman" w:hAnsi="Times New Roman" w:cs="Times New Roman"/>
          <w:sz w:val="24"/>
        </w:rPr>
        <w:t xml:space="preserve"> requires the national budget framework</w:t>
      </w:r>
      <w:r w:rsidR="007F45B6" w:rsidRPr="003315A4">
        <w:rPr>
          <w:rFonts w:ascii="Times New Roman" w:hAnsi="Times New Roman" w:cs="Times New Roman"/>
          <w:sz w:val="24"/>
        </w:rPr>
        <w:t xml:space="preserve"> and</w:t>
      </w:r>
      <w:r w:rsidR="00D575F0" w:rsidRPr="003315A4">
        <w:rPr>
          <w:rFonts w:ascii="Times New Roman" w:hAnsi="Times New Roman" w:cs="Times New Roman"/>
          <w:sz w:val="24"/>
        </w:rPr>
        <w:t xml:space="preserve"> annual budget </w:t>
      </w:r>
      <w:r w:rsidR="007F45B6" w:rsidRPr="003315A4">
        <w:rPr>
          <w:rFonts w:ascii="Times New Roman" w:hAnsi="Times New Roman" w:cs="Times New Roman"/>
          <w:sz w:val="24"/>
        </w:rPr>
        <w:t>to be aligned to the NDPs</w:t>
      </w:r>
      <w:r w:rsidR="0050215F" w:rsidRPr="003315A4">
        <w:rPr>
          <w:rFonts w:ascii="Times New Roman" w:hAnsi="Times New Roman" w:cs="Times New Roman"/>
          <w:sz w:val="24"/>
        </w:rPr>
        <w:t xml:space="preserve">; the </w:t>
      </w:r>
      <w:r w:rsidR="000F1C23" w:rsidRPr="003315A4">
        <w:rPr>
          <w:rFonts w:ascii="Times New Roman" w:hAnsi="Times New Roman" w:cs="Times New Roman"/>
          <w:sz w:val="24"/>
        </w:rPr>
        <w:t xml:space="preserve">CoC </w:t>
      </w:r>
      <w:r w:rsidR="0050215F" w:rsidRPr="003315A4">
        <w:rPr>
          <w:rFonts w:ascii="Times New Roman" w:hAnsi="Times New Roman" w:cs="Times New Roman"/>
          <w:sz w:val="24"/>
        </w:rPr>
        <w:t xml:space="preserve">monitors this requirement. </w:t>
      </w:r>
      <w:r w:rsidR="00645D60" w:rsidRPr="003315A4">
        <w:rPr>
          <w:rFonts w:ascii="Times New Roman" w:hAnsi="Times New Roman" w:cs="Times New Roman"/>
          <w:sz w:val="24"/>
        </w:rPr>
        <w:t>A</w:t>
      </w:r>
      <w:r w:rsidR="000F1C23" w:rsidRPr="003315A4">
        <w:rPr>
          <w:rFonts w:ascii="Times New Roman" w:hAnsi="Times New Roman" w:cs="Times New Roman"/>
          <w:sz w:val="24"/>
        </w:rPr>
        <w:t xml:space="preserve">s stated earlier, </w:t>
      </w:r>
      <w:r w:rsidR="00645D60" w:rsidRPr="003315A4">
        <w:rPr>
          <w:rFonts w:ascii="Times New Roman" w:hAnsi="Times New Roman" w:cs="Times New Roman"/>
          <w:sz w:val="24"/>
        </w:rPr>
        <w:t xml:space="preserve">the </w:t>
      </w:r>
      <w:r w:rsidR="000F1C23" w:rsidRPr="003315A4">
        <w:rPr>
          <w:rFonts w:ascii="Times New Roman" w:hAnsi="Times New Roman" w:cs="Times New Roman"/>
          <w:sz w:val="24"/>
        </w:rPr>
        <w:t>CoC</w:t>
      </w:r>
      <w:r w:rsidR="00645D60" w:rsidRPr="003315A4">
        <w:rPr>
          <w:rFonts w:ascii="Times New Roman" w:hAnsi="Times New Roman" w:cs="Times New Roman"/>
          <w:sz w:val="24"/>
        </w:rPr>
        <w:t xml:space="preserve"> provides analysis on the degree of alignment </w:t>
      </w:r>
      <w:r w:rsidR="000F1C23" w:rsidRPr="003315A4">
        <w:rPr>
          <w:rFonts w:ascii="Times New Roman" w:hAnsi="Times New Roman" w:cs="Times New Roman"/>
          <w:sz w:val="24"/>
        </w:rPr>
        <w:t xml:space="preserve">of four parameters to the annual budget </w:t>
      </w:r>
      <w:r w:rsidR="00645D60" w:rsidRPr="003315A4">
        <w:rPr>
          <w:rFonts w:ascii="Times New Roman" w:hAnsi="Times New Roman" w:cs="Times New Roman"/>
          <w:sz w:val="24"/>
        </w:rPr>
        <w:t>and a summary of key issues</w:t>
      </w:r>
      <w:r w:rsidR="00EB28D4" w:rsidRPr="003315A4">
        <w:rPr>
          <w:rFonts w:ascii="Times New Roman" w:hAnsi="Times New Roman" w:cs="Times New Roman"/>
          <w:sz w:val="24"/>
        </w:rPr>
        <w:t xml:space="preserve"> affecting alignment</w:t>
      </w:r>
      <w:r w:rsidR="00645D60" w:rsidRPr="003315A4">
        <w:rPr>
          <w:rFonts w:ascii="Times New Roman" w:hAnsi="Times New Roman" w:cs="Times New Roman"/>
          <w:sz w:val="24"/>
        </w:rPr>
        <w:t xml:space="preserve">. </w:t>
      </w:r>
      <w:r w:rsidR="00EB28D4" w:rsidRPr="003315A4">
        <w:rPr>
          <w:rFonts w:ascii="Times New Roman" w:hAnsi="Times New Roman" w:cs="Times New Roman"/>
          <w:sz w:val="24"/>
        </w:rPr>
        <w:t xml:space="preserve">This is useful, however the CoC does not detail what needs to be done to address the key issues, </w:t>
      </w:r>
      <w:r w:rsidR="00645D60" w:rsidRPr="003315A4">
        <w:rPr>
          <w:rFonts w:ascii="Times New Roman" w:hAnsi="Times New Roman" w:cs="Times New Roman"/>
          <w:sz w:val="24"/>
        </w:rPr>
        <w:t>nor how they will be taken forward and by</w:t>
      </w:r>
      <w:r w:rsidR="00EB28D4" w:rsidRPr="003315A4">
        <w:rPr>
          <w:rFonts w:ascii="Times New Roman" w:hAnsi="Times New Roman" w:cs="Times New Roman"/>
          <w:sz w:val="24"/>
        </w:rPr>
        <w:t xml:space="preserve"> when and by</w:t>
      </w:r>
      <w:r w:rsidR="00645D60" w:rsidRPr="003315A4">
        <w:rPr>
          <w:rFonts w:ascii="Times New Roman" w:hAnsi="Times New Roman" w:cs="Times New Roman"/>
          <w:sz w:val="24"/>
        </w:rPr>
        <w:t xml:space="preserve"> whom.</w:t>
      </w:r>
      <w:r w:rsidR="000F1C23" w:rsidRPr="003315A4">
        <w:rPr>
          <w:rFonts w:ascii="Times New Roman" w:hAnsi="Times New Roman" w:cs="Times New Roman"/>
          <w:sz w:val="24"/>
        </w:rPr>
        <w:t xml:space="preserve"> The 2017/18 CoC states that “several recommendations in the previous CoCs remain unimplemented”. By reviewing</w:t>
      </w:r>
      <w:r w:rsidR="00EB28D4" w:rsidRPr="003315A4">
        <w:rPr>
          <w:rFonts w:ascii="Times New Roman" w:hAnsi="Times New Roman" w:cs="Times New Roman"/>
          <w:sz w:val="24"/>
        </w:rPr>
        <w:t>:</w:t>
      </w:r>
      <w:r w:rsidR="000F1C23" w:rsidRPr="003315A4">
        <w:rPr>
          <w:rFonts w:ascii="Times New Roman" w:hAnsi="Times New Roman" w:cs="Times New Roman"/>
          <w:sz w:val="24"/>
        </w:rPr>
        <w:t xml:space="preserve"> the purpose of the CoC</w:t>
      </w:r>
      <w:r w:rsidR="00EB28D4" w:rsidRPr="003315A4">
        <w:rPr>
          <w:rFonts w:ascii="Times New Roman" w:hAnsi="Times New Roman" w:cs="Times New Roman"/>
          <w:sz w:val="24"/>
        </w:rPr>
        <w:t>, associated</w:t>
      </w:r>
      <w:r w:rsidR="000F1C23" w:rsidRPr="003315A4">
        <w:rPr>
          <w:rFonts w:ascii="Times New Roman" w:hAnsi="Times New Roman" w:cs="Times New Roman"/>
          <w:sz w:val="24"/>
        </w:rPr>
        <w:t xml:space="preserve"> forums in which recommendations can be discussed and </w:t>
      </w:r>
      <w:r w:rsidR="000F1C23" w:rsidRPr="003315A4">
        <w:rPr>
          <w:rFonts w:ascii="Times New Roman" w:hAnsi="Times New Roman" w:cs="Times New Roman"/>
          <w:sz w:val="24"/>
        </w:rPr>
        <w:lastRenderedPageBreak/>
        <w:t>action</w:t>
      </w:r>
      <w:r w:rsidR="00EB28D4" w:rsidRPr="003315A4">
        <w:rPr>
          <w:rFonts w:ascii="Times New Roman" w:hAnsi="Times New Roman" w:cs="Times New Roman"/>
          <w:sz w:val="24"/>
        </w:rPr>
        <w:t>ed</w:t>
      </w:r>
      <w:r w:rsidR="000F1C23" w:rsidRPr="003315A4">
        <w:rPr>
          <w:rFonts w:ascii="Times New Roman" w:hAnsi="Times New Roman" w:cs="Times New Roman"/>
          <w:sz w:val="24"/>
        </w:rPr>
        <w:t>, and sanctions/</w:t>
      </w:r>
      <w:r w:rsidR="00EB28D4" w:rsidRPr="003315A4">
        <w:rPr>
          <w:rFonts w:ascii="Times New Roman" w:hAnsi="Times New Roman" w:cs="Times New Roman"/>
          <w:sz w:val="24"/>
        </w:rPr>
        <w:t xml:space="preserve">performance </w:t>
      </w:r>
      <w:r w:rsidR="000F1C23" w:rsidRPr="003315A4">
        <w:rPr>
          <w:rFonts w:ascii="Times New Roman" w:hAnsi="Times New Roman" w:cs="Times New Roman"/>
          <w:sz w:val="24"/>
        </w:rPr>
        <w:t xml:space="preserve">measures if recommendations are not addressed, the alignment of financial and planning instruments </w:t>
      </w:r>
      <w:r w:rsidR="00EB28D4" w:rsidRPr="003315A4">
        <w:rPr>
          <w:rFonts w:ascii="Times New Roman" w:hAnsi="Times New Roman" w:cs="Times New Roman"/>
          <w:sz w:val="24"/>
        </w:rPr>
        <w:t>may</w:t>
      </w:r>
      <w:r w:rsidR="000F1C23" w:rsidRPr="003315A4">
        <w:rPr>
          <w:rFonts w:ascii="Times New Roman" w:hAnsi="Times New Roman" w:cs="Times New Roman"/>
          <w:sz w:val="24"/>
        </w:rPr>
        <w:t xml:space="preserve"> improve. </w:t>
      </w:r>
    </w:p>
    <w:p w14:paraId="78D42AEE" w14:textId="67279018" w:rsidR="00F10E21" w:rsidRPr="003315A4" w:rsidRDefault="002A0F2E"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315A4">
        <w:rPr>
          <w:rFonts w:ascii="Times New Roman" w:hAnsi="Times New Roman" w:cs="Times New Roman"/>
          <w:b/>
          <w:sz w:val="24"/>
        </w:rPr>
        <w:t>Over the MTR period</w:t>
      </w:r>
      <w:r w:rsidR="00060795" w:rsidRPr="003315A4">
        <w:rPr>
          <w:rFonts w:ascii="Times New Roman" w:hAnsi="Times New Roman" w:cs="Times New Roman"/>
          <w:b/>
          <w:sz w:val="24"/>
        </w:rPr>
        <w:t xml:space="preserve">, </w:t>
      </w:r>
      <w:r w:rsidRPr="003315A4">
        <w:rPr>
          <w:rFonts w:ascii="Times New Roman" w:hAnsi="Times New Roman" w:cs="Times New Roman"/>
          <w:b/>
          <w:sz w:val="24"/>
        </w:rPr>
        <w:t xml:space="preserve">the number of </w:t>
      </w:r>
      <w:r w:rsidR="00C174A4" w:rsidRPr="003315A4">
        <w:rPr>
          <w:rFonts w:ascii="Times New Roman" w:hAnsi="Times New Roman" w:cs="Times New Roman"/>
          <w:b/>
          <w:sz w:val="24"/>
        </w:rPr>
        <w:t xml:space="preserve">sector and MDA </w:t>
      </w:r>
      <w:r w:rsidRPr="003315A4">
        <w:rPr>
          <w:rFonts w:ascii="Times New Roman" w:hAnsi="Times New Roman" w:cs="Times New Roman"/>
          <w:b/>
          <w:sz w:val="24"/>
        </w:rPr>
        <w:t>plans aligned to NPII has increased.</w:t>
      </w:r>
      <w:r w:rsidRPr="003315A4">
        <w:rPr>
          <w:rFonts w:ascii="Times New Roman" w:hAnsi="Times New Roman" w:cs="Times New Roman"/>
          <w:sz w:val="24"/>
        </w:rPr>
        <w:t xml:space="preserve"> </w:t>
      </w:r>
      <w:r w:rsidR="00C174A4" w:rsidRPr="003315A4">
        <w:rPr>
          <w:rFonts w:ascii="Times New Roman" w:hAnsi="Times New Roman" w:cs="Times New Roman"/>
          <w:sz w:val="24"/>
        </w:rPr>
        <w:t>T</w:t>
      </w:r>
      <w:r w:rsidR="001F163A" w:rsidRPr="003315A4">
        <w:rPr>
          <w:rFonts w:ascii="Times New Roman" w:hAnsi="Times New Roman" w:cs="Times New Roman"/>
          <w:sz w:val="24"/>
        </w:rPr>
        <w:t>here has been a concerted effort</w:t>
      </w:r>
      <w:r w:rsidR="002C1CEB" w:rsidRPr="003315A4">
        <w:rPr>
          <w:rFonts w:ascii="Times New Roman" w:hAnsi="Times New Roman" w:cs="Times New Roman"/>
          <w:sz w:val="24"/>
        </w:rPr>
        <w:t xml:space="preserve">, across </w:t>
      </w:r>
      <w:r w:rsidR="009A2561" w:rsidRPr="003315A4">
        <w:rPr>
          <w:rFonts w:ascii="Times New Roman" w:hAnsi="Times New Roman" w:cs="Times New Roman"/>
          <w:sz w:val="24"/>
        </w:rPr>
        <w:t>Government</w:t>
      </w:r>
      <w:r w:rsidR="002C1CEB" w:rsidRPr="003315A4">
        <w:rPr>
          <w:rFonts w:ascii="Times New Roman" w:hAnsi="Times New Roman" w:cs="Times New Roman"/>
          <w:sz w:val="24"/>
        </w:rPr>
        <w:t xml:space="preserve"> to produce sector plans that are aligned to NDPII. </w:t>
      </w:r>
      <w:r w:rsidR="000B736E" w:rsidRPr="003315A4">
        <w:rPr>
          <w:rFonts w:ascii="Times New Roman" w:hAnsi="Times New Roman" w:cs="Times New Roman"/>
          <w:sz w:val="24"/>
        </w:rPr>
        <w:t xml:space="preserve">This is a positive step however, more needs to be done. </w:t>
      </w:r>
      <w:r w:rsidR="00527CB7" w:rsidRPr="003315A4">
        <w:rPr>
          <w:rFonts w:ascii="Times New Roman" w:hAnsi="Times New Roman" w:cs="Times New Roman"/>
          <w:sz w:val="24"/>
        </w:rPr>
        <w:t xml:space="preserve">The Certificate of Compliance for 2017/18 notes that of the 16 sectors, 15 have development plans approved and aligned to NDPII. </w:t>
      </w:r>
      <w:r w:rsidR="00E37F8A" w:rsidRPr="003315A4">
        <w:rPr>
          <w:rFonts w:ascii="Times New Roman" w:hAnsi="Times New Roman" w:cs="Times New Roman"/>
          <w:sz w:val="24"/>
        </w:rPr>
        <w:t xml:space="preserve">Furthermore, out of the 135 MDAs, 89 </w:t>
      </w:r>
      <w:r w:rsidR="00E14099" w:rsidRPr="003315A4">
        <w:rPr>
          <w:rFonts w:ascii="Times New Roman" w:hAnsi="Times New Roman" w:cs="Times New Roman"/>
          <w:sz w:val="24"/>
        </w:rPr>
        <w:t>(6</w:t>
      </w:r>
      <w:r w:rsidR="00910F39" w:rsidRPr="003315A4">
        <w:rPr>
          <w:rFonts w:ascii="Times New Roman" w:hAnsi="Times New Roman" w:cs="Times New Roman"/>
          <w:sz w:val="24"/>
        </w:rPr>
        <w:t>7</w:t>
      </w:r>
      <w:r w:rsidR="00E14099" w:rsidRPr="003315A4">
        <w:rPr>
          <w:rFonts w:ascii="Times New Roman" w:hAnsi="Times New Roman" w:cs="Times New Roman"/>
          <w:sz w:val="24"/>
        </w:rPr>
        <w:t xml:space="preserve">%) </w:t>
      </w:r>
      <w:r w:rsidR="00E37F8A" w:rsidRPr="003315A4">
        <w:rPr>
          <w:rFonts w:ascii="Times New Roman" w:hAnsi="Times New Roman" w:cs="Times New Roman"/>
          <w:sz w:val="24"/>
        </w:rPr>
        <w:t xml:space="preserve">have </w:t>
      </w:r>
      <w:r w:rsidR="00C843EC" w:rsidRPr="003315A4">
        <w:rPr>
          <w:rFonts w:ascii="Times New Roman" w:hAnsi="Times New Roman" w:cs="Times New Roman"/>
          <w:sz w:val="24"/>
        </w:rPr>
        <w:t xml:space="preserve">plans aligned to NDPII, </w:t>
      </w:r>
      <w:r w:rsidR="00E14099" w:rsidRPr="003315A4">
        <w:rPr>
          <w:rFonts w:ascii="Times New Roman" w:hAnsi="Times New Roman" w:cs="Times New Roman"/>
          <w:sz w:val="24"/>
        </w:rPr>
        <w:t xml:space="preserve">18 (13%) </w:t>
      </w:r>
      <w:r w:rsidR="00910F39" w:rsidRPr="003315A4">
        <w:rPr>
          <w:rFonts w:ascii="Times New Roman" w:hAnsi="Times New Roman" w:cs="Times New Roman"/>
          <w:sz w:val="24"/>
        </w:rPr>
        <w:t>have plans that are not aligned to NDPII</w:t>
      </w:r>
      <w:r w:rsidR="009816AA" w:rsidRPr="003315A4">
        <w:rPr>
          <w:rFonts w:ascii="Times New Roman" w:hAnsi="Times New Roman" w:cs="Times New Roman"/>
          <w:sz w:val="24"/>
        </w:rPr>
        <w:t xml:space="preserve">, 18 (13%) have draft plans and 10 (7%) have no plans. </w:t>
      </w:r>
      <w:r w:rsidR="000B736E" w:rsidRPr="003315A4">
        <w:rPr>
          <w:rFonts w:ascii="Times New Roman" w:hAnsi="Times New Roman" w:cs="Times New Roman"/>
          <w:sz w:val="24"/>
        </w:rPr>
        <w:t xml:space="preserve">Moreover, as noted in section 4.2 many policies, plans and strategies reviewed as part of this MTR still do not reflect the </w:t>
      </w:r>
      <w:r w:rsidR="000B736E" w:rsidRPr="003315A4">
        <w:rPr>
          <w:rFonts w:ascii="Times New Roman" w:hAnsi="Times New Roman" w:cs="Times New Roman"/>
          <w:i/>
          <w:sz w:val="24"/>
        </w:rPr>
        <w:t>directions</w:t>
      </w:r>
      <w:r w:rsidR="000B736E" w:rsidRPr="003315A4">
        <w:rPr>
          <w:rFonts w:ascii="Times New Roman" w:hAnsi="Times New Roman" w:cs="Times New Roman"/>
          <w:sz w:val="24"/>
        </w:rPr>
        <w:t xml:space="preserve"> set-out in NDPI</w:t>
      </w:r>
      <w:r w:rsidR="003C75DE" w:rsidRPr="003315A4">
        <w:rPr>
          <w:rFonts w:ascii="Times New Roman" w:hAnsi="Times New Roman" w:cs="Times New Roman"/>
          <w:sz w:val="24"/>
        </w:rPr>
        <w:t>I</w:t>
      </w:r>
      <w:r w:rsidR="00DE7427" w:rsidRPr="003315A4">
        <w:rPr>
          <w:rFonts w:ascii="Times New Roman" w:hAnsi="Times New Roman" w:cs="Times New Roman"/>
          <w:sz w:val="24"/>
        </w:rPr>
        <w:t xml:space="preserve">. </w:t>
      </w:r>
      <w:r w:rsidR="005F6089" w:rsidRPr="003315A4">
        <w:rPr>
          <w:rFonts w:ascii="Times New Roman" w:hAnsi="Times New Roman" w:cs="Times New Roman"/>
          <w:sz w:val="24"/>
        </w:rPr>
        <w:t xml:space="preserve">Improvements in the alignment of sector, sub-national and MDA plans to NDPII could and should be made in the remaining years to NDPII and under future plans. </w:t>
      </w:r>
    </w:p>
    <w:p w14:paraId="7BC444E0" w14:textId="13C41A45" w:rsidR="003F4CA3" w:rsidRPr="003315A4" w:rsidRDefault="00167D9B"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315A4">
        <w:rPr>
          <w:rFonts w:ascii="Times New Roman" w:hAnsi="Times New Roman" w:cs="Times New Roman"/>
          <w:b/>
          <w:sz w:val="24"/>
        </w:rPr>
        <w:t>W</w:t>
      </w:r>
      <w:r w:rsidR="00C04317" w:rsidRPr="003315A4">
        <w:rPr>
          <w:rFonts w:ascii="Times New Roman" w:hAnsi="Times New Roman" w:cs="Times New Roman"/>
          <w:b/>
          <w:sz w:val="24"/>
        </w:rPr>
        <w:t xml:space="preserve">hilst the number of sector and MDAs plans aligned to NDPII has increased over time, there is a </w:t>
      </w:r>
      <w:r w:rsidR="00096562" w:rsidRPr="003315A4">
        <w:rPr>
          <w:rFonts w:ascii="Times New Roman" w:hAnsi="Times New Roman" w:cs="Times New Roman"/>
          <w:b/>
          <w:sz w:val="24"/>
        </w:rPr>
        <w:t>persistent problem of converting plans into budget allocations</w:t>
      </w:r>
      <w:r w:rsidR="00C04317" w:rsidRPr="003315A4">
        <w:rPr>
          <w:rFonts w:ascii="Times New Roman" w:hAnsi="Times New Roman" w:cs="Times New Roman"/>
          <w:b/>
          <w:sz w:val="24"/>
        </w:rPr>
        <w:t>.</w:t>
      </w:r>
      <w:r w:rsidR="00C04317" w:rsidRPr="003315A4">
        <w:rPr>
          <w:rFonts w:ascii="Times New Roman" w:hAnsi="Times New Roman" w:cs="Times New Roman"/>
          <w:sz w:val="24"/>
        </w:rPr>
        <w:t xml:space="preserve"> </w:t>
      </w:r>
      <w:r w:rsidR="00780306" w:rsidRPr="003315A4">
        <w:rPr>
          <w:rFonts w:ascii="Times New Roman" w:hAnsi="Times New Roman" w:cs="Times New Roman"/>
          <w:b/>
          <w:sz w:val="24"/>
        </w:rPr>
        <w:t>The alignment of annual budget allocations to sector plans has fallen over the MTR period, as evidence</w:t>
      </w:r>
      <w:r w:rsidR="008936D2" w:rsidRPr="003315A4">
        <w:rPr>
          <w:rFonts w:ascii="Times New Roman" w:hAnsi="Times New Roman" w:cs="Times New Roman"/>
          <w:b/>
          <w:sz w:val="24"/>
        </w:rPr>
        <w:t>d</w:t>
      </w:r>
      <w:r w:rsidR="00780306" w:rsidRPr="003315A4">
        <w:rPr>
          <w:rFonts w:ascii="Times New Roman" w:hAnsi="Times New Roman" w:cs="Times New Roman"/>
          <w:b/>
          <w:sz w:val="24"/>
        </w:rPr>
        <w:t xml:space="preserve"> in </w:t>
      </w:r>
      <w:r w:rsidR="00042A06" w:rsidRPr="003315A4">
        <w:rPr>
          <w:rFonts w:ascii="Times New Roman" w:hAnsi="Times New Roman" w:cs="Times New Roman"/>
          <w:b/>
          <w:sz w:val="24"/>
        </w:rPr>
        <w:t>Table 7</w:t>
      </w:r>
      <w:r w:rsidR="00996DBD" w:rsidRPr="003315A4">
        <w:rPr>
          <w:rFonts w:ascii="Times New Roman" w:hAnsi="Times New Roman" w:cs="Times New Roman"/>
          <w:b/>
          <w:sz w:val="24"/>
        </w:rPr>
        <w:t>, 8 and 9.</w:t>
      </w:r>
      <w:r w:rsidR="00042A06" w:rsidRPr="003315A4">
        <w:rPr>
          <w:rFonts w:ascii="Times New Roman" w:hAnsi="Times New Roman" w:cs="Times New Roman"/>
          <w:sz w:val="24"/>
        </w:rPr>
        <w:t xml:space="preserve"> In FY2016/17, the alignment was 60.1%</w:t>
      </w:r>
      <w:r w:rsidR="00414136" w:rsidRPr="003315A4">
        <w:rPr>
          <w:rFonts w:ascii="Times New Roman" w:hAnsi="Times New Roman" w:cs="Times New Roman"/>
          <w:sz w:val="24"/>
        </w:rPr>
        <w:t>,</w:t>
      </w:r>
      <w:r w:rsidR="00042A06" w:rsidRPr="003315A4">
        <w:rPr>
          <w:rFonts w:ascii="Times New Roman" w:hAnsi="Times New Roman" w:cs="Times New Roman"/>
          <w:sz w:val="24"/>
        </w:rPr>
        <w:t xml:space="preserve"> “moderately satisfactory”; in 2017/18, alignment had fallen to </w:t>
      </w:r>
      <w:r w:rsidR="00414136" w:rsidRPr="003315A4">
        <w:rPr>
          <w:rFonts w:ascii="Times New Roman" w:hAnsi="Times New Roman" w:cs="Times New Roman"/>
          <w:sz w:val="24"/>
        </w:rPr>
        <w:t xml:space="preserve">52.3%, </w:t>
      </w:r>
      <w:r w:rsidR="004301CE" w:rsidRPr="003315A4">
        <w:rPr>
          <w:rFonts w:ascii="Times New Roman" w:hAnsi="Times New Roman" w:cs="Times New Roman"/>
          <w:sz w:val="24"/>
        </w:rPr>
        <w:t xml:space="preserve">“unsatisfactory”. </w:t>
      </w:r>
      <w:r w:rsidR="00996DBD" w:rsidRPr="003315A4">
        <w:rPr>
          <w:rFonts w:ascii="Times New Roman" w:hAnsi="Times New Roman" w:cs="Times New Roman"/>
          <w:sz w:val="24"/>
        </w:rPr>
        <w:t xml:space="preserve">Table </w:t>
      </w:r>
      <w:r w:rsidR="00EA110D" w:rsidRPr="003315A4">
        <w:rPr>
          <w:rFonts w:ascii="Times New Roman" w:hAnsi="Times New Roman" w:cs="Times New Roman"/>
          <w:sz w:val="24"/>
        </w:rPr>
        <w:t>9</w:t>
      </w:r>
      <w:r w:rsidR="00270FDA" w:rsidRPr="003315A4">
        <w:rPr>
          <w:rFonts w:ascii="Times New Roman" w:hAnsi="Times New Roman" w:cs="Times New Roman"/>
          <w:sz w:val="24"/>
        </w:rPr>
        <w:t xml:space="preserve"> illustrates that </w:t>
      </w:r>
      <w:r w:rsidR="000301A3" w:rsidRPr="003315A4">
        <w:rPr>
          <w:rFonts w:ascii="Times New Roman" w:hAnsi="Times New Roman" w:cs="Times New Roman"/>
          <w:sz w:val="24"/>
        </w:rPr>
        <w:t xml:space="preserve">only 4 out of 18 sectors have seen an increase in </w:t>
      </w:r>
      <w:r w:rsidR="00025E31" w:rsidRPr="003315A4">
        <w:rPr>
          <w:rFonts w:ascii="Times New Roman" w:hAnsi="Times New Roman" w:cs="Times New Roman"/>
          <w:sz w:val="24"/>
        </w:rPr>
        <w:t xml:space="preserve">the </w:t>
      </w:r>
      <w:r w:rsidR="000301A3" w:rsidRPr="003315A4">
        <w:rPr>
          <w:rFonts w:ascii="Times New Roman" w:hAnsi="Times New Roman" w:cs="Times New Roman"/>
          <w:sz w:val="24"/>
        </w:rPr>
        <w:t>alignment</w:t>
      </w:r>
      <w:r w:rsidR="00705327" w:rsidRPr="003315A4">
        <w:rPr>
          <w:rFonts w:ascii="Times New Roman" w:hAnsi="Times New Roman" w:cs="Times New Roman"/>
          <w:sz w:val="24"/>
        </w:rPr>
        <w:t xml:space="preserve"> of </w:t>
      </w:r>
      <w:r w:rsidR="00025E31" w:rsidRPr="003315A4">
        <w:rPr>
          <w:rFonts w:ascii="Times New Roman" w:hAnsi="Times New Roman" w:cs="Times New Roman"/>
          <w:sz w:val="24"/>
        </w:rPr>
        <w:t xml:space="preserve">their </w:t>
      </w:r>
      <w:r w:rsidR="00705327" w:rsidRPr="003315A4">
        <w:rPr>
          <w:rFonts w:ascii="Times New Roman" w:hAnsi="Times New Roman" w:cs="Times New Roman"/>
          <w:sz w:val="24"/>
        </w:rPr>
        <w:t>plans and budgets</w:t>
      </w:r>
      <w:r w:rsidR="000301A3" w:rsidRPr="003315A4">
        <w:rPr>
          <w:rFonts w:ascii="Times New Roman" w:hAnsi="Times New Roman" w:cs="Times New Roman"/>
          <w:sz w:val="24"/>
        </w:rPr>
        <w:t xml:space="preserve"> to NDPII</w:t>
      </w:r>
      <w:r w:rsidR="00996DBD" w:rsidRPr="003315A4">
        <w:rPr>
          <w:rFonts w:ascii="Times New Roman" w:hAnsi="Times New Roman" w:cs="Times New Roman"/>
          <w:sz w:val="24"/>
        </w:rPr>
        <w:t xml:space="preserve"> </w:t>
      </w:r>
      <w:r w:rsidR="00705327" w:rsidRPr="003315A4">
        <w:rPr>
          <w:rFonts w:ascii="Times New Roman" w:hAnsi="Times New Roman" w:cs="Times New Roman"/>
          <w:sz w:val="24"/>
        </w:rPr>
        <w:t xml:space="preserve">over the MTR period. Some sectors e.g. </w:t>
      </w:r>
      <w:r w:rsidR="00524A2E" w:rsidRPr="003315A4">
        <w:rPr>
          <w:rFonts w:ascii="Times New Roman" w:hAnsi="Times New Roman" w:cs="Times New Roman"/>
          <w:sz w:val="24"/>
        </w:rPr>
        <w:t xml:space="preserve">ICT and legislature have seen a fall in alignment by over 15% over the MTR period. </w:t>
      </w:r>
      <w:r w:rsidR="0052380F" w:rsidRPr="003315A4">
        <w:rPr>
          <w:rFonts w:ascii="Times New Roman" w:hAnsi="Times New Roman" w:cs="Times New Roman"/>
          <w:sz w:val="24"/>
        </w:rPr>
        <w:t xml:space="preserve">This is concerning. </w:t>
      </w:r>
      <w:r w:rsidR="00025E31" w:rsidRPr="003315A4">
        <w:rPr>
          <w:rFonts w:ascii="Times New Roman" w:hAnsi="Times New Roman" w:cs="Times New Roman"/>
          <w:sz w:val="24"/>
        </w:rPr>
        <w:t xml:space="preserve">Moreover, as detailed in Table </w:t>
      </w:r>
      <w:r w:rsidR="00EA110D" w:rsidRPr="003315A4">
        <w:rPr>
          <w:rFonts w:ascii="Times New Roman" w:hAnsi="Times New Roman" w:cs="Times New Roman"/>
          <w:sz w:val="24"/>
        </w:rPr>
        <w:t>10</w:t>
      </w:r>
      <w:r w:rsidR="00025E31" w:rsidRPr="003315A4">
        <w:rPr>
          <w:rFonts w:ascii="Times New Roman" w:hAnsi="Times New Roman" w:cs="Times New Roman"/>
          <w:sz w:val="24"/>
        </w:rPr>
        <w:t xml:space="preserve">, alignment of funding to NDPII objective 4 and strategies 2 and 7 appears to be particularly problematic. </w:t>
      </w:r>
    </w:p>
    <w:p w14:paraId="14582083" w14:textId="5B0E4F52" w:rsidR="003F4CA3" w:rsidRPr="003315A4" w:rsidRDefault="003F4CA3" w:rsidP="00587EDE">
      <w:pPr>
        <w:pStyle w:val="Caption"/>
        <w:spacing w:line="360" w:lineRule="auto"/>
        <w:jc w:val="both"/>
        <w:rPr>
          <w:rFonts w:ascii="Times New Roman" w:hAnsi="Times New Roman" w:cs="Times New Roman"/>
          <w:i w:val="0"/>
          <w:sz w:val="24"/>
        </w:rPr>
      </w:pPr>
      <w:bookmarkStart w:id="39" w:name="_Toc536205957"/>
      <w:r w:rsidRPr="003315A4">
        <w:rPr>
          <w:rFonts w:ascii="Times New Roman" w:hAnsi="Times New Roman" w:cs="Times New Roman"/>
          <w:i w:val="0"/>
          <w:sz w:val="24"/>
        </w:rPr>
        <w:t xml:space="preserve">Table </w:t>
      </w:r>
      <w:r w:rsidR="001350AC" w:rsidRPr="003315A4">
        <w:rPr>
          <w:rFonts w:ascii="Times New Roman" w:hAnsi="Times New Roman" w:cs="Times New Roman"/>
          <w:i w:val="0"/>
          <w:noProof/>
          <w:sz w:val="24"/>
        </w:rPr>
        <w:fldChar w:fldCharType="begin"/>
      </w:r>
      <w:r w:rsidR="001350AC" w:rsidRPr="003315A4">
        <w:rPr>
          <w:rFonts w:ascii="Times New Roman" w:hAnsi="Times New Roman" w:cs="Times New Roman"/>
          <w:i w:val="0"/>
          <w:noProof/>
          <w:sz w:val="24"/>
        </w:rPr>
        <w:instrText xml:space="preserve"> SEQ Table \* ARABIC </w:instrText>
      </w:r>
      <w:r w:rsidR="001350AC" w:rsidRPr="003315A4">
        <w:rPr>
          <w:rFonts w:ascii="Times New Roman" w:hAnsi="Times New Roman" w:cs="Times New Roman"/>
          <w:i w:val="0"/>
          <w:noProof/>
          <w:sz w:val="24"/>
        </w:rPr>
        <w:fldChar w:fldCharType="separate"/>
      </w:r>
      <w:r w:rsidR="00A057A7">
        <w:rPr>
          <w:rFonts w:ascii="Times New Roman" w:hAnsi="Times New Roman" w:cs="Times New Roman"/>
          <w:i w:val="0"/>
          <w:noProof/>
          <w:sz w:val="24"/>
        </w:rPr>
        <w:t>9</w:t>
      </w:r>
      <w:r w:rsidR="001350AC" w:rsidRPr="003315A4">
        <w:rPr>
          <w:rFonts w:ascii="Times New Roman" w:hAnsi="Times New Roman" w:cs="Times New Roman"/>
          <w:i w:val="0"/>
          <w:noProof/>
          <w:sz w:val="24"/>
        </w:rPr>
        <w:fldChar w:fldCharType="end"/>
      </w:r>
      <w:r w:rsidRPr="003315A4">
        <w:rPr>
          <w:rFonts w:ascii="Times New Roman" w:hAnsi="Times New Roman" w:cs="Times New Roman"/>
          <w:i w:val="0"/>
          <w:sz w:val="24"/>
        </w:rPr>
        <w:t>: Sector alignment FY15/16-17/18</w:t>
      </w:r>
      <w:bookmarkEnd w:id="39"/>
    </w:p>
    <w:tbl>
      <w:tblPr>
        <w:tblStyle w:val="TableGrid"/>
        <w:tblW w:w="0" w:type="auto"/>
        <w:tblLook w:val="04A0" w:firstRow="1" w:lastRow="0" w:firstColumn="1" w:lastColumn="0" w:noHBand="0" w:noVBand="1"/>
      </w:tblPr>
      <w:tblGrid>
        <w:gridCol w:w="2361"/>
        <w:gridCol w:w="1901"/>
        <w:gridCol w:w="2693"/>
        <w:gridCol w:w="1843"/>
      </w:tblGrid>
      <w:tr w:rsidR="00B47607" w:rsidRPr="00F10F3B" w14:paraId="0BDA25F7" w14:textId="77777777" w:rsidTr="003F6E47">
        <w:tc>
          <w:tcPr>
            <w:tcW w:w="0" w:type="auto"/>
            <w:shd w:val="clear" w:color="auto" w:fill="C5E0B3" w:themeFill="accent6" w:themeFillTint="66"/>
          </w:tcPr>
          <w:p w14:paraId="6AC600D1"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Sector</w:t>
            </w:r>
          </w:p>
        </w:tc>
        <w:tc>
          <w:tcPr>
            <w:tcW w:w="1901" w:type="dxa"/>
            <w:shd w:val="clear" w:color="auto" w:fill="C5E0B3" w:themeFill="accent6" w:themeFillTint="66"/>
          </w:tcPr>
          <w:p w14:paraId="491A3176"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Alignment change (FY15/16-17/18)</w:t>
            </w:r>
          </w:p>
        </w:tc>
        <w:tc>
          <w:tcPr>
            <w:tcW w:w="2693" w:type="dxa"/>
            <w:shd w:val="clear" w:color="auto" w:fill="C5E0B3" w:themeFill="accent6" w:themeFillTint="66"/>
          </w:tcPr>
          <w:p w14:paraId="0CE84620"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Sector</w:t>
            </w:r>
          </w:p>
        </w:tc>
        <w:tc>
          <w:tcPr>
            <w:tcW w:w="1843" w:type="dxa"/>
            <w:shd w:val="clear" w:color="auto" w:fill="C5E0B3" w:themeFill="accent6" w:themeFillTint="66"/>
          </w:tcPr>
          <w:p w14:paraId="45D6ED53"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Alignment change</w:t>
            </w:r>
          </w:p>
          <w:p w14:paraId="615B6FBA"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(FY15/16-17/18)</w:t>
            </w:r>
          </w:p>
        </w:tc>
      </w:tr>
      <w:tr w:rsidR="00B47607" w:rsidRPr="00F10F3B" w14:paraId="7FEBAD4E" w14:textId="77777777" w:rsidTr="003F6E47">
        <w:tc>
          <w:tcPr>
            <w:tcW w:w="0" w:type="auto"/>
          </w:tcPr>
          <w:p w14:paraId="4AEF1DB7"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 Agriculture</w:t>
            </w:r>
          </w:p>
        </w:tc>
        <w:tc>
          <w:tcPr>
            <w:tcW w:w="1901" w:type="dxa"/>
          </w:tcPr>
          <w:p w14:paraId="5253DD08"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(-5.2%)</w:t>
            </w:r>
          </w:p>
        </w:tc>
        <w:tc>
          <w:tcPr>
            <w:tcW w:w="2693" w:type="dxa"/>
          </w:tcPr>
          <w:p w14:paraId="765356CB"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10. Defense and security</w:t>
            </w:r>
          </w:p>
        </w:tc>
        <w:tc>
          <w:tcPr>
            <w:tcW w:w="1843" w:type="dxa"/>
          </w:tcPr>
          <w:p w14:paraId="7635903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(-6.7%)</w:t>
            </w:r>
          </w:p>
        </w:tc>
      </w:tr>
      <w:tr w:rsidR="00B47607" w:rsidRPr="00F10F3B" w14:paraId="6184C391" w14:textId="77777777" w:rsidTr="003F6E47">
        <w:tc>
          <w:tcPr>
            <w:tcW w:w="0" w:type="auto"/>
          </w:tcPr>
          <w:p w14:paraId="0F64833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2. Health</w:t>
            </w:r>
          </w:p>
        </w:tc>
        <w:tc>
          <w:tcPr>
            <w:tcW w:w="1901" w:type="dxa"/>
          </w:tcPr>
          <w:p w14:paraId="1E0BCFB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(-1.2%)</w:t>
            </w:r>
          </w:p>
        </w:tc>
        <w:tc>
          <w:tcPr>
            <w:tcW w:w="2693" w:type="dxa"/>
          </w:tcPr>
          <w:p w14:paraId="462D8D48"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11. Justice, law and order</w:t>
            </w:r>
          </w:p>
        </w:tc>
        <w:tc>
          <w:tcPr>
            <w:tcW w:w="1843" w:type="dxa"/>
          </w:tcPr>
          <w:p w14:paraId="5C91D427"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(-14.0%)</w:t>
            </w:r>
          </w:p>
        </w:tc>
      </w:tr>
      <w:tr w:rsidR="00B47607" w:rsidRPr="00F10F3B" w14:paraId="028B3AED" w14:textId="77777777" w:rsidTr="003F6E47">
        <w:tc>
          <w:tcPr>
            <w:tcW w:w="0" w:type="auto"/>
          </w:tcPr>
          <w:p w14:paraId="3D4F84FE"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3. Education</w:t>
            </w:r>
          </w:p>
        </w:tc>
        <w:tc>
          <w:tcPr>
            <w:tcW w:w="1901" w:type="dxa"/>
            <w:shd w:val="clear" w:color="auto" w:fill="70AD47" w:themeFill="accent6"/>
          </w:tcPr>
          <w:p w14:paraId="2EADCCA8" w14:textId="77777777" w:rsidR="00B47607" w:rsidRPr="00F10F3B" w:rsidRDefault="00B47607" w:rsidP="00587EDE">
            <w:pPr>
              <w:spacing w:after="0"/>
              <w:jc w:val="both"/>
              <w:rPr>
                <w:rFonts w:ascii="Times New Roman" w:hAnsi="Times New Roman" w:cs="Times New Roman"/>
                <w:b/>
                <w:sz w:val="20"/>
                <w:szCs w:val="20"/>
              </w:rPr>
            </w:pPr>
            <w:r w:rsidRPr="00F10F3B">
              <w:rPr>
                <w:rFonts w:ascii="Times New Roman" w:hAnsi="Times New Roman" w:cs="Times New Roman"/>
                <w:b/>
                <w:color w:val="FFFFFF" w:themeColor="background1"/>
                <w:sz w:val="20"/>
                <w:szCs w:val="20"/>
              </w:rPr>
              <w:t>Increased (+1.5%)</w:t>
            </w:r>
          </w:p>
        </w:tc>
        <w:tc>
          <w:tcPr>
            <w:tcW w:w="2693" w:type="dxa"/>
          </w:tcPr>
          <w:p w14:paraId="5C910E57"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12. Accountability</w:t>
            </w:r>
          </w:p>
        </w:tc>
        <w:tc>
          <w:tcPr>
            <w:tcW w:w="1843" w:type="dxa"/>
            <w:shd w:val="clear" w:color="auto" w:fill="70AD47" w:themeFill="accent6"/>
          </w:tcPr>
          <w:p w14:paraId="43DFFA1E" w14:textId="77777777" w:rsidR="00B47607" w:rsidRPr="00F10F3B" w:rsidRDefault="00B47607" w:rsidP="00587EDE">
            <w:pPr>
              <w:spacing w:after="0"/>
              <w:jc w:val="both"/>
              <w:rPr>
                <w:rFonts w:ascii="Times New Roman" w:hAnsi="Times New Roman" w:cs="Times New Roman"/>
                <w:b/>
                <w:sz w:val="20"/>
                <w:szCs w:val="20"/>
              </w:rPr>
            </w:pPr>
            <w:r w:rsidRPr="00F10F3B">
              <w:rPr>
                <w:rFonts w:ascii="Times New Roman" w:hAnsi="Times New Roman" w:cs="Times New Roman"/>
                <w:b/>
                <w:color w:val="FFFFFF" w:themeColor="background1"/>
                <w:sz w:val="20"/>
                <w:szCs w:val="20"/>
              </w:rPr>
              <w:t>Increased (+14.4%)</w:t>
            </w:r>
          </w:p>
        </w:tc>
      </w:tr>
      <w:tr w:rsidR="00B47607" w:rsidRPr="00F10F3B" w14:paraId="49C4C25A" w14:textId="77777777" w:rsidTr="003F6E47">
        <w:tc>
          <w:tcPr>
            <w:tcW w:w="0" w:type="auto"/>
          </w:tcPr>
          <w:p w14:paraId="32604A66"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4. Water and environment</w:t>
            </w:r>
          </w:p>
        </w:tc>
        <w:tc>
          <w:tcPr>
            <w:tcW w:w="1901" w:type="dxa"/>
          </w:tcPr>
          <w:p w14:paraId="3312FCA8"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(-4.5%)</w:t>
            </w:r>
          </w:p>
        </w:tc>
        <w:tc>
          <w:tcPr>
            <w:tcW w:w="2693" w:type="dxa"/>
          </w:tcPr>
          <w:p w14:paraId="7A737C17"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13. Public sector management</w:t>
            </w:r>
          </w:p>
        </w:tc>
        <w:tc>
          <w:tcPr>
            <w:tcW w:w="1843" w:type="dxa"/>
          </w:tcPr>
          <w:p w14:paraId="3B6C6E00"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(-8.2%)</w:t>
            </w:r>
          </w:p>
        </w:tc>
      </w:tr>
      <w:tr w:rsidR="00B47607" w:rsidRPr="00F10F3B" w14:paraId="246D37E4" w14:textId="77777777" w:rsidTr="003F6E47">
        <w:tc>
          <w:tcPr>
            <w:tcW w:w="0" w:type="auto"/>
          </w:tcPr>
          <w:p w14:paraId="1C60D40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5. Works and transport</w:t>
            </w:r>
          </w:p>
        </w:tc>
        <w:tc>
          <w:tcPr>
            <w:tcW w:w="1901" w:type="dxa"/>
          </w:tcPr>
          <w:p w14:paraId="49B4035D"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(-14.4%)</w:t>
            </w:r>
          </w:p>
        </w:tc>
        <w:tc>
          <w:tcPr>
            <w:tcW w:w="2693" w:type="dxa"/>
          </w:tcPr>
          <w:p w14:paraId="19F1DE4E"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14. Lands, housing, urban dev.</w:t>
            </w:r>
          </w:p>
        </w:tc>
        <w:tc>
          <w:tcPr>
            <w:tcW w:w="1843" w:type="dxa"/>
            <w:shd w:val="clear" w:color="auto" w:fill="70AD47" w:themeFill="accent6"/>
          </w:tcPr>
          <w:p w14:paraId="6EEA0FCE" w14:textId="77777777" w:rsidR="00B47607" w:rsidRPr="00F10F3B" w:rsidRDefault="00B47607" w:rsidP="00587EDE">
            <w:pPr>
              <w:spacing w:after="0"/>
              <w:jc w:val="both"/>
              <w:rPr>
                <w:rFonts w:ascii="Times New Roman" w:hAnsi="Times New Roman" w:cs="Times New Roman"/>
                <w:b/>
                <w:sz w:val="20"/>
                <w:szCs w:val="20"/>
              </w:rPr>
            </w:pPr>
            <w:r w:rsidRPr="00F10F3B">
              <w:rPr>
                <w:rFonts w:ascii="Times New Roman" w:hAnsi="Times New Roman" w:cs="Times New Roman"/>
                <w:b/>
                <w:color w:val="FFFFFF" w:themeColor="background1"/>
                <w:sz w:val="20"/>
                <w:szCs w:val="20"/>
              </w:rPr>
              <w:t>Increased (+11.6%)</w:t>
            </w:r>
          </w:p>
        </w:tc>
      </w:tr>
      <w:tr w:rsidR="00B47607" w:rsidRPr="00F10F3B" w14:paraId="0574B8A8" w14:textId="77777777" w:rsidTr="003F6E47">
        <w:tc>
          <w:tcPr>
            <w:tcW w:w="0" w:type="auto"/>
          </w:tcPr>
          <w:p w14:paraId="0D05E898"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6. Trade, industry, tourism</w:t>
            </w:r>
          </w:p>
        </w:tc>
        <w:tc>
          <w:tcPr>
            <w:tcW w:w="1901" w:type="dxa"/>
          </w:tcPr>
          <w:p w14:paraId="36B8BCA0"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(-9.8%)</w:t>
            </w:r>
          </w:p>
        </w:tc>
        <w:tc>
          <w:tcPr>
            <w:tcW w:w="2693" w:type="dxa"/>
          </w:tcPr>
          <w:p w14:paraId="682922C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15. Energy sector</w:t>
            </w:r>
          </w:p>
        </w:tc>
        <w:tc>
          <w:tcPr>
            <w:tcW w:w="1843" w:type="dxa"/>
          </w:tcPr>
          <w:p w14:paraId="0D29537E"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(-11.5%)</w:t>
            </w:r>
          </w:p>
        </w:tc>
      </w:tr>
      <w:tr w:rsidR="00B47607" w:rsidRPr="00F10F3B" w14:paraId="4500B0BF" w14:textId="77777777" w:rsidTr="003F6E47">
        <w:tc>
          <w:tcPr>
            <w:tcW w:w="0" w:type="auto"/>
          </w:tcPr>
          <w:p w14:paraId="69DCBB21"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7. Legislature</w:t>
            </w:r>
          </w:p>
        </w:tc>
        <w:tc>
          <w:tcPr>
            <w:tcW w:w="1901" w:type="dxa"/>
          </w:tcPr>
          <w:p w14:paraId="5403C05F"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(-17.5%)</w:t>
            </w:r>
          </w:p>
        </w:tc>
        <w:tc>
          <w:tcPr>
            <w:tcW w:w="2693" w:type="dxa"/>
          </w:tcPr>
          <w:p w14:paraId="2EF7DF1E"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16. ICT</w:t>
            </w:r>
          </w:p>
        </w:tc>
        <w:tc>
          <w:tcPr>
            <w:tcW w:w="1843" w:type="dxa"/>
          </w:tcPr>
          <w:p w14:paraId="76375D3C"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(-18.8%)</w:t>
            </w:r>
          </w:p>
        </w:tc>
      </w:tr>
      <w:tr w:rsidR="00B47607" w:rsidRPr="00F10F3B" w14:paraId="21D63F88" w14:textId="77777777" w:rsidTr="003F6E47">
        <w:tc>
          <w:tcPr>
            <w:tcW w:w="0" w:type="auto"/>
          </w:tcPr>
          <w:p w14:paraId="4689633B"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8. Public administration</w:t>
            </w:r>
          </w:p>
        </w:tc>
        <w:tc>
          <w:tcPr>
            <w:tcW w:w="1901" w:type="dxa"/>
          </w:tcPr>
          <w:p w14:paraId="1FB0B217"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(-8.2%)</w:t>
            </w:r>
          </w:p>
        </w:tc>
        <w:tc>
          <w:tcPr>
            <w:tcW w:w="2693" w:type="dxa"/>
          </w:tcPr>
          <w:p w14:paraId="58ACE629"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17. Social development</w:t>
            </w:r>
          </w:p>
        </w:tc>
        <w:tc>
          <w:tcPr>
            <w:tcW w:w="1843" w:type="dxa"/>
          </w:tcPr>
          <w:p w14:paraId="7C068982"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Decreased (-0.1%)</w:t>
            </w:r>
          </w:p>
        </w:tc>
      </w:tr>
      <w:tr w:rsidR="00B47607" w:rsidRPr="00F10F3B" w14:paraId="62A01755" w14:textId="77777777" w:rsidTr="003F6E47">
        <w:tc>
          <w:tcPr>
            <w:tcW w:w="0" w:type="auto"/>
          </w:tcPr>
          <w:p w14:paraId="33500F43"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9. Kampala City Authority</w:t>
            </w:r>
          </w:p>
        </w:tc>
        <w:tc>
          <w:tcPr>
            <w:tcW w:w="1901" w:type="dxa"/>
          </w:tcPr>
          <w:p w14:paraId="2166426D" w14:textId="77777777"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 xml:space="preserve">No data available </w:t>
            </w:r>
          </w:p>
        </w:tc>
        <w:tc>
          <w:tcPr>
            <w:tcW w:w="2693" w:type="dxa"/>
          </w:tcPr>
          <w:p w14:paraId="6B0F1534" w14:textId="09C01312" w:rsidR="00B47607" w:rsidRPr="00F10F3B" w:rsidRDefault="00B47607"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 xml:space="preserve">18. Local </w:t>
            </w:r>
            <w:r w:rsidR="009A2561" w:rsidRPr="00F10F3B">
              <w:rPr>
                <w:rFonts w:ascii="Times New Roman" w:hAnsi="Times New Roman" w:cs="Times New Roman"/>
                <w:sz w:val="20"/>
                <w:szCs w:val="20"/>
              </w:rPr>
              <w:t>Government</w:t>
            </w:r>
          </w:p>
        </w:tc>
        <w:tc>
          <w:tcPr>
            <w:tcW w:w="1843" w:type="dxa"/>
            <w:shd w:val="clear" w:color="auto" w:fill="70AD47" w:themeFill="accent6"/>
          </w:tcPr>
          <w:p w14:paraId="3CAD6247" w14:textId="77777777" w:rsidR="00B47607" w:rsidRPr="00F10F3B" w:rsidRDefault="00B47607" w:rsidP="00587EDE">
            <w:pPr>
              <w:spacing w:after="0"/>
              <w:jc w:val="both"/>
              <w:rPr>
                <w:rFonts w:ascii="Times New Roman" w:hAnsi="Times New Roman" w:cs="Times New Roman"/>
                <w:b/>
                <w:sz w:val="20"/>
                <w:szCs w:val="20"/>
              </w:rPr>
            </w:pPr>
            <w:r w:rsidRPr="00F10F3B">
              <w:rPr>
                <w:rFonts w:ascii="Times New Roman" w:hAnsi="Times New Roman" w:cs="Times New Roman"/>
                <w:b/>
                <w:color w:val="FFFFFF" w:themeColor="background1"/>
                <w:sz w:val="20"/>
                <w:szCs w:val="20"/>
              </w:rPr>
              <w:t>Increased (+10.4%)</w:t>
            </w:r>
          </w:p>
        </w:tc>
      </w:tr>
    </w:tbl>
    <w:p w14:paraId="5883C117" w14:textId="6A33449B" w:rsidR="0059391E" w:rsidRPr="00F10F3B" w:rsidRDefault="003F4CA3" w:rsidP="00587EDE">
      <w:pPr>
        <w:spacing w:after="0" w:line="360" w:lineRule="auto"/>
        <w:jc w:val="both"/>
        <w:rPr>
          <w:rFonts w:ascii="Times New Roman" w:hAnsi="Times New Roman" w:cs="Times New Roman"/>
          <w:i/>
        </w:rPr>
      </w:pPr>
      <w:r w:rsidRPr="00F10F3B">
        <w:rPr>
          <w:rFonts w:ascii="Times New Roman" w:hAnsi="Times New Roman" w:cs="Times New Roman"/>
          <w:i/>
        </w:rPr>
        <w:t>Source: compiled by author from CoC, 2017/18</w:t>
      </w:r>
    </w:p>
    <w:p w14:paraId="4DAD9C88" w14:textId="77777777" w:rsidR="0059391E" w:rsidRPr="00F10F3B" w:rsidRDefault="0059391E" w:rsidP="00587EDE">
      <w:pPr>
        <w:spacing w:after="0" w:line="360" w:lineRule="auto"/>
        <w:jc w:val="both"/>
        <w:rPr>
          <w:rFonts w:ascii="Times New Roman" w:hAnsi="Times New Roman" w:cs="Times New Roman"/>
        </w:rPr>
      </w:pPr>
    </w:p>
    <w:p w14:paraId="005E7381" w14:textId="5971BD37" w:rsidR="002C1CEB" w:rsidRPr="003315A4" w:rsidRDefault="00025E31" w:rsidP="00B86D0C">
      <w:pPr>
        <w:pStyle w:val="ListParagraph"/>
        <w:numPr>
          <w:ilvl w:val="0"/>
          <w:numId w:val="46"/>
        </w:numPr>
        <w:spacing w:line="360" w:lineRule="auto"/>
        <w:ind w:left="426" w:hanging="426"/>
        <w:contextualSpacing w:val="0"/>
        <w:jc w:val="both"/>
        <w:rPr>
          <w:rFonts w:ascii="Times New Roman" w:hAnsi="Times New Roman" w:cs="Times New Roman"/>
          <w:sz w:val="24"/>
        </w:rPr>
      </w:pPr>
      <w:r w:rsidRPr="003315A4">
        <w:rPr>
          <w:rFonts w:ascii="Times New Roman" w:hAnsi="Times New Roman" w:cs="Times New Roman"/>
          <w:b/>
          <w:sz w:val="24"/>
        </w:rPr>
        <w:t xml:space="preserve">There are several reasons </w:t>
      </w:r>
      <w:r w:rsidR="00E71207" w:rsidRPr="003315A4">
        <w:rPr>
          <w:rFonts w:ascii="Times New Roman" w:hAnsi="Times New Roman" w:cs="Times New Roman"/>
          <w:b/>
          <w:sz w:val="24"/>
        </w:rPr>
        <w:t>as to why full alignment at sector level has not been achieved</w:t>
      </w:r>
      <w:r w:rsidR="007E2F1B" w:rsidRPr="003315A4">
        <w:rPr>
          <w:rFonts w:ascii="Times New Roman" w:hAnsi="Times New Roman" w:cs="Times New Roman"/>
          <w:b/>
          <w:sz w:val="24"/>
        </w:rPr>
        <w:t xml:space="preserve">. </w:t>
      </w:r>
      <w:r w:rsidR="002C7FA1" w:rsidRPr="003315A4">
        <w:rPr>
          <w:rFonts w:ascii="Times New Roman" w:hAnsi="Times New Roman" w:cs="Times New Roman"/>
          <w:b/>
          <w:sz w:val="24"/>
        </w:rPr>
        <w:t xml:space="preserve">The key issue is that </w:t>
      </w:r>
      <w:r w:rsidR="00E71207" w:rsidRPr="003315A4">
        <w:rPr>
          <w:rFonts w:ascii="Times New Roman" w:hAnsi="Times New Roman" w:cs="Times New Roman"/>
          <w:b/>
          <w:sz w:val="24"/>
        </w:rPr>
        <w:t>s</w:t>
      </w:r>
      <w:r w:rsidR="0059391E" w:rsidRPr="003315A4">
        <w:rPr>
          <w:rFonts w:ascii="Times New Roman" w:hAnsi="Times New Roman" w:cs="Times New Roman"/>
          <w:b/>
          <w:sz w:val="24"/>
        </w:rPr>
        <w:t>ector plans are not being fully funded and the resources that are available are not fully aligned with sector priorities</w:t>
      </w:r>
      <w:r w:rsidR="005A2CCB" w:rsidRPr="003315A4">
        <w:rPr>
          <w:rFonts w:ascii="Times New Roman" w:hAnsi="Times New Roman" w:cs="Times New Roman"/>
          <w:b/>
          <w:sz w:val="24"/>
        </w:rPr>
        <w:t xml:space="preserve">. </w:t>
      </w:r>
      <w:r w:rsidR="008F03E0" w:rsidRPr="003315A4">
        <w:rPr>
          <w:rFonts w:ascii="Times New Roman" w:hAnsi="Times New Roman" w:cs="Times New Roman"/>
          <w:sz w:val="24"/>
        </w:rPr>
        <w:t xml:space="preserve">For </w:t>
      </w:r>
      <w:r w:rsidR="0059391E" w:rsidRPr="003315A4">
        <w:rPr>
          <w:rFonts w:ascii="Times New Roman" w:hAnsi="Times New Roman" w:cs="Times New Roman"/>
          <w:sz w:val="24"/>
        </w:rPr>
        <w:t xml:space="preserve">instance, of the nine industrial parks indicated in NDPII and sector plans, only two are operational; seven are yet to take off or be fully operational due to inconsistent and inadequate funding. Sector plans are not being fully funded, in part because of high interest payments which has reduced discretionary spending. Flexibility within the budget to meet emerging and pressing needs has been reduced. Domestic interest payments in FY2017/18 were 2.8% of GDP and the second largest allocation of funding after works and transport. </w:t>
      </w:r>
      <w:r w:rsidR="009E0431" w:rsidRPr="003315A4">
        <w:rPr>
          <w:rFonts w:ascii="Times New Roman" w:hAnsi="Times New Roman" w:cs="Times New Roman"/>
          <w:sz w:val="24"/>
        </w:rPr>
        <w:t>Some sectors e.g. agriculture have received funding for non NDPII priority areas.</w:t>
      </w:r>
      <w:r w:rsidR="00B3675C" w:rsidRPr="003315A4">
        <w:rPr>
          <w:rFonts w:ascii="Times New Roman" w:hAnsi="Times New Roman" w:cs="Times New Roman"/>
          <w:sz w:val="24"/>
        </w:rPr>
        <w:t xml:space="preserve"> </w:t>
      </w:r>
      <w:r w:rsidR="00312E11" w:rsidRPr="003315A4">
        <w:rPr>
          <w:rFonts w:ascii="Times New Roman" w:hAnsi="Times New Roman" w:cs="Times New Roman"/>
          <w:sz w:val="24"/>
        </w:rPr>
        <w:t xml:space="preserve">Over the remaining two years of NDPII and in NDPII, the </w:t>
      </w:r>
      <w:r w:rsidR="009A2561" w:rsidRPr="003315A4">
        <w:rPr>
          <w:rFonts w:ascii="Times New Roman" w:hAnsi="Times New Roman" w:cs="Times New Roman"/>
          <w:sz w:val="24"/>
        </w:rPr>
        <w:t>Government</w:t>
      </w:r>
      <w:r w:rsidR="00312E11" w:rsidRPr="003315A4">
        <w:rPr>
          <w:rFonts w:ascii="Times New Roman" w:hAnsi="Times New Roman" w:cs="Times New Roman"/>
          <w:sz w:val="24"/>
        </w:rPr>
        <w:t xml:space="preserve"> could however consider all or some of the following recommendations to </w:t>
      </w:r>
      <w:r w:rsidR="0075086C" w:rsidRPr="003315A4">
        <w:rPr>
          <w:rFonts w:ascii="Times New Roman" w:hAnsi="Times New Roman" w:cs="Times New Roman"/>
          <w:sz w:val="24"/>
        </w:rPr>
        <w:t>improve alignment of sector and MD</w:t>
      </w:r>
      <w:r w:rsidR="00780801" w:rsidRPr="003315A4">
        <w:rPr>
          <w:rFonts w:ascii="Times New Roman" w:hAnsi="Times New Roman" w:cs="Times New Roman"/>
          <w:sz w:val="24"/>
        </w:rPr>
        <w:t>A</w:t>
      </w:r>
      <w:r w:rsidR="0075086C" w:rsidRPr="003315A4">
        <w:rPr>
          <w:rFonts w:ascii="Times New Roman" w:hAnsi="Times New Roman" w:cs="Times New Roman"/>
          <w:sz w:val="24"/>
        </w:rPr>
        <w:t xml:space="preserve"> plans to the budget</w:t>
      </w:r>
      <w:r w:rsidR="00312E11" w:rsidRPr="003315A4">
        <w:rPr>
          <w:rFonts w:ascii="Times New Roman" w:hAnsi="Times New Roman" w:cs="Times New Roman"/>
          <w:sz w:val="24"/>
        </w:rPr>
        <w:t xml:space="preserve"> and NDP</w:t>
      </w:r>
      <w:r w:rsidR="009A0CAD" w:rsidRPr="003315A4">
        <w:rPr>
          <w:rFonts w:ascii="Times New Roman" w:hAnsi="Times New Roman" w:cs="Times New Roman"/>
          <w:sz w:val="24"/>
        </w:rPr>
        <w:t>:</w:t>
      </w:r>
    </w:p>
    <w:p w14:paraId="0626B3F2" w14:textId="5CEEFABA" w:rsidR="0075086C" w:rsidRPr="003315A4" w:rsidRDefault="0044143D" w:rsidP="00B86D0C">
      <w:pPr>
        <w:pStyle w:val="ListParagraph"/>
        <w:numPr>
          <w:ilvl w:val="0"/>
          <w:numId w:val="28"/>
        </w:numPr>
        <w:spacing w:line="360" w:lineRule="auto"/>
        <w:ind w:left="993" w:hanging="633"/>
        <w:jc w:val="both"/>
        <w:rPr>
          <w:rFonts w:ascii="Times New Roman" w:hAnsi="Times New Roman" w:cs="Times New Roman"/>
          <w:sz w:val="24"/>
        </w:rPr>
      </w:pPr>
      <w:r w:rsidRPr="003315A4">
        <w:rPr>
          <w:rFonts w:ascii="Times New Roman" w:hAnsi="Times New Roman" w:cs="Times New Roman"/>
          <w:sz w:val="24"/>
        </w:rPr>
        <w:t>Temporis</w:t>
      </w:r>
      <w:r w:rsidR="00AE35AF" w:rsidRPr="003315A4">
        <w:rPr>
          <w:rFonts w:ascii="Times New Roman" w:hAnsi="Times New Roman" w:cs="Times New Roman"/>
          <w:sz w:val="24"/>
        </w:rPr>
        <w:t>e</w:t>
      </w:r>
      <w:r w:rsidRPr="003315A4">
        <w:rPr>
          <w:rFonts w:ascii="Times New Roman" w:hAnsi="Times New Roman" w:cs="Times New Roman"/>
          <w:sz w:val="24"/>
        </w:rPr>
        <w:t xml:space="preserve"> some current projects to free up financial resources for allocation towards sector priorities in line with NDPII;</w:t>
      </w:r>
    </w:p>
    <w:p w14:paraId="4BCD9700" w14:textId="55E977C3" w:rsidR="000465C9" w:rsidRPr="003315A4" w:rsidRDefault="000465C9"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 xml:space="preserve">Address specific sector issues, impacting on lower than optimal alignment that are detailed in Annex </w:t>
      </w:r>
      <w:r w:rsidR="001B3617" w:rsidRPr="003315A4">
        <w:rPr>
          <w:rFonts w:ascii="Times New Roman" w:hAnsi="Times New Roman" w:cs="Times New Roman"/>
          <w:sz w:val="24"/>
        </w:rPr>
        <w:t>6;</w:t>
      </w:r>
    </w:p>
    <w:p w14:paraId="10D21A6D" w14:textId="7176E795" w:rsidR="0044143D" w:rsidRPr="003315A4" w:rsidRDefault="00757E80"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 xml:space="preserve">Strengthen monitoring of investments and public </w:t>
      </w:r>
      <w:r w:rsidR="009A0CAD" w:rsidRPr="003315A4">
        <w:rPr>
          <w:rFonts w:ascii="Times New Roman" w:hAnsi="Times New Roman" w:cs="Times New Roman"/>
          <w:sz w:val="24"/>
        </w:rPr>
        <w:t xml:space="preserve">investment management processes to ensure that projects being funded </w:t>
      </w:r>
      <w:r w:rsidR="00CC37B6" w:rsidRPr="003315A4">
        <w:rPr>
          <w:rFonts w:ascii="Times New Roman" w:hAnsi="Times New Roman" w:cs="Times New Roman"/>
          <w:sz w:val="24"/>
        </w:rPr>
        <w:t>will contribute to growth of the economy</w:t>
      </w:r>
      <w:r w:rsidR="003B61C9" w:rsidRPr="003315A4">
        <w:rPr>
          <w:rFonts w:ascii="Times New Roman" w:hAnsi="Times New Roman" w:cs="Times New Roman"/>
          <w:sz w:val="24"/>
        </w:rPr>
        <w:t xml:space="preserve"> </w:t>
      </w:r>
      <w:r w:rsidR="00780801" w:rsidRPr="003315A4">
        <w:rPr>
          <w:rFonts w:ascii="Times New Roman" w:hAnsi="Times New Roman" w:cs="Times New Roman"/>
          <w:sz w:val="24"/>
        </w:rPr>
        <w:t xml:space="preserve">and have </w:t>
      </w:r>
      <w:r w:rsidR="003B61C9" w:rsidRPr="003315A4">
        <w:rPr>
          <w:rFonts w:ascii="Times New Roman" w:hAnsi="Times New Roman" w:cs="Times New Roman"/>
          <w:sz w:val="24"/>
        </w:rPr>
        <w:t xml:space="preserve">positive </w:t>
      </w:r>
      <w:r w:rsidR="00780801" w:rsidRPr="003315A4">
        <w:rPr>
          <w:rFonts w:ascii="Times New Roman" w:hAnsi="Times New Roman" w:cs="Times New Roman"/>
          <w:sz w:val="24"/>
        </w:rPr>
        <w:t>spill</w:t>
      </w:r>
      <w:r w:rsidR="003B61C9" w:rsidRPr="003315A4">
        <w:rPr>
          <w:rFonts w:ascii="Times New Roman" w:hAnsi="Times New Roman" w:cs="Times New Roman"/>
          <w:sz w:val="24"/>
        </w:rPr>
        <w:t>-</w:t>
      </w:r>
      <w:r w:rsidR="00780801" w:rsidRPr="003315A4">
        <w:rPr>
          <w:rFonts w:ascii="Times New Roman" w:hAnsi="Times New Roman" w:cs="Times New Roman"/>
          <w:sz w:val="24"/>
        </w:rPr>
        <w:t xml:space="preserve">over effects to other </w:t>
      </w:r>
      <w:r w:rsidR="00D403C2" w:rsidRPr="003315A4">
        <w:rPr>
          <w:rFonts w:ascii="Times New Roman" w:hAnsi="Times New Roman" w:cs="Times New Roman"/>
          <w:sz w:val="24"/>
        </w:rPr>
        <w:t>sectors</w:t>
      </w:r>
      <w:r w:rsidR="00C14EC8" w:rsidRPr="003315A4">
        <w:rPr>
          <w:rFonts w:ascii="Times New Roman" w:hAnsi="Times New Roman" w:cs="Times New Roman"/>
          <w:sz w:val="24"/>
        </w:rPr>
        <w:t>.</w:t>
      </w:r>
      <w:r w:rsidR="00A537D7" w:rsidRPr="003315A4">
        <w:rPr>
          <w:rFonts w:ascii="Times New Roman" w:hAnsi="Times New Roman" w:cs="Times New Roman"/>
          <w:sz w:val="24"/>
        </w:rPr>
        <w:t xml:space="preserve"> </w:t>
      </w:r>
      <w:r w:rsidR="003B61C9" w:rsidRPr="003315A4">
        <w:rPr>
          <w:rFonts w:ascii="Times New Roman" w:hAnsi="Times New Roman" w:cs="Times New Roman"/>
          <w:sz w:val="24"/>
        </w:rPr>
        <w:t>At present, o</w:t>
      </w:r>
      <w:r w:rsidR="00C14EC8" w:rsidRPr="003315A4">
        <w:rPr>
          <w:rFonts w:ascii="Times New Roman" w:hAnsi="Times New Roman" w:cs="Times New Roman"/>
          <w:sz w:val="24"/>
        </w:rPr>
        <w:t xml:space="preserve">f the 39 core projects </w:t>
      </w:r>
      <w:r w:rsidR="00A537D7" w:rsidRPr="003315A4">
        <w:rPr>
          <w:rFonts w:ascii="Times New Roman" w:hAnsi="Times New Roman" w:cs="Times New Roman"/>
          <w:sz w:val="24"/>
        </w:rPr>
        <w:t xml:space="preserve">outlined </w:t>
      </w:r>
      <w:r w:rsidR="00C14EC8" w:rsidRPr="003315A4">
        <w:rPr>
          <w:rFonts w:ascii="Times New Roman" w:hAnsi="Times New Roman" w:cs="Times New Roman"/>
          <w:sz w:val="24"/>
        </w:rPr>
        <w:t xml:space="preserve">in NDPII, </w:t>
      </w:r>
      <w:r w:rsidR="00A537D7" w:rsidRPr="003315A4">
        <w:rPr>
          <w:rFonts w:ascii="Times New Roman" w:hAnsi="Times New Roman" w:cs="Times New Roman"/>
          <w:sz w:val="24"/>
        </w:rPr>
        <w:t>only two</w:t>
      </w:r>
      <w:r w:rsidR="00C14EC8" w:rsidRPr="003315A4">
        <w:rPr>
          <w:rFonts w:ascii="Times New Roman" w:hAnsi="Times New Roman" w:cs="Times New Roman"/>
          <w:sz w:val="24"/>
        </w:rPr>
        <w:t xml:space="preserve"> projects are</w:t>
      </w:r>
      <w:r w:rsidR="00A537D7" w:rsidRPr="003315A4">
        <w:rPr>
          <w:rFonts w:ascii="Times New Roman" w:hAnsi="Times New Roman" w:cs="Times New Roman"/>
          <w:sz w:val="24"/>
        </w:rPr>
        <w:t xml:space="preserve"> currently</w:t>
      </w:r>
      <w:r w:rsidR="00C14EC8" w:rsidRPr="003315A4">
        <w:rPr>
          <w:rFonts w:ascii="Times New Roman" w:hAnsi="Times New Roman" w:cs="Times New Roman"/>
          <w:sz w:val="24"/>
        </w:rPr>
        <w:t xml:space="preserve"> being implemented </w:t>
      </w:r>
      <w:r w:rsidR="00A537D7" w:rsidRPr="003315A4">
        <w:rPr>
          <w:rFonts w:ascii="Times New Roman" w:hAnsi="Times New Roman" w:cs="Times New Roman"/>
          <w:sz w:val="24"/>
        </w:rPr>
        <w:t>satisfactorily</w:t>
      </w:r>
      <w:r w:rsidR="00A36DD9" w:rsidRPr="003315A4">
        <w:rPr>
          <w:rFonts w:ascii="Times New Roman" w:hAnsi="Times New Roman" w:cs="Times New Roman"/>
          <w:sz w:val="24"/>
        </w:rPr>
        <w:t>, 28% of the projects have not yet started</w:t>
      </w:r>
      <w:r w:rsidR="00A537D7" w:rsidRPr="003315A4">
        <w:rPr>
          <w:rFonts w:ascii="Times New Roman" w:hAnsi="Times New Roman" w:cs="Times New Roman"/>
          <w:sz w:val="24"/>
        </w:rPr>
        <w:t>;</w:t>
      </w:r>
    </w:p>
    <w:p w14:paraId="6AC4BCCF" w14:textId="6B0792AC" w:rsidR="00557534" w:rsidRPr="003315A4" w:rsidRDefault="00557534"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Improv</w:t>
      </w:r>
      <w:r w:rsidR="00AE35AF" w:rsidRPr="003315A4">
        <w:rPr>
          <w:rFonts w:ascii="Times New Roman" w:hAnsi="Times New Roman" w:cs="Times New Roman"/>
          <w:sz w:val="24"/>
        </w:rPr>
        <w:t>e</w:t>
      </w:r>
      <w:r w:rsidRPr="003315A4">
        <w:rPr>
          <w:rFonts w:ascii="Times New Roman" w:hAnsi="Times New Roman" w:cs="Times New Roman"/>
          <w:sz w:val="24"/>
        </w:rPr>
        <w:t xml:space="preserve"> the screening and appraisal of projects to ensure that projects that are funded are </w:t>
      </w:r>
      <w:r w:rsidR="00AA7505" w:rsidRPr="003315A4">
        <w:rPr>
          <w:rFonts w:ascii="Times New Roman" w:hAnsi="Times New Roman" w:cs="Times New Roman"/>
          <w:sz w:val="24"/>
        </w:rPr>
        <w:t>in line with NDPII. The 20</w:t>
      </w:r>
      <w:r w:rsidR="00AE35AF" w:rsidRPr="003315A4">
        <w:rPr>
          <w:rFonts w:ascii="Times New Roman" w:hAnsi="Times New Roman" w:cs="Times New Roman"/>
          <w:sz w:val="24"/>
        </w:rPr>
        <w:t>1</w:t>
      </w:r>
      <w:r w:rsidR="00AA7505" w:rsidRPr="003315A4">
        <w:rPr>
          <w:rFonts w:ascii="Times New Roman" w:hAnsi="Times New Roman" w:cs="Times New Roman"/>
          <w:sz w:val="24"/>
        </w:rPr>
        <w:t>7/18 CoC notes that, at present, sectors are implementing new projects outside of priority projects</w:t>
      </w:r>
      <w:r w:rsidR="00AE35AF" w:rsidRPr="003315A4">
        <w:rPr>
          <w:rFonts w:ascii="Times New Roman" w:hAnsi="Times New Roman" w:cs="Times New Roman"/>
          <w:sz w:val="24"/>
        </w:rPr>
        <w:t>. This situation reduces the amount of resources available for original NDPII core projects and the alignment of sector plans to NDPII and the annual budget;</w:t>
      </w:r>
    </w:p>
    <w:p w14:paraId="3C93CB94" w14:textId="4747C80F" w:rsidR="00E215CF" w:rsidRPr="003315A4" w:rsidRDefault="007B520D"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Focus efforts in the budget strategy and budget allocations on improving domestic resource mobilisation</w:t>
      </w:r>
      <w:r w:rsidR="00C640A5" w:rsidRPr="003315A4">
        <w:rPr>
          <w:rFonts w:ascii="Times New Roman" w:hAnsi="Times New Roman" w:cs="Times New Roman"/>
          <w:sz w:val="24"/>
        </w:rPr>
        <w:t xml:space="preserve">. A medium-term revenue strategy, for instance, could help to strengthen domestic resource mobilisation, expand the tax base and provide additional funds for the budget to then allocate to sector and NDPII priorities; </w:t>
      </w:r>
    </w:p>
    <w:p w14:paraId="27D2B5D3" w14:textId="61745A2A" w:rsidR="0068300E" w:rsidRPr="003315A4" w:rsidRDefault="0068300E"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lastRenderedPageBreak/>
        <w:t>Consider sanctions/</w:t>
      </w:r>
      <w:r w:rsidR="00030913" w:rsidRPr="003315A4">
        <w:rPr>
          <w:rFonts w:ascii="Times New Roman" w:hAnsi="Times New Roman" w:cs="Times New Roman"/>
          <w:sz w:val="24"/>
        </w:rPr>
        <w:t>penalties for sector agencies who significantly deviate from planned and approved development priorities under NDPII;</w:t>
      </w:r>
    </w:p>
    <w:p w14:paraId="47B3D8E5" w14:textId="2CA9A302" w:rsidR="00D4652C" w:rsidRPr="003315A4" w:rsidRDefault="00D4652C"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 xml:space="preserve">Focus efforts on improving the alignment of funding to </w:t>
      </w:r>
      <w:r w:rsidR="004175B5" w:rsidRPr="003315A4">
        <w:rPr>
          <w:rFonts w:ascii="Times New Roman" w:hAnsi="Times New Roman" w:cs="Times New Roman"/>
          <w:sz w:val="24"/>
        </w:rPr>
        <w:t>sectors and NDPII objectives where there is likely to be the biggest positive spill</w:t>
      </w:r>
      <w:r w:rsidR="00DA1E04" w:rsidRPr="003315A4">
        <w:rPr>
          <w:rFonts w:ascii="Times New Roman" w:hAnsi="Times New Roman" w:cs="Times New Roman"/>
          <w:sz w:val="24"/>
        </w:rPr>
        <w:t>-</w:t>
      </w:r>
      <w:r w:rsidR="004175B5" w:rsidRPr="003315A4">
        <w:rPr>
          <w:rFonts w:ascii="Times New Roman" w:hAnsi="Times New Roman" w:cs="Times New Roman"/>
          <w:sz w:val="24"/>
        </w:rPr>
        <w:t xml:space="preserve">overs e.g. early childhood </w:t>
      </w:r>
      <w:r w:rsidR="00DA1E04" w:rsidRPr="003315A4">
        <w:rPr>
          <w:rFonts w:ascii="Times New Roman" w:hAnsi="Times New Roman" w:cs="Times New Roman"/>
          <w:sz w:val="24"/>
        </w:rPr>
        <w:t>development and potential for change</w:t>
      </w:r>
      <w:r w:rsidR="005A7F24" w:rsidRPr="003315A4">
        <w:rPr>
          <w:rFonts w:ascii="Times New Roman" w:hAnsi="Times New Roman" w:cs="Times New Roman"/>
          <w:sz w:val="24"/>
        </w:rPr>
        <w:t xml:space="preserve">. </w:t>
      </w:r>
      <w:r w:rsidR="00DA1E04" w:rsidRPr="003315A4">
        <w:rPr>
          <w:rFonts w:ascii="Times New Roman" w:hAnsi="Times New Roman" w:cs="Times New Roman"/>
          <w:sz w:val="24"/>
        </w:rPr>
        <w:t>Table 8 identifie</w:t>
      </w:r>
      <w:r w:rsidR="005A7F24" w:rsidRPr="003315A4">
        <w:rPr>
          <w:rFonts w:ascii="Times New Roman" w:hAnsi="Times New Roman" w:cs="Times New Roman"/>
          <w:sz w:val="24"/>
        </w:rPr>
        <w:t>s</w:t>
      </w:r>
      <w:r w:rsidR="00DA1E04" w:rsidRPr="003315A4">
        <w:rPr>
          <w:rFonts w:ascii="Times New Roman" w:hAnsi="Times New Roman" w:cs="Times New Roman"/>
          <w:sz w:val="24"/>
        </w:rPr>
        <w:t xml:space="preserve"> areas requiring focus in future budgets to increase alignment – use thi</w:t>
      </w:r>
      <w:r w:rsidR="005A7F24" w:rsidRPr="003315A4">
        <w:rPr>
          <w:rFonts w:ascii="Times New Roman" w:hAnsi="Times New Roman" w:cs="Times New Roman"/>
          <w:sz w:val="24"/>
        </w:rPr>
        <w:t>s information to influence budget allocation decisions</w:t>
      </w:r>
      <w:r w:rsidR="00477718" w:rsidRPr="003315A4">
        <w:rPr>
          <w:rFonts w:ascii="Times New Roman" w:hAnsi="Times New Roman" w:cs="Times New Roman"/>
          <w:sz w:val="24"/>
        </w:rPr>
        <w:t>. Alignment of funding to objective 4, strateg</w:t>
      </w:r>
      <w:r w:rsidR="008C72B9" w:rsidRPr="003315A4">
        <w:rPr>
          <w:rFonts w:ascii="Times New Roman" w:hAnsi="Times New Roman" w:cs="Times New Roman"/>
          <w:sz w:val="24"/>
        </w:rPr>
        <w:t xml:space="preserve">ies 2 and 7 </w:t>
      </w:r>
      <w:r w:rsidR="00477718" w:rsidRPr="003315A4">
        <w:rPr>
          <w:rFonts w:ascii="Times New Roman" w:hAnsi="Times New Roman" w:cs="Times New Roman"/>
          <w:sz w:val="24"/>
        </w:rPr>
        <w:t xml:space="preserve">and </w:t>
      </w:r>
      <w:r w:rsidR="007510E0" w:rsidRPr="003315A4">
        <w:rPr>
          <w:rFonts w:ascii="Times New Roman" w:hAnsi="Times New Roman" w:cs="Times New Roman"/>
          <w:sz w:val="24"/>
        </w:rPr>
        <w:t xml:space="preserve">the energy </w:t>
      </w:r>
      <w:r w:rsidR="00477718" w:rsidRPr="003315A4">
        <w:rPr>
          <w:rFonts w:ascii="Times New Roman" w:hAnsi="Times New Roman" w:cs="Times New Roman"/>
          <w:sz w:val="24"/>
        </w:rPr>
        <w:t>sector appears to be most difficult at present</w:t>
      </w:r>
      <w:r w:rsidR="007510E0" w:rsidRPr="003315A4">
        <w:rPr>
          <w:rFonts w:ascii="Times New Roman" w:hAnsi="Times New Roman" w:cs="Times New Roman"/>
          <w:sz w:val="24"/>
        </w:rPr>
        <w:t xml:space="preserve"> (see Annex 7 for details on sector alignment)</w:t>
      </w:r>
      <w:r w:rsidR="00DA1E04" w:rsidRPr="003315A4">
        <w:rPr>
          <w:rFonts w:ascii="Times New Roman" w:hAnsi="Times New Roman" w:cs="Times New Roman"/>
          <w:sz w:val="24"/>
        </w:rPr>
        <w:t>;</w:t>
      </w:r>
    </w:p>
    <w:p w14:paraId="73238CC1" w14:textId="48191557" w:rsidR="00E85E67" w:rsidRPr="003315A4" w:rsidRDefault="00E215CF"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 xml:space="preserve">Strengthening efforts to </w:t>
      </w:r>
      <w:r w:rsidR="005544EF" w:rsidRPr="003315A4">
        <w:rPr>
          <w:rFonts w:ascii="Times New Roman" w:hAnsi="Times New Roman" w:cs="Times New Roman"/>
          <w:sz w:val="24"/>
        </w:rPr>
        <w:t xml:space="preserve">reduce inefficiencies and financial leakages across </w:t>
      </w:r>
      <w:r w:rsidR="009A2561" w:rsidRPr="003315A4">
        <w:rPr>
          <w:rFonts w:ascii="Times New Roman" w:hAnsi="Times New Roman" w:cs="Times New Roman"/>
          <w:sz w:val="24"/>
        </w:rPr>
        <w:t>Government</w:t>
      </w:r>
      <w:r w:rsidR="00F56B5F" w:rsidRPr="003315A4">
        <w:rPr>
          <w:rFonts w:ascii="Times New Roman" w:hAnsi="Times New Roman" w:cs="Times New Roman"/>
          <w:sz w:val="24"/>
        </w:rPr>
        <w:t xml:space="preserve"> to free up resources to allocate to NDPII aligned sector and MDA plans;</w:t>
      </w:r>
    </w:p>
    <w:p w14:paraId="4F106BC0" w14:textId="18F93D9A" w:rsidR="006B13E5" w:rsidRPr="003315A4" w:rsidRDefault="00745958"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Working with non-state actors</w:t>
      </w:r>
      <w:r w:rsidR="002828D7" w:rsidRPr="003315A4">
        <w:rPr>
          <w:rFonts w:ascii="Times New Roman" w:hAnsi="Times New Roman" w:cs="Times New Roman"/>
          <w:sz w:val="24"/>
        </w:rPr>
        <w:t xml:space="preserve">, private sector and development partners to help hold the </w:t>
      </w:r>
      <w:r w:rsidR="009A2561" w:rsidRPr="003315A4">
        <w:rPr>
          <w:rFonts w:ascii="Times New Roman" w:hAnsi="Times New Roman" w:cs="Times New Roman"/>
          <w:sz w:val="24"/>
        </w:rPr>
        <w:t>Government</w:t>
      </w:r>
      <w:r w:rsidR="002828D7" w:rsidRPr="003315A4">
        <w:rPr>
          <w:rFonts w:ascii="Times New Roman" w:hAnsi="Times New Roman" w:cs="Times New Roman"/>
          <w:sz w:val="24"/>
        </w:rPr>
        <w:t xml:space="preserve"> accountable</w:t>
      </w:r>
      <w:r w:rsidR="008B4A20" w:rsidRPr="003315A4">
        <w:rPr>
          <w:rFonts w:ascii="Times New Roman" w:hAnsi="Times New Roman" w:cs="Times New Roman"/>
          <w:sz w:val="24"/>
        </w:rPr>
        <w:t>, and on-track,</w:t>
      </w:r>
      <w:r w:rsidR="002828D7" w:rsidRPr="003315A4">
        <w:rPr>
          <w:rFonts w:ascii="Times New Roman" w:hAnsi="Times New Roman" w:cs="Times New Roman"/>
          <w:sz w:val="24"/>
        </w:rPr>
        <w:t xml:space="preserve"> to funding and implementation of NDPII; and</w:t>
      </w:r>
    </w:p>
    <w:p w14:paraId="0BEE4E93" w14:textId="6A3A500E" w:rsidR="003C75DE" w:rsidRPr="003315A4" w:rsidRDefault="008A02EF" w:rsidP="00B86D0C">
      <w:pPr>
        <w:pStyle w:val="ListParagraph"/>
        <w:numPr>
          <w:ilvl w:val="0"/>
          <w:numId w:val="28"/>
        </w:numPr>
        <w:spacing w:line="360" w:lineRule="auto"/>
        <w:ind w:left="993" w:hanging="633"/>
        <w:contextualSpacing w:val="0"/>
        <w:jc w:val="both"/>
        <w:rPr>
          <w:rFonts w:ascii="Times New Roman" w:hAnsi="Times New Roman" w:cs="Times New Roman"/>
          <w:sz w:val="24"/>
        </w:rPr>
      </w:pPr>
      <w:r w:rsidRPr="003315A4">
        <w:rPr>
          <w:rFonts w:ascii="Times New Roman" w:hAnsi="Times New Roman" w:cs="Times New Roman"/>
          <w:sz w:val="24"/>
        </w:rPr>
        <w:t xml:space="preserve">NPA to continue working closely with agencies and stakeholders across and outside </w:t>
      </w:r>
      <w:r w:rsidR="009A2561" w:rsidRPr="003315A4">
        <w:rPr>
          <w:rFonts w:ascii="Times New Roman" w:hAnsi="Times New Roman" w:cs="Times New Roman"/>
          <w:sz w:val="24"/>
        </w:rPr>
        <w:t>Government</w:t>
      </w:r>
      <w:r w:rsidRPr="003315A4">
        <w:rPr>
          <w:rFonts w:ascii="Times New Roman" w:hAnsi="Times New Roman" w:cs="Times New Roman"/>
          <w:sz w:val="24"/>
        </w:rPr>
        <w:t xml:space="preserve"> on ensuring buy-in and commitment to </w:t>
      </w:r>
      <w:r w:rsidR="008B4A20" w:rsidRPr="003315A4">
        <w:rPr>
          <w:rFonts w:ascii="Times New Roman" w:hAnsi="Times New Roman" w:cs="Times New Roman"/>
          <w:sz w:val="24"/>
        </w:rPr>
        <w:t xml:space="preserve">NDPII. </w:t>
      </w:r>
      <w:r w:rsidR="00BB2DBA" w:rsidRPr="003315A4">
        <w:rPr>
          <w:rFonts w:ascii="Times New Roman" w:hAnsi="Times New Roman" w:cs="Times New Roman"/>
          <w:sz w:val="24"/>
        </w:rPr>
        <w:t xml:space="preserve">This may be achieved through a series of small focused meetings alongside wider, traditional forums. </w:t>
      </w:r>
      <w:r w:rsidR="008B4A20" w:rsidRPr="003315A4">
        <w:rPr>
          <w:rFonts w:ascii="Times New Roman" w:hAnsi="Times New Roman" w:cs="Times New Roman"/>
          <w:sz w:val="24"/>
        </w:rPr>
        <w:t>Un</w:t>
      </w:r>
      <w:r w:rsidR="00591225" w:rsidRPr="003315A4">
        <w:rPr>
          <w:rFonts w:ascii="Times New Roman" w:hAnsi="Times New Roman" w:cs="Times New Roman"/>
          <w:sz w:val="24"/>
        </w:rPr>
        <w:t>til there is complete buy-in to the Plan, large deviations will continue to occur.</w:t>
      </w:r>
    </w:p>
    <w:p w14:paraId="1B329907" w14:textId="45914C73" w:rsidR="00E41A32" w:rsidRPr="003315A4" w:rsidRDefault="00E41A32" w:rsidP="00587EDE">
      <w:pPr>
        <w:pStyle w:val="Caption"/>
        <w:spacing w:line="360" w:lineRule="auto"/>
        <w:jc w:val="both"/>
        <w:rPr>
          <w:rFonts w:ascii="Times New Roman" w:hAnsi="Times New Roman" w:cs="Times New Roman"/>
          <w:i w:val="0"/>
          <w:sz w:val="24"/>
        </w:rPr>
      </w:pPr>
      <w:bookmarkStart w:id="40" w:name="_Toc536205958"/>
      <w:r w:rsidRPr="003315A4">
        <w:rPr>
          <w:rFonts w:ascii="Times New Roman" w:hAnsi="Times New Roman" w:cs="Times New Roman"/>
          <w:i w:val="0"/>
          <w:sz w:val="24"/>
        </w:rPr>
        <w:t xml:space="preserve">Table </w:t>
      </w:r>
      <w:r w:rsidR="001350AC" w:rsidRPr="003315A4">
        <w:rPr>
          <w:rFonts w:ascii="Times New Roman" w:hAnsi="Times New Roman" w:cs="Times New Roman"/>
          <w:i w:val="0"/>
          <w:noProof/>
          <w:sz w:val="24"/>
        </w:rPr>
        <w:fldChar w:fldCharType="begin"/>
      </w:r>
      <w:r w:rsidR="001350AC" w:rsidRPr="003315A4">
        <w:rPr>
          <w:rFonts w:ascii="Times New Roman" w:hAnsi="Times New Roman" w:cs="Times New Roman"/>
          <w:i w:val="0"/>
          <w:noProof/>
          <w:sz w:val="24"/>
        </w:rPr>
        <w:instrText xml:space="preserve"> SEQ Table \* ARABIC </w:instrText>
      </w:r>
      <w:r w:rsidR="001350AC" w:rsidRPr="003315A4">
        <w:rPr>
          <w:rFonts w:ascii="Times New Roman" w:hAnsi="Times New Roman" w:cs="Times New Roman"/>
          <w:i w:val="0"/>
          <w:noProof/>
          <w:sz w:val="24"/>
        </w:rPr>
        <w:fldChar w:fldCharType="separate"/>
      </w:r>
      <w:r w:rsidR="00A057A7">
        <w:rPr>
          <w:rFonts w:ascii="Times New Roman" w:hAnsi="Times New Roman" w:cs="Times New Roman"/>
          <w:i w:val="0"/>
          <w:noProof/>
          <w:sz w:val="24"/>
        </w:rPr>
        <w:t>10</w:t>
      </w:r>
      <w:r w:rsidR="001350AC" w:rsidRPr="003315A4">
        <w:rPr>
          <w:rFonts w:ascii="Times New Roman" w:hAnsi="Times New Roman" w:cs="Times New Roman"/>
          <w:i w:val="0"/>
          <w:noProof/>
          <w:sz w:val="24"/>
        </w:rPr>
        <w:fldChar w:fldCharType="end"/>
      </w:r>
      <w:r w:rsidRPr="003315A4">
        <w:rPr>
          <w:rFonts w:ascii="Times New Roman" w:hAnsi="Times New Roman" w:cs="Times New Roman"/>
          <w:i w:val="0"/>
          <w:sz w:val="24"/>
        </w:rPr>
        <w:t>: Alignment of Budget to NDPII Objectives</w:t>
      </w:r>
      <w:bookmarkEnd w:id="40"/>
    </w:p>
    <w:tbl>
      <w:tblPr>
        <w:tblStyle w:val="TableGrid"/>
        <w:tblW w:w="5068" w:type="pct"/>
        <w:tblLayout w:type="fixed"/>
        <w:tblLook w:val="04A0" w:firstRow="1" w:lastRow="0" w:firstColumn="1" w:lastColumn="0" w:noHBand="0" w:noVBand="1"/>
      </w:tblPr>
      <w:tblGrid>
        <w:gridCol w:w="3703"/>
        <w:gridCol w:w="1086"/>
        <w:gridCol w:w="4343"/>
        <w:gridCol w:w="7"/>
      </w:tblGrid>
      <w:tr w:rsidR="009441AC" w:rsidRPr="003315A4" w14:paraId="65926E79" w14:textId="7FAD1D7E" w:rsidTr="003315A4">
        <w:trPr>
          <w:gridAfter w:val="1"/>
          <w:wAfter w:w="4" w:type="pct"/>
          <w:tblHeader/>
        </w:trPr>
        <w:tc>
          <w:tcPr>
            <w:tcW w:w="2026" w:type="pct"/>
            <w:shd w:val="clear" w:color="auto" w:fill="C5E0B3" w:themeFill="accent6" w:themeFillTint="66"/>
          </w:tcPr>
          <w:p w14:paraId="20C1CB7E" w14:textId="61E46EF7" w:rsidR="00E41A32" w:rsidRPr="003315A4" w:rsidRDefault="0079657F" w:rsidP="00587EDE">
            <w:pPr>
              <w:pStyle w:val="ListParagraph"/>
              <w:spacing w:after="0"/>
              <w:ind w:left="0"/>
              <w:jc w:val="both"/>
              <w:rPr>
                <w:rFonts w:ascii="Times New Roman" w:hAnsi="Times New Roman" w:cs="Times New Roman"/>
                <w:b/>
                <w:sz w:val="20"/>
                <w:szCs w:val="20"/>
              </w:rPr>
            </w:pPr>
            <w:r w:rsidRPr="003315A4">
              <w:rPr>
                <w:rFonts w:ascii="Times New Roman" w:hAnsi="Times New Roman" w:cs="Times New Roman"/>
                <w:b/>
                <w:sz w:val="20"/>
                <w:szCs w:val="20"/>
              </w:rPr>
              <w:t>NDPII Objective/Strategy/Sector</w:t>
            </w:r>
          </w:p>
        </w:tc>
        <w:tc>
          <w:tcPr>
            <w:tcW w:w="594" w:type="pct"/>
            <w:shd w:val="clear" w:color="auto" w:fill="C5E0B3" w:themeFill="accent6" w:themeFillTint="66"/>
          </w:tcPr>
          <w:p w14:paraId="45A8535A" w14:textId="3D685579" w:rsidR="00E41A32" w:rsidRPr="003315A4" w:rsidRDefault="009441AC" w:rsidP="00587EDE">
            <w:pPr>
              <w:pStyle w:val="ListParagraph"/>
              <w:spacing w:after="0"/>
              <w:ind w:left="0"/>
              <w:jc w:val="both"/>
              <w:rPr>
                <w:rFonts w:ascii="Times New Roman" w:hAnsi="Times New Roman" w:cs="Times New Roman"/>
                <w:b/>
                <w:sz w:val="20"/>
                <w:szCs w:val="20"/>
              </w:rPr>
            </w:pPr>
            <w:r w:rsidRPr="003315A4">
              <w:rPr>
                <w:rFonts w:ascii="Times New Roman" w:hAnsi="Times New Roman" w:cs="Times New Roman"/>
                <w:b/>
                <w:sz w:val="18"/>
                <w:szCs w:val="18"/>
              </w:rPr>
              <w:t>Alignment</w:t>
            </w:r>
          </w:p>
        </w:tc>
        <w:tc>
          <w:tcPr>
            <w:tcW w:w="2376" w:type="pct"/>
            <w:shd w:val="clear" w:color="auto" w:fill="C5E0B3" w:themeFill="accent6" w:themeFillTint="66"/>
          </w:tcPr>
          <w:p w14:paraId="2F51558C" w14:textId="48DFB295" w:rsidR="00E41A32" w:rsidRPr="003315A4" w:rsidRDefault="0025330E" w:rsidP="00587EDE">
            <w:pPr>
              <w:pStyle w:val="ListParagraph"/>
              <w:spacing w:after="0"/>
              <w:ind w:left="0"/>
              <w:jc w:val="both"/>
              <w:rPr>
                <w:rFonts w:ascii="Times New Roman" w:hAnsi="Times New Roman" w:cs="Times New Roman"/>
                <w:b/>
                <w:sz w:val="20"/>
                <w:szCs w:val="20"/>
              </w:rPr>
            </w:pPr>
            <w:r w:rsidRPr="003315A4">
              <w:rPr>
                <w:rFonts w:ascii="Times New Roman" w:hAnsi="Times New Roman" w:cs="Times New Roman"/>
                <w:b/>
                <w:sz w:val="20"/>
                <w:szCs w:val="20"/>
              </w:rPr>
              <w:t>Emerging issues identified in the CoC</w:t>
            </w:r>
          </w:p>
        </w:tc>
      </w:tr>
      <w:tr w:rsidR="003772DC" w:rsidRPr="00F10F3B" w14:paraId="1DFAD54E" w14:textId="77777777" w:rsidTr="003315A4">
        <w:tc>
          <w:tcPr>
            <w:tcW w:w="5000" w:type="pct"/>
            <w:gridSpan w:val="4"/>
            <w:shd w:val="clear" w:color="auto" w:fill="C5E0B3" w:themeFill="accent6" w:themeFillTint="66"/>
          </w:tcPr>
          <w:p w14:paraId="4260FDF1" w14:textId="53101720" w:rsidR="003772DC" w:rsidRPr="00F10F3B" w:rsidRDefault="003772D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Alignment of FY2017/18 to NDPII Objectives</w:t>
            </w:r>
          </w:p>
        </w:tc>
      </w:tr>
      <w:tr w:rsidR="00C80038" w:rsidRPr="00F10F3B" w14:paraId="111CBE86" w14:textId="016A7263" w:rsidTr="003315A4">
        <w:trPr>
          <w:gridAfter w:val="1"/>
          <w:wAfter w:w="4" w:type="pct"/>
        </w:trPr>
        <w:tc>
          <w:tcPr>
            <w:tcW w:w="2026" w:type="pct"/>
          </w:tcPr>
          <w:p w14:paraId="3DA4FC70" w14:textId="5029D281" w:rsidR="00E41A32" w:rsidRPr="00F10F3B" w:rsidRDefault="00E41A32"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Objective 1</w:t>
            </w:r>
            <w:r w:rsidR="009441AC" w:rsidRPr="00F10F3B">
              <w:rPr>
                <w:rFonts w:ascii="Times New Roman" w:hAnsi="Times New Roman" w:cs="Times New Roman"/>
                <w:b/>
                <w:sz w:val="20"/>
                <w:szCs w:val="20"/>
              </w:rPr>
              <w:t>:</w:t>
            </w:r>
            <w:r w:rsidR="009441AC" w:rsidRPr="00F10F3B">
              <w:rPr>
                <w:rFonts w:ascii="Times New Roman" w:hAnsi="Times New Roman" w:cs="Times New Roman"/>
                <w:sz w:val="20"/>
                <w:szCs w:val="20"/>
              </w:rPr>
              <w:t xml:space="preserve"> </w:t>
            </w:r>
            <w:r w:rsidR="00C80038" w:rsidRPr="00F10F3B">
              <w:rPr>
                <w:rFonts w:ascii="Times New Roman" w:hAnsi="Times New Roman" w:cs="Times New Roman"/>
                <w:sz w:val="20"/>
                <w:szCs w:val="20"/>
              </w:rPr>
              <w:t>Increasing sustainable production, productivity and value addition</w:t>
            </w:r>
          </w:p>
        </w:tc>
        <w:tc>
          <w:tcPr>
            <w:tcW w:w="594" w:type="pct"/>
          </w:tcPr>
          <w:p w14:paraId="7D751E6A" w14:textId="250C0150" w:rsidR="00E41A32" w:rsidRPr="00F10F3B" w:rsidRDefault="00CA26D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68%</w:t>
            </w:r>
          </w:p>
        </w:tc>
        <w:tc>
          <w:tcPr>
            <w:tcW w:w="2376" w:type="pct"/>
          </w:tcPr>
          <w:p w14:paraId="6BB2EF78" w14:textId="2D1D8FC0" w:rsidR="00E41A32" w:rsidRPr="00F10F3B" w:rsidRDefault="00866AE8"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allocations to agriculture</w:t>
            </w:r>
            <w:r w:rsidR="00BA4E52" w:rsidRPr="00F10F3B">
              <w:rPr>
                <w:rFonts w:ascii="Times New Roman" w:hAnsi="Times New Roman" w:cs="Times New Roman"/>
                <w:sz w:val="20"/>
                <w:szCs w:val="20"/>
              </w:rPr>
              <w:t xml:space="preserve">, industry and mineral </w:t>
            </w:r>
            <w:r w:rsidR="00D24271" w:rsidRPr="00F10F3B">
              <w:rPr>
                <w:rFonts w:ascii="Times New Roman" w:hAnsi="Times New Roman" w:cs="Times New Roman"/>
                <w:sz w:val="20"/>
                <w:szCs w:val="20"/>
              </w:rPr>
              <w:t>beneficiation</w:t>
            </w:r>
            <w:r w:rsidR="00BA4E52" w:rsidRPr="00F10F3B">
              <w:rPr>
                <w:rFonts w:ascii="Times New Roman" w:hAnsi="Times New Roman" w:cs="Times New Roman"/>
                <w:sz w:val="20"/>
                <w:szCs w:val="20"/>
              </w:rPr>
              <w:t xml:space="preserve"> and </w:t>
            </w:r>
            <w:r w:rsidR="00D24271" w:rsidRPr="00F10F3B">
              <w:rPr>
                <w:rFonts w:ascii="Times New Roman" w:hAnsi="Times New Roman" w:cs="Times New Roman"/>
                <w:sz w:val="20"/>
                <w:szCs w:val="20"/>
              </w:rPr>
              <w:t>environment.</w:t>
            </w:r>
          </w:p>
        </w:tc>
      </w:tr>
      <w:tr w:rsidR="00C80038" w:rsidRPr="00F10F3B" w14:paraId="4C492578" w14:textId="03F03605" w:rsidTr="003315A4">
        <w:trPr>
          <w:gridAfter w:val="1"/>
          <w:wAfter w:w="4" w:type="pct"/>
        </w:trPr>
        <w:tc>
          <w:tcPr>
            <w:tcW w:w="2026" w:type="pct"/>
          </w:tcPr>
          <w:p w14:paraId="16C5D175" w14:textId="69FB5AE9" w:rsidR="00E41A32" w:rsidRPr="00F10F3B" w:rsidRDefault="002D69A6"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Objective 2</w:t>
            </w:r>
            <w:r w:rsidR="00C80038" w:rsidRPr="00F10F3B">
              <w:rPr>
                <w:rFonts w:ascii="Times New Roman" w:hAnsi="Times New Roman" w:cs="Times New Roman"/>
                <w:sz w:val="20"/>
                <w:szCs w:val="20"/>
              </w:rPr>
              <w:t>: Increasing the stock and quality of strategic infrastructure</w:t>
            </w:r>
          </w:p>
        </w:tc>
        <w:tc>
          <w:tcPr>
            <w:tcW w:w="594" w:type="pct"/>
          </w:tcPr>
          <w:p w14:paraId="3E012083" w14:textId="7420EA7C" w:rsidR="00E41A32" w:rsidRPr="00F10F3B" w:rsidRDefault="003D719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81%</w:t>
            </w:r>
          </w:p>
        </w:tc>
        <w:tc>
          <w:tcPr>
            <w:tcW w:w="2376" w:type="pct"/>
          </w:tcPr>
          <w:p w14:paraId="31550B73" w14:textId="4E8661DB" w:rsidR="00E41A32" w:rsidRPr="00F10F3B" w:rsidRDefault="00D24271"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allocations to rural feeder roads</w:t>
            </w:r>
            <w:r w:rsidR="00132D89" w:rsidRPr="00F10F3B">
              <w:rPr>
                <w:rFonts w:ascii="Times New Roman" w:hAnsi="Times New Roman" w:cs="Times New Roman"/>
                <w:sz w:val="20"/>
                <w:szCs w:val="20"/>
              </w:rPr>
              <w:t xml:space="preserve"> maintenance, water transport</w:t>
            </w:r>
            <w:r w:rsidR="00342A1D" w:rsidRPr="00F10F3B">
              <w:rPr>
                <w:rFonts w:ascii="Times New Roman" w:hAnsi="Times New Roman" w:cs="Times New Roman"/>
                <w:sz w:val="20"/>
                <w:szCs w:val="20"/>
              </w:rPr>
              <w:t>,</w:t>
            </w:r>
            <w:r w:rsidR="00132D89" w:rsidRPr="00F10F3B">
              <w:rPr>
                <w:rFonts w:ascii="Times New Roman" w:hAnsi="Times New Roman" w:cs="Times New Roman"/>
                <w:sz w:val="20"/>
                <w:szCs w:val="20"/>
              </w:rPr>
              <w:t xml:space="preserve"> </w:t>
            </w:r>
            <w:r w:rsidR="00342A1D" w:rsidRPr="00F10F3B">
              <w:rPr>
                <w:rFonts w:ascii="Times New Roman" w:hAnsi="Times New Roman" w:cs="Times New Roman"/>
                <w:sz w:val="20"/>
                <w:szCs w:val="20"/>
              </w:rPr>
              <w:t>SGR and ICT.</w:t>
            </w:r>
          </w:p>
        </w:tc>
      </w:tr>
      <w:tr w:rsidR="00C80038" w:rsidRPr="00F10F3B" w14:paraId="6EA4AFEB" w14:textId="05E9BA41" w:rsidTr="003315A4">
        <w:trPr>
          <w:gridAfter w:val="1"/>
          <w:wAfter w:w="4" w:type="pct"/>
        </w:trPr>
        <w:tc>
          <w:tcPr>
            <w:tcW w:w="2026" w:type="pct"/>
          </w:tcPr>
          <w:p w14:paraId="2D2F4B4E" w14:textId="42390152" w:rsidR="00E41A32" w:rsidRPr="00F10F3B" w:rsidRDefault="002D69A6"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Objective 3</w:t>
            </w:r>
            <w:r w:rsidR="00C80038" w:rsidRPr="00F10F3B">
              <w:rPr>
                <w:rFonts w:ascii="Times New Roman" w:hAnsi="Times New Roman" w:cs="Times New Roman"/>
                <w:b/>
                <w:sz w:val="20"/>
                <w:szCs w:val="20"/>
              </w:rPr>
              <w:t>:</w:t>
            </w:r>
            <w:r w:rsidR="00C80038" w:rsidRPr="00F10F3B">
              <w:rPr>
                <w:rFonts w:ascii="Times New Roman" w:hAnsi="Times New Roman" w:cs="Times New Roman"/>
                <w:sz w:val="20"/>
                <w:szCs w:val="20"/>
              </w:rPr>
              <w:t xml:space="preserve"> </w:t>
            </w:r>
            <w:r w:rsidR="00DD18A4" w:rsidRPr="00F10F3B">
              <w:rPr>
                <w:rFonts w:ascii="Times New Roman" w:hAnsi="Times New Roman" w:cs="Times New Roman"/>
                <w:sz w:val="20"/>
                <w:szCs w:val="20"/>
              </w:rPr>
              <w:t>Enhancing human capital development</w:t>
            </w:r>
          </w:p>
        </w:tc>
        <w:tc>
          <w:tcPr>
            <w:tcW w:w="594" w:type="pct"/>
          </w:tcPr>
          <w:p w14:paraId="0A68B998" w14:textId="29E2C418" w:rsidR="00E41A32" w:rsidRPr="00F10F3B" w:rsidRDefault="003D719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84%</w:t>
            </w:r>
          </w:p>
        </w:tc>
        <w:tc>
          <w:tcPr>
            <w:tcW w:w="2376" w:type="pct"/>
          </w:tcPr>
          <w:p w14:paraId="729AFB25" w14:textId="1614B20B" w:rsidR="00E41A32" w:rsidRPr="00F10F3B" w:rsidRDefault="00C10421"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allocations to early childhood development, skills development, teacher training.</w:t>
            </w:r>
          </w:p>
        </w:tc>
      </w:tr>
      <w:tr w:rsidR="002D69A6" w:rsidRPr="00F10F3B" w14:paraId="0AA0732B" w14:textId="77777777" w:rsidTr="003315A4">
        <w:trPr>
          <w:gridAfter w:val="1"/>
          <w:wAfter w:w="4" w:type="pct"/>
        </w:trPr>
        <w:tc>
          <w:tcPr>
            <w:tcW w:w="2026" w:type="pct"/>
          </w:tcPr>
          <w:p w14:paraId="670018FC" w14:textId="5AEC850E" w:rsidR="002D69A6" w:rsidRPr="00F10F3B" w:rsidRDefault="002D69A6"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Objective 4</w:t>
            </w:r>
            <w:r w:rsidR="00DD18A4" w:rsidRPr="00F10F3B">
              <w:rPr>
                <w:rFonts w:ascii="Times New Roman" w:hAnsi="Times New Roman" w:cs="Times New Roman"/>
                <w:b/>
                <w:sz w:val="20"/>
                <w:szCs w:val="20"/>
              </w:rPr>
              <w:t xml:space="preserve">: </w:t>
            </w:r>
            <w:r w:rsidR="00DD18A4" w:rsidRPr="00F10F3B">
              <w:rPr>
                <w:rFonts w:ascii="Times New Roman" w:hAnsi="Times New Roman" w:cs="Times New Roman"/>
                <w:sz w:val="20"/>
                <w:szCs w:val="20"/>
              </w:rPr>
              <w:t>Strengthening mechanism</w:t>
            </w:r>
            <w:r w:rsidR="00801AEB" w:rsidRPr="00F10F3B">
              <w:rPr>
                <w:rFonts w:ascii="Times New Roman" w:hAnsi="Times New Roman" w:cs="Times New Roman"/>
                <w:sz w:val="20"/>
                <w:szCs w:val="20"/>
              </w:rPr>
              <w:t>s</w:t>
            </w:r>
            <w:r w:rsidR="00DD18A4" w:rsidRPr="00F10F3B">
              <w:rPr>
                <w:rFonts w:ascii="Times New Roman" w:hAnsi="Times New Roman" w:cs="Times New Roman"/>
                <w:sz w:val="20"/>
                <w:szCs w:val="20"/>
              </w:rPr>
              <w:t xml:space="preserve"> for quality, effective</w:t>
            </w:r>
            <w:r w:rsidR="00801AEB" w:rsidRPr="00F10F3B">
              <w:rPr>
                <w:rFonts w:ascii="Times New Roman" w:hAnsi="Times New Roman" w:cs="Times New Roman"/>
                <w:sz w:val="20"/>
                <w:szCs w:val="20"/>
              </w:rPr>
              <w:t>,</w:t>
            </w:r>
            <w:r w:rsidR="00DD18A4" w:rsidRPr="00F10F3B">
              <w:rPr>
                <w:rFonts w:ascii="Times New Roman" w:hAnsi="Times New Roman" w:cs="Times New Roman"/>
                <w:sz w:val="20"/>
                <w:szCs w:val="20"/>
              </w:rPr>
              <w:t xml:space="preserve"> efficient service delivery</w:t>
            </w:r>
          </w:p>
        </w:tc>
        <w:tc>
          <w:tcPr>
            <w:tcW w:w="594" w:type="pct"/>
          </w:tcPr>
          <w:p w14:paraId="09CB71CA" w14:textId="6E5E94DD" w:rsidR="002D69A6" w:rsidRPr="00F10F3B" w:rsidRDefault="00866AE8"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54%</w:t>
            </w:r>
          </w:p>
        </w:tc>
        <w:tc>
          <w:tcPr>
            <w:tcW w:w="2376" w:type="pct"/>
          </w:tcPr>
          <w:p w14:paraId="23B7D5CA" w14:textId="506DE136" w:rsidR="002D69A6" w:rsidRPr="00F10F3B" w:rsidRDefault="005E51E8"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Unclear. CoC states there is a need to “enhance focus </w:t>
            </w:r>
            <w:r w:rsidR="001455D4" w:rsidRPr="00F10F3B">
              <w:rPr>
                <w:rFonts w:ascii="Times New Roman" w:hAnsi="Times New Roman" w:cs="Times New Roman"/>
                <w:sz w:val="20"/>
                <w:szCs w:val="20"/>
              </w:rPr>
              <w:t>on</w:t>
            </w:r>
            <w:r w:rsidR="00D4652C" w:rsidRPr="00F10F3B">
              <w:rPr>
                <w:rFonts w:ascii="Times New Roman" w:hAnsi="Times New Roman" w:cs="Times New Roman"/>
                <w:sz w:val="20"/>
                <w:szCs w:val="20"/>
              </w:rPr>
              <w:t xml:space="preserve"> </w:t>
            </w:r>
            <w:r w:rsidR="009A2561" w:rsidRPr="00F10F3B">
              <w:rPr>
                <w:rFonts w:ascii="Times New Roman" w:hAnsi="Times New Roman" w:cs="Times New Roman"/>
                <w:sz w:val="20"/>
                <w:szCs w:val="20"/>
              </w:rPr>
              <w:t>Government</w:t>
            </w:r>
            <w:r w:rsidR="001455D4" w:rsidRPr="00F10F3B">
              <w:rPr>
                <w:rFonts w:ascii="Times New Roman" w:hAnsi="Times New Roman" w:cs="Times New Roman"/>
                <w:sz w:val="20"/>
                <w:szCs w:val="20"/>
              </w:rPr>
              <w:t xml:space="preserve"> effectiveness and efficiency”</w:t>
            </w:r>
          </w:p>
          <w:p w14:paraId="0D58AEBF" w14:textId="77777777" w:rsidR="00B3675C" w:rsidRPr="00F10F3B" w:rsidRDefault="00B3675C" w:rsidP="00587EDE">
            <w:pPr>
              <w:pStyle w:val="ListParagraph"/>
              <w:spacing w:after="0"/>
              <w:ind w:left="0"/>
              <w:jc w:val="both"/>
              <w:rPr>
                <w:rFonts w:ascii="Times New Roman" w:hAnsi="Times New Roman" w:cs="Times New Roman"/>
                <w:sz w:val="20"/>
                <w:szCs w:val="20"/>
              </w:rPr>
            </w:pPr>
          </w:p>
          <w:p w14:paraId="5CD8F79F" w14:textId="5E917595" w:rsidR="00B3675C" w:rsidRPr="00F10F3B" w:rsidRDefault="00B3675C" w:rsidP="00587EDE">
            <w:pPr>
              <w:pStyle w:val="ListParagraph"/>
              <w:spacing w:after="0"/>
              <w:ind w:left="0"/>
              <w:jc w:val="both"/>
              <w:rPr>
                <w:rFonts w:ascii="Times New Roman" w:hAnsi="Times New Roman" w:cs="Times New Roman"/>
                <w:sz w:val="20"/>
                <w:szCs w:val="20"/>
              </w:rPr>
            </w:pPr>
          </w:p>
        </w:tc>
      </w:tr>
      <w:tr w:rsidR="003772DC" w:rsidRPr="00F10F3B" w14:paraId="126801FD" w14:textId="77777777" w:rsidTr="003315A4">
        <w:tc>
          <w:tcPr>
            <w:tcW w:w="5000" w:type="pct"/>
            <w:gridSpan w:val="4"/>
            <w:shd w:val="clear" w:color="auto" w:fill="C5E0B3" w:themeFill="accent6" w:themeFillTint="66"/>
          </w:tcPr>
          <w:p w14:paraId="73C61D89" w14:textId="1FCD248B" w:rsidR="003772DC" w:rsidRPr="00F10F3B" w:rsidRDefault="003772D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Alignment of FY2017/18 to NDPII strategies</w:t>
            </w:r>
          </w:p>
        </w:tc>
      </w:tr>
      <w:tr w:rsidR="00D4652C" w:rsidRPr="00F10F3B" w14:paraId="3192A297" w14:textId="77777777" w:rsidTr="003315A4">
        <w:trPr>
          <w:gridAfter w:val="1"/>
          <w:wAfter w:w="4" w:type="pct"/>
        </w:trPr>
        <w:tc>
          <w:tcPr>
            <w:tcW w:w="2026" w:type="pct"/>
          </w:tcPr>
          <w:p w14:paraId="4911B36B" w14:textId="63DF233D" w:rsidR="00D4652C" w:rsidRPr="00F10F3B" w:rsidRDefault="003434E1"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1</w:t>
            </w:r>
            <w:r w:rsidR="009441AC" w:rsidRPr="00F10F3B">
              <w:rPr>
                <w:rFonts w:ascii="Times New Roman" w:hAnsi="Times New Roman" w:cs="Times New Roman"/>
                <w:b/>
                <w:sz w:val="20"/>
                <w:szCs w:val="20"/>
              </w:rPr>
              <w:t xml:space="preserve">: </w:t>
            </w:r>
            <w:r w:rsidR="00801AEB" w:rsidRPr="00F10F3B">
              <w:rPr>
                <w:rFonts w:ascii="Times New Roman" w:hAnsi="Times New Roman" w:cs="Times New Roman"/>
                <w:sz w:val="20"/>
                <w:szCs w:val="20"/>
              </w:rPr>
              <w:t>Fiscal expansion</w:t>
            </w:r>
          </w:p>
        </w:tc>
        <w:tc>
          <w:tcPr>
            <w:tcW w:w="594" w:type="pct"/>
          </w:tcPr>
          <w:p w14:paraId="471CF4CD" w14:textId="0EC070B2" w:rsidR="00D4652C" w:rsidRPr="00F10F3B" w:rsidRDefault="00DE5FDB"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w:t>
            </w:r>
          </w:p>
        </w:tc>
        <w:tc>
          <w:tcPr>
            <w:tcW w:w="2376" w:type="pct"/>
          </w:tcPr>
          <w:p w14:paraId="3CE829A6" w14:textId="43068F28" w:rsidR="00D4652C" w:rsidRPr="00F10F3B" w:rsidRDefault="007A049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Improve allocations to </w:t>
            </w:r>
            <w:r w:rsidR="00C61C8B" w:rsidRPr="00F10F3B">
              <w:rPr>
                <w:rFonts w:ascii="Times New Roman" w:hAnsi="Times New Roman" w:cs="Times New Roman"/>
                <w:sz w:val="20"/>
                <w:szCs w:val="20"/>
              </w:rPr>
              <w:t>fiscal expansion in line with NDPII macro-economic stability targets</w:t>
            </w:r>
          </w:p>
        </w:tc>
      </w:tr>
      <w:tr w:rsidR="003434E1" w:rsidRPr="00F10F3B" w14:paraId="1C1A9B76" w14:textId="77777777" w:rsidTr="003315A4">
        <w:trPr>
          <w:gridAfter w:val="1"/>
          <w:wAfter w:w="4" w:type="pct"/>
        </w:trPr>
        <w:tc>
          <w:tcPr>
            <w:tcW w:w="2026" w:type="pct"/>
          </w:tcPr>
          <w:p w14:paraId="31B9A4E1" w14:textId="2FB1E775"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2</w:t>
            </w:r>
            <w:r w:rsidR="00801AEB" w:rsidRPr="00F10F3B">
              <w:rPr>
                <w:rFonts w:ascii="Times New Roman" w:hAnsi="Times New Roman" w:cs="Times New Roman"/>
                <w:b/>
                <w:sz w:val="20"/>
                <w:szCs w:val="20"/>
              </w:rPr>
              <w:t xml:space="preserve">: </w:t>
            </w:r>
            <w:r w:rsidR="00801AEB" w:rsidRPr="00F10F3B">
              <w:rPr>
                <w:rFonts w:ascii="Times New Roman" w:hAnsi="Times New Roman" w:cs="Times New Roman"/>
                <w:sz w:val="20"/>
                <w:szCs w:val="20"/>
              </w:rPr>
              <w:t>Industrialisation</w:t>
            </w:r>
          </w:p>
        </w:tc>
        <w:tc>
          <w:tcPr>
            <w:tcW w:w="594" w:type="pct"/>
          </w:tcPr>
          <w:p w14:paraId="39F71013" w14:textId="62289536" w:rsidR="003434E1" w:rsidRPr="00F10F3B" w:rsidRDefault="00DE5FDB"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50%</w:t>
            </w:r>
          </w:p>
        </w:tc>
        <w:tc>
          <w:tcPr>
            <w:tcW w:w="2376" w:type="pct"/>
          </w:tcPr>
          <w:p w14:paraId="5630758E" w14:textId="69B0BE68" w:rsidR="003434E1" w:rsidRPr="00F10F3B" w:rsidRDefault="00E80350"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allocations to industrialisation</w:t>
            </w:r>
          </w:p>
        </w:tc>
      </w:tr>
      <w:tr w:rsidR="003434E1" w:rsidRPr="00F10F3B" w14:paraId="239A2548" w14:textId="77777777" w:rsidTr="003315A4">
        <w:trPr>
          <w:gridAfter w:val="1"/>
          <w:wAfter w:w="4" w:type="pct"/>
        </w:trPr>
        <w:tc>
          <w:tcPr>
            <w:tcW w:w="2026" w:type="pct"/>
          </w:tcPr>
          <w:p w14:paraId="1D1E875F" w14:textId="281034C9"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3</w:t>
            </w:r>
            <w:r w:rsidR="00801AEB" w:rsidRPr="00F10F3B">
              <w:rPr>
                <w:rFonts w:ascii="Times New Roman" w:hAnsi="Times New Roman" w:cs="Times New Roman"/>
                <w:b/>
                <w:sz w:val="20"/>
                <w:szCs w:val="20"/>
              </w:rPr>
              <w:t xml:space="preserve">: </w:t>
            </w:r>
            <w:r w:rsidR="00801AEB" w:rsidRPr="00F10F3B">
              <w:rPr>
                <w:rFonts w:ascii="Times New Roman" w:hAnsi="Times New Roman" w:cs="Times New Roman"/>
                <w:sz w:val="20"/>
                <w:szCs w:val="20"/>
              </w:rPr>
              <w:t>Skills development</w:t>
            </w:r>
          </w:p>
        </w:tc>
        <w:tc>
          <w:tcPr>
            <w:tcW w:w="594" w:type="pct"/>
          </w:tcPr>
          <w:p w14:paraId="373C11C4" w14:textId="7851A703" w:rsidR="003434E1" w:rsidRPr="00F10F3B" w:rsidRDefault="00DE5FDB"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58%</w:t>
            </w:r>
          </w:p>
        </w:tc>
        <w:tc>
          <w:tcPr>
            <w:tcW w:w="2376" w:type="pct"/>
          </w:tcPr>
          <w:p w14:paraId="16826645" w14:textId="20D432C2" w:rsidR="003434E1" w:rsidRPr="00F10F3B" w:rsidRDefault="005B52B4"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Improve allocations to five centres of excellence and specialised training </w:t>
            </w:r>
            <w:r w:rsidR="00741413" w:rsidRPr="00F10F3B">
              <w:rPr>
                <w:rFonts w:ascii="Times New Roman" w:hAnsi="Times New Roman" w:cs="Times New Roman"/>
                <w:sz w:val="20"/>
                <w:szCs w:val="20"/>
              </w:rPr>
              <w:t>e.g. mineral, oil and gas</w:t>
            </w:r>
          </w:p>
        </w:tc>
      </w:tr>
      <w:tr w:rsidR="003434E1" w:rsidRPr="00F10F3B" w14:paraId="3AB3A20D" w14:textId="77777777" w:rsidTr="003315A4">
        <w:trPr>
          <w:gridAfter w:val="1"/>
          <w:wAfter w:w="4" w:type="pct"/>
        </w:trPr>
        <w:tc>
          <w:tcPr>
            <w:tcW w:w="2026" w:type="pct"/>
          </w:tcPr>
          <w:p w14:paraId="76B429C6" w14:textId="7011437D"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4</w:t>
            </w:r>
            <w:r w:rsidR="00801AEB" w:rsidRPr="00F10F3B">
              <w:rPr>
                <w:rFonts w:ascii="Times New Roman" w:hAnsi="Times New Roman" w:cs="Times New Roman"/>
                <w:b/>
                <w:sz w:val="20"/>
                <w:szCs w:val="20"/>
              </w:rPr>
              <w:t xml:space="preserve">: </w:t>
            </w:r>
            <w:r w:rsidR="00801AEB" w:rsidRPr="00F10F3B">
              <w:rPr>
                <w:rFonts w:ascii="Times New Roman" w:hAnsi="Times New Roman" w:cs="Times New Roman"/>
                <w:sz w:val="20"/>
                <w:szCs w:val="20"/>
              </w:rPr>
              <w:t>Export orientated growth</w:t>
            </w:r>
          </w:p>
        </w:tc>
        <w:tc>
          <w:tcPr>
            <w:tcW w:w="594" w:type="pct"/>
          </w:tcPr>
          <w:p w14:paraId="78B399AC" w14:textId="13E047FB" w:rsidR="003434E1" w:rsidRPr="00F10F3B" w:rsidRDefault="00DE5FDB"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w:t>
            </w:r>
          </w:p>
        </w:tc>
        <w:tc>
          <w:tcPr>
            <w:tcW w:w="2376" w:type="pct"/>
          </w:tcPr>
          <w:p w14:paraId="1D1B485C" w14:textId="7B49ACC1" w:rsidR="003434E1" w:rsidRPr="00F10F3B" w:rsidRDefault="000871AE"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Recapitalisation of </w:t>
            </w:r>
            <w:r w:rsidR="00DC62FD" w:rsidRPr="00F10F3B">
              <w:rPr>
                <w:rFonts w:ascii="Times New Roman" w:hAnsi="Times New Roman" w:cs="Times New Roman"/>
                <w:sz w:val="20"/>
                <w:szCs w:val="20"/>
              </w:rPr>
              <w:t>U</w:t>
            </w:r>
            <w:r w:rsidRPr="00F10F3B">
              <w:rPr>
                <w:rFonts w:ascii="Times New Roman" w:hAnsi="Times New Roman" w:cs="Times New Roman"/>
                <w:sz w:val="20"/>
                <w:szCs w:val="20"/>
              </w:rPr>
              <w:t xml:space="preserve">DB </w:t>
            </w:r>
          </w:p>
        </w:tc>
      </w:tr>
      <w:tr w:rsidR="003434E1" w:rsidRPr="00F10F3B" w14:paraId="3F3C0332" w14:textId="77777777" w:rsidTr="003315A4">
        <w:trPr>
          <w:gridAfter w:val="1"/>
          <w:wAfter w:w="4" w:type="pct"/>
        </w:trPr>
        <w:tc>
          <w:tcPr>
            <w:tcW w:w="2026" w:type="pct"/>
          </w:tcPr>
          <w:p w14:paraId="78368072" w14:textId="7FD0635E"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5</w:t>
            </w:r>
            <w:r w:rsidR="00801AEB" w:rsidRPr="00F10F3B">
              <w:rPr>
                <w:rFonts w:ascii="Times New Roman" w:hAnsi="Times New Roman" w:cs="Times New Roman"/>
                <w:b/>
                <w:sz w:val="20"/>
                <w:szCs w:val="20"/>
              </w:rPr>
              <w:t xml:space="preserve">: </w:t>
            </w:r>
            <w:r w:rsidR="00445CA9" w:rsidRPr="00F10F3B">
              <w:rPr>
                <w:rFonts w:ascii="Times New Roman" w:hAnsi="Times New Roman" w:cs="Times New Roman"/>
                <w:sz w:val="20"/>
                <w:szCs w:val="20"/>
              </w:rPr>
              <w:t>Quasi-market approach</w:t>
            </w:r>
          </w:p>
        </w:tc>
        <w:tc>
          <w:tcPr>
            <w:tcW w:w="594" w:type="pct"/>
          </w:tcPr>
          <w:p w14:paraId="5DEA977D" w14:textId="6684BC84" w:rsidR="003434E1" w:rsidRPr="00F10F3B" w:rsidRDefault="000871AE"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w:t>
            </w:r>
          </w:p>
        </w:tc>
        <w:tc>
          <w:tcPr>
            <w:tcW w:w="2376" w:type="pct"/>
          </w:tcPr>
          <w:p w14:paraId="0BC27CD7" w14:textId="5CFE0DBD" w:rsidR="003434E1" w:rsidRPr="00F10F3B" w:rsidRDefault="00DA5355"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Streamline public investment management system</w:t>
            </w:r>
          </w:p>
        </w:tc>
      </w:tr>
      <w:tr w:rsidR="003434E1" w:rsidRPr="00F10F3B" w14:paraId="01CCFE7F" w14:textId="77777777" w:rsidTr="003315A4">
        <w:trPr>
          <w:gridAfter w:val="1"/>
          <w:wAfter w:w="4" w:type="pct"/>
        </w:trPr>
        <w:tc>
          <w:tcPr>
            <w:tcW w:w="2026" w:type="pct"/>
          </w:tcPr>
          <w:p w14:paraId="1968C88A" w14:textId="350BE2A1"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6</w:t>
            </w:r>
            <w:r w:rsidR="00445CA9" w:rsidRPr="00F10F3B">
              <w:rPr>
                <w:rFonts w:ascii="Times New Roman" w:hAnsi="Times New Roman" w:cs="Times New Roman"/>
                <w:b/>
                <w:sz w:val="20"/>
                <w:szCs w:val="20"/>
              </w:rPr>
              <w:t xml:space="preserve">: </w:t>
            </w:r>
            <w:r w:rsidR="00445CA9" w:rsidRPr="00F10F3B">
              <w:rPr>
                <w:rFonts w:ascii="Times New Roman" w:hAnsi="Times New Roman" w:cs="Times New Roman"/>
                <w:sz w:val="20"/>
                <w:szCs w:val="20"/>
              </w:rPr>
              <w:t>Demographic dividend</w:t>
            </w:r>
          </w:p>
        </w:tc>
        <w:tc>
          <w:tcPr>
            <w:tcW w:w="594" w:type="pct"/>
          </w:tcPr>
          <w:p w14:paraId="63E21898" w14:textId="6888B17E" w:rsidR="003434E1" w:rsidRPr="00F10F3B" w:rsidRDefault="0078282D"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w:t>
            </w:r>
          </w:p>
        </w:tc>
        <w:tc>
          <w:tcPr>
            <w:tcW w:w="2376" w:type="pct"/>
          </w:tcPr>
          <w:p w14:paraId="73D65D7A" w14:textId="48865C9D" w:rsidR="003434E1" w:rsidRPr="00F10F3B" w:rsidRDefault="00DA5355"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 to nutrition</w:t>
            </w:r>
            <w:r w:rsidR="0078282D" w:rsidRPr="00F10F3B">
              <w:rPr>
                <w:rFonts w:ascii="Times New Roman" w:hAnsi="Times New Roman" w:cs="Times New Roman"/>
                <w:sz w:val="20"/>
                <w:szCs w:val="20"/>
              </w:rPr>
              <w:t>, skill development</w:t>
            </w:r>
          </w:p>
        </w:tc>
      </w:tr>
      <w:tr w:rsidR="003434E1" w:rsidRPr="00F10F3B" w14:paraId="6A7375CF" w14:textId="77777777" w:rsidTr="003315A4">
        <w:trPr>
          <w:gridAfter w:val="1"/>
          <w:wAfter w:w="4" w:type="pct"/>
        </w:trPr>
        <w:tc>
          <w:tcPr>
            <w:tcW w:w="2026" w:type="pct"/>
          </w:tcPr>
          <w:p w14:paraId="11B5A006" w14:textId="7CB336A5" w:rsidR="003434E1" w:rsidRPr="00F10F3B" w:rsidRDefault="009441AC"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t>Strategy 7</w:t>
            </w:r>
            <w:r w:rsidR="00445CA9" w:rsidRPr="00F10F3B">
              <w:rPr>
                <w:rFonts w:ascii="Times New Roman" w:hAnsi="Times New Roman" w:cs="Times New Roman"/>
                <w:b/>
                <w:sz w:val="20"/>
                <w:szCs w:val="20"/>
              </w:rPr>
              <w:t xml:space="preserve">: </w:t>
            </w:r>
            <w:r w:rsidR="00445CA9" w:rsidRPr="00F10F3B">
              <w:rPr>
                <w:rFonts w:ascii="Times New Roman" w:hAnsi="Times New Roman" w:cs="Times New Roman"/>
                <w:sz w:val="20"/>
                <w:szCs w:val="20"/>
              </w:rPr>
              <w:t>Urbanization</w:t>
            </w:r>
          </w:p>
        </w:tc>
        <w:tc>
          <w:tcPr>
            <w:tcW w:w="594" w:type="pct"/>
          </w:tcPr>
          <w:p w14:paraId="7FC8C770" w14:textId="595837DD" w:rsidR="003434E1" w:rsidRPr="00F10F3B" w:rsidRDefault="0078282D"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50%</w:t>
            </w:r>
          </w:p>
        </w:tc>
        <w:tc>
          <w:tcPr>
            <w:tcW w:w="2376" w:type="pct"/>
          </w:tcPr>
          <w:p w14:paraId="54981BE8" w14:textId="2F3EE708" w:rsidR="003434E1" w:rsidRPr="00F10F3B" w:rsidRDefault="0078282D"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Improve allocation to urban planning</w:t>
            </w:r>
            <w:r w:rsidR="0027484B" w:rsidRPr="00F10F3B">
              <w:rPr>
                <w:rFonts w:ascii="Times New Roman" w:hAnsi="Times New Roman" w:cs="Times New Roman"/>
                <w:sz w:val="20"/>
                <w:szCs w:val="20"/>
              </w:rPr>
              <w:t xml:space="preserve"> and housing</w:t>
            </w:r>
          </w:p>
        </w:tc>
      </w:tr>
      <w:tr w:rsidR="003434E1" w:rsidRPr="00F10F3B" w14:paraId="2BF576EC" w14:textId="77777777" w:rsidTr="003315A4">
        <w:trPr>
          <w:gridAfter w:val="1"/>
          <w:wAfter w:w="4" w:type="pct"/>
        </w:trPr>
        <w:tc>
          <w:tcPr>
            <w:tcW w:w="2026" w:type="pct"/>
          </w:tcPr>
          <w:p w14:paraId="15B974D0" w14:textId="279F077E" w:rsidR="003434E1" w:rsidRPr="00F10F3B" w:rsidRDefault="00445C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b/>
                <w:sz w:val="20"/>
                <w:szCs w:val="20"/>
              </w:rPr>
              <w:lastRenderedPageBreak/>
              <w:t>Strategy 8:</w:t>
            </w:r>
            <w:r w:rsidRPr="00F10F3B">
              <w:rPr>
                <w:rFonts w:ascii="Times New Roman" w:hAnsi="Times New Roman" w:cs="Times New Roman"/>
                <w:sz w:val="20"/>
                <w:szCs w:val="20"/>
              </w:rPr>
              <w:t xml:space="preserve"> Strengthening governance</w:t>
            </w:r>
          </w:p>
        </w:tc>
        <w:tc>
          <w:tcPr>
            <w:tcW w:w="594" w:type="pct"/>
          </w:tcPr>
          <w:p w14:paraId="06C30FEE" w14:textId="56E7DDD9" w:rsidR="003434E1" w:rsidRPr="00F10F3B" w:rsidRDefault="00040CE0"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96%</w:t>
            </w:r>
          </w:p>
        </w:tc>
        <w:tc>
          <w:tcPr>
            <w:tcW w:w="2376" w:type="pct"/>
          </w:tcPr>
          <w:p w14:paraId="0446D211" w14:textId="62CDE717" w:rsidR="003434E1" w:rsidRPr="00F10F3B" w:rsidRDefault="00A45A8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Increase focus on citizen participation</w:t>
            </w:r>
          </w:p>
        </w:tc>
      </w:tr>
    </w:tbl>
    <w:p w14:paraId="4C888CE1" w14:textId="2A184B9F" w:rsidR="00137790" w:rsidRPr="00F10F3B" w:rsidRDefault="00DE5FDB" w:rsidP="00587EDE">
      <w:pPr>
        <w:spacing w:before="120" w:after="0" w:line="360" w:lineRule="auto"/>
        <w:jc w:val="both"/>
        <w:rPr>
          <w:rFonts w:ascii="Times New Roman" w:hAnsi="Times New Roman" w:cs="Times New Roman"/>
          <w:i/>
        </w:rPr>
      </w:pPr>
      <w:r w:rsidRPr="00F10F3B">
        <w:rPr>
          <w:rFonts w:ascii="Times New Roman" w:hAnsi="Times New Roman" w:cs="Times New Roman"/>
          <w:i/>
        </w:rPr>
        <w:t xml:space="preserve">Source: National Planning </w:t>
      </w:r>
      <w:r w:rsidR="00596AD9" w:rsidRPr="00F10F3B">
        <w:rPr>
          <w:rFonts w:ascii="Times New Roman" w:hAnsi="Times New Roman" w:cs="Times New Roman"/>
          <w:i/>
        </w:rPr>
        <w:t>Authority</w:t>
      </w:r>
      <w:r w:rsidRPr="00F10F3B">
        <w:rPr>
          <w:rFonts w:ascii="Times New Roman" w:hAnsi="Times New Roman" w:cs="Times New Roman"/>
          <w:i/>
        </w:rPr>
        <w:t>, CoC 2017/18</w:t>
      </w:r>
    </w:p>
    <w:p w14:paraId="1B238139" w14:textId="33B43B3A" w:rsidR="0067287D" w:rsidRPr="00B86D0C" w:rsidRDefault="00EC32A0" w:rsidP="00B86D0C">
      <w:pPr>
        <w:pStyle w:val="ListParagraph"/>
        <w:numPr>
          <w:ilvl w:val="0"/>
          <w:numId w:val="46"/>
        </w:numPr>
        <w:spacing w:line="360" w:lineRule="auto"/>
        <w:ind w:left="425" w:hanging="425"/>
        <w:contextualSpacing w:val="0"/>
        <w:jc w:val="both"/>
        <w:rPr>
          <w:rFonts w:ascii="Times New Roman" w:hAnsi="Times New Roman" w:cs="Times New Roman"/>
          <w:sz w:val="24"/>
          <w:szCs w:val="24"/>
        </w:rPr>
      </w:pPr>
      <w:r w:rsidRPr="00B86D0C">
        <w:rPr>
          <w:rFonts w:ascii="Times New Roman" w:hAnsi="Times New Roman" w:cs="Times New Roman"/>
          <w:sz w:val="24"/>
          <w:szCs w:val="24"/>
        </w:rPr>
        <w:t xml:space="preserve">To assess if there is a common understanding of NDPII strategy and policy among </w:t>
      </w:r>
      <w:r w:rsidR="009A2561" w:rsidRPr="00B86D0C">
        <w:rPr>
          <w:rFonts w:ascii="Times New Roman" w:hAnsi="Times New Roman" w:cs="Times New Roman"/>
          <w:sz w:val="24"/>
          <w:szCs w:val="24"/>
        </w:rPr>
        <w:t>Government</w:t>
      </w:r>
      <w:r w:rsidRPr="00B86D0C">
        <w:rPr>
          <w:rFonts w:ascii="Times New Roman" w:hAnsi="Times New Roman" w:cs="Times New Roman"/>
          <w:sz w:val="24"/>
          <w:szCs w:val="24"/>
        </w:rPr>
        <w:t xml:space="preserve">, Development Partners, Civil Society, Private Sector and others an assessment has been undertaken to see if NDPII is reflected in </w:t>
      </w:r>
      <w:r w:rsidR="00D43D0F" w:rsidRPr="00B86D0C">
        <w:rPr>
          <w:rFonts w:ascii="Times New Roman" w:hAnsi="Times New Roman" w:cs="Times New Roman"/>
          <w:sz w:val="24"/>
          <w:szCs w:val="24"/>
        </w:rPr>
        <w:t>stakeholders</w:t>
      </w:r>
      <w:r w:rsidR="0067287D" w:rsidRPr="00B86D0C">
        <w:rPr>
          <w:rFonts w:ascii="Times New Roman" w:hAnsi="Times New Roman" w:cs="Times New Roman"/>
          <w:sz w:val="24"/>
          <w:szCs w:val="24"/>
        </w:rPr>
        <w:t>’</w:t>
      </w:r>
      <w:r w:rsidR="00D43D0F" w:rsidRPr="00B86D0C">
        <w:rPr>
          <w:rFonts w:ascii="Times New Roman" w:hAnsi="Times New Roman" w:cs="Times New Roman"/>
          <w:sz w:val="24"/>
          <w:szCs w:val="24"/>
        </w:rPr>
        <w:t xml:space="preserve"> documents</w:t>
      </w:r>
      <w:r w:rsidR="0067287D" w:rsidRPr="00B86D0C">
        <w:rPr>
          <w:rFonts w:ascii="Times New Roman" w:hAnsi="Times New Roman" w:cs="Times New Roman"/>
          <w:sz w:val="24"/>
          <w:szCs w:val="24"/>
        </w:rPr>
        <w:t xml:space="preserve"> and </w:t>
      </w:r>
      <w:r w:rsidR="00D43D0F" w:rsidRPr="00B86D0C">
        <w:rPr>
          <w:rFonts w:ascii="Times New Roman" w:hAnsi="Times New Roman" w:cs="Times New Roman"/>
          <w:sz w:val="24"/>
          <w:szCs w:val="24"/>
        </w:rPr>
        <w:t>actions</w:t>
      </w:r>
      <w:r w:rsidR="0067287D" w:rsidRPr="00B86D0C">
        <w:rPr>
          <w:rFonts w:ascii="Times New Roman" w:hAnsi="Times New Roman" w:cs="Times New Roman"/>
          <w:sz w:val="24"/>
          <w:szCs w:val="24"/>
        </w:rPr>
        <w:t xml:space="preserve">. Discussion with stakeholders during the MTR also helped elicit how high the level of buy-in is to NDPII. </w:t>
      </w:r>
    </w:p>
    <w:p w14:paraId="137B7EA1" w14:textId="048905A0" w:rsidR="0067287D" w:rsidRPr="00B86D0C" w:rsidRDefault="0067287D" w:rsidP="00B86D0C">
      <w:pPr>
        <w:pStyle w:val="ListParagraph"/>
        <w:numPr>
          <w:ilvl w:val="0"/>
          <w:numId w:val="46"/>
        </w:numPr>
        <w:spacing w:line="360" w:lineRule="auto"/>
        <w:ind w:left="425" w:hanging="425"/>
        <w:contextualSpacing w:val="0"/>
        <w:jc w:val="both"/>
        <w:rPr>
          <w:rFonts w:ascii="Times New Roman" w:hAnsi="Times New Roman" w:cs="Times New Roman"/>
          <w:sz w:val="24"/>
          <w:szCs w:val="24"/>
        </w:rPr>
      </w:pPr>
      <w:r w:rsidRPr="00B86D0C">
        <w:rPr>
          <w:rFonts w:ascii="Times New Roman" w:hAnsi="Times New Roman" w:cs="Times New Roman"/>
          <w:b/>
          <w:sz w:val="24"/>
          <w:szCs w:val="24"/>
        </w:rPr>
        <w:t>Overall, t</w:t>
      </w:r>
      <w:r w:rsidR="00A03EB0" w:rsidRPr="00B86D0C">
        <w:rPr>
          <w:rFonts w:ascii="Times New Roman" w:hAnsi="Times New Roman" w:cs="Times New Roman"/>
          <w:b/>
          <w:sz w:val="24"/>
          <w:szCs w:val="24"/>
        </w:rPr>
        <w:t>he underst</w:t>
      </w:r>
      <w:r w:rsidR="00835FA2" w:rsidRPr="00B86D0C">
        <w:rPr>
          <w:rFonts w:ascii="Times New Roman" w:hAnsi="Times New Roman" w:cs="Times New Roman"/>
          <w:b/>
          <w:sz w:val="24"/>
          <w:szCs w:val="24"/>
        </w:rPr>
        <w:t xml:space="preserve">anding </w:t>
      </w:r>
      <w:r w:rsidR="00797CF3" w:rsidRPr="00B86D0C">
        <w:rPr>
          <w:rFonts w:ascii="Times New Roman" w:hAnsi="Times New Roman" w:cs="Times New Roman"/>
          <w:b/>
          <w:sz w:val="24"/>
          <w:szCs w:val="24"/>
        </w:rPr>
        <w:t xml:space="preserve">of </w:t>
      </w:r>
      <w:r w:rsidR="00835FA2" w:rsidRPr="00B86D0C">
        <w:rPr>
          <w:rFonts w:ascii="Times New Roman" w:hAnsi="Times New Roman" w:cs="Times New Roman"/>
          <w:b/>
          <w:sz w:val="24"/>
          <w:szCs w:val="24"/>
        </w:rPr>
        <w:t xml:space="preserve">NDPII </w:t>
      </w:r>
      <w:r w:rsidR="00797CF3" w:rsidRPr="00B86D0C">
        <w:rPr>
          <w:rFonts w:ascii="Times New Roman" w:hAnsi="Times New Roman" w:cs="Times New Roman"/>
          <w:b/>
          <w:sz w:val="24"/>
          <w:szCs w:val="24"/>
        </w:rPr>
        <w:t xml:space="preserve">vis-à-vis NDPI </w:t>
      </w:r>
      <w:r w:rsidR="00A03EB0" w:rsidRPr="00B86D0C">
        <w:rPr>
          <w:rFonts w:ascii="Times New Roman" w:hAnsi="Times New Roman" w:cs="Times New Roman"/>
          <w:b/>
          <w:sz w:val="24"/>
          <w:szCs w:val="24"/>
        </w:rPr>
        <w:t xml:space="preserve">by stakeholders </w:t>
      </w:r>
      <w:r w:rsidR="00797CF3" w:rsidRPr="00B86D0C">
        <w:rPr>
          <w:rFonts w:ascii="Times New Roman" w:hAnsi="Times New Roman" w:cs="Times New Roman"/>
          <w:b/>
          <w:sz w:val="24"/>
          <w:szCs w:val="24"/>
        </w:rPr>
        <w:t xml:space="preserve">appears to be </w:t>
      </w:r>
      <w:r w:rsidR="00500BC7" w:rsidRPr="00B86D0C">
        <w:rPr>
          <w:rFonts w:ascii="Times New Roman" w:hAnsi="Times New Roman" w:cs="Times New Roman"/>
          <w:b/>
          <w:sz w:val="24"/>
          <w:szCs w:val="24"/>
        </w:rPr>
        <w:t>higher</w:t>
      </w:r>
      <w:r w:rsidR="00797CF3" w:rsidRPr="00B86D0C">
        <w:rPr>
          <w:rFonts w:ascii="Times New Roman" w:hAnsi="Times New Roman" w:cs="Times New Roman"/>
          <w:b/>
          <w:sz w:val="24"/>
          <w:szCs w:val="24"/>
        </w:rPr>
        <w:t>.</w:t>
      </w:r>
      <w:r w:rsidR="00835FA2" w:rsidRPr="00B86D0C">
        <w:rPr>
          <w:rFonts w:ascii="Times New Roman" w:hAnsi="Times New Roman" w:cs="Times New Roman"/>
          <w:sz w:val="24"/>
          <w:szCs w:val="24"/>
        </w:rPr>
        <w:t xml:space="preserve"> </w:t>
      </w:r>
      <w:r w:rsidR="00D8601D" w:rsidRPr="00B86D0C">
        <w:rPr>
          <w:rFonts w:ascii="Times New Roman" w:hAnsi="Times New Roman" w:cs="Times New Roman"/>
          <w:sz w:val="24"/>
          <w:szCs w:val="24"/>
        </w:rPr>
        <w:t xml:space="preserve">For effective </w:t>
      </w:r>
      <w:r w:rsidR="00835FA2" w:rsidRPr="00B86D0C">
        <w:rPr>
          <w:rFonts w:ascii="Times New Roman" w:hAnsi="Times New Roman" w:cs="Times New Roman"/>
          <w:sz w:val="24"/>
          <w:szCs w:val="24"/>
        </w:rPr>
        <w:t xml:space="preserve">national development in Uganda, there needs to be a collective understanding and agreement on the objectives on NDPII, coupled with strong buy-in from a range of key stakeholders in central </w:t>
      </w:r>
      <w:r w:rsidR="009A2561" w:rsidRPr="00B86D0C">
        <w:rPr>
          <w:rFonts w:ascii="Times New Roman" w:hAnsi="Times New Roman" w:cs="Times New Roman"/>
          <w:sz w:val="24"/>
          <w:szCs w:val="24"/>
        </w:rPr>
        <w:t>Government</w:t>
      </w:r>
      <w:r w:rsidR="00835FA2" w:rsidRPr="00B86D0C">
        <w:rPr>
          <w:rFonts w:ascii="Times New Roman" w:hAnsi="Times New Roman" w:cs="Times New Roman"/>
          <w:sz w:val="24"/>
          <w:szCs w:val="24"/>
        </w:rPr>
        <w:t xml:space="preserve">, local </w:t>
      </w:r>
      <w:r w:rsidR="009A2561" w:rsidRPr="00B86D0C">
        <w:rPr>
          <w:rFonts w:ascii="Times New Roman" w:hAnsi="Times New Roman" w:cs="Times New Roman"/>
          <w:sz w:val="24"/>
          <w:szCs w:val="24"/>
        </w:rPr>
        <w:t>Government</w:t>
      </w:r>
      <w:r w:rsidR="00835FA2" w:rsidRPr="00B86D0C">
        <w:rPr>
          <w:rFonts w:ascii="Times New Roman" w:hAnsi="Times New Roman" w:cs="Times New Roman"/>
          <w:sz w:val="24"/>
          <w:szCs w:val="24"/>
        </w:rPr>
        <w:t xml:space="preserve">, civil society, the private sector, media, academia and development partners. </w:t>
      </w:r>
      <w:r w:rsidR="00196BB3" w:rsidRPr="00B86D0C">
        <w:rPr>
          <w:rFonts w:ascii="Times New Roman" w:hAnsi="Times New Roman" w:cs="Times New Roman"/>
          <w:sz w:val="24"/>
          <w:szCs w:val="24"/>
        </w:rPr>
        <w:t xml:space="preserve">Discussions with stakeholders during this MTR revealed that there is a common understanding on the priorities of NDPII and some evidence of the broad policy and strategic directions it espouses. </w:t>
      </w:r>
      <w:r w:rsidR="006C1223" w:rsidRPr="00B86D0C">
        <w:rPr>
          <w:rFonts w:ascii="Times New Roman" w:hAnsi="Times New Roman" w:cs="Times New Roman"/>
          <w:sz w:val="24"/>
          <w:szCs w:val="24"/>
        </w:rPr>
        <w:t xml:space="preserve">Stakeholders </w:t>
      </w:r>
      <w:r w:rsidR="00D267BE" w:rsidRPr="00B86D0C">
        <w:rPr>
          <w:rFonts w:ascii="Times New Roman" w:hAnsi="Times New Roman" w:cs="Times New Roman"/>
          <w:sz w:val="24"/>
          <w:szCs w:val="24"/>
        </w:rPr>
        <w:t xml:space="preserve">noted that NDPII is more succinct and focused than NDPI. </w:t>
      </w:r>
      <w:r w:rsidR="005122BA" w:rsidRPr="00B86D0C">
        <w:rPr>
          <w:rFonts w:ascii="Times New Roman" w:hAnsi="Times New Roman" w:cs="Times New Roman"/>
          <w:sz w:val="24"/>
          <w:szCs w:val="24"/>
        </w:rPr>
        <w:t xml:space="preserve">Evidence of understanding and buy-in to NDPII can be seen in several documents, for example, </w:t>
      </w:r>
      <w:r w:rsidR="00AC37F9" w:rsidRPr="00B86D0C">
        <w:rPr>
          <w:rFonts w:ascii="Times New Roman" w:hAnsi="Times New Roman" w:cs="Times New Roman"/>
          <w:sz w:val="24"/>
          <w:szCs w:val="24"/>
        </w:rPr>
        <w:t>political manifestos, budget speeches, Ministerial Policy Statements, sector investment plans and performance reports</w:t>
      </w:r>
      <w:r w:rsidR="005122BA" w:rsidRPr="00B86D0C">
        <w:rPr>
          <w:rFonts w:ascii="Times New Roman" w:hAnsi="Times New Roman" w:cs="Times New Roman"/>
          <w:sz w:val="24"/>
          <w:szCs w:val="24"/>
        </w:rPr>
        <w:t xml:space="preserve">. </w:t>
      </w:r>
      <w:r w:rsidR="00371FCE" w:rsidRPr="00B86D0C">
        <w:rPr>
          <w:rFonts w:ascii="Times New Roman" w:hAnsi="Times New Roman" w:cs="Times New Roman"/>
          <w:sz w:val="24"/>
          <w:szCs w:val="24"/>
        </w:rPr>
        <w:t xml:space="preserve">Development Partners have also referenced NDPII in their strategies e.g. </w:t>
      </w:r>
      <w:r w:rsidR="0007413D" w:rsidRPr="00B86D0C">
        <w:rPr>
          <w:rFonts w:ascii="Times New Roman" w:hAnsi="Times New Roman" w:cs="Times New Roman"/>
          <w:sz w:val="24"/>
          <w:szCs w:val="24"/>
        </w:rPr>
        <w:t xml:space="preserve">the World Bank’s Country Partnership Framework (2016-21) refers to NDPII. Through consultation with non-state actors, </w:t>
      </w:r>
      <w:r w:rsidR="001F5ED1" w:rsidRPr="00B86D0C">
        <w:rPr>
          <w:rFonts w:ascii="Times New Roman" w:hAnsi="Times New Roman" w:cs="Times New Roman"/>
          <w:sz w:val="24"/>
          <w:szCs w:val="24"/>
        </w:rPr>
        <w:t xml:space="preserve">The Private Sector Foundation and civil society (as noted in Section </w:t>
      </w:r>
      <w:r w:rsidR="00AF0A5B" w:rsidRPr="00B86D0C">
        <w:rPr>
          <w:rFonts w:ascii="Times New Roman" w:hAnsi="Times New Roman" w:cs="Times New Roman"/>
          <w:sz w:val="24"/>
          <w:szCs w:val="24"/>
        </w:rPr>
        <w:t xml:space="preserve">4.2) are also aware of NDPII, however have expressed that they would like to work with </w:t>
      </w:r>
      <w:r w:rsidR="009A2561" w:rsidRPr="00B86D0C">
        <w:rPr>
          <w:rFonts w:ascii="Times New Roman" w:hAnsi="Times New Roman" w:cs="Times New Roman"/>
          <w:sz w:val="24"/>
          <w:szCs w:val="24"/>
        </w:rPr>
        <w:t>Government</w:t>
      </w:r>
      <w:r w:rsidR="00AF0A5B" w:rsidRPr="00B86D0C">
        <w:rPr>
          <w:rFonts w:ascii="Times New Roman" w:hAnsi="Times New Roman" w:cs="Times New Roman"/>
          <w:sz w:val="24"/>
          <w:szCs w:val="24"/>
        </w:rPr>
        <w:t xml:space="preserve"> in a more meaningful way.</w:t>
      </w:r>
      <w:r w:rsidR="002503E8" w:rsidRPr="00B86D0C">
        <w:rPr>
          <w:rFonts w:ascii="Times New Roman" w:hAnsi="Times New Roman" w:cs="Times New Roman"/>
          <w:sz w:val="24"/>
          <w:szCs w:val="24"/>
        </w:rPr>
        <w:t xml:space="preserve"> </w:t>
      </w:r>
    </w:p>
    <w:p w14:paraId="3D72129B" w14:textId="4F1823F9" w:rsidR="00D8601D" w:rsidRPr="00B86D0C" w:rsidRDefault="0065574F" w:rsidP="00B86D0C">
      <w:pPr>
        <w:pStyle w:val="ListParagraph"/>
        <w:numPr>
          <w:ilvl w:val="0"/>
          <w:numId w:val="46"/>
        </w:numPr>
        <w:spacing w:line="360" w:lineRule="auto"/>
        <w:ind w:left="425" w:hanging="425"/>
        <w:contextualSpacing w:val="0"/>
        <w:jc w:val="both"/>
        <w:rPr>
          <w:rFonts w:ascii="Times New Roman" w:hAnsi="Times New Roman" w:cs="Times New Roman"/>
          <w:sz w:val="24"/>
          <w:szCs w:val="24"/>
        </w:rPr>
      </w:pPr>
      <w:r w:rsidRPr="00B86D0C">
        <w:rPr>
          <w:rFonts w:ascii="Times New Roman" w:hAnsi="Times New Roman" w:cs="Times New Roman"/>
          <w:b/>
          <w:sz w:val="24"/>
          <w:szCs w:val="24"/>
        </w:rPr>
        <w:t xml:space="preserve">Consultation with Development Partners, as part of this MTR, </w:t>
      </w:r>
      <w:r w:rsidR="00500BC7" w:rsidRPr="00B86D0C">
        <w:rPr>
          <w:rFonts w:ascii="Times New Roman" w:hAnsi="Times New Roman" w:cs="Times New Roman"/>
          <w:b/>
          <w:sz w:val="24"/>
          <w:szCs w:val="24"/>
        </w:rPr>
        <w:t xml:space="preserve">also </w:t>
      </w:r>
      <w:r w:rsidRPr="00B86D0C">
        <w:rPr>
          <w:rFonts w:ascii="Times New Roman" w:hAnsi="Times New Roman" w:cs="Times New Roman"/>
          <w:b/>
          <w:sz w:val="24"/>
          <w:szCs w:val="24"/>
        </w:rPr>
        <w:t xml:space="preserve">revealed that there was strong ownership by the </w:t>
      </w:r>
      <w:r w:rsidR="009A2561" w:rsidRPr="00B86D0C">
        <w:rPr>
          <w:rFonts w:ascii="Times New Roman" w:hAnsi="Times New Roman" w:cs="Times New Roman"/>
          <w:b/>
          <w:sz w:val="24"/>
          <w:szCs w:val="24"/>
        </w:rPr>
        <w:t>Government</w:t>
      </w:r>
      <w:r w:rsidRPr="00B86D0C">
        <w:rPr>
          <w:rFonts w:ascii="Times New Roman" w:hAnsi="Times New Roman" w:cs="Times New Roman"/>
          <w:b/>
          <w:sz w:val="24"/>
          <w:szCs w:val="24"/>
        </w:rPr>
        <w:t xml:space="preserve"> in developing NDP</w:t>
      </w:r>
      <w:r w:rsidR="00F72DFA" w:rsidRPr="00B86D0C">
        <w:rPr>
          <w:rFonts w:ascii="Times New Roman" w:hAnsi="Times New Roman" w:cs="Times New Roman"/>
          <w:b/>
          <w:sz w:val="24"/>
          <w:szCs w:val="24"/>
        </w:rPr>
        <w:t>II</w:t>
      </w:r>
      <w:r w:rsidR="00B97EA7" w:rsidRPr="00B86D0C">
        <w:rPr>
          <w:rFonts w:ascii="Times New Roman" w:hAnsi="Times New Roman" w:cs="Times New Roman"/>
          <w:sz w:val="24"/>
          <w:szCs w:val="24"/>
        </w:rPr>
        <w:t>; consultation was also extensive across a range of stakeholders.</w:t>
      </w:r>
      <w:r w:rsidR="00AE65BB" w:rsidRPr="00B86D0C">
        <w:rPr>
          <w:rFonts w:ascii="Times New Roman" w:hAnsi="Times New Roman" w:cs="Times New Roman"/>
          <w:sz w:val="24"/>
          <w:szCs w:val="24"/>
        </w:rPr>
        <w:t xml:space="preserve"> Development Partners however noted that their influence on NDPII formulation was not significant</w:t>
      </w:r>
      <w:r w:rsidR="00D51477" w:rsidRPr="00B86D0C">
        <w:rPr>
          <w:rFonts w:ascii="Times New Roman" w:hAnsi="Times New Roman" w:cs="Times New Roman"/>
          <w:sz w:val="24"/>
          <w:szCs w:val="24"/>
        </w:rPr>
        <w:t>, and the N</w:t>
      </w:r>
      <w:r w:rsidR="008E6972" w:rsidRPr="00B86D0C">
        <w:rPr>
          <w:rFonts w:ascii="Times New Roman" w:hAnsi="Times New Roman" w:cs="Times New Roman"/>
          <w:sz w:val="24"/>
          <w:szCs w:val="24"/>
        </w:rPr>
        <w:t xml:space="preserve">DPII does contain details regarding NDPII regarding </w:t>
      </w:r>
      <w:r w:rsidR="00EE04B1" w:rsidRPr="00B86D0C">
        <w:rPr>
          <w:rFonts w:ascii="Times New Roman" w:hAnsi="Times New Roman" w:cs="Times New Roman"/>
          <w:sz w:val="24"/>
          <w:szCs w:val="24"/>
        </w:rPr>
        <w:t xml:space="preserve">development partnerships and funding commitments. </w:t>
      </w:r>
      <w:r w:rsidR="00BB0FFA" w:rsidRPr="00B86D0C">
        <w:rPr>
          <w:rFonts w:ascii="Times New Roman" w:hAnsi="Times New Roman" w:cs="Times New Roman"/>
          <w:sz w:val="24"/>
          <w:szCs w:val="24"/>
        </w:rPr>
        <w:t>At present, it is noted that regular development partnership dialogue is in place</w:t>
      </w:r>
      <w:r w:rsidR="003442BA" w:rsidRPr="00B86D0C">
        <w:rPr>
          <w:rFonts w:ascii="Times New Roman" w:hAnsi="Times New Roman" w:cs="Times New Roman"/>
          <w:sz w:val="24"/>
          <w:szCs w:val="24"/>
        </w:rPr>
        <w:t xml:space="preserve">, however effective dialogue has been challenging in the post Joint Budget Support era. Non-traditional development partners are also not bound by the National Partnership Forum </w:t>
      </w:r>
      <w:r w:rsidR="00D57F7E" w:rsidRPr="00B86D0C">
        <w:rPr>
          <w:rFonts w:ascii="Times New Roman" w:hAnsi="Times New Roman" w:cs="Times New Roman"/>
          <w:sz w:val="24"/>
          <w:szCs w:val="24"/>
        </w:rPr>
        <w:t xml:space="preserve">(NPF) </w:t>
      </w:r>
      <w:r w:rsidR="003442BA" w:rsidRPr="00B86D0C">
        <w:rPr>
          <w:rFonts w:ascii="Times New Roman" w:hAnsi="Times New Roman" w:cs="Times New Roman"/>
          <w:sz w:val="24"/>
          <w:szCs w:val="24"/>
        </w:rPr>
        <w:t xml:space="preserve">arrangements. </w:t>
      </w:r>
      <w:r w:rsidR="00D57F7E" w:rsidRPr="00B86D0C">
        <w:rPr>
          <w:rFonts w:ascii="Times New Roman" w:hAnsi="Times New Roman" w:cs="Times New Roman"/>
          <w:sz w:val="24"/>
          <w:szCs w:val="24"/>
        </w:rPr>
        <w:t>To ensure effective buy-in and coordination with development partners there is a need to</w:t>
      </w:r>
      <w:r w:rsidR="003E6EDA" w:rsidRPr="00B86D0C">
        <w:rPr>
          <w:rFonts w:ascii="Times New Roman" w:hAnsi="Times New Roman" w:cs="Times New Roman"/>
          <w:sz w:val="24"/>
          <w:szCs w:val="24"/>
        </w:rPr>
        <w:t>:</w:t>
      </w:r>
      <w:r w:rsidR="00D57F7E" w:rsidRPr="00B86D0C">
        <w:rPr>
          <w:rFonts w:ascii="Times New Roman" w:hAnsi="Times New Roman" w:cs="Times New Roman"/>
          <w:sz w:val="24"/>
          <w:szCs w:val="24"/>
        </w:rPr>
        <w:t xml:space="preserve"> </w:t>
      </w:r>
      <w:r w:rsidR="00AB1B6A" w:rsidRPr="00B86D0C">
        <w:rPr>
          <w:rFonts w:ascii="Times New Roman" w:hAnsi="Times New Roman" w:cs="Times New Roman"/>
          <w:sz w:val="24"/>
          <w:szCs w:val="24"/>
        </w:rPr>
        <w:t>ensure more effective co-ordination of development partners, enhance the involvement of development partners in preparing NDPIII,</w:t>
      </w:r>
      <w:r w:rsidR="007C4D58" w:rsidRPr="00B86D0C">
        <w:rPr>
          <w:rFonts w:ascii="Times New Roman" w:hAnsi="Times New Roman" w:cs="Times New Roman"/>
          <w:sz w:val="24"/>
          <w:szCs w:val="24"/>
        </w:rPr>
        <w:t xml:space="preserve"> </w:t>
      </w:r>
      <w:r w:rsidR="003E6EDA" w:rsidRPr="00B86D0C">
        <w:rPr>
          <w:rFonts w:ascii="Times New Roman" w:hAnsi="Times New Roman" w:cs="Times New Roman"/>
          <w:sz w:val="24"/>
          <w:szCs w:val="24"/>
        </w:rPr>
        <w:t xml:space="preserve">streamline joint </w:t>
      </w:r>
      <w:r w:rsidR="003E6EDA" w:rsidRPr="00B86D0C">
        <w:rPr>
          <w:rFonts w:ascii="Times New Roman" w:hAnsi="Times New Roman" w:cs="Times New Roman"/>
          <w:sz w:val="24"/>
          <w:szCs w:val="24"/>
        </w:rPr>
        <w:lastRenderedPageBreak/>
        <w:t>sector working groups</w:t>
      </w:r>
      <w:r w:rsidR="00A76A85" w:rsidRPr="00B86D0C">
        <w:rPr>
          <w:rFonts w:ascii="Times New Roman" w:hAnsi="Times New Roman" w:cs="Times New Roman"/>
          <w:sz w:val="24"/>
          <w:szCs w:val="24"/>
        </w:rPr>
        <w:t xml:space="preserve"> and ensure that partnership dialogue within the NPF is </w:t>
      </w:r>
      <w:r w:rsidR="00306567" w:rsidRPr="00B86D0C">
        <w:rPr>
          <w:rFonts w:ascii="Times New Roman" w:hAnsi="Times New Roman" w:cs="Times New Roman"/>
          <w:sz w:val="24"/>
          <w:szCs w:val="24"/>
        </w:rPr>
        <w:t xml:space="preserve">inclusive and result-orientated. </w:t>
      </w:r>
      <w:r w:rsidR="000D0991" w:rsidRPr="00B86D0C">
        <w:rPr>
          <w:rFonts w:ascii="Times New Roman" w:hAnsi="Times New Roman" w:cs="Times New Roman"/>
          <w:sz w:val="24"/>
          <w:szCs w:val="24"/>
        </w:rPr>
        <w:t xml:space="preserve">Overall, </w:t>
      </w:r>
      <w:r w:rsidR="00F30A3B" w:rsidRPr="00B86D0C">
        <w:rPr>
          <w:rFonts w:ascii="Times New Roman" w:hAnsi="Times New Roman" w:cs="Times New Roman"/>
          <w:sz w:val="24"/>
          <w:szCs w:val="24"/>
        </w:rPr>
        <w:t xml:space="preserve">alignment of development assistance to national priorities could be </w:t>
      </w:r>
      <w:r w:rsidR="0098068D" w:rsidRPr="00B86D0C">
        <w:rPr>
          <w:rFonts w:ascii="Times New Roman" w:hAnsi="Times New Roman" w:cs="Times New Roman"/>
          <w:sz w:val="24"/>
          <w:szCs w:val="24"/>
        </w:rPr>
        <w:t xml:space="preserve">strengthened </w:t>
      </w:r>
      <w:r w:rsidR="009F7234" w:rsidRPr="00B86D0C">
        <w:rPr>
          <w:rFonts w:ascii="Times New Roman" w:hAnsi="Times New Roman" w:cs="Times New Roman"/>
          <w:sz w:val="24"/>
          <w:szCs w:val="24"/>
        </w:rPr>
        <w:t>through structured consultation with development partners on priorities, aligned to the country’s budget calendar.</w:t>
      </w:r>
      <w:r w:rsidR="00201D0C" w:rsidRPr="00B86D0C">
        <w:rPr>
          <w:rFonts w:ascii="Times New Roman" w:hAnsi="Times New Roman" w:cs="Times New Roman"/>
          <w:sz w:val="24"/>
          <w:szCs w:val="24"/>
        </w:rPr>
        <w:t xml:space="preserve"> </w:t>
      </w:r>
    </w:p>
    <w:p w14:paraId="11EC5819" w14:textId="41F5097A" w:rsidR="008F56D3" w:rsidRPr="00B86D0C" w:rsidRDefault="008F56D3" w:rsidP="00B86D0C">
      <w:pPr>
        <w:pStyle w:val="Heading2"/>
        <w:numPr>
          <w:ilvl w:val="1"/>
          <w:numId w:val="45"/>
        </w:numPr>
        <w:spacing w:before="0" w:line="360" w:lineRule="auto"/>
        <w:ind w:left="425" w:hanging="425"/>
        <w:rPr>
          <w:rFonts w:cs="Times New Roman"/>
          <w:szCs w:val="24"/>
        </w:rPr>
      </w:pPr>
      <w:bookmarkStart w:id="41" w:name="_Toc3454220"/>
      <w:bookmarkStart w:id="42" w:name="_Toc9269384"/>
      <w:r w:rsidRPr="00B86D0C">
        <w:rPr>
          <w:rFonts w:cs="Times New Roman"/>
          <w:szCs w:val="24"/>
        </w:rPr>
        <w:t>Suitability of NDPII’s Strategic Direction</w:t>
      </w:r>
      <w:bookmarkEnd w:id="41"/>
      <w:bookmarkEnd w:id="42"/>
    </w:p>
    <w:p w14:paraId="11A341C5" w14:textId="748158A5" w:rsidR="008D2C67" w:rsidRPr="00B86D0C" w:rsidRDefault="008D2C67" w:rsidP="00B86D0C">
      <w:pPr>
        <w:pStyle w:val="ListParagraph"/>
        <w:numPr>
          <w:ilvl w:val="0"/>
          <w:numId w:val="46"/>
        </w:numPr>
        <w:spacing w:line="360" w:lineRule="auto"/>
        <w:ind w:left="425" w:hanging="425"/>
        <w:contextualSpacing w:val="0"/>
        <w:jc w:val="both"/>
        <w:rPr>
          <w:rFonts w:ascii="Times New Roman" w:hAnsi="Times New Roman" w:cs="Times New Roman"/>
          <w:sz w:val="24"/>
          <w:szCs w:val="24"/>
        </w:rPr>
      </w:pPr>
      <w:r w:rsidRPr="00B86D0C">
        <w:rPr>
          <w:rFonts w:ascii="Times New Roman" w:hAnsi="Times New Roman" w:cs="Times New Roman"/>
          <w:sz w:val="24"/>
          <w:szCs w:val="24"/>
        </w:rPr>
        <w:t>As noted in Section 4.3, implementation of Government policy has not</w:t>
      </w:r>
      <w:r w:rsidR="00275635" w:rsidRPr="00B86D0C">
        <w:rPr>
          <w:rFonts w:ascii="Times New Roman" w:hAnsi="Times New Roman" w:cs="Times New Roman"/>
          <w:sz w:val="24"/>
          <w:szCs w:val="24"/>
        </w:rPr>
        <w:t>,</w:t>
      </w:r>
      <w:r w:rsidRPr="00B86D0C">
        <w:rPr>
          <w:rFonts w:ascii="Times New Roman" w:hAnsi="Times New Roman" w:cs="Times New Roman"/>
          <w:sz w:val="24"/>
          <w:szCs w:val="24"/>
        </w:rPr>
        <w:t xml:space="preserve"> to date</w:t>
      </w:r>
      <w:r w:rsidR="00275635" w:rsidRPr="00B86D0C">
        <w:rPr>
          <w:rFonts w:ascii="Times New Roman" w:hAnsi="Times New Roman" w:cs="Times New Roman"/>
          <w:sz w:val="24"/>
          <w:szCs w:val="24"/>
        </w:rPr>
        <w:t>,</w:t>
      </w:r>
      <w:r w:rsidRPr="00B86D0C">
        <w:rPr>
          <w:rFonts w:ascii="Times New Roman" w:hAnsi="Times New Roman" w:cs="Times New Roman"/>
          <w:sz w:val="24"/>
          <w:szCs w:val="24"/>
        </w:rPr>
        <w:t xml:space="preserve"> delivered the desired results under NDPII. Weaker than expected performance has occurred due to slow or ineffective policy implementation, a challenging operating context and persistent weaknesses in the efficiency and effectiveness of Government. Alongside improving the coherence, quality, alignment and effectiveness of government policy (with recommendations provided in sections 4.1 – 4.4), it is also timely to consider if NDPII’s strategic direction is </w:t>
      </w:r>
      <w:r w:rsidRPr="00B86D0C">
        <w:rPr>
          <w:rFonts w:ascii="Times New Roman" w:hAnsi="Times New Roman" w:cs="Times New Roman"/>
          <w:i/>
          <w:sz w:val="24"/>
          <w:szCs w:val="24"/>
        </w:rPr>
        <w:t>suitable</w:t>
      </w:r>
      <w:r w:rsidRPr="00B86D0C">
        <w:rPr>
          <w:rFonts w:ascii="Times New Roman" w:hAnsi="Times New Roman" w:cs="Times New Roman"/>
          <w:sz w:val="24"/>
          <w:szCs w:val="24"/>
        </w:rPr>
        <w:t xml:space="preserve">, or if adjustments are needed. </w:t>
      </w:r>
    </w:p>
    <w:p w14:paraId="261DA51F" w14:textId="507C750E" w:rsidR="00185C2F" w:rsidRPr="00B86D0C" w:rsidRDefault="008D2C67" w:rsidP="00B86D0C">
      <w:pPr>
        <w:pStyle w:val="ListParagraph"/>
        <w:numPr>
          <w:ilvl w:val="0"/>
          <w:numId w:val="46"/>
        </w:numPr>
        <w:spacing w:line="360" w:lineRule="auto"/>
        <w:ind w:left="425" w:hanging="425"/>
        <w:contextualSpacing w:val="0"/>
        <w:jc w:val="both"/>
        <w:rPr>
          <w:rFonts w:ascii="Times New Roman" w:hAnsi="Times New Roman" w:cs="Times New Roman"/>
          <w:sz w:val="24"/>
          <w:szCs w:val="24"/>
        </w:rPr>
      </w:pPr>
      <w:r w:rsidRPr="00B86D0C">
        <w:rPr>
          <w:rFonts w:ascii="Times New Roman" w:hAnsi="Times New Roman" w:cs="Times New Roman"/>
          <w:b/>
          <w:sz w:val="24"/>
          <w:szCs w:val="24"/>
        </w:rPr>
        <w:t xml:space="preserve">To attain middle income status by 2020, </w:t>
      </w:r>
      <w:r w:rsidR="007C25F0" w:rsidRPr="00B86D0C">
        <w:rPr>
          <w:rFonts w:ascii="Times New Roman" w:hAnsi="Times New Roman" w:cs="Times New Roman"/>
          <w:b/>
          <w:sz w:val="24"/>
          <w:szCs w:val="24"/>
        </w:rPr>
        <w:t xml:space="preserve">NDPII posits that </w:t>
      </w:r>
      <w:r w:rsidRPr="00B86D0C">
        <w:rPr>
          <w:rFonts w:ascii="Times New Roman" w:hAnsi="Times New Roman" w:cs="Times New Roman"/>
          <w:b/>
          <w:sz w:val="24"/>
          <w:szCs w:val="24"/>
        </w:rPr>
        <w:t>four objectives must be achieved:</w:t>
      </w:r>
      <w:r w:rsidRPr="00B86D0C">
        <w:rPr>
          <w:rFonts w:ascii="Times New Roman" w:hAnsi="Times New Roman" w:cs="Times New Roman"/>
          <w:sz w:val="24"/>
          <w:szCs w:val="24"/>
        </w:rPr>
        <w:t xml:space="preserve"> increase sustainable production, productivity and value addition in key growth opportunities (agriculture, tourism, minerals and oil and gas); increase the stock and quality of strategic infrastructure to accelerate the country’s competitiveness; enhance human capital development; and strengthen mechanisms for quality, efficient and efficient service delivery. </w:t>
      </w:r>
      <w:r w:rsidR="0082409D" w:rsidRPr="00B86D0C">
        <w:rPr>
          <w:rFonts w:ascii="Times New Roman" w:hAnsi="Times New Roman" w:cs="Times New Roman"/>
          <w:sz w:val="24"/>
          <w:szCs w:val="24"/>
        </w:rPr>
        <w:t>Growing</w:t>
      </w:r>
      <w:r w:rsidR="00B90EE1" w:rsidRPr="00B86D0C">
        <w:rPr>
          <w:rFonts w:ascii="Times New Roman" w:hAnsi="Times New Roman" w:cs="Times New Roman"/>
          <w:sz w:val="24"/>
          <w:szCs w:val="24"/>
        </w:rPr>
        <w:t>, and developing,</w:t>
      </w:r>
      <w:r w:rsidR="0082409D" w:rsidRPr="00B86D0C">
        <w:rPr>
          <w:rFonts w:ascii="Times New Roman" w:hAnsi="Times New Roman" w:cs="Times New Roman"/>
          <w:sz w:val="24"/>
          <w:szCs w:val="24"/>
        </w:rPr>
        <w:t xml:space="preserve"> the economy </w:t>
      </w:r>
      <w:r w:rsidR="00B90EE1" w:rsidRPr="00B86D0C">
        <w:rPr>
          <w:rFonts w:ascii="Times New Roman" w:hAnsi="Times New Roman" w:cs="Times New Roman"/>
          <w:sz w:val="24"/>
          <w:szCs w:val="24"/>
        </w:rPr>
        <w:t xml:space="preserve">through these </w:t>
      </w:r>
      <w:r w:rsidR="00554350" w:rsidRPr="00B86D0C">
        <w:rPr>
          <w:rFonts w:ascii="Times New Roman" w:hAnsi="Times New Roman" w:cs="Times New Roman"/>
          <w:sz w:val="24"/>
          <w:szCs w:val="24"/>
        </w:rPr>
        <w:t xml:space="preserve">objectives is </w:t>
      </w:r>
      <w:r w:rsidR="00E60460" w:rsidRPr="00B86D0C">
        <w:rPr>
          <w:rFonts w:ascii="Times New Roman" w:hAnsi="Times New Roman" w:cs="Times New Roman"/>
          <w:sz w:val="24"/>
          <w:szCs w:val="24"/>
        </w:rPr>
        <w:t xml:space="preserve">appropriate </w:t>
      </w:r>
      <w:r w:rsidR="00554350" w:rsidRPr="00B86D0C">
        <w:rPr>
          <w:rFonts w:ascii="Times New Roman" w:hAnsi="Times New Roman" w:cs="Times New Roman"/>
          <w:sz w:val="24"/>
          <w:szCs w:val="24"/>
        </w:rPr>
        <w:t xml:space="preserve">for Uganda’s stage of development. </w:t>
      </w:r>
      <w:r w:rsidR="00D2452D" w:rsidRPr="00B86D0C">
        <w:rPr>
          <w:rFonts w:ascii="Times New Roman" w:hAnsi="Times New Roman" w:cs="Times New Roman"/>
          <w:sz w:val="24"/>
          <w:szCs w:val="24"/>
        </w:rPr>
        <w:t>This MTR suggests that n</w:t>
      </w:r>
      <w:r w:rsidR="00554350" w:rsidRPr="00B86D0C">
        <w:rPr>
          <w:rFonts w:ascii="Times New Roman" w:hAnsi="Times New Roman" w:cs="Times New Roman"/>
          <w:sz w:val="24"/>
          <w:szCs w:val="24"/>
        </w:rPr>
        <w:t xml:space="preserve">o </w:t>
      </w:r>
      <w:r w:rsidR="00275635" w:rsidRPr="00B86D0C">
        <w:rPr>
          <w:rFonts w:ascii="Times New Roman" w:hAnsi="Times New Roman" w:cs="Times New Roman"/>
          <w:sz w:val="24"/>
          <w:szCs w:val="24"/>
        </w:rPr>
        <w:t xml:space="preserve">significant </w:t>
      </w:r>
      <w:r w:rsidR="00554350" w:rsidRPr="00B86D0C">
        <w:rPr>
          <w:rFonts w:ascii="Times New Roman" w:hAnsi="Times New Roman" w:cs="Times New Roman"/>
          <w:sz w:val="24"/>
          <w:szCs w:val="24"/>
        </w:rPr>
        <w:t xml:space="preserve">adjustments are required to the four objectives </w:t>
      </w:r>
      <w:r w:rsidR="00535F5F" w:rsidRPr="00B86D0C">
        <w:rPr>
          <w:rFonts w:ascii="Times New Roman" w:hAnsi="Times New Roman" w:cs="Times New Roman"/>
          <w:sz w:val="24"/>
          <w:szCs w:val="24"/>
        </w:rPr>
        <w:t xml:space="preserve">(outcomes) </w:t>
      </w:r>
      <w:r w:rsidR="00554350" w:rsidRPr="00B86D0C">
        <w:rPr>
          <w:rFonts w:ascii="Times New Roman" w:hAnsi="Times New Roman" w:cs="Times New Roman"/>
          <w:sz w:val="24"/>
          <w:szCs w:val="24"/>
        </w:rPr>
        <w:t>of NDPII</w:t>
      </w:r>
      <w:r w:rsidR="00826FB1" w:rsidRPr="00B86D0C">
        <w:rPr>
          <w:rFonts w:ascii="Times New Roman" w:hAnsi="Times New Roman" w:cs="Times New Roman"/>
          <w:sz w:val="24"/>
          <w:szCs w:val="24"/>
        </w:rPr>
        <w:t>. They are logical</w:t>
      </w:r>
      <w:r w:rsidR="00204214" w:rsidRPr="00B86D0C">
        <w:rPr>
          <w:rFonts w:ascii="Times New Roman" w:hAnsi="Times New Roman" w:cs="Times New Roman"/>
          <w:sz w:val="24"/>
          <w:szCs w:val="24"/>
        </w:rPr>
        <w:t>; small changes (as outlined in Section 4.1) would merely strengthen them</w:t>
      </w:r>
      <w:r w:rsidR="00E60460" w:rsidRPr="00B86D0C">
        <w:rPr>
          <w:rFonts w:ascii="Times New Roman" w:hAnsi="Times New Roman" w:cs="Times New Roman"/>
          <w:sz w:val="24"/>
          <w:szCs w:val="24"/>
        </w:rPr>
        <w:t>. S</w:t>
      </w:r>
      <w:r w:rsidR="00826FB1" w:rsidRPr="00B86D0C">
        <w:rPr>
          <w:rFonts w:ascii="Times New Roman" w:hAnsi="Times New Roman" w:cs="Times New Roman"/>
          <w:sz w:val="24"/>
          <w:szCs w:val="24"/>
        </w:rPr>
        <w:t>ubtle a</w:t>
      </w:r>
      <w:r w:rsidR="00554350" w:rsidRPr="00B86D0C">
        <w:rPr>
          <w:rFonts w:ascii="Times New Roman" w:hAnsi="Times New Roman" w:cs="Times New Roman"/>
          <w:sz w:val="24"/>
          <w:szCs w:val="24"/>
        </w:rPr>
        <w:t xml:space="preserve">djustments </w:t>
      </w:r>
      <w:r w:rsidR="00826FB1" w:rsidRPr="00B86D0C">
        <w:rPr>
          <w:rFonts w:ascii="Times New Roman" w:hAnsi="Times New Roman" w:cs="Times New Roman"/>
          <w:sz w:val="24"/>
          <w:szCs w:val="24"/>
        </w:rPr>
        <w:t>should</w:t>
      </w:r>
      <w:r w:rsidR="00DC3ED5" w:rsidRPr="00B86D0C">
        <w:rPr>
          <w:rFonts w:ascii="Times New Roman" w:hAnsi="Times New Roman" w:cs="Times New Roman"/>
          <w:sz w:val="24"/>
          <w:szCs w:val="24"/>
        </w:rPr>
        <w:t>,</w:t>
      </w:r>
      <w:r w:rsidR="00826FB1" w:rsidRPr="00B86D0C">
        <w:rPr>
          <w:rFonts w:ascii="Times New Roman" w:hAnsi="Times New Roman" w:cs="Times New Roman"/>
          <w:sz w:val="24"/>
          <w:szCs w:val="24"/>
        </w:rPr>
        <w:t xml:space="preserve"> however</w:t>
      </w:r>
      <w:r w:rsidR="00DC3ED5" w:rsidRPr="00B86D0C">
        <w:rPr>
          <w:rFonts w:ascii="Times New Roman" w:hAnsi="Times New Roman" w:cs="Times New Roman"/>
          <w:sz w:val="24"/>
          <w:szCs w:val="24"/>
        </w:rPr>
        <w:t>,</w:t>
      </w:r>
      <w:r w:rsidR="00826FB1" w:rsidRPr="00B86D0C">
        <w:rPr>
          <w:rFonts w:ascii="Times New Roman" w:hAnsi="Times New Roman" w:cs="Times New Roman"/>
          <w:sz w:val="24"/>
          <w:szCs w:val="24"/>
        </w:rPr>
        <w:t xml:space="preserve"> be considered </w:t>
      </w:r>
      <w:r w:rsidR="00554350" w:rsidRPr="00B86D0C">
        <w:rPr>
          <w:rFonts w:ascii="Times New Roman" w:hAnsi="Times New Roman" w:cs="Times New Roman"/>
          <w:sz w:val="24"/>
          <w:szCs w:val="24"/>
        </w:rPr>
        <w:t xml:space="preserve">in the interventions </w:t>
      </w:r>
      <w:r w:rsidR="00826FB1" w:rsidRPr="00B86D0C">
        <w:rPr>
          <w:rFonts w:ascii="Times New Roman" w:hAnsi="Times New Roman" w:cs="Times New Roman"/>
          <w:sz w:val="24"/>
          <w:szCs w:val="24"/>
        </w:rPr>
        <w:t>(nine development strategies</w:t>
      </w:r>
      <w:r w:rsidR="005D5CAE" w:rsidRPr="00B86D0C">
        <w:rPr>
          <w:rFonts w:ascii="Times New Roman" w:hAnsi="Times New Roman" w:cs="Times New Roman"/>
          <w:sz w:val="24"/>
          <w:szCs w:val="24"/>
        </w:rPr>
        <w:t xml:space="preserve">) </w:t>
      </w:r>
      <w:r w:rsidR="00276EDD" w:rsidRPr="00B86D0C">
        <w:rPr>
          <w:rFonts w:ascii="Times New Roman" w:hAnsi="Times New Roman" w:cs="Times New Roman"/>
          <w:sz w:val="24"/>
          <w:szCs w:val="24"/>
        </w:rPr>
        <w:t xml:space="preserve">which are assumed to lead to the desired outcomes. </w:t>
      </w:r>
      <w:r w:rsidR="00C75DAB" w:rsidRPr="00B86D0C">
        <w:rPr>
          <w:rFonts w:ascii="Times New Roman" w:hAnsi="Times New Roman" w:cs="Times New Roman"/>
          <w:sz w:val="24"/>
          <w:szCs w:val="24"/>
        </w:rPr>
        <w:t xml:space="preserve">Recommendations on adjustments to NDPII’s strategic direction are provided in Table 11. </w:t>
      </w:r>
      <w:r w:rsidR="0069458A" w:rsidRPr="00B86D0C">
        <w:rPr>
          <w:rFonts w:ascii="Times New Roman" w:hAnsi="Times New Roman" w:cs="Times New Roman"/>
          <w:sz w:val="24"/>
          <w:szCs w:val="24"/>
        </w:rPr>
        <w:t xml:space="preserve">These </w:t>
      </w:r>
      <w:r w:rsidR="00FE3C3D" w:rsidRPr="00B86D0C">
        <w:rPr>
          <w:rFonts w:ascii="Times New Roman" w:hAnsi="Times New Roman" w:cs="Times New Roman"/>
          <w:sz w:val="24"/>
          <w:szCs w:val="24"/>
        </w:rPr>
        <w:t>re-prioritisations</w:t>
      </w:r>
      <w:r w:rsidR="0069458A" w:rsidRPr="00B86D0C">
        <w:rPr>
          <w:rFonts w:ascii="Times New Roman" w:hAnsi="Times New Roman" w:cs="Times New Roman"/>
          <w:sz w:val="24"/>
          <w:szCs w:val="24"/>
        </w:rPr>
        <w:t xml:space="preserve"> could support Uganda reach the desired targets </w:t>
      </w:r>
      <w:r w:rsidR="004D05F1" w:rsidRPr="00B86D0C">
        <w:rPr>
          <w:rFonts w:ascii="Times New Roman" w:hAnsi="Times New Roman" w:cs="Times New Roman"/>
          <w:sz w:val="24"/>
          <w:szCs w:val="24"/>
        </w:rPr>
        <w:t>in NDPII.</w:t>
      </w:r>
      <w:r w:rsidR="009F5D0E" w:rsidRPr="00B86D0C">
        <w:rPr>
          <w:rFonts w:ascii="Times New Roman" w:hAnsi="Times New Roman" w:cs="Times New Roman"/>
          <w:sz w:val="24"/>
          <w:szCs w:val="24"/>
        </w:rPr>
        <w:t xml:space="preserve"> The suggested re-prioritisations are not exhaustive (and are intentionally not </w:t>
      </w:r>
      <w:r w:rsidR="00D2452D" w:rsidRPr="00B86D0C">
        <w:rPr>
          <w:rFonts w:ascii="Times New Roman" w:hAnsi="Times New Roman" w:cs="Times New Roman"/>
          <w:sz w:val="24"/>
          <w:szCs w:val="24"/>
        </w:rPr>
        <w:t>considering</w:t>
      </w:r>
      <w:r w:rsidR="009F5D0E" w:rsidRPr="00B86D0C">
        <w:rPr>
          <w:rFonts w:ascii="Times New Roman" w:hAnsi="Times New Roman" w:cs="Times New Roman"/>
          <w:sz w:val="24"/>
          <w:szCs w:val="24"/>
        </w:rPr>
        <w:t xml:space="preserve"> scarce financial resources) but are indicative of critical issues under each strategy.</w:t>
      </w:r>
      <w:r w:rsidR="004D05F1" w:rsidRPr="00B86D0C">
        <w:rPr>
          <w:rFonts w:ascii="Times New Roman" w:hAnsi="Times New Roman" w:cs="Times New Roman"/>
          <w:sz w:val="24"/>
          <w:szCs w:val="24"/>
        </w:rPr>
        <w:t xml:space="preserve"> </w:t>
      </w:r>
      <w:r w:rsidR="00490765" w:rsidRPr="00B86D0C">
        <w:rPr>
          <w:rFonts w:ascii="Times New Roman" w:hAnsi="Times New Roman" w:cs="Times New Roman"/>
          <w:sz w:val="24"/>
          <w:szCs w:val="24"/>
        </w:rPr>
        <w:t xml:space="preserve">Suggestions on </w:t>
      </w:r>
      <w:r w:rsidR="00950AB7" w:rsidRPr="00B86D0C">
        <w:rPr>
          <w:rFonts w:ascii="Times New Roman" w:hAnsi="Times New Roman" w:cs="Times New Roman"/>
          <w:sz w:val="24"/>
          <w:szCs w:val="24"/>
        </w:rPr>
        <w:t xml:space="preserve">areas </w:t>
      </w:r>
      <w:r w:rsidR="00D2452D" w:rsidRPr="00B86D0C">
        <w:rPr>
          <w:rFonts w:ascii="Times New Roman" w:hAnsi="Times New Roman" w:cs="Times New Roman"/>
          <w:sz w:val="24"/>
          <w:szCs w:val="24"/>
        </w:rPr>
        <w:t xml:space="preserve">which Government may wish </w:t>
      </w:r>
      <w:r w:rsidR="00950AB7" w:rsidRPr="00B86D0C">
        <w:rPr>
          <w:rFonts w:ascii="Times New Roman" w:hAnsi="Times New Roman" w:cs="Times New Roman"/>
          <w:sz w:val="24"/>
          <w:szCs w:val="24"/>
        </w:rPr>
        <w:t>to focus on in NDPIII are provided after the Table.</w:t>
      </w:r>
    </w:p>
    <w:p w14:paraId="7C84430F" w14:textId="77777777" w:rsidR="00B86D0C" w:rsidRDefault="00B86D0C">
      <w:pPr>
        <w:spacing w:after="160" w:line="259" w:lineRule="auto"/>
        <w:rPr>
          <w:rFonts w:ascii="Times New Roman" w:hAnsi="Times New Roman" w:cs="Times New Roman"/>
          <w:b/>
          <w:iCs/>
          <w:sz w:val="24"/>
          <w:szCs w:val="18"/>
        </w:rPr>
      </w:pPr>
      <w:r>
        <w:rPr>
          <w:rFonts w:ascii="Times New Roman" w:hAnsi="Times New Roman" w:cs="Times New Roman"/>
          <w:i/>
          <w:sz w:val="24"/>
        </w:rPr>
        <w:br w:type="page"/>
      </w:r>
    </w:p>
    <w:p w14:paraId="62C34BDA" w14:textId="2AFA6944" w:rsidR="00276EDD" w:rsidRPr="003315A4" w:rsidRDefault="00276EDD" w:rsidP="00587EDE">
      <w:pPr>
        <w:pStyle w:val="Caption"/>
        <w:spacing w:line="360" w:lineRule="auto"/>
        <w:jc w:val="both"/>
        <w:rPr>
          <w:rFonts w:ascii="Times New Roman" w:hAnsi="Times New Roman" w:cs="Times New Roman"/>
          <w:i w:val="0"/>
          <w:sz w:val="24"/>
        </w:rPr>
      </w:pPr>
      <w:r w:rsidRPr="003315A4">
        <w:rPr>
          <w:rFonts w:ascii="Times New Roman" w:hAnsi="Times New Roman" w:cs="Times New Roman"/>
          <w:i w:val="0"/>
          <w:sz w:val="24"/>
        </w:rPr>
        <w:lastRenderedPageBreak/>
        <w:t xml:space="preserve">Table </w:t>
      </w:r>
      <w:r w:rsidR="00E859F7" w:rsidRPr="003315A4">
        <w:rPr>
          <w:rFonts w:ascii="Times New Roman" w:hAnsi="Times New Roman" w:cs="Times New Roman"/>
          <w:i w:val="0"/>
          <w:sz w:val="24"/>
        </w:rPr>
        <w:fldChar w:fldCharType="begin"/>
      </w:r>
      <w:r w:rsidR="00E859F7" w:rsidRPr="003315A4">
        <w:rPr>
          <w:rFonts w:ascii="Times New Roman" w:hAnsi="Times New Roman" w:cs="Times New Roman"/>
          <w:i w:val="0"/>
          <w:sz w:val="24"/>
        </w:rPr>
        <w:instrText xml:space="preserve"> SEQ Table \* ARABIC </w:instrText>
      </w:r>
      <w:r w:rsidR="00E859F7" w:rsidRPr="003315A4">
        <w:rPr>
          <w:rFonts w:ascii="Times New Roman" w:hAnsi="Times New Roman" w:cs="Times New Roman"/>
          <w:i w:val="0"/>
          <w:sz w:val="24"/>
        </w:rPr>
        <w:fldChar w:fldCharType="separate"/>
      </w:r>
      <w:r w:rsidR="00A057A7">
        <w:rPr>
          <w:rFonts w:ascii="Times New Roman" w:hAnsi="Times New Roman" w:cs="Times New Roman"/>
          <w:i w:val="0"/>
          <w:noProof/>
          <w:sz w:val="24"/>
        </w:rPr>
        <w:t>11</w:t>
      </w:r>
      <w:r w:rsidR="00E859F7" w:rsidRPr="003315A4">
        <w:rPr>
          <w:rFonts w:ascii="Times New Roman" w:hAnsi="Times New Roman" w:cs="Times New Roman"/>
          <w:i w:val="0"/>
          <w:noProof/>
          <w:sz w:val="24"/>
        </w:rPr>
        <w:fldChar w:fldCharType="end"/>
      </w:r>
      <w:r w:rsidRPr="003315A4">
        <w:rPr>
          <w:rFonts w:ascii="Times New Roman" w:hAnsi="Times New Roman" w:cs="Times New Roman"/>
          <w:i w:val="0"/>
          <w:sz w:val="24"/>
        </w:rPr>
        <w:t xml:space="preserve">: </w:t>
      </w:r>
      <w:r w:rsidR="00495464" w:rsidRPr="003315A4">
        <w:rPr>
          <w:rFonts w:ascii="Times New Roman" w:hAnsi="Times New Roman" w:cs="Times New Roman"/>
          <w:i w:val="0"/>
          <w:sz w:val="24"/>
        </w:rPr>
        <w:t xml:space="preserve">Potential re-prioritisation of NDPII’s strategic direction </w:t>
      </w:r>
      <w:r w:rsidRPr="003315A4">
        <w:rPr>
          <w:rFonts w:ascii="Times New Roman" w:hAnsi="Times New Roman" w:cs="Times New Roman"/>
          <w:i w:val="0"/>
          <w:sz w:val="24"/>
        </w:rPr>
        <w:t xml:space="preserve"> </w:t>
      </w:r>
    </w:p>
    <w:tbl>
      <w:tblPr>
        <w:tblStyle w:val="TableGrid"/>
        <w:tblW w:w="0" w:type="auto"/>
        <w:tblLook w:val="04A0" w:firstRow="1" w:lastRow="0" w:firstColumn="1" w:lastColumn="0" w:noHBand="0" w:noVBand="1"/>
      </w:tblPr>
      <w:tblGrid>
        <w:gridCol w:w="1838"/>
        <w:gridCol w:w="7178"/>
      </w:tblGrid>
      <w:tr w:rsidR="00F00364" w:rsidRPr="00F10F3B" w14:paraId="569CD74B" w14:textId="77777777" w:rsidTr="00945A39">
        <w:trPr>
          <w:tblHeader/>
        </w:trPr>
        <w:tc>
          <w:tcPr>
            <w:tcW w:w="1838" w:type="dxa"/>
            <w:shd w:val="clear" w:color="auto" w:fill="C5E0B3" w:themeFill="accent6" w:themeFillTint="66"/>
          </w:tcPr>
          <w:p w14:paraId="053F1CDB" w14:textId="0473194F" w:rsidR="00F00364" w:rsidRPr="00F10F3B" w:rsidRDefault="00E87AA7"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NDPII</w:t>
            </w:r>
            <w:r w:rsidR="00945A39" w:rsidRPr="00F10F3B">
              <w:rPr>
                <w:rFonts w:ascii="Times New Roman" w:hAnsi="Times New Roman" w:cs="Times New Roman"/>
                <w:sz w:val="20"/>
                <w:szCs w:val="20"/>
              </w:rPr>
              <w:t xml:space="preserve"> </w:t>
            </w:r>
            <w:r w:rsidRPr="00F10F3B">
              <w:rPr>
                <w:rFonts w:ascii="Times New Roman" w:hAnsi="Times New Roman" w:cs="Times New Roman"/>
                <w:sz w:val="20"/>
                <w:szCs w:val="20"/>
              </w:rPr>
              <w:t>strategies</w:t>
            </w:r>
          </w:p>
        </w:tc>
        <w:tc>
          <w:tcPr>
            <w:tcW w:w="7178" w:type="dxa"/>
            <w:shd w:val="clear" w:color="auto" w:fill="C5E0B3" w:themeFill="accent6" w:themeFillTint="66"/>
          </w:tcPr>
          <w:p w14:paraId="6142B168" w14:textId="66AAE170" w:rsidR="00F00364" w:rsidRPr="00F10F3B" w:rsidRDefault="000C710E"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Potential </w:t>
            </w:r>
            <w:r w:rsidR="001D3171" w:rsidRPr="00F10F3B">
              <w:rPr>
                <w:rFonts w:ascii="Times New Roman" w:hAnsi="Times New Roman" w:cs="Times New Roman"/>
                <w:sz w:val="20"/>
                <w:szCs w:val="20"/>
              </w:rPr>
              <w:t>adjustment</w:t>
            </w:r>
            <w:r w:rsidR="00A07E01" w:rsidRPr="00F10F3B">
              <w:rPr>
                <w:rFonts w:ascii="Times New Roman" w:hAnsi="Times New Roman" w:cs="Times New Roman"/>
                <w:sz w:val="20"/>
                <w:szCs w:val="20"/>
              </w:rPr>
              <w:t>/re-prioritisation of</w:t>
            </w:r>
            <w:r w:rsidR="001D3171" w:rsidRPr="00F10F3B">
              <w:rPr>
                <w:rFonts w:ascii="Times New Roman" w:hAnsi="Times New Roman" w:cs="Times New Roman"/>
                <w:sz w:val="20"/>
                <w:szCs w:val="20"/>
              </w:rPr>
              <w:t xml:space="preserve"> NDPII’s strategic direction</w:t>
            </w:r>
          </w:p>
        </w:tc>
      </w:tr>
      <w:tr w:rsidR="00F00364" w:rsidRPr="00F10F3B" w14:paraId="7BC5AAE3" w14:textId="77777777" w:rsidTr="00945A39">
        <w:tc>
          <w:tcPr>
            <w:tcW w:w="1838" w:type="dxa"/>
            <w:vAlign w:val="center"/>
          </w:tcPr>
          <w:p w14:paraId="59FC4364" w14:textId="70D7E74A" w:rsidR="00F00364" w:rsidRPr="00F10F3B" w:rsidRDefault="00E87AA7"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1. Fiscal expansion</w:t>
            </w:r>
          </w:p>
        </w:tc>
        <w:tc>
          <w:tcPr>
            <w:tcW w:w="7178" w:type="dxa"/>
          </w:tcPr>
          <w:p w14:paraId="1B847C01" w14:textId="02FE4EFF" w:rsidR="00F00364" w:rsidRPr="00F10F3B" w:rsidRDefault="00BE6836" w:rsidP="00587EDE">
            <w:pPr>
              <w:pStyle w:val="ListParagraph"/>
              <w:numPr>
                <w:ilvl w:val="0"/>
                <w:numId w:val="35"/>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Increase </w:t>
            </w:r>
            <w:r w:rsidR="006566BA" w:rsidRPr="00F10F3B">
              <w:rPr>
                <w:rFonts w:ascii="Times New Roman" w:hAnsi="Times New Roman" w:cs="Times New Roman"/>
                <w:sz w:val="20"/>
                <w:szCs w:val="20"/>
              </w:rPr>
              <w:t>attention and prioritisation in NDPII in supporting domestic resource mobilisation</w:t>
            </w:r>
            <w:r w:rsidR="00555F28" w:rsidRPr="00F10F3B">
              <w:rPr>
                <w:rFonts w:ascii="Times New Roman" w:hAnsi="Times New Roman" w:cs="Times New Roman"/>
                <w:sz w:val="20"/>
                <w:szCs w:val="20"/>
              </w:rPr>
              <w:t xml:space="preserve"> and co-ordinating development partner funding. </w:t>
            </w:r>
            <w:r w:rsidR="00A1389F" w:rsidRPr="00F10F3B">
              <w:rPr>
                <w:rFonts w:ascii="Times New Roman" w:hAnsi="Times New Roman" w:cs="Times New Roman"/>
                <w:sz w:val="20"/>
                <w:szCs w:val="20"/>
              </w:rPr>
              <w:t xml:space="preserve">Domestic revenue to GDP remains low at 14.4% in FY2017/18, compared to </w:t>
            </w:r>
            <w:r w:rsidR="009436E3" w:rsidRPr="00F10F3B">
              <w:rPr>
                <w:rFonts w:ascii="Times New Roman" w:hAnsi="Times New Roman" w:cs="Times New Roman"/>
                <w:sz w:val="20"/>
                <w:szCs w:val="20"/>
              </w:rPr>
              <w:t xml:space="preserve">an average of 21% for Sub-Saharan Africa. </w:t>
            </w:r>
            <w:r w:rsidR="00555F28" w:rsidRPr="00F10F3B">
              <w:rPr>
                <w:rFonts w:ascii="Times New Roman" w:hAnsi="Times New Roman" w:cs="Times New Roman"/>
                <w:sz w:val="20"/>
                <w:szCs w:val="20"/>
              </w:rPr>
              <w:t xml:space="preserve">There is limited fiscal space, at present, to support NDPII priorities. </w:t>
            </w:r>
            <w:r w:rsidR="00DF245E" w:rsidRPr="00F10F3B">
              <w:rPr>
                <w:rFonts w:ascii="Times New Roman" w:hAnsi="Times New Roman" w:cs="Times New Roman"/>
                <w:sz w:val="20"/>
                <w:szCs w:val="20"/>
              </w:rPr>
              <w:t xml:space="preserve">Increasing </w:t>
            </w:r>
            <w:r w:rsidR="007946CD" w:rsidRPr="00F10F3B">
              <w:rPr>
                <w:rFonts w:ascii="Times New Roman" w:hAnsi="Times New Roman" w:cs="Times New Roman"/>
                <w:sz w:val="20"/>
                <w:szCs w:val="20"/>
              </w:rPr>
              <w:t xml:space="preserve">domestic revenue </w:t>
            </w:r>
            <w:r w:rsidR="00DF245E" w:rsidRPr="00F10F3B">
              <w:rPr>
                <w:rFonts w:ascii="Times New Roman" w:hAnsi="Times New Roman" w:cs="Times New Roman"/>
                <w:sz w:val="20"/>
                <w:szCs w:val="20"/>
              </w:rPr>
              <w:t xml:space="preserve">and improving how current sources of finance are used </w:t>
            </w:r>
            <w:r w:rsidR="007946CD" w:rsidRPr="00F10F3B">
              <w:rPr>
                <w:rFonts w:ascii="Times New Roman" w:hAnsi="Times New Roman" w:cs="Times New Roman"/>
                <w:sz w:val="20"/>
                <w:szCs w:val="20"/>
              </w:rPr>
              <w:t>should be prioritised.</w:t>
            </w:r>
          </w:p>
          <w:p w14:paraId="3DB249CA" w14:textId="09B8F3C4" w:rsidR="00F4131C" w:rsidRPr="00F10F3B" w:rsidRDefault="001E5D57" w:rsidP="00587EDE">
            <w:pPr>
              <w:pStyle w:val="ListParagraph"/>
              <w:numPr>
                <w:ilvl w:val="0"/>
                <w:numId w:val="35"/>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Commercial banks </w:t>
            </w:r>
            <w:r w:rsidR="00254035" w:rsidRPr="00F10F3B">
              <w:rPr>
                <w:rFonts w:ascii="Times New Roman" w:hAnsi="Times New Roman" w:cs="Times New Roman"/>
                <w:sz w:val="20"/>
                <w:szCs w:val="20"/>
              </w:rPr>
              <w:t xml:space="preserve">(45%) </w:t>
            </w:r>
            <w:r w:rsidRPr="00F10F3B">
              <w:rPr>
                <w:rFonts w:ascii="Times New Roman" w:hAnsi="Times New Roman" w:cs="Times New Roman"/>
                <w:sz w:val="20"/>
                <w:szCs w:val="20"/>
              </w:rPr>
              <w:t>are the biggest holder of domestic debt</w:t>
            </w:r>
            <w:r w:rsidR="00254035" w:rsidRPr="00F10F3B">
              <w:rPr>
                <w:rFonts w:ascii="Times New Roman" w:hAnsi="Times New Roman" w:cs="Times New Roman"/>
                <w:sz w:val="20"/>
                <w:szCs w:val="20"/>
              </w:rPr>
              <w:t>, debt created</w:t>
            </w:r>
            <w:r w:rsidR="009F6498" w:rsidRPr="00F10F3B">
              <w:rPr>
                <w:rFonts w:ascii="Times New Roman" w:hAnsi="Times New Roman" w:cs="Times New Roman"/>
                <w:sz w:val="20"/>
                <w:szCs w:val="20"/>
              </w:rPr>
              <w:t>, in-part,</w:t>
            </w:r>
            <w:r w:rsidR="00254035" w:rsidRPr="00F10F3B">
              <w:rPr>
                <w:rFonts w:ascii="Times New Roman" w:hAnsi="Times New Roman" w:cs="Times New Roman"/>
                <w:sz w:val="20"/>
                <w:szCs w:val="20"/>
              </w:rPr>
              <w:t xml:space="preserve"> through Government </w:t>
            </w:r>
            <w:r w:rsidR="009F6498" w:rsidRPr="00F10F3B">
              <w:rPr>
                <w:rFonts w:ascii="Times New Roman" w:hAnsi="Times New Roman" w:cs="Times New Roman"/>
                <w:sz w:val="20"/>
                <w:szCs w:val="20"/>
              </w:rPr>
              <w:t xml:space="preserve">investment in </w:t>
            </w:r>
            <w:r w:rsidR="00000E93" w:rsidRPr="00F10F3B">
              <w:rPr>
                <w:rFonts w:ascii="Times New Roman" w:hAnsi="Times New Roman" w:cs="Times New Roman"/>
                <w:sz w:val="20"/>
                <w:szCs w:val="20"/>
              </w:rPr>
              <w:t>strategic infrastructure.</w:t>
            </w:r>
            <w:r w:rsidR="003425A4" w:rsidRPr="00F10F3B">
              <w:rPr>
                <w:rFonts w:ascii="Times New Roman" w:hAnsi="Times New Roman" w:cs="Times New Roman"/>
                <w:sz w:val="20"/>
                <w:szCs w:val="20"/>
              </w:rPr>
              <w:t xml:space="preserve"> High domestic debt holding by commercial banks has crowded out lending to the private sector</w:t>
            </w:r>
            <w:r w:rsidR="009B0847" w:rsidRPr="00F10F3B">
              <w:rPr>
                <w:rFonts w:ascii="Times New Roman" w:hAnsi="Times New Roman" w:cs="Times New Roman"/>
                <w:sz w:val="20"/>
                <w:szCs w:val="20"/>
              </w:rPr>
              <w:t xml:space="preserve">; </w:t>
            </w:r>
            <w:r w:rsidR="00C363A4" w:rsidRPr="00F10F3B">
              <w:rPr>
                <w:rFonts w:ascii="Times New Roman" w:hAnsi="Times New Roman" w:cs="Times New Roman"/>
                <w:sz w:val="20"/>
                <w:szCs w:val="20"/>
              </w:rPr>
              <w:t>interest rates are high</w:t>
            </w:r>
            <w:r w:rsidR="009B0847" w:rsidRPr="00F10F3B">
              <w:rPr>
                <w:rFonts w:ascii="Times New Roman" w:hAnsi="Times New Roman" w:cs="Times New Roman"/>
                <w:sz w:val="20"/>
                <w:szCs w:val="20"/>
              </w:rPr>
              <w:t>.</w:t>
            </w:r>
            <w:r w:rsidR="00C363A4" w:rsidRPr="00F10F3B">
              <w:rPr>
                <w:rFonts w:ascii="Times New Roman" w:hAnsi="Times New Roman" w:cs="Times New Roman"/>
                <w:sz w:val="20"/>
                <w:szCs w:val="20"/>
              </w:rPr>
              <w:t xml:space="preserve"> </w:t>
            </w:r>
            <w:r w:rsidR="003C4D0B" w:rsidRPr="00F10F3B">
              <w:rPr>
                <w:rFonts w:ascii="Times New Roman" w:hAnsi="Times New Roman" w:cs="Times New Roman"/>
                <w:sz w:val="20"/>
                <w:szCs w:val="20"/>
              </w:rPr>
              <w:t xml:space="preserve">A balance needs to be struck between investing heavily in infrastructure (a NDPII objective) </w:t>
            </w:r>
            <w:r w:rsidR="00071F35" w:rsidRPr="00F10F3B">
              <w:rPr>
                <w:rFonts w:ascii="Times New Roman" w:hAnsi="Times New Roman" w:cs="Times New Roman"/>
                <w:sz w:val="20"/>
                <w:szCs w:val="20"/>
              </w:rPr>
              <w:t xml:space="preserve">– using domestic debt to finance the budget deficit - </w:t>
            </w:r>
            <w:r w:rsidR="003C4D0B" w:rsidRPr="00F10F3B">
              <w:rPr>
                <w:rFonts w:ascii="Times New Roman" w:hAnsi="Times New Roman" w:cs="Times New Roman"/>
                <w:sz w:val="20"/>
                <w:szCs w:val="20"/>
              </w:rPr>
              <w:t xml:space="preserve">and supporting growth of the private sector. </w:t>
            </w:r>
            <w:r w:rsidR="00CF2BB5" w:rsidRPr="00F10F3B">
              <w:rPr>
                <w:rFonts w:ascii="Times New Roman" w:hAnsi="Times New Roman" w:cs="Times New Roman"/>
                <w:sz w:val="20"/>
                <w:szCs w:val="20"/>
              </w:rPr>
              <w:t>Businesses, in part, are not developing as they do not have access to affordable credit.</w:t>
            </w:r>
            <w:r w:rsidR="00F4131C" w:rsidRPr="00F10F3B">
              <w:rPr>
                <w:rFonts w:ascii="Times New Roman" w:hAnsi="Times New Roman" w:cs="Times New Roman"/>
                <w:sz w:val="20"/>
                <w:szCs w:val="20"/>
              </w:rPr>
              <w:t xml:space="preserve"> Consider temporising some infrastructure projects.</w:t>
            </w:r>
          </w:p>
        </w:tc>
      </w:tr>
      <w:tr w:rsidR="00F00364" w:rsidRPr="00F10F3B" w14:paraId="55DBBAA1" w14:textId="77777777" w:rsidTr="00945A39">
        <w:tc>
          <w:tcPr>
            <w:tcW w:w="1838" w:type="dxa"/>
            <w:vAlign w:val="center"/>
          </w:tcPr>
          <w:p w14:paraId="6939C4DE" w14:textId="0134BAA0" w:rsidR="00F00364" w:rsidRPr="00F10F3B" w:rsidRDefault="00E87AA7"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2. Industrialisation</w:t>
            </w:r>
          </w:p>
        </w:tc>
        <w:tc>
          <w:tcPr>
            <w:tcW w:w="7178" w:type="dxa"/>
          </w:tcPr>
          <w:p w14:paraId="291034D9" w14:textId="07FD0770" w:rsidR="001C6863" w:rsidRPr="00F10F3B" w:rsidRDefault="00030494" w:rsidP="00587EDE">
            <w:pPr>
              <w:pStyle w:val="ListParagraph"/>
              <w:numPr>
                <w:ilvl w:val="0"/>
                <w:numId w:val="34"/>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Focus on improving the transmission and distribution of power</w:t>
            </w:r>
            <w:r w:rsidR="00167C9C" w:rsidRPr="00F10F3B">
              <w:rPr>
                <w:rFonts w:ascii="Times New Roman" w:hAnsi="Times New Roman" w:cs="Times New Roman"/>
                <w:sz w:val="20"/>
                <w:szCs w:val="20"/>
              </w:rPr>
              <w:t xml:space="preserve">. </w:t>
            </w:r>
            <w:r w:rsidR="00C0289C" w:rsidRPr="00F10F3B">
              <w:rPr>
                <w:rFonts w:ascii="Times New Roman" w:hAnsi="Times New Roman" w:cs="Times New Roman"/>
                <w:sz w:val="20"/>
                <w:szCs w:val="20"/>
              </w:rPr>
              <w:t xml:space="preserve">Uganda is ranked among the worst (175/190 countries) for ease of access to the national grid. </w:t>
            </w:r>
            <w:r w:rsidR="00D3514B" w:rsidRPr="00F10F3B">
              <w:rPr>
                <w:rFonts w:ascii="Times New Roman" w:hAnsi="Times New Roman" w:cs="Times New Roman"/>
                <w:sz w:val="20"/>
                <w:szCs w:val="20"/>
              </w:rPr>
              <w:t>Th</w:t>
            </w:r>
            <w:r w:rsidR="001436A0" w:rsidRPr="00F10F3B">
              <w:rPr>
                <w:rFonts w:ascii="Times New Roman" w:hAnsi="Times New Roman" w:cs="Times New Roman"/>
                <w:sz w:val="20"/>
                <w:szCs w:val="20"/>
              </w:rPr>
              <w:t>e existing transmission and distribution network is</w:t>
            </w:r>
            <w:r w:rsidR="00874A55" w:rsidRPr="00F10F3B">
              <w:rPr>
                <w:rFonts w:ascii="Times New Roman" w:hAnsi="Times New Roman" w:cs="Times New Roman"/>
                <w:sz w:val="20"/>
                <w:szCs w:val="20"/>
              </w:rPr>
              <w:t xml:space="preserve"> </w:t>
            </w:r>
            <w:r w:rsidR="001436A0" w:rsidRPr="00F10F3B">
              <w:rPr>
                <w:rFonts w:ascii="Times New Roman" w:hAnsi="Times New Roman" w:cs="Times New Roman"/>
                <w:sz w:val="20"/>
                <w:szCs w:val="20"/>
              </w:rPr>
              <w:t xml:space="preserve">also small and aging. At the end of 2016, 60% of the </w:t>
            </w:r>
            <w:r w:rsidR="00891837" w:rsidRPr="00F10F3B">
              <w:rPr>
                <w:rFonts w:ascii="Times New Roman" w:hAnsi="Times New Roman" w:cs="Times New Roman"/>
                <w:sz w:val="20"/>
                <w:szCs w:val="20"/>
              </w:rPr>
              <w:t xml:space="preserve">power lines are more than 50 years old; the installation lifetime is 40 years. </w:t>
            </w:r>
            <w:r w:rsidR="00874A55" w:rsidRPr="00F10F3B">
              <w:rPr>
                <w:rFonts w:ascii="Times New Roman" w:hAnsi="Times New Roman" w:cs="Times New Roman"/>
                <w:sz w:val="20"/>
                <w:szCs w:val="20"/>
              </w:rPr>
              <w:t xml:space="preserve">Investing in improving </w:t>
            </w:r>
            <w:r w:rsidR="00891837" w:rsidRPr="00F10F3B">
              <w:rPr>
                <w:rFonts w:ascii="Times New Roman" w:hAnsi="Times New Roman" w:cs="Times New Roman"/>
                <w:sz w:val="20"/>
                <w:szCs w:val="20"/>
              </w:rPr>
              <w:t>a</w:t>
            </w:r>
            <w:r w:rsidRPr="00F10F3B">
              <w:rPr>
                <w:rFonts w:ascii="Times New Roman" w:hAnsi="Times New Roman" w:cs="Times New Roman"/>
                <w:sz w:val="20"/>
                <w:szCs w:val="20"/>
              </w:rPr>
              <w:t xml:space="preserve">ccess to power </w:t>
            </w:r>
            <w:r w:rsidR="001D7D9C" w:rsidRPr="00F10F3B">
              <w:rPr>
                <w:rFonts w:ascii="Times New Roman" w:hAnsi="Times New Roman" w:cs="Times New Roman"/>
                <w:sz w:val="20"/>
                <w:szCs w:val="20"/>
              </w:rPr>
              <w:t xml:space="preserve">(and protecting the assets from vandalism) </w:t>
            </w:r>
            <w:r w:rsidR="00891837" w:rsidRPr="00F10F3B">
              <w:rPr>
                <w:rFonts w:ascii="Times New Roman" w:hAnsi="Times New Roman" w:cs="Times New Roman"/>
                <w:sz w:val="20"/>
                <w:szCs w:val="20"/>
              </w:rPr>
              <w:t>would</w:t>
            </w:r>
            <w:r w:rsidR="00874A55" w:rsidRPr="00F10F3B">
              <w:rPr>
                <w:rFonts w:ascii="Times New Roman" w:hAnsi="Times New Roman" w:cs="Times New Roman"/>
                <w:sz w:val="20"/>
                <w:szCs w:val="20"/>
              </w:rPr>
              <w:t xml:space="preserve"> address a </w:t>
            </w:r>
            <w:r w:rsidRPr="00F10F3B">
              <w:rPr>
                <w:rFonts w:ascii="Times New Roman" w:hAnsi="Times New Roman" w:cs="Times New Roman"/>
                <w:sz w:val="20"/>
                <w:szCs w:val="20"/>
              </w:rPr>
              <w:t>binding constraint to industrialisation.</w:t>
            </w:r>
            <w:r w:rsidR="00084989" w:rsidRPr="00F10F3B">
              <w:rPr>
                <w:rFonts w:ascii="Times New Roman" w:hAnsi="Times New Roman" w:cs="Times New Roman"/>
                <w:sz w:val="20"/>
                <w:szCs w:val="20"/>
              </w:rPr>
              <w:t xml:space="preserve"> </w:t>
            </w:r>
            <w:r w:rsidR="00B57AAA" w:rsidRPr="00F10F3B">
              <w:rPr>
                <w:rFonts w:ascii="Times New Roman" w:hAnsi="Times New Roman" w:cs="Times New Roman"/>
                <w:sz w:val="20"/>
                <w:szCs w:val="20"/>
              </w:rPr>
              <w:t>UETCL’s “2016-2030 Electricity Grid Master Plan” should support this.</w:t>
            </w:r>
            <w:r w:rsidR="00D24A4F" w:rsidRPr="00F10F3B">
              <w:rPr>
                <w:rFonts w:ascii="Times New Roman" w:hAnsi="Times New Roman" w:cs="Times New Roman"/>
                <w:sz w:val="20"/>
                <w:szCs w:val="20"/>
              </w:rPr>
              <w:t xml:space="preserve"> </w:t>
            </w:r>
          </w:p>
          <w:p w14:paraId="1CA85DC3" w14:textId="39367667" w:rsidR="0035128B" w:rsidRPr="00F10F3B" w:rsidRDefault="00867CE8" w:rsidP="00587EDE">
            <w:pPr>
              <w:pStyle w:val="ListParagraph"/>
              <w:numPr>
                <w:ilvl w:val="0"/>
                <w:numId w:val="34"/>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Invest in electricity generation in the medium-long </w:t>
            </w:r>
            <w:r w:rsidR="00797051" w:rsidRPr="00F10F3B">
              <w:rPr>
                <w:rFonts w:ascii="Times New Roman" w:hAnsi="Times New Roman" w:cs="Times New Roman"/>
                <w:sz w:val="20"/>
                <w:szCs w:val="20"/>
              </w:rPr>
              <w:t>term</w:t>
            </w:r>
            <w:r w:rsidR="001C6863" w:rsidRPr="00F10F3B">
              <w:rPr>
                <w:rFonts w:ascii="Times New Roman" w:hAnsi="Times New Roman" w:cs="Times New Roman"/>
                <w:sz w:val="20"/>
                <w:szCs w:val="20"/>
              </w:rPr>
              <w:t xml:space="preserve"> (after prioritising improvements in transmission).</w:t>
            </w:r>
            <w:r w:rsidR="00DE1A0B" w:rsidRPr="00F10F3B">
              <w:rPr>
                <w:rFonts w:ascii="Times New Roman" w:hAnsi="Times New Roman" w:cs="Times New Roman"/>
                <w:sz w:val="20"/>
                <w:szCs w:val="20"/>
              </w:rPr>
              <w:t xml:space="preserve"> Considering high population growth and investment in industry, demand for </w:t>
            </w:r>
            <w:r w:rsidR="00167C9C" w:rsidRPr="00F10F3B">
              <w:rPr>
                <w:rFonts w:ascii="Times New Roman" w:hAnsi="Times New Roman" w:cs="Times New Roman"/>
                <w:sz w:val="20"/>
                <w:szCs w:val="20"/>
              </w:rPr>
              <w:t>power is likely to outstrip supply in 2027</w:t>
            </w:r>
            <w:r w:rsidR="0035128B" w:rsidRPr="00F10F3B">
              <w:rPr>
                <w:rFonts w:ascii="Times New Roman" w:hAnsi="Times New Roman" w:cs="Times New Roman"/>
                <w:sz w:val="20"/>
                <w:szCs w:val="20"/>
              </w:rPr>
              <w:t xml:space="preserve">. Start planning for this scenario now. </w:t>
            </w:r>
          </w:p>
          <w:p w14:paraId="79690F6D" w14:textId="37152908" w:rsidR="00E25F4C" w:rsidRPr="00F10F3B" w:rsidRDefault="00BB0B13" w:rsidP="00587EDE">
            <w:pPr>
              <w:pStyle w:val="ListParagraph"/>
              <w:numPr>
                <w:ilvl w:val="0"/>
                <w:numId w:val="34"/>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Ensure that </w:t>
            </w:r>
            <w:r w:rsidR="0078398F" w:rsidRPr="00F10F3B">
              <w:rPr>
                <w:rFonts w:ascii="Times New Roman" w:hAnsi="Times New Roman" w:cs="Times New Roman"/>
                <w:sz w:val="20"/>
                <w:szCs w:val="20"/>
              </w:rPr>
              <w:t xml:space="preserve">existing </w:t>
            </w:r>
            <w:r w:rsidRPr="00F10F3B">
              <w:rPr>
                <w:rFonts w:ascii="Times New Roman" w:hAnsi="Times New Roman" w:cs="Times New Roman"/>
                <w:sz w:val="20"/>
                <w:szCs w:val="20"/>
              </w:rPr>
              <w:t xml:space="preserve">Industrial Parks </w:t>
            </w:r>
            <w:r w:rsidR="00956ED1" w:rsidRPr="00F10F3B">
              <w:rPr>
                <w:rFonts w:ascii="Times New Roman" w:hAnsi="Times New Roman" w:cs="Times New Roman"/>
                <w:sz w:val="20"/>
                <w:szCs w:val="20"/>
              </w:rPr>
              <w:t xml:space="preserve">are serviced with utilities </w:t>
            </w:r>
            <w:r w:rsidR="0078398F" w:rsidRPr="00F10F3B">
              <w:rPr>
                <w:rFonts w:ascii="Times New Roman" w:hAnsi="Times New Roman" w:cs="Times New Roman"/>
                <w:sz w:val="20"/>
                <w:szCs w:val="20"/>
              </w:rPr>
              <w:t xml:space="preserve">and transport </w:t>
            </w:r>
            <w:r w:rsidR="00956ED1" w:rsidRPr="00F10F3B">
              <w:rPr>
                <w:rFonts w:ascii="Times New Roman" w:hAnsi="Times New Roman" w:cs="Times New Roman"/>
                <w:sz w:val="20"/>
                <w:szCs w:val="20"/>
              </w:rPr>
              <w:t xml:space="preserve">before </w:t>
            </w:r>
            <w:r w:rsidR="0078398F" w:rsidRPr="00F10F3B">
              <w:rPr>
                <w:rFonts w:ascii="Times New Roman" w:hAnsi="Times New Roman" w:cs="Times New Roman"/>
                <w:sz w:val="20"/>
                <w:szCs w:val="20"/>
              </w:rPr>
              <w:t xml:space="preserve">constructing more. </w:t>
            </w:r>
          </w:p>
          <w:p w14:paraId="684262F8" w14:textId="18A5688B" w:rsidR="00084989" w:rsidRPr="00F10F3B" w:rsidRDefault="00084989" w:rsidP="00587EDE">
            <w:pPr>
              <w:pStyle w:val="ListParagraph"/>
              <w:numPr>
                <w:ilvl w:val="0"/>
                <w:numId w:val="34"/>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Focus on developing a coherent industrialisation strategy.</w:t>
            </w:r>
          </w:p>
        </w:tc>
      </w:tr>
      <w:tr w:rsidR="00F00364" w:rsidRPr="00F10F3B" w14:paraId="660306ED" w14:textId="77777777" w:rsidTr="00945A39">
        <w:tc>
          <w:tcPr>
            <w:tcW w:w="1838" w:type="dxa"/>
            <w:vAlign w:val="center"/>
          </w:tcPr>
          <w:p w14:paraId="699399F6" w14:textId="78EE3496" w:rsidR="00F00364" w:rsidRPr="00F10F3B" w:rsidRDefault="00E87AA7"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3. Fast-tracking skills development</w:t>
            </w:r>
          </w:p>
        </w:tc>
        <w:tc>
          <w:tcPr>
            <w:tcW w:w="7178" w:type="dxa"/>
          </w:tcPr>
          <w:p w14:paraId="5E866CA6" w14:textId="24755B84" w:rsidR="00F0298F" w:rsidRPr="00F10F3B" w:rsidRDefault="00A97053" w:rsidP="00587EDE">
            <w:pPr>
              <w:pStyle w:val="ListParagraph"/>
              <w:numPr>
                <w:ilvl w:val="0"/>
                <w:numId w:val="38"/>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Focus on </w:t>
            </w:r>
            <w:r w:rsidR="00C12393" w:rsidRPr="00F10F3B">
              <w:rPr>
                <w:rFonts w:ascii="Times New Roman" w:hAnsi="Times New Roman" w:cs="Times New Roman"/>
                <w:sz w:val="20"/>
                <w:szCs w:val="20"/>
              </w:rPr>
              <w:t xml:space="preserve">linking </w:t>
            </w:r>
            <w:r w:rsidR="00D12059" w:rsidRPr="00F10F3B">
              <w:rPr>
                <w:rFonts w:ascii="Times New Roman" w:hAnsi="Times New Roman" w:cs="Times New Roman"/>
                <w:sz w:val="20"/>
                <w:szCs w:val="20"/>
              </w:rPr>
              <w:t xml:space="preserve">the design and delivery of </w:t>
            </w:r>
            <w:r w:rsidR="00C12393" w:rsidRPr="00F10F3B">
              <w:rPr>
                <w:rFonts w:ascii="Times New Roman" w:hAnsi="Times New Roman" w:cs="Times New Roman"/>
                <w:sz w:val="20"/>
                <w:szCs w:val="20"/>
              </w:rPr>
              <w:t xml:space="preserve">education and vocational </w:t>
            </w:r>
            <w:r w:rsidR="0061112E" w:rsidRPr="00F10F3B">
              <w:rPr>
                <w:rFonts w:ascii="Times New Roman" w:hAnsi="Times New Roman" w:cs="Times New Roman"/>
                <w:sz w:val="20"/>
                <w:szCs w:val="20"/>
              </w:rPr>
              <w:t xml:space="preserve">training to labour market needs. </w:t>
            </w:r>
            <w:r w:rsidR="00CD2F40" w:rsidRPr="00F10F3B">
              <w:rPr>
                <w:rFonts w:ascii="Times New Roman" w:hAnsi="Times New Roman" w:cs="Times New Roman"/>
                <w:sz w:val="20"/>
                <w:szCs w:val="20"/>
              </w:rPr>
              <w:t xml:space="preserve">Ensure </w:t>
            </w:r>
            <w:r w:rsidR="00DC5677" w:rsidRPr="00F10F3B">
              <w:rPr>
                <w:rFonts w:ascii="Times New Roman" w:hAnsi="Times New Roman" w:cs="Times New Roman"/>
                <w:sz w:val="20"/>
                <w:szCs w:val="20"/>
              </w:rPr>
              <w:t xml:space="preserve">that </w:t>
            </w:r>
            <w:r w:rsidR="00CD2F40" w:rsidRPr="00F10F3B">
              <w:rPr>
                <w:rFonts w:ascii="Times New Roman" w:hAnsi="Times New Roman" w:cs="Times New Roman"/>
                <w:sz w:val="20"/>
                <w:szCs w:val="20"/>
              </w:rPr>
              <w:t xml:space="preserve">understanding of labour market </w:t>
            </w:r>
            <w:r w:rsidR="00DC5677" w:rsidRPr="00F10F3B">
              <w:rPr>
                <w:rFonts w:ascii="Times New Roman" w:hAnsi="Times New Roman" w:cs="Times New Roman"/>
                <w:sz w:val="20"/>
                <w:szCs w:val="20"/>
              </w:rPr>
              <w:t>dynamics (</w:t>
            </w:r>
            <w:r w:rsidR="00CD2F40" w:rsidRPr="00F10F3B">
              <w:rPr>
                <w:rFonts w:ascii="Times New Roman" w:hAnsi="Times New Roman" w:cs="Times New Roman"/>
                <w:sz w:val="20"/>
                <w:szCs w:val="20"/>
              </w:rPr>
              <w:t>demands and supply</w:t>
            </w:r>
            <w:r w:rsidR="00DC5677" w:rsidRPr="00F10F3B">
              <w:rPr>
                <w:rFonts w:ascii="Times New Roman" w:hAnsi="Times New Roman" w:cs="Times New Roman"/>
                <w:sz w:val="20"/>
                <w:szCs w:val="20"/>
              </w:rPr>
              <w:t>) is up-to-date</w:t>
            </w:r>
            <w:r w:rsidR="00566C87" w:rsidRPr="00F10F3B">
              <w:rPr>
                <w:rFonts w:ascii="Times New Roman" w:hAnsi="Times New Roman" w:cs="Times New Roman"/>
                <w:sz w:val="20"/>
                <w:szCs w:val="20"/>
              </w:rPr>
              <w:t>, comprehensive</w:t>
            </w:r>
            <w:r w:rsidR="00DC5677" w:rsidRPr="00F10F3B">
              <w:rPr>
                <w:rFonts w:ascii="Times New Roman" w:hAnsi="Times New Roman" w:cs="Times New Roman"/>
                <w:sz w:val="20"/>
                <w:szCs w:val="20"/>
              </w:rPr>
              <w:t xml:space="preserve"> and being used to inform necessary changes to the education system. </w:t>
            </w:r>
          </w:p>
        </w:tc>
      </w:tr>
      <w:tr w:rsidR="00F00364" w:rsidRPr="00F10F3B" w14:paraId="23CE1FBF" w14:textId="77777777" w:rsidTr="00945A39">
        <w:tc>
          <w:tcPr>
            <w:tcW w:w="1838" w:type="dxa"/>
            <w:vAlign w:val="center"/>
          </w:tcPr>
          <w:p w14:paraId="1D2D9E26" w14:textId="65198263" w:rsidR="00F00364" w:rsidRPr="00F10F3B" w:rsidRDefault="00E87AA7"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4. </w:t>
            </w:r>
            <w:r w:rsidR="0082409D" w:rsidRPr="00F10F3B">
              <w:rPr>
                <w:rFonts w:ascii="Times New Roman" w:hAnsi="Times New Roman" w:cs="Times New Roman"/>
                <w:sz w:val="20"/>
                <w:szCs w:val="20"/>
              </w:rPr>
              <w:t>Export-orientated growth</w:t>
            </w:r>
          </w:p>
        </w:tc>
        <w:tc>
          <w:tcPr>
            <w:tcW w:w="7178" w:type="dxa"/>
          </w:tcPr>
          <w:p w14:paraId="1FD01791" w14:textId="24EF3ADD" w:rsidR="00F00364" w:rsidRPr="00F10F3B" w:rsidRDefault="00831248" w:rsidP="00587EDE">
            <w:pPr>
              <w:pStyle w:val="ListParagraph"/>
              <w:numPr>
                <w:ilvl w:val="0"/>
                <w:numId w:val="38"/>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Prioritise </w:t>
            </w:r>
            <w:r w:rsidR="00EC13CF" w:rsidRPr="00F10F3B">
              <w:rPr>
                <w:rFonts w:ascii="Times New Roman" w:hAnsi="Times New Roman" w:cs="Times New Roman"/>
                <w:sz w:val="20"/>
                <w:szCs w:val="20"/>
              </w:rPr>
              <w:t xml:space="preserve">maintenance of public </w:t>
            </w:r>
            <w:r w:rsidR="00A95A79" w:rsidRPr="00F10F3B">
              <w:rPr>
                <w:rFonts w:ascii="Times New Roman" w:hAnsi="Times New Roman" w:cs="Times New Roman"/>
                <w:sz w:val="20"/>
                <w:szCs w:val="20"/>
              </w:rPr>
              <w:t xml:space="preserve">infrastructure to support export-orientated businesses. </w:t>
            </w:r>
            <w:r w:rsidR="00521DC8" w:rsidRPr="00F10F3B">
              <w:rPr>
                <w:rFonts w:ascii="Times New Roman" w:hAnsi="Times New Roman" w:cs="Times New Roman"/>
                <w:sz w:val="20"/>
                <w:szCs w:val="20"/>
              </w:rPr>
              <w:t xml:space="preserve">Ensure that public asset management </w:t>
            </w:r>
            <w:r w:rsidR="00090D8A" w:rsidRPr="00F10F3B">
              <w:rPr>
                <w:rFonts w:ascii="Times New Roman" w:hAnsi="Times New Roman" w:cs="Times New Roman"/>
                <w:sz w:val="20"/>
                <w:szCs w:val="20"/>
              </w:rPr>
              <w:t xml:space="preserve">is being incorporated into budget planning. </w:t>
            </w:r>
          </w:p>
          <w:p w14:paraId="79DBFE1D" w14:textId="77777777" w:rsidR="00A95A79" w:rsidRPr="00F10F3B" w:rsidRDefault="00A95A79" w:rsidP="00587EDE">
            <w:pPr>
              <w:pStyle w:val="ListParagraph"/>
              <w:numPr>
                <w:ilvl w:val="0"/>
                <w:numId w:val="38"/>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lastRenderedPageBreak/>
              <w:t xml:space="preserve">Use spatial planning to </w:t>
            </w:r>
            <w:r w:rsidR="00A77CEC" w:rsidRPr="00F10F3B">
              <w:rPr>
                <w:rFonts w:ascii="Times New Roman" w:hAnsi="Times New Roman" w:cs="Times New Roman"/>
                <w:sz w:val="20"/>
                <w:szCs w:val="20"/>
              </w:rPr>
              <w:t xml:space="preserve">consider the interconnectivity of transport infrastructure. Use this information to inform the appraisal and funding of future PIPs under NDPII and NDPIII. </w:t>
            </w:r>
          </w:p>
          <w:p w14:paraId="0A78F2A7" w14:textId="51E2E9ED" w:rsidR="003820A8" w:rsidRPr="00F10F3B" w:rsidRDefault="001B4CCE" w:rsidP="00587EDE">
            <w:pPr>
              <w:pStyle w:val="ListParagraph"/>
              <w:numPr>
                <w:ilvl w:val="0"/>
                <w:numId w:val="38"/>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Consider options on the viability of </w:t>
            </w:r>
            <w:r w:rsidR="00CC31EB" w:rsidRPr="00F10F3B">
              <w:rPr>
                <w:rFonts w:ascii="Times New Roman" w:hAnsi="Times New Roman" w:cs="Times New Roman"/>
                <w:sz w:val="20"/>
                <w:szCs w:val="20"/>
              </w:rPr>
              <w:t xml:space="preserve">establishing </w:t>
            </w:r>
            <w:r w:rsidRPr="00F10F3B">
              <w:rPr>
                <w:rFonts w:ascii="Times New Roman" w:hAnsi="Times New Roman" w:cs="Times New Roman"/>
                <w:sz w:val="20"/>
                <w:szCs w:val="20"/>
              </w:rPr>
              <w:t xml:space="preserve">an export credit guarantee scheme and/or export fund to </w:t>
            </w:r>
            <w:r w:rsidR="00CC31EB" w:rsidRPr="00F10F3B">
              <w:rPr>
                <w:rFonts w:ascii="Times New Roman" w:hAnsi="Times New Roman" w:cs="Times New Roman"/>
                <w:sz w:val="20"/>
                <w:szCs w:val="20"/>
              </w:rPr>
              <w:t>support businesses overcome the high cost of doing business in Uganda.</w:t>
            </w:r>
            <w:r w:rsidR="00875F44" w:rsidRPr="00F10F3B">
              <w:rPr>
                <w:rFonts w:ascii="Times New Roman" w:hAnsi="Times New Roman" w:cs="Times New Roman"/>
                <w:sz w:val="20"/>
                <w:szCs w:val="20"/>
              </w:rPr>
              <w:t xml:space="preserve"> Alongside providing information to </w:t>
            </w:r>
            <w:r w:rsidR="009804CD" w:rsidRPr="00F10F3B">
              <w:rPr>
                <w:rFonts w:ascii="Times New Roman" w:hAnsi="Times New Roman" w:cs="Times New Roman"/>
                <w:sz w:val="20"/>
                <w:szCs w:val="20"/>
              </w:rPr>
              <w:t xml:space="preserve">export-businesses, this may enable Uganda to exploit its </w:t>
            </w:r>
            <w:r w:rsidR="00E05A48" w:rsidRPr="00F10F3B">
              <w:rPr>
                <w:rFonts w:ascii="Times New Roman" w:hAnsi="Times New Roman" w:cs="Times New Roman"/>
                <w:sz w:val="20"/>
                <w:szCs w:val="20"/>
              </w:rPr>
              <w:t>duty free and quota-free access to markets in the US (under AGOA), Europe (EBA) and China (GFT) as well as unrestricted market access to regional markets (COMESA and EAC).</w:t>
            </w:r>
          </w:p>
          <w:p w14:paraId="7A18C86E" w14:textId="6DBE8FF8" w:rsidR="009D6DB0" w:rsidRPr="00F10F3B" w:rsidRDefault="009D6DB0" w:rsidP="00587EDE">
            <w:pPr>
              <w:pStyle w:val="ListParagraph"/>
              <w:numPr>
                <w:ilvl w:val="0"/>
                <w:numId w:val="38"/>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Ensure the 2007</w:t>
            </w:r>
            <w:r w:rsidR="004250ED" w:rsidRPr="00F10F3B">
              <w:rPr>
                <w:rFonts w:ascii="Times New Roman" w:hAnsi="Times New Roman" w:cs="Times New Roman"/>
                <w:sz w:val="20"/>
                <w:szCs w:val="20"/>
              </w:rPr>
              <w:t>-2017</w:t>
            </w:r>
            <w:r w:rsidRPr="00F10F3B">
              <w:rPr>
                <w:rFonts w:ascii="Times New Roman" w:hAnsi="Times New Roman" w:cs="Times New Roman"/>
                <w:sz w:val="20"/>
                <w:szCs w:val="20"/>
              </w:rPr>
              <w:t xml:space="preserve"> National Trade Policy is revi</w:t>
            </w:r>
            <w:r w:rsidR="004250ED" w:rsidRPr="00F10F3B">
              <w:rPr>
                <w:rFonts w:ascii="Times New Roman" w:hAnsi="Times New Roman" w:cs="Times New Roman"/>
                <w:sz w:val="20"/>
                <w:szCs w:val="20"/>
              </w:rPr>
              <w:t>ewed and revised accordingly.</w:t>
            </w:r>
          </w:p>
        </w:tc>
      </w:tr>
      <w:tr w:rsidR="00F00364" w:rsidRPr="00F10F3B" w14:paraId="197C4476" w14:textId="77777777" w:rsidTr="00945A39">
        <w:tc>
          <w:tcPr>
            <w:tcW w:w="1838" w:type="dxa"/>
            <w:vAlign w:val="center"/>
          </w:tcPr>
          <w:p w14:paraId="35A49890" w14:textId="7F1B7FB4" w:rsidR="00F00364" w:rsidRPr="00F10F3B" w:rsidRDefault="0082409D"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lastRenderedPageBreak/>
              <w:t>5.</w:t>
            </w:r>
            <w:r w:rsidR="00687BCF" w:rsidRPr="00F10F3B">
              <w:rPr>
                <w:rFonts w:ascii="Times New Roman" w:hAnsi="Times New Roman" w:cs="Times New Roman"/>
                <w:sz w:val="20"/>
                <w:szCs w:val="20"/>
              </w:rPr>
              <w:t xml:space="preserve"> Quasi-market approach</w:t>
            </w:r>
          </w:p>
        </w:tc>
        <w:tc>
          <w:tcPr>
            <w:tcW w:w="7178" w:type="dxa"/>
          </w:tcPr>
          <w:p w14:paraId="790A11F7" w14:textId="77777777" w:rsidR="00434150" w:rsidRPr="00F10F3B" w:rsidRDefault="0001429B" w:rsidP="00587EDE">
            <w:pPr>
              <w:pStyle w:val="ListParagraph"/>
              <w:numPr>
                <w:ilvl w:val="0"/>
                <w:numId w:val="36"/>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Support a dual-strategy </w:t>
            </w:r>
            <w:r w:rsidR="00DD7203" w:rsidRPr="00F10F3B">
              <w:rPr>
                <w:rFonts w:ascii="Times New Roman" w:hAnsi="Times New Roman" w:cs="Times New Roman"/>
                <w:sz w:val="20"/>
                <w:szCs w:val="20"/>
              </w:rPr>
              <w:t xml:space="preserve">of supporting SMEs and attracting foreign firms. </w:t>
            </w:r>
            <w:r w:rsidR="00524F65" w:rsidRPr="00F10F3B">
              <w:rPr>
                <w:rFonts w:ascii="Times New Roman" w:hAnsi="Times New Roman" w:cs="Times New Roman"/>
                <w:sz w:val="20"/>
                <w:szCs w:val="20"/>
              </w:rPr>
              <w:t xml:space="preserve">Over 60% of businesses in Uganda are SMEs, yet most of them collapse within their first year. </w:t>
            </w:r>
            <w:r w:rsidR="00B26AF4" w:rsidRPr="00F10F3B">
              <w:rPr>
                <w:rFonts w:ascii="Times New Roman" w:hAnsi="Times New Roman" w:cs="Times New Roman"/>
                <w:sz w:val="20"/>
                <w:szCs w:val="20"/>
              </w:rPr>
              <w:t xml:space="preserve">For sustained </w:t>
            </w:r>
            <w:r w:rsidR="00014FBE" w:rsidRPr="00F10F3B">
              <w:rPr>
                <w:rFonts w:ascii="Times New Roman" w:hAnsi="Times New Roman" w:cs="Times New Roman"/>
                <w:sz w:val="20"/>
                <w:szCs w:val="20"/>
              </w:rPr>
              <w:t xml:space="preserve">economic growth to take place, the quasi-market approach </w:t>
            </w:r>
            <w:r w:rsidR="00D54945" w:rsidRPr="00F10F3B">
              <w:rPr>
                <w:rFonts w:ascii="Times New Roman" w:hAnsi="Times New Roman" w:cs="Times New Roman"/>
                <w:sz w:val="20"/>
                <w:szCs w:val="20"/>
              </w:rPr>
              <w:t xml:space="preserve">should have a dual strategy of </w:t>
            </w:r>
            <w:r w:rsidR="00014FBE" w:rsidRPr="00F10F3B">
              <w:rPr>
                <w:rFonts w:ascii="Times New Roman" w:hAnsi="Times New Roman" w:cs="Times New Roman"/>
                <w:sz w:val="20"/>
                <w:szCs w:val="20"/>
              </w:rPr>
              <w:t>support</w:t>
            </w:r>
            <w:r w:rsidR="00D54945" w:rsidRPr="00F10F3B">
              <w:rPr>
                <w:rFonts w:ascii="Times New Roman" w:hAnsi="Times New Roman" w:cs="Times New Roman"/>
                <w:sz w:val="20"/>
                <w:szCs w:val="20"/>
              </w:rPr>
              <w:t>ing</w:t>
            </w:r>
            <w:r w:rsidR="00014FBE" w:rsidRPr="00F10F3B">
              <w:rPr>
                <w:rFonts w:ascii="Times New Roman" w:hAnsi="Times New Roman" w:cs="Times New Roman"/>
                <w:sz w:val="20"/>
                <w:szCs w:val="20"/>
              </w:rPr>
              <w:t xml:space="preserve"> SMEs to grow and graduate into large scale enterprises as well as attract</w:t>
            </w:r>
            <w:r w:rsidR="00D54945" w:rsidRPr="00F10F3B">
              <w:rPr>
                <w:rFonts w:ascii="Times New Roman" w:hAnsi="Times New Roman" w:cs="Times New Roman"/>
                <w:sz w:val="20"/>
                <w:szCs w:val="20"/>
              </w:rPr>
              <w:t>ing</w:t>
            </w:r>
            <w:r w:rsidR="00014FBE" w:rsidRPr="00F10F3B">
              <w:rPr>
                <w:rFonts w:ascii="Times New Roman" w:hAnsi="Times New Roman" w:cs="Times New Roman"/>
                <w:sz w:val="20"/>
                <w:szCs w:val="20"/>
              </w:rPr>
              <w:t xml:space="preserve"> foreign firms to locate in-country</w:t>
            </w:r>
            <w:r w:rsidR="00D54945" w:rsidRPr="00F10F3B">
              <w:rPr>
                <w:rFonts w:ascii="Times New Roman" w:hAnsi="Times New Roman" w:cs="Times New Roman"/>
                <w:sz w:val="20"/>
                <w:szCs w:val="20"/>
              </w:rPr>
              <w:t>.</w:t>
            </w:r>
          </w:p>
          <w:p w14:paraId="613D8768" w14:textId="47900481" w:rsidR="000725C1" w:rsidRPr="00F10F3B" w:rsidRDefault="00434150" w:rsidP="00587EDE">
            <w:pPr>
              <w:pStyle w:val="ListParagraph"/>
              <w:numPr>
                <w:ilvl w:val="0"/>
                <w:numId w:val="36"/>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Address the policy discrepancy at play between the Ministry of Trade wishing to reduce trade licensing fees at the sub-national level and local governments wishing to increase fees to increase their revenue. </w:t>
            </w:r>
            <w:r w:rsidR="008001B1" w:rsidRPr="00F10F3B">
              <w:rPr>
                <w:rFonts w:ascii="Times New Roman" w:hAnsi="Times New Roman" w:cs="Times New Roman"/>
                <w:sz w:val="20"/>
                <w:szCs w:val="20"/>
              </w:rPr>
              <w:t xml:space="preserve">Provide </w:t>
            </w:r>
            <w:r w:rsidR="002267C3" w:rsidRPr="00F10F3B">
              <w:rPr>
                <w:rFonts w:ascii="Times New Roman" w:hAnsi="Times New Roman" w:cs="Times New Roman"/>
                <w:sz w:val="20"/>
                <w:szCs w:val="20"/>
              </w:rPr>
              <w:t>sufficient income t</w:t>
            </w:r>
            <w:r w:rsidR="008001B1" w:rsidRPr="00F10F3B">
              <w:rPr>
                <w:rFonts w:ascii="Times New Roman" w:hAnsi="Times New Roman" w:cs="Times New Roman"/>
                <w:sz w:val="20"/>
                <w:szCs w:val="20"/>
              </w:rPr>
              <w:t xml:space="preserve">o local governments through adjusted central transfers on the </w:t>
            </w:r>
            <w:r w:rsidR="009E692C" w:rsidRPr="00F10F3B">
              <w:rPr>
                <w:rFonts w:ascii="Times New Roman" w:hAnsi="Times New Roman" w:cs="Times New Roman"/>
                <w:sz w:val="20"/>
                <w:szCs w:val="20"/>
              </w:rPr>
              <w:t>condition that trading fees remain low and in line with Ministry of Trade guidelines.</w:t>
            </w:r>
          </w:p>
          <w:p w14:paraId="067D8C4E" w14:textId="536C3384" w:rsidR="0089495F" w:rsidRPr="00F10F3B" w:rsidRDefault="006C212D" w:rsidP="00587EDE">
            <w:pPr>
              <w:pStyle w:val="ListParagraph"/>
              <w:numPr>
                <w:ilvl w:val="0"/>
                <w:numId w:val="36"/>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Assess costs and benefits of Commercial Extension Services at local government level </w:t>
            </w:r>
            <w:r w:rsidR="00A15DF7" w:rsidRPr="00F10F3B">
              <w:rPr>
                <w:rFonts w:ascii="Times New Roman" w:hAnsi="Times New Roman" w:cs="Times New Roman"/>
                <w:sz w:val="20"/>
                <w:szCs w:val="20"/>
              </w:rPr>
              <w:t xml:space="preserve">to ascertain if increased funding could improve linkages and support to the private sector. </w:t>
            </w:r>
          </w:p>
        </w:tc>
      </w:tr>
      <w:tr w:rsidR="0082409D" w:rsidRPr="00F10F3B" w14:paraId="5855EFBF" w14:textId="77777777" w:rsidTr="00945A39">
        <w:tc>
          <w:tcPr>
            <w:tcW w:w="1838" w:type="dxa"/>
            <w:vAlign w:val="center"/>
          </w:tcPr>
          <w:p w14:paraId="330E5740" w14:textId="1F9FAF06" w:rsidR="0082409D" w:rsidRPr="00F10F3B" w:rsidRDefault="0082409D"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6.</w:t>
            </w:r>
            <w:r w:rsidR="00687BCF" w:rsidRPr="00F10F3B">
              <w:rPr>
                <w:rFonts w:ascii="Times New Roman" w:hAnsi="Times New Roman" w:cs="Times New Roman"/>
                <w:sz w:val="20"/>
                <w:szCs w:val="20"/>
              </w:rPr>
              <w:t xml:space="preserve"> Harnessing demographic dividend</w:t>
            </w:r>
          </w:p>
        </w:tc>
        <w:tc>
          <w:tcPr>
            <w:tcW w:w="7178" w:type="dxa"/>
          </w:tcPr>
          <w:p w14:paraId="4169EDFA" w14:textId="416C528E" w:rsidR="0082409D" w:rsidRPr="00F10F3B" w:rsidRDefault="00E0369C" w:rsidP="00587EDE">
            <w:pPr>
              <w:pStyle w:val="ListParagraph"/>
              <w:numPr>
                <w:ilvl w:val="0"/>
                <w:numId w:val="37"/>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Rebalance investment in infrastructure to the social sectors, particularly nutrition. </w:t>
            </w:r>
            <w:r w:rsidR="00782F5E" w:rsidRPr="00F10F3B">
              <w:rPr>
                <w:rFonts w:ascii="Times New Roman" w:hAnsi="Times New Roman" w:cs="Times New Roman"/>
                <w:sz w:val="20"/>
                <w:szCs w:val="20"/>
              </w:rPr>
              <w:t>Rebalance funding through increasing domestic revenue, increasing co-ordination/direction of development partner funding, temporising some current infrastructure projects</w:t>
            </w:r>
            <w:r w:rsidR="00AA3777" w:rsidRPr="00F10F3B">
              <w:rPr>
                <w:rFonts w:ascii="Times New Roman" w:hAnsi="Times New Roman" w:cs="Times New Roman"/>
                <w:sz w:val="20"/>
                <w:szCs w:val="20"/>
              </w:rPr>
              <w:t>, reducing corruption</w:t>
            </w:r>
            <w:r w:rsidR="00782F5E" w:rsidRPr="00F10F3B">
              <w:rPr>
                <w:rFonts w:ascii="Times New Roman" w:hAnsi="Times New Roman" w:cs="Times New Roman"/>
                <w:sz w:val="20"/>
                <w:szCs w:val="20"/>
              </w:rPr>
              <w:t xml:space="preserve"> and halting ineffective </w:t>
            </w:r>
            <w:r w:rsidR="00AA3777" w:rsidRPr="00F10F3B">
              <w:rPr>
                <w:rFonts w:ascii="Times New Roman" w:hAnsi="Times New Roman" w:cs="Times New Roman"/>
                <w:sz w:val="20"/>
                <w:szCs w:val="20"/>
              </w:rPr>
              <w:t xml:space="preserve">expenditures. </w:t>
            </w:r>
          </w:p>
          <w:p w14:paraId="4835F071" w14:textId="74FEE906" w:rsidR="00E0369C" w:rsidRPr="00F10F3B" w:rsidRDefault="00E0369C" w:rsidP="00587EDE">
            <w:pPr>
              <w:pStyle w:val="ListParagraph"/>
              <w:numPr>
                <w:ilvl w:val="0"/>
                <w:numId w:val="37"/>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Develop</w:t>
            </w:r>
            <w:r w:rsidR="00171B2C" w:rsidRPr="00F10F3B">
              <w:rPr>
                <w:rFonts w:ascii="Times New Roman" w:hAnsi="Times New Roman" w:cs="Times New Roman"/>
                <w:sz w:val="20"/>
                <w:szCs w:val="20"/>
              </w:rPr>
              <w:t xml:space="preserve"> and fund</w:t>
            </w:r>
            <w:r w:rsidRPr="00F10F3B">
              <w:rPr>
                <w:rFonts w:ascii="Times New Roman" w:hAnsi="Times New Roman" w:cs="Times New Roman"/>
                <w:sz w:val="20"/>
                <w:szCs w:val="20"/>
              </w:rPr>
              <w:t xml:space="preserve"> a human capital development strategy which should help </w:t>
            </w:r>
            <w:r w:rsidR="00171B2C" w:rsidRPr="00F10F3B">
              <w:rPr>
                <w:rFonts w:ascii="Times New Roman" w:hAnsi="Times New Roman" w:cs="Times New Roman"/>
                <w:sz w:val="20"/>
                <w:szCs w:val="20"/>
              </w:rPr>
              <w:t>increase co-ordination and synergies across social sectors and increase the productivity of future workers.</w:t>
            </w:r>
          </w:p>
        </w:tc>
      </w:tr>
      <w:tr w:rsidR="0082409D" w:rsidRPr="00F10F3B" w14:paraId="348136A4" w14:textId="77777777" w:rsidTr="00945A39">
        <w:tc>
          <w:tcPr>
            <w:tcW w:w="1838" w:type="dxa"/>
            <w:vAlign w:val="center"/>
          </w:tcPr>
          <w:p w14:paraId="443D578A" w14:textId="2B5CB854" w:rsidR="0082409D" w:rsidRPr="00F10F3B" w:rsidRDefault="0082409D"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7.</w:t>
            </w:r>
            <w:r w:rsidR="00687BCF" w:rsidRPr="00F10F3B">
              <w:rPr>
                <w:rFonts w:ascii="Times New Roman" w:hAnsi="Times New Roman" w:cs="Times New Roman"/>
                <w:sz w:val="20"/>
                <w:szCs w:val="20"/>
              </w:rPr>
              <w:t xml:space="preserve"> Urbanisation</w:t>
            </w:r>
          </w:p>
        </w:tc>
        <w:tc>
          <w:tcPr>
            <w:tcW w:w="7178" w:type="dxa"/>
          </w:tcPr>
          <w:p w14:paraId="0054139E" w14:textId="492EDE43" w:rsidR="0082409D" w:rsidRPr="00F10F3B" w:rsidRDefault="00F103F5" w:rsidP="00587EDE">
            <w:pPr>
              <w:pStyle w:val="ListParagraph"/>
              <w:numPr>
                <w:ilvl w:val="0"/>
                <w:numId w:val="39"/>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 xml:space="preserve">Review the current Land Policy and </w:t>
            </w:r>
            <w:r w:rsidR="007E3996" w:rsidRPr="00F10F3B">
              <w:rPr>
                <w:rFonts w:ascii="Times New Roman" w:hAnsi="Times New Roman" w:cs="Times New Roman"/>
                <w:sz w:val="20"/>
                <w:szCs w:val="20"/>
              </w:rPr>
              <w:t xml:space="preserve">make better use of the national urban policy and guidelines for spatial planning for appraising and selecting future projects. </w:t>
            </w:r>
          </w:p>
        </w:tc>
      </w:tr>
      <w:tr w:rsidR="0082409D" w:rsidRPr="00F10F3B" w14:paraId="40EEA4E9" w14:textId="77777777" w:rsidTr="00945A39">
        <w:tc>
          <w:tcPr>
            <w:tcW w:w="1838" w:type="dxa"/>
            <w:vAlign w:val="center"/>
          </w:tcPr>
          <w:p w14:paraId="1175C993" w14:textId="1C83BC44" w:rsidR="0082409D" w:rsidRPr="00F10F3B" w:rsidRDefault="00687BCF"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8. Strengthening governance</w:t>
            </w:r>
          </w:p>
        </w:tc>
        <w:tc>
          <w:tcPr>
            <w:tcW w:w="7178" w:type="dxa"/>
          </w:tcPr>
          <w:p w14:paraId="6EC2C439" w14:textId="2588955A" w:rsidR="0082409D" w:rsidRPr="00F10F3B" w:rsidRDefault="00EA4E93" w:rsidP="00587EDE">
            <w:pPr>
              <w:pStyle w:val="ListParagraph"/>
              <w:numPr>
                <w:ilvl w:val="0"/>
                <w:numId w:val="37"/>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Of the core projects outlined in NDPII, no</w:t>
            </w:r>
            <w:r w:rsidR="00CF3B88" w:rsidRPr="00F10F3B">
              <w:rPr>
                <w:rFonts w:ascii="Times New Roman" w:hAnsi="Times New Roman" w:cs="Times New Roman"/>
                <w:sz w:val="20"/>
                <w:szCs w:val="20"/>
              </w:rPr>
              <w:t>ne focus on improving the efficiency and effectiveness of Government</w:t>
            </w:r>
            <w:r w:rsidR="007D5489" w:rsidRPr="00F10F3B">
              <w:rPr>
                <w:rFonts w:ascii="Times New Roman" w:hAnsi="Times New Roman" w:cs="Times New Roman"/>
                <w:sz w:val="20"/>
                <w:szCs w:val="20"/>
              </w:rPr>
              <w:t>,</w:t>
            </w:r>
            <w:r w:rsidR="00F70D5A" w:rsidRPr="00F10F3B">
              <w:rPr>
                <w:rFonts w:ascii="Times New Roman" w:hAnsi="Times New Roman" w:cs="Times New Roman"/>
                <w:sz w:val="20"/>
                <w:szCs w:val="20"/>
              </w:rPr>
              <w:t xml:space="preserve"> or </w:t>
            </w:r>
            <w:r w:rsidR="00B550ED" w:rsidRPr="00F10F3B">
              <w:rPr>
                <w:rFonts w:ascii="Times New Roman" w:hAnsi="Times New Roman" w:cs="Times New Roman"/>
                <w:sz w:val="20"/>
                <w:szCs w:val="20"/>
              </w:rPr>
              <w:t>more broadly on strengthening governance</w:t>
            </w:r>
            <w:r w:rsidR="00CF3B88" w:rsidRPr="00F10F3B">
              <w:rPr>
                <w:rFonts w:ascii="Times New Roman" w:hAnsi="Times New Roman" w:cs="Times New Roman"/>
                <w:sz w:val="20"/>
                <w:szCs w:val="20"/>
              </w:rPr>
              <w:t>. However</w:t>
            </w:r>
            <w:r w:rsidR="00E95AB9" w:rsidRPr="00F10F3B">
              <w:rPr>
                <w:rFonts w:ascii="Times New Roman" w:hAnsi="Times New Roman" w:cs="Times New Roman"/>
                <w:sz w:val="20"/>
                <w:szCs w:val="20"/>
              </w:rPr>
              <w:t>,</w:t>
            </w:r>
            <w:r w:rsidR="00CF3B88" w:rsidRPr="00F10F3B">
              <w:rPr>
                <w:rFonts w:ascii="Times New Roman" w:hAnsi="Times New Roman" w:cs="Times New Roman"/>
                <w:sz w:val="20"/>
                <w:szCs w:val="20"/>
              </w:rPr>
              <w:t xml:space="preserve"> this is rightly high</w:t>
            </w:r>
            <w:r w:rsidR="00E95AB9" w:rsidRPr="00F10F3B">
              <w:rPr>
                <w:rFonts w:ascii="Times New Roman" w:hAnsi="Times New Roman" w:cs="Times New Roman"/>
                <w:sz w:val="20"/>
                <w:szCs w:val="20"/>
              </w:rPr>
              <w:t xml:space="preserve">lighted as a key strategy </w:t>
            </w:r>
            <w:r w:rsidR="007D5489" w:rsidRPr="00F10F3B">
              <w:rPr>
                <w:rFonts w:ascii="Times New Roman" w:hAnsi="Times New Roman" w:cs="Times New Roman"/>
                <w:sz w:val="20"/>
                <w:szCs w:val="20"/>
              </w:rPr>
              <w:t xml:space="preserve">(strategy 8) </w:t>
            </w:r>
            <w:r w:rsidR="00E95AB9" w:rsidRPr="00F10F3B">
              <w:rPr>
                <w:rFonts w:ascii="Times New Roman" w:hAnsi="Times New Roman" w:cs="Times New Roman"/>
                <w:sz w:val="20"/>
                <w:szCs w:val="20"/>
              </w:rPr>
              <w:t>and pre-condition</w:t>
            </w:r>
            <w:r w:rsidR="00826284" w:rsidRPr="00F10F3B">
              <w:rPr>
                <w:rFonts w:ascii="Times New Roman" w:hAnsi="Times New Roman" w:cs="Times New Roman"/>
                <w:sz w:val="20"/>
                <w:szCs w:val="20"/>
              </w:rPr>
              <w:t>s</w:t>
            </w:r>
            <w:r w:rsidR="00E95AB9" w:rsidRPr="00F10F3B">
              <w:rPr>
                <w:rFonts w:ascii="Times New Roman" w:hAnsi="Times New Roman" w:cs="Times New Roman"/>
                <w:sz w:val="20"/>
                <w:szCs w:val="20"/>
              </w:rPr>
              <w:t xml:space="preserve"> for effective implementation of NDPII</w:t>
            </w:r>
            <w:r w:rsidR="007D5489" w:rsidRPr="00F10F3B">
              <w:rPr>
                <w:rFonts w:ascii="Times New Roman" w:hAnsi="Times New Roman" w:cs="Times New Roman"/>
                <w:sz w:val="20"/>
                <w:szCs w:val="20"/>
              </w:rPr>
              <w:t xml:space="preserve"> (PR</w:t>
            </w:r>
            <w:r w:rsidR="00826284" w:rsidRPr="00F10F3B">
              <w:rPr>
                <w:rFonts w:ascii="Times New Roman" w:hAnsi="Times New Roman" w:cs="Times New Roman"/>
                <w:sz w:val="20"/>
                <w:szCs w:val="20"/>
              </w:rPr>
              <w:t>1-4, 6-10)</w:t>
            </w:r>
            <w:r w:rsidR="00E95AB9" w:rsidRPr="00F10F3B">
              <w:rPr>
                <w:rFonts w:ascii="Times New Roman" w:hAnsi="Times New Roman" w:cs="Times New Roman"/>
                <w:sz w:val="20"/>
                <w:szCs w:val="20"/>
              </w:rPr>
              <w:t>. It is recommended</w:t>
            </w:r>
            <w:r w:rsidR="00EF21F7" w:rsidRPr="00F10F3B">
              <w:rPr>
                <w:rFonts w:ascii="Times New Roman" w:hAnsi="Times New Roman" w:cs="Times New Roman"/>
                <w:sz w:val="20"/>
                <w:szCs w:val="20"/>
              </w:rPr>
              <w:t xml:space="preserve">, </w:t>
            </w:r>
            <w:r w:rsidR="00E95AB9" w:rsidRPr="00F10F3B">
              <w:rPr>
                <w:rFonts w:ascii="Times New Roman" w:hAnsi="Times New Roman" w:cs="Times New Roman"/>
                <w:sz w:val="20"/>
                <w:szCs w:val="20"/>
              </w:rPr>
              <w:t>in the remaining years of NDPII</w:t>
            </w:r>
            <w:r w:rsidR="00826284" w:rsidRPr="00F10F3B">
              <w:rPr>
                <w:rFonts w:ascii="Times New Roman" w:hAnsi="Times New Roman" w:cs="Times New Roman"/>
                <w:sz w:val="20"/>
                <w:szCs w:val="20"/>
              </w:rPr>
              <w:t>,</w:t>
            </w:r>
            <w:r w:rsidR="00E95AB9" w:rsidRPr="00F10F3B">
              <w:rPr>
                <w:rFonts w:ascii="Times New Roman" w:hAnsi="Times New Roman" w:cs="Times New Roman"/>
                <w:sz w:val="20"/>
                <w:szCs w:val="20"/>
              </w:rPr>
              <w:t xml:space="preserve"> </w:t>
            </w:r>
            <w:r w:rsidR="00EF21F7" w:rsidRPr="00F10F3B">
              <w:rPr>
                <w:rFonts w:ascii="Times New Roman" w:hAnsi="Times New Roman" w:cs="Times New Roman"/>
                <w:sz w:val="20"/>
                <w:szCs w:val="20"/>
              </w:rPr>
              <w:t xml:space="preserve">that </w:t>
            </w:r>
            <w:r w:rsidR="00E95AB9" w:rsidRPr="00F10F3B">
              <w:rPr>
                <w:rFonts w:ascii="Times New Roman" w:hAnsi="Times New Roman" w:cs="Times New Roman"/>
                <w:sz w:val="20"/>
                <w:szCs w:val="20"/>
              </w:rPr>
              <w:t>a</w:t>
            </w:r>
            <w:r w:rsidR="00F70D5A" w:rsidRPr="00F10F3B">
              <w:rPr>
                <w:rFonts w:ascii="Times New Roman" w:hAnsi="Times New Roman" w:cs="Times New Roman"/>
                <w:sz w:val="20"/>
                <w:szCs w:val="20"/>
              </w:rPr>
              <w:t xml:space="preserve"> stocktake is undertaken on which initiatives are </w:t>
            </w:r>
            <w:r w:rsidR="00F70D5A" w:rsidRPr="00F10F3B">
              <w:rPr>
                <w:rFonts w:ascii="Times New Roman" w:hAnsi="Times New Roman" w:cs="Times New Roman"/>
                <w:sz w:val="20"/>
                <w:szCs w:val="20"/>
              </w:rPr>
              <w:lastRenderedPageBreak/>
              <w:t xml:space="preserve">currently in place </w:t>
            </w:r>
            <w:r w:rsidR="00EF21F7" w:rsidRPr="00F10F3B">
              <w:rPr>
                <w:rFonts w:ascii="Times New Roman" w:hAnsi="Times New Roman" w:cs="Times New Roman"/>
                <w:sz w:val="20"/>
                <w:szCs w:val="20"/>
              </w:rPr>
              <w:t xml:space="preserve">(and being funded) </w:t>
            </w:r>
            <w:r w:rsidR="00F70D5A" w:rsidRPr="00F10F3B">
              <w:rPr>
                <w:rFonts w:ascii="Times New Roman" w:hAnsi="Times New Roman" w:cs="Times New Roman"/>
                <w:sz w:val="20"/>
                <w:szCs w:val="20"/>
              </w:rPr>
              <w:t xml:space="preserve">to strengthen governance, </w:t>
            </w:r>
            <w:r w:rsidR="00EF21F7" w:rsidRPr="00F10F3B">
              <w:rPr>
                <w:rFonts w:ascii="Times New Roman" w:hAnsi="Times New Roman" w:cs="Times New Roman"/>
                <w:sz w:val="20"/>
                <w:szCs w:val="20"/>
              </w:rPr>
              <w:t xml:space="preserve">and what gaps </w:t>
            </w:r>
            <w:r w:rsidR="00226C44" w:rsidRPr="00F10F3B">
              <w:rPr>
                <w:rFonts w:ascii="Times New Roman" w:hAnsi="Times New Roman" w:cs="Times New Roman"/>
                <w:sz w:val="20"/>
                <w:szCs w:val="20"/>
              </w:rPr>
              <w:t>remain.</w:t>
            </w:r>
            <w:r w:rsidR="008C0BC0" w:rsidRPr="00F10F3B">
              <w:rPr>
                <w:rFonts w:ascii="Times New Roman" w:hAnsi="Times New Roman" w:cs="Times New Roman"/>
                <w:sz w:val="20"/>
                <w:szCs w:val="20"/>
              </w:rPr>
              <w:t xml:space="preserve"> </w:t>
            </w:r>
          </w:p>
        </w:tc>
      </w:tr>
      <w:tr w:rsidR="0082409D" w:rsidRPr="00F10F3B" w14:paraId="61B05933" w14:textId="77777777" w:rsidTr="00945A39">
        <w:tc>
          <w:tcPr>
            <w:tcW w:w="1838" w:type="dxa"/>
            <w:vAlign w:val="center"/>
          </w:tcPr>
          <w:p w14:paraId="17571E2E" w14:textId="074AC7BC" w:rsidR="0082409D" w:rsidRPr="00F10F3B" w:rsidRDefault="00687BCF" w:rsidP="00587EDE">
            <w:p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lastRenderedPageBreak/>
              <w:t>9. Integrate cross-cutting issues</w:t>
            </w:r>
          </w:p>
        </w:tc>
        <w:tc>
          <w:tcPr>
            <w:tcW w:w="7178" w:type="dxa"/>
          </w:tcPr>
          <w:p w14:paraId="1E727A1B" w14:textId="15F31D35" w:rsidR="0082409D" w:rsidRPr="00F10F3B" w:rsidRDefault="00ED11A0" w:rsidP="00587EDE">
            <w:pPr>
              <w:pStyle w:val="ListParagraph"/>
              <w:numPr>
                <w:ilvl w:val="0"/>
                <w:numId w:val="37"/>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Pursue environmentally sustainable green-growth strategies in designing and implementing growth strategies for agro-processing and industry.</w:t>
            </w:r>
            <w:r w:rsidR="00675605" w:rsidRPr="00F10F3B">
              <w:rPr>
                <w:rFonts w:ascii="Times New Roman" w:hAnsi="Times New Roman" w:cs="Times New Roman"/>
                <w:sz w:val="20"/>
                <w:szCs w:val="20"/>
              </w:rPr>
              <w:t xml:space="preserve"> Ensure that green-growth credential</w:t>
            </w:r>
            <w:r w:rsidR="00DC63F9" w:rsidRPr="00F10F3B">
              <w:rPr>
                <w:rFonts w:ascii="Times New Roman" w:hAnsi="Times New Roman" w:cs="Times New Roman"/>
                <w:sz w:val="20"/>
                <w:szCs w:val="20"/>
              </w:rPr>
              <w:t>s</w:t>
            </w:r>
            <w:r w:rsidR="00675605" w:rsidRPr="00F10F3B">
              <w:rPr>
                <w:rFonts w:ascii="Times New Roman" w:hAnsi="Times New Roman" w:cs="Times New Roman"/>
                <w:sz w:val="20"/>
                <w:szCs w:val="20"/>
              </w:rPr>
              <w:t xml:space="preserve"> support the appraisal and funding of programmes.</w:t>
            </w:r>
          </w:p>
          <w:p w14:paraId="042D8768" w14:textId="2C7C73BD" w:rsidR="00ED11A0" w:rsidRPr="00F10F3B" w:rsidRDefault="00267A9B" w:rsidP="00587EDE">
            <w:pPr>
              <w:pStyle w:val="ListParagraph"/>
              <w:numPr>
                <w:ilvl w:val="0"/>
                <w:numId w:val="37"/>
              </w:numPr>
              <w:spacing w:after="0" w:line="360" w:lineRule="auto"/>
              <w:jc w:val="both"/>
              <w:rPr>
                <w:rFonts w:ascii="Times New Roman" w:hAnsi="Times New Roman" w:cs="Times New Roman"/>
                <w:sz w:val="20"/>
                <w:szCs w:val="20"/>
              </w:rPr>
            </w:pPr>
            <w:r w:rsidRPr="00F10F3B">
              <w:rPr>
                <w:rFonts w:ascii="Times New Roman" w:hAnsi="Times New Roman" w:cs="Times New Roman"/>
                <w:sz w:val="20"/>
                <w:szCs w:val="20"/>
              </w:rPr>
              <w:t>Focus on strengthen</w:t>
            </w:r>
            <w:r w:rsidR="00C817A5" w:rsidRPr="00F10F3B">
              <w:rPr>
                <w:rFonts w:ascii="Times New Roman" w:hAnsi="Times New Roman" w:cs="Times New Roman"/>
                <w:sz w:val="20"/>
                <w:szCs w:val="20"/>
              </w:rPr>
              <w:t>ing</w:t>
            </w:r>
            <w:r w:rsidRPr="00F10F3B">
              <w:rPr>
                <w:rFonts w:ascii="Times New Roman" w:hAnsi="Times New Roman" w:cs="Times New Roman"/>
                <w:sz w:val="20"/>
                <w:szCs w:val="20"/>
              </w:rPr>
              <w:t xml:space="preserve"> co-ordination of social protection mechanisms at all levels to develop and implement a multi-tiered social protection system. Consider ways to increase government funding to social protection, protecting an increasing number of vulnerable adults (aging population and high youth unemployment).</w:t>
            </w:r>
          </w:p>
        </w:tc>
      </w:tr>
    </w:tbl>
    <w:p w14:paraId="6DBB393E" w14:textId="0C497E12" w:rsidR="000522FA" w:rsidRPr="00F10F3B" w:rsidRDefault="001B308B" w:rsidP="00587EDE">
      <w:pPr>
        <w:spacing w:before="120" w:line="360" w:lineRule="auto"/>
        <w:jc w:val="both"/>
        <w:rPr>
          <w:rFonts w:ascii="Times New Roman" w:hAnsi="Times New Roman" w:cs="Times New Roman"/>
        </w:rPr>
      </w:pPr>
      <w:r w:rsidRPr="00F10F3B">
        <w:rPr>
          <w:rFonts w:ascii="Times New Roman" w:hAnsi="Times New Roman" w:cs="Times New Roman"/>
          <w:i/>
        </w:rPr>
        <w:t>Source: National Planning Authority, CoC 2017/18</w:t>
      </w:r>
      <w:r w:rsidR="003C061C">
        <w:rPr>
          <w:rFonts w:ascii="Times New Roman" w:hAnsi="Times New Roman" w:cs="Times New Roman"/>
          <w:i/>
        </w:rPr>
        <w:t xml:space="preserve"> and compiled by Author(s)</w:t>
      </w:r>
    </w:p>
    <w:p w14:paraId="61406162" w14:textId="768C5DD1" w:rsidR="00E634C5" w:rsidRPr="00F10F3B" w:rsidRDefault="00E634C5" w:rsidP="00587EDE">
      <w:pPr>
        <w:pStyle w:val="Heading2"/>
        <w:numPr>
          <w:ilvl w:val="1"/>
          <w:numId w:val="45"/>
        </w:numPr>
        <w:spacing w:line="360" w:lineRule="auto"/>
        <w:ind w:left="426" w:hanging="426"/>
        <w:rPr>
          <w:rFonts w:cs="Times New Roman"/>
        </w:rPr>
      </w:pPr>
      <w:bookmarkStart w:id="43" w:name="_Toc3454221"/>
      <w:bookmarkStart w:id="44" w:name="_Toc9269385"/>
      <w:r w:rsidRPr="00F10F3B">
        <w:rPr>
          <w:rFonts w:cs="Times New Roman"/>
        </w:rPr>
        <w:t>Policy and Strategic Direction of NDP3</w:t>
      </w:r>
      <w:bookmarkEnd w:id="43"/>
      <w:bookmarkEnd w:id="44"/>
    </w:p>
    <w:p w14:paraId="5F03992C" w14:textId="10B1BB82" w:rsidR="00E634C5" w:rsidRPr="004B348B" w:rsidRDefault="00950AB7"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bookmarkStart w:id="45" w:name="_Hlk3563702"/>
      <w:r w:rsidRPr="004B348B">
        <w:rPr>
          <w:rFonts w:ascii="Times New Roman" w:hAnsi="Times New Roman" w:cs="Times New Roman"/>
          <w:b/>
          <w:sz w:val="24"/>
        </w:rPr>
        <w:t>At the time of writing, the Government has started to formulate NDPIII.</w:t>
      </w:r>
      <w:r w:rsidRPr="004B348B">
        <w:rPr>
          <w:rFonts w:ascii="Times New Roman" w:hAnsi="Times New Roman" w:cs="Times New Roman"/>
          <w:sz w:val="24"/>
        </w:rPr>
        <w:t xml:space="preserve"> </w:t>
      </w:r>
      <w:r w:rsidR="005C4C8B" w:rsidRPr="004B348B">
        <w:rPr>
          <w:rFonts w:ascii="Times New Roman" w:hAnsi="Times New Roman" w:cs="Times New Roman"/>
          <w:b/>
          <w:sz w:val="24"/>
        </w:rPr>
        <w:t>Considering th</w:t>
      </w:r>
      <w:r w:rsidR="00181E4C" w:rsidRPr="004B348B">
        <w:rPr>
          <w:rFonts w:ascii="Times New Roman" w:hAnsi="Times New Roman" w:cs="Times New Roman"/>
          <w:b/>
          <w:sz w:val="24"/>
        </w:rPr>
        <w:t>is fact, suggestions are given on areas to focus on in devising NDPIII’s strategic direction.</w:t>
      </w:r>
      <w:r w:rsidR="00181E4C" w:rsidRPr="004B348B">
        <w:rPr>
          <w:rFonts w:ascii="Times New Roman" w:hAnsi="Times New Roman" w:cs="Times New Roman"/>
          <w:sz w:val="24"/>
        </w:rPr>
        <w:t xml:space="preserve"> </w:t>
      </w:r>
      <w:r w:rsidR="00E634C5" w:rsidRPr="004B348B">
        <w:rPr>
          <w:rFonts w:ascii="Times New Roman" w:hAnsi="Times New Roman" w:cs="Times New Roman"/>
          <w:sz w:val="24"/>
          <w:lang w:val="en-US"/>
        </w:rPr>
        <w:t xml:space="preserve">The strategic direction of NDPIII is premised on the achievements of NDPII. It is also informed by the recent economic and regional developments. Overall the strategic direction of NDPII continue to be relevant for achievement of the Vision 2040. This strategic direction comprises nine major elements, namely: (i) Macroeonomic strategy, (ii) Inclusive growth, (iii) infrastructure development deficit, (iv) human capital development, (v) quasi-market approach, (vi) fast-tracking industrialization, (vii) export oriented growth, (viii) urbanization, and (ix) strengthening governance and addressing corruption. This strategic direction proposes some adjustments to the previous NDPII strategies and policies as elaborated below. </w:t>
      </w:r>
    </w:p>
    <w:p w14:paraId="28180DCB" w14:textId="77777777" w:rsidR="00E634C5" w:rsidRPr="003315A4" w:rsidRDefault="00E634C5" w:rsidP="00B86D0C">
      <w:pPr>
        <w:numPr>
          <w:ilvl w:val="0"/>
          <w:numId w:val="42"/>
        </w:numPr>
        <w:spacing w:line="360" w:lineRule="auto"/>
        <w:jc w:val="both"/>
        <w:rPr>
          <w:rFonts w:ascii="Times New Roman" w:hAnsi="Times New Roman" w:cs="Times New Roman"/>
          <w:b/>
          <w:sz w:val="24"/>
          <w:lang w:val="en-US"/>
        </w:rPr>
      </w:pPr>
      <w:r w:rsidRPr="003315A4">
        <w:rPr>
          <w:rFonts w:ascii="Times New Roman" w:hAnsi="Times New Roman" w:cs="Times New Roman"/>
          <w:b/>
          <w:sz w:val="24"/>
          <w:lang w:val="en-US"/>
        </w:rPr>
        <w:t>Macroeconomic Strategy</w:t>
      </w:r>
    </w:p>
    <w:p w14:paraId="3DD5F24C" w14:textId="77777777" w:rsidR="00E634C5" w:rsidRPr="003315A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315A4">
        <w:rPr>
          <w:rFonts w:ascii="Times New Roman" w:hAnsi="Times New Roman" w:cs="Times New Roman"/>
          <w:sz w:val="24"/>
          <w:lang w:val="en-US"/>
        </w:rPr>
        <w:t xml:space="preserve">NDPII macroeconomic strategic direction largely advocated for the frontloading of infrastructure spending especially on roads and energy. While this has resulted into increasing and building new infrastructure stock, it has also come with other undesirable consequences particularly the increasing stock of debt and unsustainable levels of interest payments. Priority in maintaining a stable macroeconomic environment and avoiding debtunsustainability should be an overarching objective.  Some of the steps found critical for NDPIII macroeconomic strategy to achieve this objective are highlighted in the economic management theme. </w:t>
      </w:r>
    </w:p>
    <w:p w14:paraId="53BD275F" w14:textId="7EB8BCF9" w:rsidR="00E634C5" w:rsidRPr="003315A4" w:rsidRDefault="00E634C5" w:rsidP="00B86D0C">
      <w:pPr>
        <w:pStyle w:val="ListParagraph"/>
        <w:numPr>
          <w:ilvl w:val="0"/>
          <w:numId w:val="44"/>
        </w:numPr>
        <w:spacing w:line="360" w:lineRule="auto"/>
        <w:ind w:left="850" w:hanging="493"/>
        <w:contextualSpacing w:val="0"/>
        <w:jc w:val="both"/>
        <w:rPr>
          <w:rFonts w:ascii="Times New Roman" w:hAnsi="Times New Roman" w:cs="Times New Roman"/>
          <w:sz w:val="24"/>
        </w:rPr>
      </w:pPr>
      <w:r w:rsidRPr="003315A4">
        <w:rPr>
          <w:rFonts w:ascii="Times New Roman" w:hAnsi="Times New Roman" w:cs="Times New Roman"/>
          <w:sz w:val="24"/>
        </w:rPr>
        <w:lastRenderedPageBreak/>
        <w:t>Macroeconomic strategy should focus on strengthening tax administration with a view to increase domestically generated resources to finance the NDPIII and also meet our debt obligations in a sustainable manner. The few measures highlighted in the Economic Management report include: (i) expanding the tax net including the informal sector coverage; (ii) introduce well studied new tax policy measures to minimize impact on business growth, economic growth, employment and income;  (iii)removal of the zero VAT rate for firms involved oil related investments, which is undermining tax collection; (iv) i</w:t>
      </w:r>
      <w:r w:rsidRPr="003315A4">
        <w:rPr>
          <w:rFonts w:ascii="Times New Roman" w:hAnsi="Times New Roman" w:cs="Times New Roman"/>
          <w:bCs/>
          <w:iCs/>
          <w:sz w:val="24"/>
        </w:rPr>
        <w:t xml:space="preserve">mproving tax morale through well-articulated and implemented service delivery programmes that benefit tax payers. This will increase tax compliance and the cost of tax evasion or avoidance. </w:t>
      </w:r>
    </w:p>
    <w:p w14:paraId="1A9C5895" w14:textId="77777777" w:rsidR="00E634C5" w:rsidRPr="003315A4" w:rsidRDefault="00E634C5" w:rsidP="00B86D0C">
      <w:pPr>
        <w:pStyle w:val="ListParagraph"/>
        <w:numPr>
          <w:ilvl w:val="0"/>
          <w:numId w:val="44"/>
        </w:numPr>
        <w:spacing w:line="360" w:lineRule="auto"/>
        <w:ind w:left="850" w:hanging="493"/>
        <w:contextualSpacing w:val="0"/>
        <w:jc w:val="both"/>
        <w:rPr>
          <w:rFonts w:ascii="Times New Roman" w:hAnsi="Times New Roman" w:cs="Times New Roman"/>
          <w:sz w:val="24"/>
        </w:rPr>
      </w:pPr>
      <w:r w:rsidRPr="003315A4">
        <w:rPr>
          <w:rFonts w:ascii="Times New Roman" w:hAnsi="Times New Roman" w:cs="Times New Roman"/>
          <w:bCs/>
          <w:iCs/>
          <w:sz w:val="24"/>
        </w:rPr>
        <w:t>NDPIII should focus on incomplete strategic projects carried over from the NDPII. These projects are largely in the roads and railway, energy, and oil and gas sectors. Basing on strategies currently in place to develop industrial ecosystems around iron ore, oil and gas and phospahtes, there is need to continue investing in electricity power generation.</w:t>
      </w:r>
      <w:r w:rsidRPr="003315A4" w:rsidDel="00A509A8">
        <w:rPr>
          <w:rFonts w:ascii="Times New Roman" w:hAnsi="Times New Roman" w:cs="Times New Roman"/>
          <w:bCs/>
          <w:iCs/>
          <w:sz w:val="24"/>
        </w:rPr>
        <w:t xml:space="preserve"> </w:t>
      </w:r>
      <w:r w:rsidRPr="003315A4">
        <w:rPr>
          <w:rFonts w:ascii="Times New Roman" w:hAnsi="Times New Roman" w:cs="Times New Roman"/>
          <w:bCs/>
          <w:iCs/>
          <w:sz w:val="24"/>
        </w:rPr>
        <w:t xml:space="preserve">To minimize the cost of transmission and distribution of power, industrial clusters should be strategically located with the exception of raw material considerations (e.g. iron ore, oil and gas and phosphates). Rural electrification should be reconsidered in light of new cheaper technologies, urbanization strategy and high cost of distribution especially in scarcely populated areas. </w:t>
      </w:r>
      <w:r w:rsidRPr="003315A4">
        <w:rPr>
          <w:rFonts w:ascii="Times New Roman" w:hAnsi="Times New Roman" w:cs="Times New Roman"/>
          <w:sz w:val="24"/>
        </w:rPr>
        <w:t xml:space="preserve">Investment in human development should be at the core of the NDP3.  Budgetary shares to education and health sectors have continued to drop over the years since 2008. This trend has decelerated the momentum that was built since mid-1990s. Whereas significant progress has been made towards achieving access to health and education, quality service delivery in the two sectors continue to be undermined by limited budgetary allocations. Performance on education indicators, in particular, have lagged behind, especially primary and secondary completion rates. More resources are required for recruitment of both primary and secondary school teachers and health workers. </w:t>
      </w:r>
    </w:p>
    <w:p w14:paraId="7AFF0346" w14:textId="77777777" w:rsidR="00E634C5" w:rsidRPr="003315A4" w:rsidRDefault="00E634C5" w:rsidP="00B86D0C">
      <w:pPr>
        <w:pStyle w:val="ListParagraph"/>
        <w:numPr>
          <w:ilvl w:val="0"/>
          <w:numId w:val="44"/>
        </w:numPr>
        <w:spacing w:line="360" w:lineRule="auto"/>
        <w:ind w:left="850" w:hanging="493"/>
        <w:contextualSpacing w:val="0"/>
        <w:jc w:val="both"/>
        <w:rPr>
          <w:rFonts w:ascii="Times New Roman" w:hAnsi="Times New Roman" w:cs="Times New Roman"/>
          <w:sz w:val="24"/>
        </w:rPr>
      </w:pPr>
      <w:r w:rsidRPr="00375404">
        <w:rPr>
          <w:rFonts w:ascii="Times New Roman" w:hAnsi="Times New Roman" w:cs="Times New Roman"/>
          <w:bCs/>
          <w:iCs/>
          <w:sz w:val="24"/>
        </w:rPr>
        <w:t>In</w:t>
      </w:r>
      <w:r w:rsidRPr="003315A4">
        <w:rPr>
          <w:rFonts w:ascii="Times New Roman" w:hAnsi="Times New Roman" w:cs="Times New Roman"/>
          <w:sz w:val="24"/>
        </w:rPr>
        <w:t xml:space="preserve"> light of the increasing level of indebtedness, the macroeconomic strategy for the NDPIII should explore other forms financing projects. Uptake of PPPs as an alternative source of financing for large infrastructure projects has been slow due to lack of capacity within the public sector to design PPP projects. Other sources of financing that could be explored include issuance of long-term infrastructure bonds. This will require enacting the requisite laws and policies for issuance of these </w:t>
      </w:r>
      <w:r w:rsidRPr="003315A4">
        <w:rPr>
          <w:rFonts w:ascii="Times New Roman" w:hAnsi="Times New Roman" w:cs="Times New Roman"/>
          <w:sz w:val="24"/>
        </w:rPr>
        <w:lastRenderedPageBreak/>
        <w:t xml:space="preserve">instruments by both the central and local government entities. In addition, it will be necessary to strengthen Uganda’s capital markets with the objective mobilizing resources for long and medium-term financing. Developed capital markets could also be used to intermediate investment for pension funds into long-term infrastructure projects.  The recently established oil fund will be another source of financing large infrastructure projects. </w:t>
      </w:r>
    </w:p>
    <w:p w14:paraId="242D88A5" w14:textId="77777777" w:rsidR="00E634C5" w:rsidRPr="003315A4" w:rsidRDefault="00E634C5" w:rsidP="00B86D0C">
      <w:pPr>
        <w:pStyle w:val="ListParagraph"/>
        <w:numPr>
          <w:ilvl w:val="0"/>
          <w:numId w:val="44"/>
        </w:numPr>
        <w:spacing w:line="360" w:lineRule="auto"/>
        <w:ind w:left="850" w:hanging="493"/>
        <w:contextualSpacing w:val="0"/>
        <w:jc w:val="both"/>
        <w:rPr>
          <w:rFonts w:ascii="Times New Roman" w:hAnsi="Times New Roman" w:cs="Times New Roman"/>
          <w:sz w:val="24"/>
        </w:rPr>
      </w:pPr>
      <w:r w:rsidRPr="00375404">
        <w:rPr>
          <w:rFonts w:ascii="Times New Roman" w:hAnsi="Times New Roman" w:cs="Times New Roman"/>
          <w:bCs/>
          <w:iCs/>
          <w:sz w:val="24"/>
        </w:rPr>
        <w:t>Interest</w:t>
      </w:r>
      <w:r w:rsidRPr="003315A4">
        <w:rPr>
          <w:rFonts w:ascii="Times New Roman" w:hAnsi="Times New Roman" w:cs="Times New Roman"/>
          <w:sz w:val="24"/>
        </w:rPr>
        <w:t xml:space="preserve"> rates continue to be high and have resulted into making business in Uganda practically unviable for the private sector. Part of the quasi-market approach by government should include taking bold steps by government setting up specialized banks in priority areas such as agriculture, industry and tourism. Commercial banks which are largely foreign owned and profit driven are not the most suitable financial intermediaries to transform the country especially in risky sectors such as agriculture where they have continued to play a minimal role. There is need for government to support and strengthen its Banks such as Posta Bank and Housing Finance to leverage access to affordable credit, private sector growth and faster export growth and diversification. In addition, it is recommended that the UDB should be meaningfully recapitalized so that it can be able to provide loans to the private sector at reasonable cost. </w:t>
      </w:r>
    </w:p>
    <w:p w14:paraId="01DFF14B" w14:textId="77777777" w:rsidR="00E634C5" w:rsidRPr="00375404" w:rsidRDefault="00E634C5" w:rsidP="00B86D0C">
      <w:pPr>
        <w:numPr>
          <w:ilvl w:val="0"/>
          <w:numId w:val="42"/>
        </w:numPr>
        <w:spacing w:line="360" w:lineRule="auto"/>
        <w:jc w:val="both"/>
        <w:rPr>
          <w:rFonts w:ascii="Times New Roman" w:hAnsi="Times New Roman" w:cs="Times New Roman"/>
          <w:b/>
          <w:sz w:val="24"/>
          <w:lang w:val="en-US"/>
        </w:rPr>
      </w:pPr>
      <w:r w:rsidRPr="00375404">
        <w:rPr>
          <w:rFonts w:ascii="Times New Roman" w:hAnsi="Times New Roman" w:cs="Times New Roman"/>
          <w:b/>
          <w:sz w:val="24"/>
          <w:lang w:val="en-US"/>
        </w:rPr>
        <w:t>Inclusive Growth Agenda</w:t>
      </w:r>
    </w:p>
    <w:p w14:paraId="07388B70" w14:textId="4F0C8CD4"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lang w:val="en-US"/>
        </w:rPr>
      </w:pPr>
      <w:r w:rsidRPr="00375404">
        <w:rPr>
          <w:rFonts w:ascii="Times New Roman" w:hAnsi="Times New Roman" w:cs="Times New Roman"/>
          <w:sz w:val="24"/>
          <w:szCs w:val="24"/>
          <w:lang w:val="en-US"/>
        </w:rPr>
        <w:t xml:space="preserve">The three tenets of inclusive growth are: (i) employment creation, (ii) poverty reduction, and (iii) inequality reduction. In order to  enhance employment creation for poverty reduction the GoU should adopt comprehensive job creation interventions that involve large industrial ecosystems with capacity to generate large numbers of jobs. </w:t>
      </w:r>
    </w:p>
    <w:p w14:paraId="745DA11C"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rPr>
      </w:pPr>
      <w:r w:rsidRPr="00375404">
        <w:rPr>
          <w:rFonts w:ascii="Times New Roman" w:hAnsi="Times New Roman" w:cs="Times New Roman"/>
          <w:sz w:val="24"/>
          <w:szCs w:val="24"/>
        </w:rPr>
        <w:t xml:space="preserve">Each region or sub-region should develop an integrated regional development plan that will be endorsed at national level and guide sector ministries in their planning and allocation of resources so that they become much more sensitive and responsive to these differences in development potentials and needs. Industrial development and value addition based on the resource base of the region should be at the core of these plans. The issue of vulnerable groups particularly women, youth and persons with disabilities has been tackled with mixed results mainly due to ad hoc interventions. Specifically for the youth livelihood fund, challenges have been experienced regarding revolving the fund, availability of viable economic activities, and overhead costs and outright corruption. </w:t>
      </w:r>
      <w:r w:rsidRPr="00375404">
        <w:rPr>
          <w:rFonts w:ascii="Times New Roman" w:hAnsi="Times New Roman" w:cs="Times New Roman"/>
          <w:sz w:val="24"/>
          <w:szCs w:val="24"/>
        </w:rPr>
        <w:lastRenderedPageBreak/>
        <w:t>There is need to change the approach for these programs from social to economic objectives in order to create jobs and enhance household incomes. These programs need to be consolidated under the microfinance support centre where viability of projects can be competently assessed. The latter is endowed with capacity to develop frameworks that link with exisiting support and delivery systems such as SACCOs and other social development associations.</w:t>
      </w:r>
    </w:p>
    <w:p w14:paraId="46FAA9A4"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 xml:space="preserve">Infrastructure Deficit  </w:t>
      </w:r>
    </w:p>
    <w:p w14:paraId="194AE18E" w14:textId="331E8B4D"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lang w:val="en-US"/>
        </w:rPr>
      </w:pPr>
      <w:r w:rsidRPr="00375404">
        <w:rPr>
          <w:rFonts w:ascii="Times New Roman" w:hAnsi="Times New Roman" w:cs="Times New Roman"/>
          <w:sz w:val="24"/>
          <w:szCs w:val="24"/>
          <w:lang w:val="en-US"/>
        </w:rPr>
        <w:t xml:space="preserve">Considerable focus during the NDP1 and NDP2 has been put on addressing the infrastructure deficit. Indeed significant progress has been made to increase the stock of paved road </w:t>
      </w:r>
      <w:r w:rsidR="00375404" w:rsidRPr="00375404">
        <w:rPr>
          <w:rFonts w:ascii="Times New Roman" w:hAnsi="Times New Roman" w:cs="Times New Roman"/>
          <w:sz w:val="24"/>
          <w:szCs w:val="24"/>
          <w:lang w:val="en-US"/>
        </w:rPr>
        <w:t>network, energy</w:t>
      </w:r>
      <w:r w:rsidRPr="00375404">
        <w:rPr>
          <w:rFonts w:ascii="Times New Roman" w:hAnsi="Times New Roman" w:cs="Times New Roman"/>
          <w:sz w:val="24"/>
          <w:szCs w:val="24"/>
          <w:lang w:val="en-US"/>
        </w:rPr>
        <w:t xml:space="preserve"> generation capacity and distribution, expansion of the ICT broad band and increasing access to piped water and water for production. There has been, however, limited effort on ensuring serviceability of the existing rail network.  It is proposed that for the NDP3 the focus should be on completion of key infrastructure projects carried over from the NDP2 period and rehabilitating the existing rail network. The Road Fund resources should be mainly used on maintenance of existing roads with limited opening of new access roads. Among the core projects under works and transport that should underpin the NDP3 include the following: </w:t>
      </w:r>
    </w:p>
    <w:p w14:paraId="68BBCA6B" w14:textId="77777777" w:rsidR="00E634C5" w:rsidRPr="00375404" w:rsidRDefault="00E634C5" w:rsidP="00587EDE">
      <w:pPr>
        <w:spacing w:line="360" w:lineRule="auto"/>
        <w:jc w:val="both"/>
        <w:rPr>
          <w:rFonts w:ascii="Times New Roman" w:hAnsi="Times New Roman" w:cs="Times New Roman"/>
          <w:b/>
          <w:lang w:val="en-US"/>
        </w:rPr>
      </w:pPr>
      <w:r w:rsidRPr="00375404">
        <w:rPr>
          <w:rFonts w:ascii="Times New Roman" w:hAnsi="Times New Roman" w:cs="Times New Roman"/>
          <w:b/>
          <w:lang w:val="en-US"/>
        </w:rPr>
        <w:t xml:space="preserve"> Some Key Projects for NDP3</w:t>
      </w:r>
    </w:p>
    <w:tbl>
      <w:tblPr>
        <w:tblStyle w:val="TableGrid"/>
        <w:tblW w:w="0" w:type="auto"/>
        <w:tblInd w:w="-5" w:type="dxa"/>
        <w:tblLook w:val="04A0" w:firstRow="1" w:lastRow="0" w:firstColumn="1" w:lastColumn="0" w:noHBand="0" w:noVBand="1"/>
      </w:tblPr>
      <w:tblGrid>
        <w:gridCol w:w="585"/>
        <w:gridCol w:w="4557"/>
        <w:gridCol w:w="2169"/>
      </w:tblGrid>
      <w:tr w:rsidR="00E634C5" w:rsidRPr="00F10F3B" w14:paraId="230F23E6" w14:textId="77777777" w:rsidTr="00375404">
        <w:tc>
          <w:tcPr>
            <w:tcW w:w="585" w:type="dxa"/>
            <w:shd w:val="clear" w:color="auto" w:fill="DBDBDB" w:themeFill="accent3" w:themeFillTint="66"/>
          </w:tcPr>
          <w:p w14:paraId="07514FCE"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Sn</w:t>
            </w:r>
          </w:p>
        </w:tc>
        <w:tc>
          <w:tcPr>
            <w:tcW w:w="4557" w:type="dxa"/>
            <w:shd w:val="clear" w:color="auto" w:fill="DBDBDB" w:themeFill="accent3" w:themeFillTint="66"/>
          </w:tcPr>
          <w:p w14:paraId="556F38A6"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Infrastructure (WTS) Development Priority Area</w:t>
            </w:r>
          </w:p>
        </w:tc>
        <w:tc>
          <w:tcPr>
            <w:tcW w:w="2169" w:type="dxa"/>
            <w:shd w:val="clear" w:color="auto" w:fill="DBDBDB" w:themeFill="accent3" w:themeFillTint="66"/>
          </w:tcPr>
          <w:p w14:paraId="26DD1598"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Status/Stage</w:t>
            </w:r>
          </w:p>
          <w:p w14:paraId="0A92212B" w14:textId="77777777" w:rsidR="00E634C5" w:rsidRPr="00F10F3B" w:rsidRDefault="00E634C5" w:rsidP="00587EDE">
            <w:pPr>
              <w:jc w:val="both"/>
              <w:rPr>
                <w:rFonts w:ascii="Times New Roman" w:hAnsi="Times New Roman" w:cs="Times New Roman"/>
                <w:lang w:val="en-US"/>
              </w:rPr>
            </w:pPr>
          </w:p>
        </w:tc>
      </w:tr>
      <w:tr w:rsidR="00E634C5" w:rsidRPr="00F10F3B" w14:paraId="1D1B64F7" w14:textId="77777777" w:rsidTr="00375404">
        <w:tc>
          <w:tcPr>
            <w:tcW w:w="585" w:type="dxa"/>
            <w:shd w:val="clear" w:color="auto" w:fill="92D050"/>
          </w:tcPr>
          <w:p w14:paraId="16E0E7A7"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1</w:t>
            </w:r>
          </w:p>
        </w:tc>
        <w:tc>
          <w:tcPr>
            <w:tcW w:w="4557" w:type="dxa"/>
            <w:shd w:val="clear" w:color="auto" w:fill="92D050"/>
          </w:tcPr>
          <w:p w14:paraId="4D23B4E1"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Rehabilitation of Entebbe Airport</w:t>
            </w:r>
          </w:p>
        </w:tc>
        <w:tc>
          <w:tcPr>
            <w:tcW w:w="2169" w:type="dxa"/>
            <w:shd w:val="clear" w:color="auto" w:fill="92D050"/>
          </w:tcPr>
          <w:p w14:paraId="6DDEF2F4"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On-going</w:t>
            </w:r>
          </w:p>
        </w:tc>
      </w:tr>
      <w:tr w:rsidR="00E634C5" w:rsidRPr="00F10F3B" w14:paraId="6D07297F" w14:textId="77777777" w:rsidTr="00375404">
        <w:tc>
          <w:tcPr>
            <w:tcW w:w="585" w:type="dxa"/>
            <w:shd w:val="clear" w:color="auto" w:fill="D5DCE4" w:themeFill="text2" w:themeFillTint="33"/>
          </w:tcPr>
          <w:p w14:paraId="3EFD27FB"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2</w:t>
            </w:r>
          </w:p>
        </w:tc>
        <w:tc>
          <w:tcPr>
            <w:tcW w:w="4557" w:type="dxa"/>
            <w:shd w:val="clear" w:color="auto" w:fill="D5DCE4" w:themeFill="text2" w:themeFillTint="33"/>
          </w:tcPr>
          <w:p w14:paraId="10F39045"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Kampala-Jinja Highway</w:t>
            </w:r>
          </w:p>
        </w:tc>
        <w:tc>
          <w:tcPr>
            <w:tcW w:w="2169" w:type="dxa"/>
            <w:shd w:val="clear" w:color="auto" w:fill="D5DCE4" w:themeFill="text2" w:themeFillTint="33"/>
          </w:tcPr>
          <w:p w14:paraId="6AF25080"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Detailed Design</w:t>
            </w:r>
          </w:p>
        </w:tc>
      </w:tr>
      <w:tr w:rsidR="00E634C5" w:rsidRPr="00F10F3B" w14:paraId="3871401E" w14:textId="77777777" w:rsidTr="00375404">
        <w:tc>
          <w:tcPr>
            <w:tcW w:w="585" w:type="dxa"/>
            <w:shd w:val="clear" w:color="auto" w:fill="D5DCE4" w:themeFill="text2" w:themeFillTint="33"/>
          </w:tcPr>
          <w:p w14:paraId="46CFD5A9"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3</w:t>
            </w:r>
          </w:p>
        </w:tc>
        <w:tc>
          <w:tcPr>
            <w:tcW w:w="4557" w:type="dxa"/>
            <w:shd w:val="clear" w:color="auto" w:fill="D5DCE4" w:themeFill="text2" w:themeFillTint="33"/>
          </w:tcPr>
          <w:p w14:paraId="2E449D38"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Kibuye-Busega-Nabingo</w:t>
            </w:r>
          </w:p>
        </w:tc>
        <w:tc>
          <w:tcPr>
            <w:tcW w:w="2169" w:type="dxa"/>
            <w:shd w:val="clear" w:color="auto" w:fill="D5DCE4" w:themeFill="text2" w:themeFillTint="33"/>
          </w:tcPr>
          <w:p w14:paraId="19504B9B"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Under Procurement</w:t>
            </w:r>
          </w:p>
        </w:tc>
      </w:tr>
      <w:tr w:rsidR="00E634C5" w:rsidRPr="00F10F3B" w14:paraId="417AAADE" w14:textId="77777777" w:rsidTr="00375404">
        <w:tc>
          <w:tcPr>
            <w:tcW w:w="585" w:type="dxa"/>
            <w:shd w:val="clear" w:color="auto" w:fill="D5DCE4" w:themeFill="text2" w:themeFillTint="33"/>
          </w:tcPr>
          <w:p w14:paraId="6BB58B53"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4</w:t>
            </w:r>
          </w:p>
        </w:tc>
        <w:tc>
          <w:tcPr>
            <w:tcW w:w="4557" w:type="dxa"/>
            <w:shd w:val="clear" w:color="auto" w:fill="D5DCE4" w:themeFill="text2" w:themeFillTint="33"/>
          </w:tcPr>
          <w:p w14:paraId="2EAED37C"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Kampala Southern by-pass</w:t>
            </w:r>
          </w:p>
        </w:tc>
        <w:tc>
          <w:tcPr>
            <w:tcW w:w="2169" w:type="dxa"/>
            <w:shd w:val="clear" w:color="auto" w:fill="D5DCE4" w:themeFill="text2" w:themeFillTint="33"/>
          </w:tcPr>
          <w:p w14:paraId="03F3F7EB"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Detailed Design</w:t>
            </w:r>
          </w:p>
        </w:tc>
      </w:tr>
      <w:tr w:rsidR="00E634C5" w:rsidRPr="00F10F3B" w14:paraId="29E86195" w14:textId="77777777" w:rsidTr="00375404">
        <w:tc>
          <w:tcPr>
            <w:tcW w:w="585" w:type="dxa"/>
            <w:shd w:val="clear" w:color="auto" w:fill="D5DCE4" w:themeFill="text2" w:themeFillTint="33"/>
          </w:tcPr>
          <w:p w14:paraId="19F9DED7"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5</w:t>
            </w:r>
          </w:p>
        </w:tc>
        <w:tc>
          <w:tcPr>
            <w:tcW w:w="4557" w:type="dxa"/>
            <w:shd w:val="clear" w:color="auto" w:fill="D5DCE4" w:themeFill="text2" w:themeFillTint="33"/>
          </w:tcPr>
          <w:p w14:paraId="21E6AFEE"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Kampala-Bombo-Expressway</w:t>
            </w:r>
          </w:p>
        </w:tc>
        <w:tc>
          <w:tcPr>
            <w:tcW w:w="2169" w:type="dxa"/>
            <w:shd w:val="clear" w:color="auto" w:fill="D5DCE4" w:themeFill="text2" w:themeFillTint="33"/>
          </w:tcPr>
          <w:p w14:paraId="29F7FE6D"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Procurement</w:t>
            </w:r>
          </w:p>
        </w:tc>
      </w:tr>
      <w:tr w:rsidR="00E634C5" w:rsidRPr="00F10F3B" w14:paraId="67DD4E59" w14:textId="77777777" w:rsidTr="00375404">
        <w:tc>
          <w:tcPr>
            <w:tcW w:w="585" w:type="dxa"/>
            <w:shd w:val="clear" w:color="auto" w:fill="92D050"/>
          </w:tcPr>
          <w:p w14:paraId="52F45DA1"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6</w:t>
            </w:r>
          </w:p>
        </w:tc>
        <w:tc>
          <w:tcPr>
            <w:tcW w:w="4557" w:type="dxa"/>
            <w:shd w:val="clear" w:color="auto" w:fill="92D050"/>
          </w:tcPr>
          <w:p w14:paraId="03B8D4CA"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Upgrading of Kapchorwa-Suam Road</w:t>
            </w:r>
          </w:p>
        </w:tc>
        <w:tc>
          <w:tcPr>
            <w:tcW w:w="2169" w:type="dxa"/>
            <w:shd w:val="clear" w:color="auto" w:fill="92D050"/>
          </w:tcPr>
          <w:p w14:paraId="64C8010D"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Ongoing</w:t>
            </w:r>
          </w:p>
        </w:tc>
      </w:tr>
      <w:tr w:rsidR="00E634C5" w:rsidRPr="00F10F3B" w14:paraId="18193F84" w14:textId="77777777" w:rsidTr="00375404">
        <w:tc>
          <w:tcPr>
            <w:tcW w:w="585" w:type="dxa"/>
            <w:shd w:val="clear" w:color="auto" w:fill="D5DCE4" w:themeFill="text2" w:themeFillTint="33"/>
          </w:tcPr>
          <w:p w14:paraId="3013AB7D"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7</w:t>
            </w:r>
          </w:p>
        </w:tc>
        <w:tc>
          <w:tcPr>
            <w:tcW w:w="4557" w:type="dxa"/>
            <w:shd w:val="clear" w:color="auto" w:fill="D5DCE4" w:themeFill="text2" w:themeFillTint="33"/>
          </w:tcPr>
          <w:p w14:paraId="7DA69740"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Kampala-Mpigi Expressway</w:t>
            </w:r>
          </w:p>
        </w:tc>
        <w:tc>
          <w:tcPr>
            <w:tcW w:w="2169" w:type="dxa"/>
            <w:shd w:val="clear" w:color="auto" w:fill="D5DCE4" w:themeFill="text2" w:themeFillTint="33"/>
          </w:tcPr>
          <w:p w14:paraId="7B055EF8"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Detailed Design</w:t>
            </w:r>
          </w:p>
        </w:tc>
      </w:tr>
      <w:tr w:rsidR="00E634C5" w:rsidRPr="00F10F3B" w14:paraId="025D4E4C" w14:textId="77777777" w:rsidTr="00375404">
        <w:tc>
          <w:tcPr>
            <w:tcW w:w="585" w:type="dxa"/>
            <w:shd w:val="clear" w:color="auto" w:fill="D5DCE4" w:themeFill="text2" w:themeFillTint="33"/>
          </w:tcPr>
          <w:p w14:paraId="1BA66254"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8</w:t>
            </w:r>
          </w:p>
        </w:tc>
        <w:tc>
          <w:tcPr>
            <w:tcW w:w="4557" w:type="dxa"/>
            <w:shd w:val="clear" w:color="auto" w:fill="D5DCE4" w:themeFill="text2" w:themeFillTint="33"/>
          </w:tcPr>
          <w:p w14:paraId="5916ECE8"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Rwekunye-Apac-Lira-Kitgum-Musingo Road</w:t>
            </w:r>
          </w:p>
        </w:tc>
        <w:tc>
          <w:tcPr>
            <w:tcW w:w="2169" w:type="dxa"/>
            <w:shd w:val="clear" w:color="auto" w:fill="D5DCE4" w:themeFill="text2" w:themeFillTint="33"/>
          </w:tcPr>
          <w:p w14:paraId="5F8B698E"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Under Procurement</w:t>
            </w:r>
          </w:p>
        </w:tc>
      </w:tr>
      <w:tr w:rsidR="00E634C5" w:rsidRPr="00F10F3B" w14:paraId="0D5B76BB" w14:textId="77777777" w:rsidTr="00375404">
        <w:tc>
          <w:tcPr>
            <w:tcW w:w="585" w:type="dxa"/>
            <w:shd w:val="clear" w:color="auto" w:fill="D5DCE4" w:themeFill="text2" w:themeFillTint="33"/>
          </w:tcPr>
          <w:p w14:paraId="509167B1"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9.</w:t>
            </w:r>
          </w:p>
        </w:tc>
        <w:tc>
          <w:tcPr>
            <w:tcW w:w="4557" w:type="dxa"/>
            <w:shd w:val="clear" w:color="auto" w:fill="D5DCE4" w:themeFill="text2" w:themeFillTint="33"/>
          </w:tcPr>
          <w:p w14:paraId="7543BFFA"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Rehabilitation of existing rail network</w:t>
            </w:r>
          </w:p>
        </w:tc>
        <w:tc>
          <w:tcPr>
            <w:tcW w:w="2169" w:type="dxa"/>
            <w:shd w:val="clear" w:color="auto" w:fill="D5DCE4" w:themeFill="text2" w:themeFillTint="33"/>
          </w:tcPr>
          <w:p w14:paraId="4328C006"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Under study</w:t>
            </w:r>
          </w:p>
        </w:tc>
      </w:tr>
      <w:tr w:rsidR="00E634C5" w:rsidRPr="00F10F3B" w14:paraId="1DC18407" w14:textId="77777777" w:rsidTr="00375404">
        <w:tc>
          <w:tcPr>
            <w:tcW w:w="585" w:type="dxa"/>
            <w:shd w:val="clear" w:color="auto" w:fill="D5DCE4" w:themeFill="text2" w:themeFillTint="33"/>
          </w:tcPr>
          <w:p w14:paraId="08E6A187"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10.</w:t>
            </w:r>
          </w:p>
        </w:tc>
        <w:tc>
          <w:tcPr>
            <w:tcW w:w="4557" w:type="dxa"/>
            <w:shd w:val="clear" w:color="auto" w:fill="D5DCE4" w:themeFill="text2" w:themeFillTint="33"/>
          </w:tcPr>
          <w:p w14:paraId="12CF775C"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Standard Gauge Railway</w:t>
            </w:r>
          </w:p>
        </w:tc>
        <w:tc>
          <w:tcPr>
            <w:tcW w:w="2169" w:type="dxa"/>
            <w:shd w:val="clear" w:color="auto" w:fill="D5DCE4" w:themeFill="text2" w:themeFillTint="33"/>
          </w:tcPr>
          <w:p w14:paraId="3C22CA8E" w14:textId="77777777" w:rsidR="00E634C5" w:rsidRPr="00F10F3B" w:rsidRDefault="00E634C5" w:rsidP="00587EDE">
            <w:pPr>
              <w:jc w:val="both"/>
              <w:rPr>
                <w:rFonts w:ascii="Times New Roman" w:hAnsi="Times New Roman" w:cs="Times New Roman"/>
                <w:lang w:val="en-US"/>
              </w:rPr>
            </w:pPr>
            <w:r w:rsidRPr="00F10F3B">
              <w:rPr>
                <w:rFonts w:ascii="Times New Roman" w:hAnsi="Times New Roman" w:cs="Times New Roman"/>
                <w:lang w:val="en-US"/>
              </w:rPr>
              <w:t>Preliminary design</w:t>
            </w:r>
          </w:p>
        </w:tc>
      </w:tr>
    </w:tbl>
    <w:p w14:paraId="23F2BD3D"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lang w:val="en-US"/>
        </w:rPr>
      </w:pPr>
      <w:r w:rsidRPr="00375404">
        <w:rPr>
          <w:rFonts w:ascii="Times New Roman" w:hAnsi="Times New Roman" w:cs="Times New Roman"/>
          <w:sz w:val="24"/>
          <w:lang w:val="en-US"/>
        </w:rPr>
        <w:t xml:space="preserve">Uganda is currently generating surplus electricity and as Karuma(600 MW) Isimba (183 MW) and Achwa-Agogo Phase 1 (41MW) hydros come on stream the excess capacity will require corresponding industrial growth to consume this power. In view of the </w:t>
      </w:r>
      <w:r w:rsidRPr="00375404">
        <w:rPr>
          <w:rFonts w:ascii="Times New Roman" w:hAnsi="Times New Roman" w:cs="Times New Roman"/>
          <w:sz w:val="24"/>
          <w:szCs w:val="24"/>
          <w:lang w:val="en-US"/>
        </w:rPr>
        <w:lastRenderedPageBreak/>
        <w:t>industrialization agenda under the NDP3, there is need to continue with the power generation plans and targets as outlined in NDP2. In particular, the Ayago and Oriang hydro power projects out to be fast tracked together with other sources of energy. This will yield an additional 1,500 MW of power resulting into generation capacity of 3500 MW by 2025.  ,. In consideration of the high cost for the distribution of power in rural areas, household, commercial and industrial rooftop solar PV should be popularized especially in areas where there is sparse population settlements.</w:t>
      </w:r>
    </w:p>
    <w:p w14:paraId="32528595"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szCs w:val="24"/>
          <w:lang w:val="en-US"/>
        </w:rPr>
      </w:pPr>
      <w:r w:rsidRPr="00375404">
        <w:rPr>
          <w:rFonts w:ascii="Times New Roman" w:hAnsi="Times New Roman" w:cs="Times New Roman"/>
          <w:b/>
          <w:sz w:val="24"/>
          <w:szCs w:val="24"/>
          <w:lang w:val="en-US"/>
        </w:rPr>
        <w:t>To revitalize the agriculture sector, infrastructure for irrigation should be made a priority under the NDPIII.</w:t>
      </w:r>
      <w:r w:rsidRPr="00375404">
        <w:rPr>
          <w:rFonts w:ascii="Times New Roman" w:hAnsi="Times New Roman" w:cs="Times New Roman"/>
          <w:sz w:val="24"/>
          <w:szCs w:val="24"/>
          <w:lang w:val="en-US"/>
        </w:rPr>
        <w:t xml:space="preserve"> Owing to the changing climate patterns that have resulted into unpredictable rainfalls, Government should champion and invest in irrigation schemes both of large and small scale nature. There should be deliberate effort done at local governments to promote small scale irrigation by setting up demonstration gardens and hiring irrigation engineers who can be consulted by the population in design and implementation of these technologies. Going forward, it will be important to include the post of irrigation engineer in the local government staff structures. Regional agronomy laboratory infrastructure should also be established to timely provide support to farmers. </w:t>
      </w:r>
    </w:p>
    <w:p w14:paraId="22DB765A"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Human Capital Development</w:t>
      </w:r>
    </w:p>
    <w:p w14:paraId="585830A3"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b/>
          <w:sz w:val="24"/>
          <w:lang w:val="en-US"/>
        </w:rPr>
        <w:t xml:space="preserve">Developing the country’s human resource is important for structural transformation. Professions and technical skills that are necessary to drive the transformation agenda will be critical. </w:t>
      </w:r>
      <w:r w:rsidRPr="00375404">
        <w:rPr>
          <w:rFonts w:ascii="Times New Roman" w:hAnsi="Times New Roman" w:cs="Times New Roman"/>
          <w:sz w:val="24"/>
          <w:lang w:val="en-US"/>
        </w:rPr>
        <w:t xml:space="preserve"> Human capital development builds on existing education and health achievements. A wide gap currently exists of professionals, researchers and technicians that are required to drive the country to middle income status. For a country that aspires to transform society from a peasant to a modern and prosperous one, Uganda will need to fast-track all interventions that are aaimed at building human capabilities for innovation and enhancing productivity. Government should therefore commit more resources on professional training, research-related higher education, and technical training institutions and directly support centers of innovation including those in informal sector. Sectors should to this end identify professions that are critical and missing for training and nurturing by government. </w:t>
      </w:r>
    </w:p>
    <w:p w14:paraId="4A4EC42A"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Significant resources have been committed to establish technical and vocational institutes. Staffing, equipping and providing sufficient budget for training consumables and materials for these institutes are still a challenge. There is also a need for a change in mind-set to </w:t>
      </w:r>
      <w:r w:rsidRPr="00375404">
        <w:rPr>
          <w:rFonts w:ascii="Times New Roman" w:hAnsi="Times New Roman" w:cs="Times New Roman"/>
          <w:sz w:val="24"/>
          <w:lang w:val="en-US"/>
        </w:rPr>
        <w:lastRenderedPageBreak/>
        <w:t xml:space="preserve">appreciate the usefulness of technical training in economic empowerment of children. In addition, there is need to diversify the training courses which have remained largely traditional.  In line with the Vision 2040 framework, technical courses should be based on information technology trends, needs of new and expected industries as well as the emerging iron and steel; and oil and gas. </w:t>
      </w:r>
    </w:p>
    <w:p w14:paraId="065BFFBC"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Quasi-Market Approach</w:t>
      </w:r>
    </w:p>
    <w:p w14:paraId="126E925C"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Whereas Government has embraced the Quasi-Market approach in infrastructure development, particularly in the energy sector, there are no noticeable investments in setting up large industries for employment creation and boosting exports as envisaged in the NDP1 and NDP2. Such large investments with requirements of high capital outlays have not attracted private sector investments and would require direct government investment. The lack of large industrial projects has limited utilization of the existing and still increasing energy capacity. Attracting private investments continues to be encumbered by the country’s low competitiveness, high cost of domestic capital and lack of requisite skills.  The few projects that have been championed by UDC such as the Soroti Fruit Factory </w:t>
      </w:r>
      <w:r w:rsidRPr="00375404">
        <w:rPr>
          <w:rFonts w:ascii="Times New Roman" w:hAnsi="Times New Roman" w:cs="Times New Roman"/>
          <w:sz w:val="24"/>
          <w:highlight w:val="yellow"/>
          <w:lang w:val="en-US"/>
        </w:rPr>
        <w:t>xxxxxx</w:t>
      </w:r>
      <w:r w:rsidRPr="00375404">
        <w:rPr>
          <w:rFonts w:ascii="Times New Roman" w:hAnsi="Times New Roman" w:cs="Times New Roman"/>
          <w:sz w:val="24"/>
          <w:lang w:val="en-US"/>
        </w:rPr>
        <w:t xml:space="preserve"> are still small and their impact considered to be patchy on the structural transformation of Uganda. Government must consider embarking on at least 2-3 large industrial projects in the medium term. Specific areas where government should have a direct role for NDPIII include:</w:t>
      </w:r>
    </w:p>
    <w:p w14:paraId="36F19CB4" w14:textId="77777777" w:rsidR="00E634C5" w:rsidRPr="00375404" w:rsidRDefault="00E634C5" w:rsidP="00B86D0C">
      <w:pPr>
        <w:numPr>
          <w:ilvl w:val="0"/>
          <w:numId w:val="41"/>
        </w:numPr>
        <w:spacing w:line="360" w:lineRule="auto"/>
        <w:jc w:val="both"/>
        <w:rPr>
          <w:rFonts w:ascii="Times New Roman" w:hAnsi="Times New Roman" w:cs="Times New Roman"/>
          <w:sz w:val="24"/>
        </w:rPr>
      </w:pPr>
      <w:r w:rsidRPr="00375404">
        <w:rPr>
          <w:rFonts w:ascii="Times New Roman" w:hAnsi="Times New Roman" w:cs="Times New Roman"/>
          <w:sz w:val="24"/>
        </w:rPr>
        <w:t xml:space="preserve">Expedite a comprehensive Iron and Steel Feasibility Study for Muko Iron-Oreand other related industries by the year 2019 with the objective of setting up an iron and steel based industrial ecosystem for the country. This will result into a spinoff of steel based industries in the region and absorb the increasing numbers of job seekers. </w:t>
      </w:r>
    </w:p>
    <w:p w14:paraId="6E157197" w14:textId="77777777" w:rsidR="00E634C5" w:rsidRPr="00375404" w:rsidRDefault="00E634C5" w:rsidP="00B86D0C">
      <w:pPr>
        <w:numPr>
          <w:ilvl w:val="0"/>
          <w:numId w:val="41"/>
        </w:numPr>
        <w:spacing w:line="360" w:lineRule="auto"/>
        <w:jc w:val="both"/>
        <w:rPr>
          <w:rFonts w:ascii="Times New Roman" w:hAnsi="Times New Roman" w:cs="Times New Roman"/>
          <w:sz w:val="24"/>
        </w:rPr>
      </w:pPr>
      <w:r w:rsidRPr="00375404">
        <w:rPr>
          <w:rFonts w:ascii="Times New Roman" w:hAnsi="Times New Roman" w:cs="Times New Roman"/>
          <w:sz w:val="24"/>
        </w:rPr>
        <w:t>Government should remain firm on the development of the Oil refinery and also consider investing in the petrochemical industry during the NDPIII. The refinery will have have large spill over effects on plastics, fertilizers and pharmaceutical industries within the region. .</w:t>
      </w:r>
    </w:p>
    <w:p w14:paraId="47B3A3A5" w14:textId="77777777" w:rsidR="00E634C5" w:rsidRPr="00375404" w:rsidRDefault="00E634C5" w:rsidP="00B86D0C">
      <w:pPr>
        <w:numPr>
          <w:ilvl w:val="0"/>
          <w:numId w:val="41"/>
        </w:numPr>
        <w:spacing w:line="360" w:lineRule="auto"/>
        <w:jc w:val="both"/>
        <w:rPr>
          <w:rFonts w:ascii="Times New Roman" w:hAnsi="Times New Roman" w:cs="Times New Roman"/>
          <w:sz w:val="24"/>
        </w:rPr>
      </w:pPr>
      <w:r w:rsidRPr="00375404">
        <w:rPr>
          <w:rFonts w:ascii="Times New Roman" w:hAnsi="Times New Roman" w:cs="Times New Roman"/>
          <w:sz w:val="24"/>
        </w:rPr>
        <w:t xml:space="preserve">By Establishment of large biofuels industry aimed at mixing ethanol with oil would create an enormous market for agriculture products such as maize, sugar and cassava. In addition, this will stabilize prices for petroleum products as well as enhancing the incomes of households engaged in maize, sugar cane and cassava value chains. These industries would also have other associated products such as starch, glucose, animal </w:t>
      </w:r>
      <w:r w:rsidRPr="00375404">
        <w:rPr>
          <w:rFonts w:ascii="Times New Roman" w:hAnsi="Times New Roman" w:cs="Times New Roman"/>
          <w:sz w:val="24"/>
        </w:rPr>
        <w:lastRenderedPageBreak/>
        <w:t xml:space="preserve">feeds and fertilizers. At the moment, maize and cassava produced have no large scale industrial demand apart for domestic consumption with minimal processing. </w:t>
      </w:r>
    </w:p>
    <w:p w14:paraId="115ECADA"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Fast-tracking Industrialization Agenda</w:t>
      </w:r>
    </w:p>
    <w:p w14:paraId="7C98CDB5"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The industrial sector is currently dominated by small and medium enterprises (SMEs), which makes 93.5% of firms operating in the sector. This in itself represents a serious challenge as firms are usually not able to reap the benefits of economies of scale.  Given the strong correlation between firm size and export capacity, firms have difficulties competing internationally. Coupled with the quasi-market approach, there should be deliberate efforts to fast track nurturing of SMEs into large industries. This will require establishing an industrial bank to focus on supporting SMEs with a view of to transform them into large production units. From best practice, the industrial bank will ensure meeting the peculiar needs of industrialists particular in providing long-term and affordable financing. Government should embark on undertaking feasibility studies for these specialized banks before implementation of the NDP3. The three out of the twenty two gazetted industrial parks are currently operational. The slow pace of establishing the parks indicates that the industrialization strategy may not timely achieve the objective of using it as a flagship for structural transformation. The challenges for establishing the industrial parks include: (i) poor coordination and limited implementation capacities among responsible agencies; (ii) high cost of land acquisition; (iii) lack of financing for most parks, and; (iv) attracting quality foreign investors.  The industrial parks are aimed at reducing the cost of establishing industrial plants, enhancing agro-processing and balanced regional development.  Government should remain focused on establishing the industrial parks. Government should review the institutional framework for implementing industrial parks in light of the above mentioned challenges. In particular, the establishment and operationalization of the parks should be transferred to a strengthened and restructured UDC for quicker results. UDC is more mainstreamed to handle investments on the ground and is already building a critical mass of capabilities to implement similar projects.</w:t>
      </w:r>
    </w:p>
    <w:p w14:paraId="0D1881A8" w14:textId="15300C6E"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The drive to reduce the cost of power to less than US 5 cents per KWh should continue to be vigorously persued as a key factor for the country’s industrialization. The planning and implementation of roads and railway infrastructure should focus on feeding planned industrial parks and zones, among others. In addition, investors and manufacturers continue to face high cost of doing business ranging from bureaucratic procurement processes, multiple licences and other fee requirements; difficulty in linking to logistical </w:t>
      </w:r>
      <w:r w:rsidRPr="00375404">
        <w:rPr>
          <w:rFonts w:ascii="Times New Roman" w:hAnsi="Times New Roman" w:cs="Times New Roman"/>
          <w:sz w:val="24"/>
          <w:lang w:val="en-US"/>
        </w:rPr>
        <w:lastRenderedPageBreak/>
        <w:t xml:space="preserve">support services, the inability to obtain skilled nationals locally to run factories; public sector corruption and the general challenges of being a land-locked country.  </w:t>
      </w:r>
    </w:p>
    <w:p w14:paraId="3751E23E"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Export Oriented Growth</w:t>
      </w:r>
    </w:p>
    <w:p w14:paraId="5B613153"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For the country to address its macroeconomic imbalances buoyed by a stronger current account, emphasis on export oriented growth remains critical. The country remains a net exporter of low value primary products such as coffee, tea and tobacco. Other key foreign exchange earners include Tourism, remittances by Ugandan’s in the diaspora, gold and fish. Uganda’s exports to the region have significantly increased. However, the enumerated export earnings are not sufficient to generate enough earnings to meet the increasing import bill.</w:t>
      </w:r>
    </w:p>
    <w:p w14:paraId="3AAE2C59"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There is need to identify one or two niche high value commodities that would boost export earnings. Preliminary analysis of the evaluation of NDP1 and NDP2 indicates that the country would do well to focus on developing the iron-ore and oil and gas industrial ecosystems with a view to be the lead exporters of steel and petrochemical products in the region. This would be complemented by exports of agro-processed products.  </w:t>
      </w:r>
    </w:p>
    <w:p w14:paraId="46E81B16"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Government has established Free Zones Authority to promote export of duty-free processed goods in order to enhance their competitiveness.  Free Export processing zones is a welcome step, however it remains restrictive to qualify, as 80% of the output has to be exported outside the EAC region. However, Special Economic Zones would be more relevant to Uganda’s situation where domestic industries would benefit from the EAC regional market. </w:t>
      </w:r>
    </w:p>
    <w:p w14:paraId="51640324"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Government should consider establishing an export credit guarantee scheme to support exporters against high risks of doing export business in the volatile great lakes region. In addition, government should strengthen the country’s trade negotiation capacity to ensure maximization of benefits from international conventions such as WTO, EBA, COMESA, AGOA, GFT, EAC and other bilateral protocols. </w:t>
      </w:r>
    </w:p>
    <w:p w14:paraId="23850A3B"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 xml:space="preserve">Urbanization </w:t>
      </w:r>
    </w:p>
    <w:p w14:paraId="41E6427D" w14:textId="22519332"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Urbanization agenda is clerly articulated in the Vision 2040 should be at the core of the development agenda for the NDPIII. The agenda outlines four metropolitan and five strategic cities. The metropolitan cities are Kampala, Mbarara, Gulu and Arua. The strategic cities are Fort-portal, Hoima, Jinja, Nakasongola and Mbale. In addition, government has increased the number of municipalities from </w:t>
      </w:r>
      <w:r w:rsidRPr="00375404">
        <w:rPr>
          <w:rFonts w:ascii="Times New Roman" w:hAnsi="Times New Roman" w:cs="Times New Roman"/>
          <w:sz w:val="24"/>
          <w:highlight w:val="yellow"/>
          <w:lang w:val="en-US"/>
        </w:rPr>
        <w:t>XX</w:t>
      </w:r>
      <w:r w:rsidRPr="00375404">
        <w:rPr>
          <w:rFonts w:ascii="Times New Roman" w:hAnsi="Times New Roman" w:cs="Times New Roman"/>
          <w:sz w:val="24"/>
          <w:lang w:val="en-US"/>
        </w:rPr>
        <w:t xml:space="preserve"> to 33. Also, the number </w:t>
      </w:r>
      <w:r w:rsidRPr="00375404">
        <w:rPr>
          <w:rFonts w:ascii="Times New Roman" w:hAnsi="Times New Roman" w:cs="Times New Roman"/>
          <w:sz w:val="24"/>
          <w:lang w:val="en-US"/>
        </w:rPr>
        <w:lastRenderedPageBreak/>
        <w:t xml:space="preserve">of town </w:t>
      </w:r>
      <w:r w:rsidR="00375404" w:rsidRPr="00375404">
        <w:rPr>
          <w:rFonts w:ascii="Times New Roman" w:hAnsi="Times New Roman" w:cs="Times New Roman"/>
          <w:sz w:val="24"/>
          <w:lang w:val="en-US"/>
        </w:rPr>
        <w:t>councils</w:t>
      </w:r>
      <w:r w:rsidRPr="00375404">
        <w:rPr>
          <w:rFonts w:ascii="Times New Roman" w:hAnsi="Times New Roman" w:cs="Times New Roman"/>
          <w:sz w:val="24"/>
          <w:lang w:val="en-US"/>
        </w:rPr>
        <w:t xml:space="preserve"> has been increased from </w:t>
      </w:r>
      <w:r w:rsidRPr="00375404">
        <w:rPr>
          <w:rFonts w:ascii="Times New Roman" w:hAnsi="Times New Roman" w:cs="Times New Roman"/>
          <w:sz w:val="24"/>
          <w:highlight w:val="yellow"/>
          <w:lang w:val="en-US"/>
        </w:rPr>
        <w:t>XX to XX.</w:t>
      </w:r>
      <w:r w:rsidRPr="00375404">
        <w:rPr>
          <w:rFonts w:ascii="Times New Roman" w:hAnsi="Times New Roman" w:cs="Times New Roman"/>
          <w:sz w:val="24"/>
          <w:lang w:val="en-US"/>
        </w:rPr>
        <w:t xml:space="preserve">   Uganda’s level of urbanisation is estimated at 23.8% (10.7 million approx.) </w:t>
      </w:r>
      <w:r w:rsidR="00375404" w:rsidRPr="00375404">
        <w:rPr>
          <w:rFonts w:ascii="Times New Roman" w:hAnsi="Times New Roman" w:cs="Times New Roman"/>
          <w:sz w:val="24"/>
          <w:lang w:val="en-US"/>
        </w:rPr>
        <w:t>and growing</w:t>
      </w:r>
      <w:r w:rsidRPr="00375404">
        <w:rPr>
          <w:rFonts w:ascii="Times New Roman" w:hAnsi="Times New Roman" w:cs="Times New Roman"/>
          <w:sz w:val="24"/>
          <w:lang w:val="en-US"/>
        </w:rPr>
        <w:t xml:space="preserve"> at 5.7% over the 2015-2020 period. Even with a relatively low rate of urbanisation, the country’s urban areas are already responsible for 70% of GDP with almost one third of that from Kampala </w:t>
      </w:r>
      <w:r w:rsidR="00375404" w:rsidRPr="00375404">
        <w:rPr>
          <w:rFonts w:ascii="Times New Roman" w:hAnsi="Times New Roman" w:cs="Times New Roman"/>
          <w:sz w:val="24"/>
          <w:lang w:val="en-US"/>
        </w:rPr>
        <w:t>alone. The</w:t>
      </w:r>
      <w:r w:rsidRPr="00375404">
        <w:rPr>
          <w:rFonts w:ascii="Times New Roman" w:hAnsi="Times New Roman" w:cs="Times New Roman"/>
          <w:sz w:val="24"/>
          <w:lang w:val="en-US"/>
        </w:rPr>
        <w:t xml:space="preserve"> approach to develop cities as metropolis such as the greater Kampala metropolitan area has failed to generate sufficient consensus from relevant stakeholders. For Kampala in particular, haphazard urbanization continues to be experienced due to poor physical planning and failure of enforcement. There is paralysis in Governance of Kampala city owing to ambiguities on leadership roles. </w:t>
      </w:r>
    </w:p>
    <w:p w14:paraId="39919312"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The development of the other metropolitan and strategic cities has been hindered by lack of requisite legal frameworks, slow physical planning processes within government and limited infrastructure financing. Limited economic activity and opportunities have also encumbered the urbanization drive. The industrialization agenda and regional balanced development will greatly catalyze urbanization across the country.Wheras Vision 2040, NDP1 and NDP2 attempted to spatially illustrate the urbanization agenda along the development corridors across the country, there will be need to have consensus between the politicians and planners on land use and settlements. </w:t>
      </w:r>
    </w:p>
    <w:p w14:paraId="20C3F554"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NDP-III should reflect a new approach of fully integrating Economic and Physical and Urban Planning into one Development Plan. These three componentss, when combined, create the over-arching “umbrella” framework for virtually all other development in the country. There are few economic, capital investment or environment/resource management initiatives that do not have a spatial component.</w:t>
      </w:r>
    </w:p>
    <w:p w14:paraId="18A75E8D" w14:textId="77777777" w:rsidR="00E634C5" w:rsidRPr="00375404" w:rsidRDefault="00E634C5" w:rsidP="00B86D0C">
      <w:pPr>
        <w:numPr>
          <w:ilvl w:val="0"/>
          <w:numId w:val="42"/>
        </w:numPr>
        <w:spacing w:line="360" w:lineRule="auto"/>
        <w:jc w:val="both"/>
        <w:rPr>
          <w:rFonts w:ascii="Times New Roman" w:hAnsi="Times New Roman" w:cs="Times New Roman"/>
          <w:b/>
          <w:sz w:val="24"/>
          <w:szCs w:val="24"/>
          <w:lang w:val="en-US"/>
        </w:rPr>
      </w:pPr>
      <w:r w:rsidRPr="00375404">
        <w:rPr>
          <w:rFonts w:ascii="Times New Roman" w:hAnsi="Times New Roman" w:cs="Times New Roman"/>
          <w:b/>
          <w:sz w:val="24"/>
          <w:szCs w:val="24"/>
          <w:lang w:val="en-US"/>
        </w:rPr>
        <w:t>Strengthening governance</w:t>
      </w:r>
    </w:p>
    <w:p w14:paraId="67E30230"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Both the NDP1 and NDP2 underscored the importance of governane with respect to political and democratic, corporate, public sector administration and accountability. Progress has been made in institutionalizing regular elections at all levels. Political party dispensation established in 1995 is gradually taking root together with significant separation of roles among the Executive, Judiciary and Legislature. There is however need for Uganda to harmonize with the rest of the partner EAC States in regard to architecture of legislative structures. In regard to corporate governance, the evaluation established shortage of corporate leaders that are a requisite to market-led corporate world.  </w:t>
      </w:r>
    </w:p>
    <w:p w14:paraId="0AD7E9C5"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lastRenderedPageBreak/>
        <w:t xml:space="preserve">Public sector administration continue to be bedeviled with inefficiencies, corruption and red tape bureaucracy emanating into poor service delivery.  The evaluation established serious flows in the inspectorate and support supervision functions across government in-spite of the recommended actions in both NDP1 and NDP2. The evaluation also established duplication of roles and mandates among the MDAs which has led to significant waste of resources, as elaborated in the Institutional thematic report. Cabinet directive on rationalizing and harmonizing agencies is in the right direction on this matter and ought to be implemented expeditiously. Additional functional analysis of the architecture of government and institutions coupled with salary enhancement are required to achieve maximum efficiency and effectiveness of public institutions. </w:t>
      </w:r>
    </w:p>
    <w:p w14:paraId="182FE77C"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The NDP1 and NDP2 advocated for strengthening the devolved functions and fiscal decentralization. However, the evaluation findings showed continuous weakening of the devolved authority of local governments and declining fiscal transfers amidst increased roles and lack of local revenue. The dominance of conditional transfers continues to erode the spirit of decentralized authority. The increased creation of local governments has further reduced the viability and capacities of districts and lower local governments. There is need to consider establishment of regional centers of planning and service delivery in order to realize the NDP3 objectives. Policy reversal on creation of districts should be considered during the NDP3.  </w:t>
      </w:r>
    </w:p>
    <w:p w14:paraId="00D04D61" w14:textId="498D6DB2"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Widespread corruption continues to erode the credibility of the country and its ability to attract quality FDI, cheap capital and   to affect the quality of service delivery. Both NDP1 and NDP2 recommended several measures for reducing </w:t>
      </w:r>
      <w:r w:rsidR="005A6015" w:rsidRPr="00375404">
        <w:rPr>
          <w:rFonts w:ascii="Times New Roman" w:hAnsi="Times New Roman" w:cs="Times New Roman"/>
          <w:sz w:val="24"/>
          <w:lang w:val="en-US"/>
        </w:rPr>
        <w:t>corruption, which</w:t>
      </w:r>
      <w:r w:rsidRPr="00375404">
        <w:rPr>
          <w:rFonts w:ascii="Times New Roman" w:hAnsi="Times New Roman" w:cs="Times New Roman"/>
          <w:sz w:val="24"/>
          <w:lang w:val="en-US"/>
        </w:rPr>
        <w:t xml:space="preserve"> included establishing reward and sanction system, putting all senior civil servants on job contracts, salary enhancement, and nurturing future public servants through a national service scheme. The evaluation established that performance contracts and salary enhancement were undertaken for permanent secretaries. Putting the rest of senior cadre of public servants on job contracts and institutionalization of the reward and sanctions system has not been implemented. Meanwhile, the implementation of the national service system remains in abeyance due to lack of consensus on institutional mandate to spearhead the training. </w:t>
      </w:r>
    </w:p>
    <w:p w14:paraId="523520BC" w14:textId="77777777" w:rsidR="00E634C5" w:rsidRPr="00375404" w:rsidRDefault="00E634C5" w:rsidP="00B86D0C">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In order to curb corruption it will be necessary to make corruption a high risk venture through prosecution, recovery of illicit property acquired through corruption and heavy sanctions on culprits. NDP based performance contracts and salary enhancement should </w:t>
      </w:r>
      <w:r w:rsidRPr="00375404">
        <w:rPr>
          <w:rFonts w:ascii="Times New Roman" w:hAnsi="Times New Roman" w:cs="Times New Roman"/>
          <w:sz w:val="24"/>
          <w:lang w:val="en-US"/>
        </w:rPr>
        <w:lastRenderedPageBreak/>
        <w:t xml:space="preserve">also be implemented for the remaining cadre across government. The National Service scheme should be expedited to provide the country with its various benefits. </w:t>
      </w:r>
    </w:p>
    <w:bookmarkEnd w:id="45"/>
    <w:p w14:paraId="515AE2B9" w14:textId="77777777" w:rsidR="00A92C7A" w:rsidRDefault="00A92C7A" w:rsidP="00B86D0C">
      <w:pPr>
        <w:spacing w:line="360" w:lineRule="auto"/>
        <w:rPr>
          <w:rFonts w:ascii="Times New Roman" w:eastAsiaTheme="majorEastAsia" w:hAnsi="Times New Roman" w:cs="Times New Roman"/>
          <w:b/>
          <w:sz w:val="28"/>
          <w:szCs w:val="32"/>
        </w:rPr>
      </w:pPr>
      <w:r>
        <w:rPr>
          <w:rFonts w:ascii="Times New Roman" w:hAnsi="Times New Roman" w:cs="Times New Roman"/>
        </w:rPr>
        <w:br w:type="page"/>
      </w:r>
    </w:p>
    <w:p w14:paraId="26AEBEED" w14:textId="000B6CD5" w:rsidR="00987C5E" w:rsidRPr="00F10F3B" w:rsidRDefault="00987C5E" w:rsidP="00B86D0C">
      <w:pPr>
        <w:pStyle w:val="Heading1"/>
        <w:numPr>
          <w:ilvl w:val="0"/>
          <w:numId w:val="45"/>
        </w:numPr>
      </w:pPr>
      <w:bookmarkStart w:id="46" w:name="_Toc3454222"/>
      <w:bookmarkStart w:id="47" w:name="_Toc9269386"/>
      <w:r w:rsidRPr="00F10F3B">
        <w:lastRenderedPageBreak/>
        <w:t>Conclusions</w:t>
      </w:r>
      <w:r w:rsidR="00D442A4" w:rsidRPr="00F10F3B">
        <w:t xml:space="preserve"> </w:t>
      </w:r>
      <w:r w:rsidR="005104CC" w:rsidRPr="00F10F3B">
        <w:t>and recommendations</w:t>
      </w:r>
      <w:bookmarkEnd w:id="46"/>
      <w:bookmarkEnd w:id="47"/>
      <w:r w:rsidR="005104CC" w:rsidRPr="00F10F3B">
        <w:t xml:space="preserve"> </w:t>
      </w:r>
    </w:p>
    <w:p w14:paraId="15F33F73" w14:textId="5F693607" w:rsidR="00174FA9" w:rsidRPr="00375404" w:rsidRDefault="00174FA9" w:rsidP="005A6015">
      <w:pPr>
        <w:pStyle w:val="ListParagraph"/>
        <w:numPr>
          <w:ilvl w:val="0"/>
          <w:numId w:val="46"/>
        </w:numPr>
        <w:spacing w:line="360" w:lineRule="auto"/>
        <w:ind w:left="426" w:hanging="426"/>
        <w:contextualSpacing w:val="0"/>
        <w:jc w:val="both"/>
        <w:rPr>
          <w:rFonts w:ascii="Times New Roman" w:hAnsi="Times New Roman" w:cs="Times New Roman"/>
          <w:sz w:val="24"/>
          <w:lang w:val="en-US"/>
        </w:rPr>
      </w:pPr>
      <w:r w:rsidRPr="00375404">
        <w:rPr>
          <w:rFonts w:ascii="Times New Roman" w:hAnsi="Times New Roman" w:cs="Times New Roman"/>
          <w:sz w:val="24"/>
          <w:lang w:val="en-US"/>
        </w:rPr>
        <w:t xml:space="preserve">This report has presented an assessment on the quality and effectiveness of NDPII’s policy and strategic direction, three years into implementation. Considering progress so far and the short-medium term macroeconomic outlook, this section provides conclusions and recommendations for the </w:t>
      </w:r>
      <w:r w:rsidR="009A2561" w:rsidRPr="00375404">
        <w:rPr>
          <w:rFonts w:ascii="Times New Roman" w:hAnsi="Times New Roman" w:cs="Times New Roman"/>
          <w:sz w:val="24"/>
          <w:lang w:val="en-US"/>
        </w:rPr>
        <w:t>Government</w:t>
      </w:r>
      <w:r w:rsidRPr="00375404">
        <w:rPr>
          <w:rFonts w:ascii="Times New Roman" w:hAnsi="Times New Roman" w:cs="Times New Roman"/>
          <w:sz w:val="24"/>
          <w:lang w:val="en-US"/>
        </w:rPr>
        <w:t xml:space="preserve"> to consider, for the remaining years of NDPII and future plans, in how best to provide guidance in Uganda’s development path. </w:t>
      </w:r>
    </w:p>
    <w:p w14:paraId="2FD5CDC2" w14:textId="074217D7"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sz w:val="24"/>
        </w:rPr>
      </w:pPr>
      <w:r w:rsidRPr="00375404">
        <w:rPr>
          <w:rFonts w:ascii="Times New Roman" w:hAnsi="Times New Roman" w:cs="Times New Roman"/>
          <w:b/>
          <w:sz w:val="24"/>
        </w:rPr>
        <w:t xml:space="preserve">The theory of change presented in NDPII is coherent. Uptake of lessons </w:t>
      </w:r>
      <w:r w:rsidR="00FF4B74" w:rsidRPr="00375404">
        <w:rPr>
          <w:rFonts w:ascii="Times New Roman" w:hAnsi="Times New Roman" w:cs="Times New Roman"/>
          <w:b/>
          <w:sz w:val="24"/>
        </w:rPr>
        <w:t xml:space="preserve">learned </w:t>
      </w:r>
      <w:r w:rsidRPr="00375404">
        <w:rPr>
          <w:rFonts w:ascii="Times New Roman" w:hAnsi="Times New Roman" w:cs="Times New Roman"/>
          <w:b/>
          <w:sz w:val="24"/>
        </w:rPr>
        <w:t xml:space="preserve">from NDPI by planners has led to a better designed NDPII. </w:t>
      </w:r>
      <w:r w:rsidRPr="00375404">
        <w:rPr>
          <w:rFonts w:ascii="Times New Roman" w:hAnsi="Times New Roman" w:cs="Times New Roman"/>
          <w:sz w:val="24"/>
        </w:rPr>
        <w:t>The logic and evidence base for NDPII’s theory of change is clearer than NDPI. NDPII has sought to focus attention on areas which will have the greatest multiplier effects</w:t>
      </w:r>
      <w:r w:rsidR="008B76AD" w:rsidRPr="00375404">
        <w:rPr>
          <w:rFonts w:ascii="Times New Roman" w:hAnsi="Times New Roman" w:cs="Times New Roman"/>
          <w:sz w:val="24"/>
        </w:rPr>
        <w:t xml:space="preserve"> for the country</w:t>
      </w:r>
      <w:r w:rsidRPr="00375404">
        <w:rPr>
          <w:rFonts w:ascii="Times New Roman" w:hAnsi="Times New Roman" w:cs="Times New Roman"/>
          <w:sz w:val="24"/>
        </w:rPr>
        <w:t xml:space="preserve">. This is a positive step. For future national development plans,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may wish to incorporate SDG targets and indicators. </w:t>
      </w:r>
    </w:p>
    <w:p w14:paraId="0BEECD79" w14:textId="005AB677" w:rsidR="00174FA9" w:rsidRPr="00375404" w:rsidRDefault="00174FA9" w:rsidP="005A6015">
      <w:pPr>
        <w:spacing w:line="360" w:lineRule="auto"/>
        <w:ind w:left="851"/>
        <w:jc w:val="both"/>
        <w:rPr>
          <w:rFonts w:ascii="Times New Roman" w:hAnsi="Times New Roman" w:cs="Times New Roman"/>
          <w:sz w:val="24"/>
        </w:rPr>
      </w:pPr>
      <w:r w:rsidRPr="00375404">
        <w:rPr>
          <w:rFonts w:ascii="Times New Roman" w:hAnsi="Times New Roman" w:cs="Times New Roman"/>
          <w:sz w:val="24"/>
          <w:u w:val="single"/>
        </w:rPr>
        <w:t>Recommendation 1:</w:t>
      </w:r>
      <w:r w:rsidR="00375404" w:rsidRPr="00375404">
        <w:rPr>
          <w:rFonts w:ascii="Times New Roman" w:hAnsi="Times New Roman" w:cs="Times New Roman"/>
          <w:sz w:val="24"/>
        </w:rPr>
        <w:t xml:space="preserve"> </w:t>
      </w:r>
      <w:r w:rsidRPr="00375404">
        <w:rPr>
          <w:rFonts w:ascii="Times New Roman" w:hAnsi="Times New Roman" w:cs="Times New Roman"/>
          <w:sz w:val="24"/>
        </w:rPr>
        <w:t xml:space="preserve">To further enhance the theory’s coherence,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could consider clearly articulating the </w:t>
      </w:r>
      <w:r w:rsidRPr="00375404">
        <w:rPr>
          <w:rFonts w:ascii="Times New Roman" w:hAnsi="Times New Roman" w:cs="Times New Roman"/>
          <w:i/>
          <w:sz w:val="24"/>
        </w:rPr>
        <w:t>evidence</w:t>
      </w:r>
      <w:r w:rsidRPr="00375404">
        <w:rPr>
          <w:rFonts w:ascii="Times New Roman" w:hAnsi="Times New Roman" w:cs="Times New Roman"/>
          <w:sz w:val="24"/>
        </w:rPr>
        <w:t xml:space="preserve"> behind the logic (i.e. why should it hold true?) and clearly documenting (in graphic form or a short paragraph) the causal framework to aid buy-in across stakeholders. To strengthen the ability to test the theory of change,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could also consider explicitly state what assumptions are in place for each building block of the theory of change to hold true and could test and monitor assumptions throughout implementation. The monitoring framework could also be expanded to ensure that </w:t>
      </w:r>
      <w:r w:rsidRPr="00375404">
        <w:rPr>
          <w:rFonts w:ascii="Times New Roman" w:hAnsi="Times New Roman" w:cs="Times New Roman"/>
          <w:i/>
          <w:sz w:val="24"/>
        </w:rPr>
        <w:t>processes</w:t>
      </w:r>
      <w:r w:rsidRPr="00375404">
        <w:rPr>
          <w:rFonts w:ascii="Times New Roman" w:hAnsi="Times New Roman" w:cs="Times New Roman"/>
          <w:sz w:val="24"/>
        </w:rPr>
        <w:t xml:space="preserve"> e.g. engaging with the private sector are also be assessed and not just the outputs o</w:t>
      </w:r>
      <w:r w:rsidR="000050C0" w:rsidRPr="00375404">
        <w:rPr>
          <w:rFonts w:ascii="Times New Roman" w:hAnsi="Times New Roman" w:cs="Times New Roman"/>
          <w:sz w:val="24"/>
        </w:rPr>
        <w:t>f</w:t>
      </w:r>
      <w:r w:rsidRPr="00375404">
        <w:rPr>
          <w:rFonts w:ascii="Times New Roman" w:hAnsi="Times New Roman" w:cs="Times New Roman"/>
          <w:sz w:val="24"/>
        </w:rPr>
        <w:t xml:space="preserve"> those processes.</w:t>
      </w:r>
    </w:p>
    <w:p w14:paraId="286AA2A0" w14:textId="03862A28"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sz w:val="24"/>
        </w:rPr>
      </w:pPr>
      <w:r w:rsidRPr="00375404">
        <w:rPr>
          <w:rFonts w:ascii="Times New Roman" w:hAnsi="Times New Roman" w:cs="Times New Roman"/>
          <w:b/>
          <w:sz w:val="24"/>
        </w:rPr>
        <w:t>The theory of change outlined in NDPII is ambitious.</w:t>
      </w:r>
      <w:r w:rsidRPr="00375404">
        <w:rPr>
          <w:rFonts w:ascii="Times New Roman" w:hAnsi="Times New Roman" w:cs="Times New Roman"/>
          <w:sz w:val="24"/>
        </w:rPr>
        <w:t xml:space="preserve"> Whilst Uganda’s development status and trends over the period 2008/9 to 2013/14 reflect an improvement in several areas,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has given itself a stretching target of reaching lower middle-income status by 2020, and to implement nine complex strategies and five multifaceted approaches in half a decade. This is no small task. At the mid-year point,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may not achieve all of the targets set out in NDPII. </w:t>
      </w:r>
    </w:p>
    <w:p w14:paraId="41715753" w14:textId="51528AD6"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Recommendation 2:</w:t>
      </w:r>
      <w:r w:rsidRPr="00375404">
        <w:rPr>
          <w:rFonts w:ascii="Times New Roman" w:hAnsi="Times New Roman" w:cs="Times New Roman"/>
          <w:b/>
          <w:sz w:val="24"/>
        </w:rPr>
        <w:t xml:space="preserve"> </w:t>
      </w:r>
      <w:r w:rsidRPr="00375404">
        <w:rPr>
          <w:rFonts w:ascii="Times New Roman" w:hAnsi="Times New Roman" w:cs="Times New Roman"/>
          <w:sz w:val="24"/>
        </w:rPr>
        <w:t xml:space="preserve">In the remaining two years of NDPII,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of Uganda may wish to reflect on</w:t>
      </w:r>
      <w:r w:rsidR="004C4D15" w:rsidRPr="00375404">
        <w:rPr>
          <w:rFonts w:ascii="Times New Roman" w:hAnsi="Times New Roman" w:cs="Times New Roman"/>
          <w:sz w:val="24"/>
        </w:rPr>
        <w:t>,</w:t>
      </w:r>
      <w:r w:rsidRPr="00375404">
        <w:rPr>
          <w:rFonts w:ascii="Times New Roman" w:hAnsi="Times New Roman" w:cs="Times New Roman"/>
          <w:sz w:val="24"/>
        </w:rPr>
        <w:t xml:space="preserve"> and revisit</w:t>
      </w:r>
      <w:r w:rsidR="004C4D15" w:rsidRPr="00375404">
        <w:rPr>
          <w:rFonts w:ascii="Times New Roman" w:hAnsi="Times New Roman" w:cs="Times New Roman"/>
          <w:sz w:val="24"/>
        </w:rPr>
        <w:t>,</w:t>
      </w:r>
      <w:r w:rsidRPr="00375404">
        <w:rPr>
          <w:rFonts w:ascii="Times New Roman" w:hAnsi="Times New Roman" w:cs="Times New Roman"/>
          <w:sz w:val="24"/>
        </w:rPr>
        <w:t xml:space="preserve"> some of the targets set-out in the Plan. Some targets e.g. GDP growth are unlikely to be achieved. </w:t>
      </w:r>
      <w:bookmarkStart w:id="48" w:name="_Hlk3571434"/>
      <w:r w:rsidRPr="00375404">
        <w:rPr>
          <w:rFonts w:ascii="Times New Roman" w:hAnsi="Times New Roman" w:cs="Times New Roman"/>
          <w:sz w:val="24"/>
        </w:rPr>
        <w:t xml:space="preserve">Looking ahead to NDPIII,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of Uganda should continue to try and formulate realistic targets but also consider building in a</w:t>
      </w:r>
      <w:r w:rsidR="00C47698" w:rsidRPr="00375404">
        <w:rPr>
          <w:rFonts w:ascii="Times New Roman" w:hAnsi="Times New Roman" w:cs="Times New Roman"/>
          <w:sz w:val="24"/>
        </w:rPr>
        <w:t xml:space="preserve">n adjustment or </w:t>
      </w:r>
      <w:r w:rsidRPr="00375404">
        <w:rPr>
          <w:rFonts w:ascii="Times New Roman" w:hAnsi="Times New Roman" w:cs="Times New Roman"/>
          <w:sz w:val="24"/>
        </w:rPr>
        <w:t xml:space="preserve">risk mitigation strategy should the assumptions </w:t>
      </w:r>
      <w:r w:rsidRPr="00375404">
        <w:rPr>
          <w:rFonts w:ascii="Times New Roman" w:hAnsi="Times New Roman" w:cs="Times New Roman"/>
          <w:sz w:val="24"/>
        </w:rPr>
        <w:lastRenderedPageBreak/>
        <w:t>behind the theory of change not hold true, and it appears that the targets may not be met. A</w:t>
      </w:r>
      <w:r w:rsidR="00C47698" w:rsidRPr="00375404">
        <w:rPr>
          <w:rFonts w:ascii="Times New Roman" w:hAnsi="Times New Roman" w:cs="Times New Roman"/>
          <w:sz w:val="24"/>
        </w:rPr>
        <w:t>n adjustment or</w:t>
      </w:r>
      <w:r w:rsidRPr="00375404">
        <w:rPr>
          <w:rFonts w:ascii="Times New Roman" w:hAnsi="Times New Roman" w:cs="Times New Roman"/>
          <w:sz w:val="24"/>
        </w:rPr>
        <w:t xml:space="preserve"> risk mitigation strategy would allow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to adjust the plan throughout the implementation period in-line with available financial resources and the external environment. Adjusting details within the plan, whilst keeping the broad focus </w:t>
      </w:r>
      <w:r w:rsidR="004C4D15" w:rsidRPr="00375404">
        <w:rPr>
          <w:rFonts w:ascii="Times New Roman" w:hAnsi="Times New Roman" w:cs="Times New Roman"/>
          <w:sz w:val="24"/>
        </w:rPr>
        <w:t>constant,</w:t>
      </w:r>
      <w:r w:rsidRPr="00375404">
        <w:rPr>
          <w:rFonts w:ascii="Times New Roman" w:hAnsi="Times New Roman" w:cs="Times New Roman"/>
          <w:sz w:val="24"/>
        </w:rPr>
        <w:t xml:space="preserve"> may help aid understanding as to why targets are not being met and what targets are realistic for the future based on historic trends. To increase the success rate in meeting the targets, greater emphasis should also be given to interventions that will address binding constraints (e.g. weak project management capacity) which in turn would help deliver the development strategies </w:t>
      </w:r>
      <w:r w:rsidR="00616F96" w:rsidRPr="00375404">
        <w:rPr>
          <w:rFonts w:ascii="Times New Roman" w:hAnsi="Times New Roman" w:cs="Times New Roman"/>
          <w:sz w:val="24"/>
        </w:rPr>
        <w:t xml:space="preserve">outlined in NDPII </w:t>
      </w:r>
      <w:r w:rsidRPr="00375404">
        <w:rPr>
          <w:rFonts w:ascii="Times New Roman" w:hAnsi="Times New Roman" w:cs="Times New Roman"/>
          <w:sz w:val="24"/>
        </w:rPr>
        <w:t xml:space="preserve">(e.g. number eight, strengthening governance). Emphasis on the interventions should include details on </w:t>
      </w:r>
      <w:r w:rsidRPr="00375404">
        <w:rPr>
          <w:rFonts w:ascii="Times New Roman" w:hAnsi="Times New Roman" w:cs="Times New Roman"/>
          <w:i/>
          <w:sz w:val="24"/>
        </w:rPr>
        <w:t>how</w:t>
      </w:r>
      <w:r w:rsidRPr="00375404">
        <w:rPr>
          <w:rFonts w:ascii="Times New Roman" w:hAnsi="Times New Roman" w:cs="Times New Roman"/>
          <w:sz w:val="24"/>
        </w:rPr>
        <w:t xml:space="preserve"> the constraints will be address</w:t>
      </w:r>
      <w:r w:rsidR="00616F96" w:rsidRPr="00375404">
        <w:rPr>
          <w:rFonts w:ascii="Times New Roman" w:hAnsi="Times New Roman" w:cs="Times New Roman"/>
          <w:sz w:val="24"/>
        </w:rPr>
        <w:t>ed</w:t>
      </w:r>
      <w:r w:rsidRPr="00375404">
        <w:rPr>
          <w:rFonts w:ascii="Times New Roman" w:hAnsi="Times New Roman" w:cs="Times New Roman"/>
          <w:sz w:val="24"/>
        </w:rPr>
        <w:t xml:space="preserve"> and funded consistently.</w:t>
      </w:r>
    </w:p>
    <w:bookmarkEnd w:id="48"/>
    <w:p w14:paraId="2EBDFB6F" w14:textId="76B816B0"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sz w:val="24"/>
        </w:rPr>
      </w:pPr>
      <w:r w:rsidRPr="00375404">
        <w:rPr>
          <w:rFonts w:ascii="Times New Roman" w:hAnsi="Times New Roman" w:cs="Times New Roman"/>
          <w:b/>
          <w:sz w:val="24"/>
        </w:rPr>
        <w:t xml:space="preserve">Articulation and implementation of NDPII’s Policy and Strategic Direction could be strengthened by ensuring that sector clustering is logical and complete. </w:t>
      </w:r>
      <w:bookmarkStart w:id="49" w:name="_Hlk3571643"/>
      <w:r w:rsidRPr="00375404">
        <w:rPr>
          <w:rFonts w:ascii="Times New Roman" w:hAnsi="Times New Roman" w:cs="Times New Roman"/>
          <w:sz w:val="24"/>
        </w:rPr>
        <w:t xml:space="preserve">Without clear clustering and understanding of how individual agencies with different outcomes/objectives interact, it will be difficult to achieve policy co-ordination within and across sectors. This is particularly important for cross-cutting programmes such as tourism, skills development and industrialisation. </w:t>
      </w:r>
      <w:bookmarkEnd w:id="49"/>
      <w:r w:rsidRPr="00375404">
        <w:rPr>
          <w:rFonts w:ascii="Times New Roman" w:hAnsi="Times New Roman" w:cs="Times New Roman"/>
          <w:sz w:val="24"/>
        </w:rPr>
        <w:t>The policy and strategic direction of the plan could also be strengthened by explicitly stating the desired phasing and sequencing of implementation</w:t>
      </w:r>
      <w:r w:rsidR="00434BB7" w:rsidRPr="00375404">
        <w:rPr>
          <w:rFonts w:ascii="Times New Roman" w:hAnsi="Times New Roman" w:cs="Times New Roman"/>
          <w:sz w:val="24"/>
        </w:rPr>
        <w:t>,</w:t>
      </w:r>
      <w:r w:rsidRPr="00375404">
        <w:rPr>
          <w:rFonts w:ascii="Times New Roman" w:hAnsi="Times New Roman" w:cs="Times New Roman"/>
          <w:sz w:val="24"/>
        </w:rPr>
        <w:t xml:space="preserve"> and the interconnectedness of sectors.</w:t>
      </w:r>
    </w:p>
    <w:p w14:paraId="0F795E22" w14:textId="1F1CA0DD"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Recommendation 3:</w:t>
      </w:r>
      <w:r w:rsidR="00434BB7" w:rsidRPr="00375404">
        <w:rPr>
          <w:rFonts w:ascii="Times New Roman" w:hAnsi="Times New Roman" w:cs="Times New Roman"/>
          <w:sz w:val="24"/>
        </w:rPr>
        <w:t xml:space="preserve"> </w:t>
      </w:r>
      <w:bookmarkStart w:id="50" w:name="_Hlk3571691"/>
      <w:r w:rsidR="00434BB7" w:rsidRPr="00375404">
        <w:rPr>
          <w:rFonts w:ascii="Times New Roman" w:hAnsi="Times New Roman" w:cs="Times New Roman"/>
          <w:sz w:val="24"/>
        </w:rPr>
        <w:t>Review current sector clustering and ensure that it is logical and fit-for-purpose.</w:t>
      </w:r>
      <w:bookmarkEnd w:id="50"/>
      <w:r w:rsidR="00434BB7" w:rsidRPr="00375404">
        <w:rPr>
          <w:rFonts w:ascii="Times New Roman" w:hAnsi="Times New Roman" w:cs="Times New Roman"/>
          <w:sz w:val="24"/>
        </w:rPr>
        <w:t xml:space="preserve"> </w:t>
      </w:r>
      <w:bookmarkStart w:id="51" w:name="_Hlk3571705"/>
      <w:r w:rsidR="00434BB7" w:rsidRPr="00375404">
        <w:rPr>
          <w:rFonts w:ascii="Times New Roman" w:hAnsi="Times New Roman" w:cs="Times New Roman"/>
          <w:sz w:val="24"/>
        </w:rPr>
        <w:t>Once reviewed</w:t>
      </w:r>
      <w:r w:rsidR="006977B2" w:rsidRPr="00375404">
        <w:rPr>
          <w:rFonts w:ascii="Times New Roman" w:hAnsi="Times New Roman" w:cs="Times New Roman"/>
          <w:sz w:val="24"/>
        </w:rPr>
        <w:t>, and revised as necessary,</w:t>
      </w:r>
      <w:r w:rsidR="00434BB7" w:rsidRPr="00375404">
        <w:rPr>
          <w:rFonts w:ascii="Times New Roman" w:hAnsi="Times New Roman" w:cs="Times New Roman"/>
          <w:sz w:val="24"/>
        </w:rPr>
        <w:t xml:space="preserve"> look to </w:t>
      </w:r>
      <w:r w:rsidR="0075590F" w:rsidRPr="00375404">
        <w:rPr>
          <w:rFonts w:ascii="Times New Roman" w:hAnsi="Times New Roman" w:cs="Times New Roman"/>
          <w:sz w:val="24"/>
        </w:rPr>
        <w:t>strengthen intra-and-inter sector co-ordination through clear performance metrics</w:t>
      </w:r>
      <w:r w:rsidR="00B2169D" w:rsidRPr="00375404">
        <w:rPr>
          <w:rFonts w:ascii="Times New Roman" w:hAnsi="Times New Roman" w:cs="Times New Roman"/>
          <w:sz w:val="24"/>
        </w:rPr>
        <w:t xml:space="preserve">. Administering and enforcing performance contracts at both political and technical levels from </w:t>
      </w:r>
      <w:r w:rsidR="00BF7792" w:rsidRPr="00375404">
        <w:rPr>
          <w:rFonts w:ascii="Times New Roman" w:hAnsi="Times New Roman" w:cs="Times New Roman"/>
          <w:sz w:val="24"/>
        </w:rPr>
        <w:t xml:space="preserve">Ministers, Permanent Secretaries, up-to commissioner levels (or equivalents) though clear annualised performance targets in line with NDPII may help </w:t>
      </w:r>
      <w:r w:rsidR="008E3E2B" w:rsidRPr="00375404">
        <w:rPr>
          <w:rFonts w:ascii="Times New Roman" w:hAnsi="Times New Roman" w:cs="Times New Roman"/>
          <w:sz w:val="24"/>
        </w:rPr>
        <w:t>provide clarity on what each MDA and sector is responsible for</w:t>
      </w:r>
      <w:r w:rsidR="001E3FEA" w:rsidRPr="00375404">
        <w:rPr>
          <w:rFonts w:ascii="Times New Roman" w:hAnsi="Times New Roman" w:cs="Times New Roman"/>
          <w:sz w:val="24"/>
        </w:rPr>
        <w:t xml:space="preserve"> and </w:t>
      </w:r>
      <w:r w:rsidR="006977B2" w:rsidRPr="00375404">
        <w:rPr>
          <w:rFonts w:ascii="Times New Roman" w:hAnsi="Times New Roman" w:cs="Times New Roman"/>
          <w:sz w:val="24"/>
        </w:rPr>
        <w:t xml:space="preserve">change behaviour towards closer collaboration.  </w:t>
      </w:r>
    </w:p>
    <w:bookmarkEnd w:id="51"/>
    <w:p w14:paraId="76650FF8" w14:textId="65DE7519"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375404">
        <w:rPr>
          <w:rFonts w:ascii="Times New Roman" w:hAnsi="Times New Roman" w:cs="Times New Roman"/>
          <w:b/>
          <w:sz w:val="24"/>
        </w:rPr>
        <w:t xml:space="preserve">Improvements in the </w:t>
      </w:r>
      <w:r w:rsidRPr="00375404">
        <w:rPr>
          <w:rFonts w:ascii="Times New Roman" w:hAnsi="Times New Roman" w:cs="Times New Roman"/>
          <w:b/>
          <w:i/>
          <w:sz w:val="24"/>
        </w:rPr>
        <w:t xml:space="preserve">quality </w:t>
      </w:r>
      <w:r w:rsidRPr="00375404">
        <w:rPr>
          <w:rFonts w:ascii="Times New Roman" w:hAnsi="Times New Roman" w:cs="Times New Roman"/>
          <w:b/>
          <w:sz w:val="24"/>
        </w:rPr>
        <w:t xml:space="preserve">of </w:t>
      </w:r>
      <w:r w:rsidR="009A2561" w:rsidRPr="00375404">
        <w:rPr>
          <w:rFonts w:ascii="Times New Roman" w:hAnsi="Times New Roman" w:cs="Times New Roman"/>
          <w:b/>
          <w:sz w:val="24"/>
        </w:rPr>
        <w:t>Government</w:t>
      </w:r>
      <w:r w:rsidRPr="00375404">
        <w:rPr>
          <w:rFonts w:ascii="Times New Roman" w:hAnsi="Times New Roman" w:cs="Times New Roman"/>
          <w:b/>
          <w:sz w:val="24"/>
        </w:rPr>
        <w:t xml:space="preserve"> policies, plans and strategies could help improve implementation of NDPII and future plans. </w:t>
      </w:r>
      <w:r w:rsidRPr="00375404">
        <w:rPr>
          <w:rFonts w:ascii="Times New Roman" w:hAnsi="Times New Roman" w:cs="Times New Roman"/>
          <w:sz w:val="24"/>
        </w:rPr>
        <w:t xml:space="preserve">A sample analysis of 64 policies revealed that most had done a good or excellent job at identifying the problem that needs to be addressed. However, in most cases improvements are needed in the communication and dissemination of the policy and in ensuring cross-analysis against </w:t>
      </w:r>
      <w:r w:rsidRPr="00375404">
        <w:rPr>
          <w:rFonts w:ascii="Times New Roman" w:hAnsi="Times New Roman" w:cs="Times New Roman"/>
          <w:sz w:val="24"/>
        </w:rPr>
        <w:lastRenderedPageBreak/>
        <w:t>other policies</w:t>
      </w:r>
      <w:r w:rsidR="005279AA" w:rsidRPr="00375404">
        <w:rPr>
          <w:rFonts w:ascii="Times New Roman" w:hAnsi="Times New Roman" w:cs="Times New Roman"/>
          <w:sz w:val="24"/>
        </w:rPr>
        <w:t xml:space="preserve"> takes place</w:t>
      </w:r>
      <w:r w:rsidRPr="00375404">
        <w:rPr>
          <w:rFonts w:ascii="Times New Roman" w:hAnsi="Times New Roman" w:cs="Times New Roman"/>
          <w:sz w:val="24"/>
        </w:rPr>
        <w:t xml:space="preserve">. There is also a need </w:t>
      </w:r>
      <w:r w:rsidR="005279AA" w:rsidRPr="00375404">
        <w:rPr>
          <w:rFonts w:ascii="Times New Roman" w:hAnsi="Times New Roman" w:cs="Times New Roman"/>
          <w:sz w:val="24"/>
        </w:rPr>
        <w:t xml:space="preserve">to </w:t>
      </w:r>
      <w:r w:rsidRPr="00375404">
        <w:rPr>
          <w:rFonts w:ascii="Times New Roman" w:hAnsi="Times New Roman" w:cs="Times New Roman"/>
          <w:sz w:val="24"/>
        </w:rPr>
        <w:t xml:space="preserve">increase awareness across the civil service on the different options available to address a public problem, need or issue. </w:t>
      </w:r>
      <w:r w:rsidR="00317E18" w:rsidRPr="00375404">
        <w:rPr>
          <w:rFonts w:ascii="Times New Roman" w:hAnsi="Times New Roman" w:cs="Times New Roman"/>
          <w:sz w:val="24"/>
        </w:rPr>
        <w:t>Drafting a policy, plan or strategy may not be the most suitable solution.</w:t>
      </w:r>
    </w:p>
    <w:p w14:paraId="3215D1A1" w14:textId="1A3C0424"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 xml:space="preserve">Recommendation 4: </w:t>
      </w:r>
      <w:r w:rsidRPr="00375404">
        <w:rPr>
          <w:rFonts w:ascii="Times New Roman" w:hAnsi="Times New Roman" w:cs="Times New Roman"/>
          <w:sz w:val="24"/>
        </w:rPr>
        <w:t xml:space="preserve">Moving forward </w:t>
      </w:r>
      <w:bookmarkStart w:id="52" w:name="_Hlk3571910"/>
      <w:r w:rsidRPr="00375404">
        <w:rPr>
          <w:rFonts w:ascii="Times New Roman" w:hAnsi="Times New Roman" w:cs="Times New Roman"/>
          <w:sz w:val="24"/>
        </w:rPr>
        <w:t xml:space="preserve">it is recommended that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w:t>
      </w:r>
      <w:r w:rsidR="00161174" w:rsidRPr="00375404">
        <w:rPr>
          <w:rFonts w:ascii="Times New Roman" w:hAnsi="Times New Roman" w:cs="Times New Roman"/>
          <w:sz w:val="24"/>
        </w:rPr>
        <w:t>continues to compile an inventory of policies, plans and strategies in relation to NDPII. At present it appears that the NPA and the Office of the President have separate inventories, with different information. Pooling resources and sharing best practice across agencies may help in ensuring that the right policies are being produced to the required standard.</w:t>
      </w:r>
      <w:bookmarkEnd w:id="52"/>
      <w:r w:rsidR="00161174" w:rsidRPr="00375404">
        <w:rPr>
          <w:rFonts w:ascii="Times New Roman" w:hAnsi="Times New Roman" w:cs="Times New Roman"/>
          <w:sz w:val="24"/>
        </w:rPr>
        <w:t xml:space="preserve"> </w:t>
      </w:r>
      <w:bookmarkStart w:id="53" w:name="_Hlk3571949"/>
      <w:r w:rsidR="00161174" w:rsidRPr="00375404">
        <w:rPr>
          <w:rFonts w:ascii="Times New Roman" w:hAnsi="Times New Roman" w:cs="Times New Roman"/>
          <w:sz w:val="24"/>
        </w:rPr>
        <w:t xml:space="preserve">A complete inventory would also assist the </w:t>
      </w:r>
      <w:r w:rsidR="009A2561" w:rsidRPr="00375404">
        <w:rPr>
          <w:rFonts w:ascii="Times New Roman" w:hAnsi="Times New Roman" w:cs="Times New Roman"/>
          <w:sz w:val="24"/>
        </w:rPr>
        <w:t>Government</w:t>
      </w:r>
      <w:r w:rsidR="00161174" w:rsidRPr="00375404">
        <w:rPr>
          <w:rFonts w:ascii="Times New Roman" w:hAnsi="Times New Roman" w:cs="Times New Roman"/>
          <w:sz w:val="24"/>
        </w:rPr>
        <w:t xml:space="preserve"> in determining if the behaviour and policy direction of MDAs has changed as a result of having a National Development Plan, and in identifying duplication and gaps. </w:t>
      </w:r>
      <w:bookmarkStart w:id="54" w:name="_Hlk3571956"/>
      <w:bookmarkEnd w:id="53"/>
      <w:r w:rsidR="00161174" w:rsidRPr="00375404">
        <w:rPr>
          <w:rFonts w:ascii="Times New Roman" w:hAnsi="Times New Roman" w:cs="Times New Roman"/>
          <w:sz w:val="24"/>
        </w:rPr>
        <w:t xml:space="preserve">It is also recommended that the </w:t>
      </w:r>
      <w:r w:rsidR="009A2561" w:rsidRPr="00375404">
        <w:rPr>
          <w:rFonts w:ascii="Times New Roman" w:hAnsi="Times New Roman" w:cs="Times New Roman"/>
          <w:sz w:val="24"/>
        </w:rPr>
        <w:t>Government</w:t>
      </w:r>
      <w:r w:rsidR="00161174" w:rsidRPr="00375404">
        <w:rPr>
          <w:rFonts w:ascii="Times New Roman" w:hAnsi="Times New Roman" w:cs="Times New Roman"/>
          <w:sz w:val="24"/>
        </w:rPr>
        <w:t xml:space="preserve"> renews its </w:t>
      </w:r>
      <w:r w:rsidRPr="00375404">
        <w:rPr>
          <w:rFonts w:ascii="Times New Roman" w:hAnsi="Times New Roman" w:cs="Times New Roman"/>
          <w:sz w:val="24"/>
        </w:rPr>
        <w:t xml:space="preserve">commitment to develop the capacity of the policy analyst cadre, guidance on what good policies, plans and strategies look like, and when each intervention (or alternatives) are appropriate. </w:t>
      </w:r>
    </w:p>
    <w:bookmarkEnd w:id="54"/>
    <w:p w14:paraId="507185F0" w14:textId="7E9C3CF7"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375404">
        <w:rPr>
          <w:rFonts w:ascii="Times New Roman" w:hAnsi="Times New Roman" w:cs="Times New Roman"/>
          <w:b/>
          <w:sz w:val="24"/>
        </w:rPr>
        <w:t xml:space="preserve">Several key policies to guide the delivery of NDPII objectives have not yet been developed and/or aligned to NDPII. </w:t>
      </w:r>
      <w:bookmarkStart w:id="55" w:name="_Hlk3572184"/>
      <w:r w:rsidRPr="00375404">
        <w:rPr>
          <w:rFonts w:ascii="Times New Roman" w:hAnsi="Times New Roman" w:cs="Times New Roman"/>
          <w:sz w:val="24"/>
        </w:rPr>
        <w:t>The development and/or improvement of six key policies, with linked funding may help increase the likelihood of delivering on NDPII’s targets. The six key policy areas identified in this MTR includes the need for: a comprehensive industrialisation strategy; an improved budget strategy which focuses more explicitly on improving domestic revenue mobilisation and aligning financial resources to NDPII; an inclusive growth index, improved regional and local development planning and fiscal decentralisation; continued investment in green growth policies; and an explicit human capital development strategy.</w:t>
      </w:r>
    </w:p>
    <w:bookmarkEnd w:id="55"/>
    <w:p w14:paraId="2F50F9C6" w14:textId="4D9404D3" w:rsidR="00174FA9" w:rsidRPr="00375404" w:rsidRDefault="00174FA9" w:rsidP="005A6015">
      <w:pPr>
        <w:pStyle w:val="ListParagraph"/>
        <w:spacing w:line="360" w:lineRule="auto"/>
        <w:ind w:left="851"/>
        <w:contextualSpacing w:val="0"/>
        <w:jc w:val="both"/>
        <w:rPr>
          <w:rFonts w:ascii="Times New Roman" w:hAnsi="Times New Roman" w:cs="Times New Roman"/>
          <w:b/>
          <w:sz w:val="24"/>
        </w:rPr>
      </w:pPr>
      <w:r w:rsidRPr="00375404">
        <w:rPr>
          <w:rFonts w:ascii="Times New Roman" w:hAnsi="Times New Roman" w:cs="Times New Roman"/>
          <w:sz w:val="24"/>
          <w:u w:val="single"/>
        </w:rPr>
        <w:t>Recommendation 5:</w:t>
      </w:r>
      <w:r w:rsidR="00271244" w:rsidRPr="00375404">
        <w:rPr>
          <w:rFonts w:ascii="Times New Roman" w:hAnsi="Times New Roman" w:cs="Times New Roman"/>
          <w:sz w:val="24"/>
          <w:u w:val="single"/>
        </w:rPr>
        <w:t xml:space="preserve"> </w:t>
      </w:r>
      <w:r w:rsidR="00271244" w:rsidRPr="00375404">
        <w:rPr>
          <w:rFonts w:ascii="Times New Roman" w:hAnsi="Times New Roman" w:cs="Times New Roman"/>
          <w:sz w:val="24"/>
        </w:rPr>
        <w:t xml:space="preserve">It is recommended that the </w:t>
      </w:r>
      <w:r w:rsidR="009A2561" w:rsidRPr="00375404">
        <w:rPr>
          <w:rFonts w:ascii="Times New Roman" w:hAnsi="Times New Roman" w:cs="Times New Roman"/>
          <w:sz w:val="24"/>
        </w:rPr>
        <w:t>Government</w:t>
      </w:r>
      <w:r w:rsidR="00271244" w:rsidRPr="00375404">
        <w:rPr>
          <w:rFonts w:ascii="Times New Roman" w:hAnsi="Times New Roman" w:cs="Times New Roman"/>
          <w:sz w:val="24"/>
        </w:rPr>
        <w:t xml:space="preserve"> considers developing the policy gaps identified in this report and provides associated funding, as required. </w:t>
      </w:r>
    </w:p>
    <w:p w14:paraId="7C05C8CA" w14:textId="632C7DD9"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375404">
        <w:rPr>
          <w:rFonts w:ascii="Times New Roman" w:hAnsi="Times New Roman" w:cs="Times New Roman"/>
          <w:b/>
          <w:sz w:val="24"/>
        </w:rPr>
        <w:t xml:space="preserve">NDPII identifies 11 pre-requisites required for successful NDPII implementation. </w:t>
      </w:r>
      <w:r w:rsidRPr="00375404">
        <w:rPr>
          <w:rFonts w:ascii="Times New Roman" w:hAnsi="Times New Roman" w:cs="Times New Roman"/>
          <w:sz w:val="24"/>
        </w:rPr>
        <w:t>This is a positive step and builds on the identification of pre-conditions needed for effective implementation under NDPI. A review, however, on the status of the pre-conditions reveals that more work needs to be done to ensure that the</w:t>
      </w:r>
      <w:r w:rsidR="00271244" w:rsidRPr="00375404">
        <w:rPr>
          <w:rFonts w:ascii="Times New Roman" w:hAnsi="Times New Roman" w:cs="Times New Roman"/>
          <w:sz w:val="24"/>
        </w:rPr>
        <w:t>se</w:t>
      </w:r>
      <w:r w:rsidRPr="00375404">
        <w:rPr>
          <w:rFonts w:ascii="Times New Roman" w:hAnsi="Times New Roman" w:cs="Times New Roman"/>
          <w:sz w:val="24"/>
        </w:rPr>
        <w:t xml:space="preserve"> are in place and/or being developed. In particular, there is a need to increase meaningful engagement with the private sector and civil society and invest in building </w:t>
      </w:r>
      <w:r w:rsidRPr="00375404">
        <w:rPr>
          <w:rFonts w:ascii="Times New Roman" w:hAnsi="Times New Roman" w:cs="Times New Roman"/>
          <w:sz w:val="24"/>
        </w:rPr>
        <w:lastRenderedPageBreak/>
        <w:t>good governance – political will, ownership, reduced corruption, effective use of M&amp;E and information for decision-making.</w:t>
      </w:r>
      <w:r w:rsidR="00271244" w:rsidRPr="00375404">
        <w:rPr>
          <w:rFonts w:ascii="Times New Roman" w:hAnsi="Times New Roman" w:cs="Times New Roman"/>
          <w:sz w:val="24"/>
        </w:rPr>
        <w:t xml:space="preserve"> Whilst these are not small tasks, </w:t>
      </w:r>
      <w:r w:rsidR="00C92F32" w:rsidRPr="00375404">
        <w:rPr>
          <w:rFonts w:ascii="Times New Roman" w:hAnsi="Times New Roman" w:cs="Times New Roman"/>
          <w:sz w:val="24"/>
        </w:rPr>
        <w:t>incremental efforts can and should be made in the remaining years of NDPII to ensure that NDPII has a greater chance of success.</w:t>
      </w:r>
    </w:p>
    <w:p w14:paraId="2E85E65E" w14:textId="37D7C3FC"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Recommendation 6:</w:t>
      </w:r>
      <w:r w:rsidR="00F00FC5" w:rsidRPr="00375404">
        <w:rPr>
          <w:rFonts w:ascii="Times New Roman" w:hAnsi="Times New Roman" w:cs="Times New Roman"/>
          <w:sz w:val="24"/>
        </w:rPr>
        <w:t xml:space="preserve"> To </w:t>
      </w:r>
      <w:r w:rsidR="00006686" w:rsidRPr="00375404">
        <w:rPr>
          <w:rFonts w:ascii="Times New Roman" w:hAnsi="Times New Roman" w:cs="Times New Roman"/>
          <w:sz w:val="24"/>
        </w:rPr>
        <w:t xml:space="preserve">ensure that the pre-conditions are in place and/or being developed the </w:t>
      </w:r>
      <w:r w:rsidR="009A2561" w:rsidRPr="00375404">
        <w:rPr>
          <w:rFonts w:ascii="Times New Roman" w:hAnsi="Times New Roman" w:cs="Times New Roman"/>
          <w:sz w:val="24"/>
        </w:rPr>
        <w:t>Government</w:t>
      </w:r>
      <w:r w:rsidR="00006686" w:rsidRPr="00375404">
        <w:rPr>
          <w:rFonts w:ascii="Times New Roman" w:hAnsi="Times New Roman" w:cs="Times New Roman"/>
          <w:sz w:val="24"/>
        </w:rPr>
        <w:t xml:space="preserve"> could consider the following initiatives. Firstly, t</w:t>
      </w:r>
      <w:r w:rsidRPr="00375404">
        <w:rPr>
          <w:rFonts w:ascii="Times New Roman" w:hAnsi="Times New Roman" w:cs="Times New Roman"/>
          <w:sz w:val="24"/>
        </w:rPr>
        <w:t xml:space="preserve">raction with bureaucracy and the public on NDPII needs to be constant. </w:t>
      </w:r>
      <w:r w:rsidR="00006686" w:rsidRPr="00375404">
        <w:rPr>
          <w:rFonts w:ascii="Times New Roman" w:hAnsi="Times New Roman" w:cs="Times New Roman"/>
          <w:sz w:val="24"/>
        </w:rPr>
        <w:t>As such, a</w:t>
      </w:r>
      <w:r w:rsidRPr="00375404">
        <w:rPr>
          <w:rFonts w:ascii="Times New Roman" w:hAnsi="Times New Roman" w:cs="Times New Roman"/>
          <w:sz w:val="24"/>
        </w:rPr>
        <w:t xml:space="preserve">n Annual NDP Monitoring Forum, convened by the Presidency to examine the Plan’s progress could be one step; smaller and more focused meetings convened by the NPA with MDAs and non-state actors would </w:t>
      </w:r>
      <w:r w:rsidR="00006686" w:rsidRPr="00375404">
        <w:rPr>
          <w:rFonts w:ascii="Times New Roman" w:hAnsi="Times New Roman" w:cs="Times New Roman"/>
          <w:sz w:val="24"/>
        </w:rPr>
        <w:t xml:space="preserve">also </w:t>
      </w:r>
      <w:r w:rsidRPr="00375404">
        <w:rPr>
          <w:rFonts w:ascii="Times New Roman" w:hAnsi="Times New Roman" w:cs="Times New Roman"/>
          <w:sz w:val="24"/>
        </w:rPr>
        <w:t xml:space="preserve">help ensure that the necessary governance-related pre-conditions are in place and/or are being addressed. </w:t>
      </w:r>
      <w:r w:rsidR="00006686" w:rsidRPr="00375404">
        <w:rPr>
          <w:rFonts w:ascii="Times New Roman" w:hAnsi="Times New Roman" w:cs="Times New Roman"/>
          <w:sz w:val="24"/>
        </w:rPr>
        <w:t xml:space="preserve">Secondly, </w:t>
      </w:r>
      <w:r w:rsidR="009A2561" w:rsidRPr="00375404">
        <w:rPr>
          <w:rFonts w:ascii="Times New Roman" w:hAnsi="Times New Roman" w:cs="Times New Roman"/>
          <w:sz w:val="24"/>
        </w:rPr>
        <w:t>Government</w:t>
      </w:r>
      <w:r w:rsidR="00105007" w:rsidRPr="00375404">
        <w:rPr>
          <w:rFonts w:ascii="Times New Roman" w:hAnsi="Times New Roman" w:cs="Times New Roman"/>
          <w:sz w:val="24"/>
        </w:rPr>
        <w:t xml:space="preserve"> could ensure that </w:t>
      </w:r>
      <w:r w:rsidRPr="00375404">
        <w:rPr>
          <w:rFonts w:ascii="Times New Roman" w:hAnsi="Times New Roman" w:cs="Times New Roman"/>
          <w:sz w:val="24"/>
        </w:rPr>
        <w:t xml:space="preserve">roles and responsibilities across MDAs in relation to M&amp;E </w:t>
      </w:r>
      <w:r w:rsidR="00105007" w:rsidRPr="00375404">
        <w:rPr>
          <w:rFonts w:ascii="Times New Roman" w:hAnsi="Times New Roman" w:cs="Times New Roman"/>
          <w:sz w:val="24"/>
        </w:rPr>
        <w:t>are</w:t>
      </w:r>
      <w:r w:rsidRPr="00375404">
        <w:rPr>
          <w:rFonts w:ascii="Times New Roman" w:hAnsi="Times New Roman" w:cs="Times New Roman"/>
          <w:sz w:val="24"/>
        </w:rPr>
        <w:t xml:space="preserve"> clea</w:t>
      </w:r>
      <w:r w:rsidR="00105007" w:rsidRPr="00375404">
        <w:rPr>
          <w:rFonts w:ascii="Times New Roman" w:hAnsi="Times New Roman" w:cs="Times New Roman"/>
          <w:sz w:val="24"/>
        </w:rPr>
        <w:t xml:space="preserve"> and seek to </w:t>
      </w:r>
      <w:r w:rsidRPr="00375404">
        <w:rPr>
          <w:rFonts w:ascii="Times New Roman" w:hAnsi="Times New Roman" w:cs="Times New Roman"/>
          <w:sz w:val="24"/>
        </w:rPr>
        <w:t>improv</w:t>
      </w:r>
      <w:r w:rsidR="00105007" w:rsidRPr="00375404">
        <w:rPr>
          <w:rFonts w:ascii="Times New Roman" w:hAnsi="Times New Roman" w:cs="Times New Roman"/>
          <w:sz w:val="24"/>
        </w:rPr>
        <w:t xml:space="preserve">e </w:t>
      </w:r>
      <w:r w:rsidRPr="00375404">
        <w:rPr>
          <w:rFonts w:ascii="Times New Roman" w:hAnsi="Times New Roman" w:cs="Times New Roman"/>
          <w:sz w:val="24"/>
        </w:rPr>
        <w:t>the availability and timeliness of information to inform decision-making e.g. budget allocation</w:t>
      </w:r>
      <w:r w:rsidR="00105007" w:rsidRPr="00375404">
        <w:rPr>
          <w:rFonts w:ascii="Times New Roman" w:hAnsi="Times New Roman" w:cs="Times New Roman"/>
          <w:sz w:val="24"/>
        </w:rPr>
        <w:t xml:space="preserve">. Lastly, to reduce incidences of corruption,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could </w:t>
      </w:r>
      <w:r w:rsidR="00105007" w:rsidRPr="00375404">
        <w:rPr>
          <w:rFonts w:ascii="Times New Roman" w:hAnsi="Times New Roman" w:cs="Times New Roman"/>
          <w:sz w:val="24"/>
        </w:rPr>
        <w:t xml:space="preserve">ensure that it is providing </w:t>
      </w:r>
      <w:r w:rsidRPr="00375404">
        <w:rPr>
          <w:rFonts w:ascii="Times New Roman" w:hAnsi="Times New Roman" w:cs="Times New Roman"/>
          <w:sz w:val="24"/>
        </w:rPr>
        <w:t>sufficient funding for anti-corruption bodies</w:t>
      </w:r>
      <w:r w:rsidR="00E55C77" w:rsidRPr="00375404">
        <w:rPr>
          <w:rFonts w:ascii="Times New Roman" w:hAnsi="Times New Roman" w:cs="Times New Roman"/>
          <w:sz w:val="24"/>
        </w:rPr>
        <w:t xml:space="preserve"> (and penal bodies)</w:t>
      </w:r>
      <w:r w:rsidRPr="00375404">
        <w:rPr>
          <w:rFonts w:ascii="Times New Roman" w:hAnsi="Times New Roman" w:cs="Times New Roman"/>
          <w:sz w:val="24"/>
        </w:rPr>
        <w:t xml:space="preserve">, particularly the Auditor General, Inspectorate of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and Public Accounts Committee</w:t>
      </w:r>
      <w:r w:rsidR="00105007" w:rsidRPr="00375404">
        <w:rPr>
          <w:rFonts w:ascii="Times New Roman" w:hAnsi="Times New Roman" w:cs="Times New Roman"/>
          <w:sz w:val="24"/>
        </w:rPr>
        <w:t xml:space="preserve"> and </w:t>
      </w:r>
      <w:r w:rsidRPr="00375404">
        <w:rPr>
          <w:rFonts w:ascii="Times New Roman" w:hAnsi="Times New Roman" w:cs="Times New Roman"/>
          <w:sz w:val="24"/>
        </w:rPr>
        <w:t>supporting citizen action against corruption</w:t>
      </w:r>
      <w:r w:rsidR="00105007" w:rsidRPr="00375404">
        <w:rPr>
          <w:rFonts w:ascii="Times New Roman" w:hAnsi="Times New Roman" w:cs="Times New Roman"/>
          <w:sz w:val="24"/>
        </w:rPr>
        <w:t xml:space="preserve">. </w:t>
      </w:r>
    </w:p>
    <w:p w14:paraId="61E36E1A" w14:textId="2503CBF8"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375404">
        <w:rPr>
          <w:rFonts w:ascii="Times New Roman" w:hAnsi="Times New Roman" w:cs="Times New Roman"/>
          <w:b/>
          <w:sz w:val="24"/>
        </w:rPr>
        <w:t>Economic growth has fluctuated over the review period and is below the NDPII target of 6.3%. Growth has also not been as inclusive as desired</w:t>
      </w:r>
      <w:r w:rsidRPr="00375404">
        <w:rPr>
          <w:rFonts w:ascii="Times New Roman" w:hAnsi="Times New Roman" w:cs="Times New Roman"/>
          <w:sz w:val="24"/>
        </w:rPr>
        <w:t xml:space="preserve"> – GDP per capita is below the NDPII targets and Uganda has seen a decline in the growth and development index by 4.2%. Agriculture value addition, mineral beneficiation, manufacturing and private-sector activities have also performed at a slower rate than expected. The implementation of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policy has not, to date, delivered the desired results under NDPII. Weaker than expected performance has been the result of slow or ineffective policy implementation (in turn the result of insufficient funding, leadership, buy-in, capacity, underutilised acquired capacity, policy gaps/inconsistencies, and/or poor performance management), a challenging operating context over the MTR period (e.g. drought) and persistent weaknesses in the efficiency and effectiveness of </w:t>
      </w:r>
      <w:r w:rsidR="009A2561" w:rsidRPr="00375404">
        <w:rPr>
          <w:rFonts w:ascii="Times New Roman" w:hAnsi="Times New Roman" w:cs="Times New Roman"/>
          <w:sz w:val="24"/>
        </w:rPr>
        <w:t>Government</w:t>
      </w:r>
      <w:r w:rsidRPr="00375404">
        <w:rPr>
          <w:rFonts w:ascii="Times New Roman" w:hAnsi="Times New Roman" w:cs="Times New Roman"/>
          <w:sz w:val="24"/>
        </w:rPr>
        <w:t>.</w:t>
      </w:r>
    </w:p>
    <w:p w14:paraId="43E990B3" w14:textId="35B99C01"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 xml:space="preserve">Recommendation 7: </w:t>
      </w:r>
      <w:r w:rsidRPr="00375404">
        <w:rPr>
          <w:rFonts w:ascii="Times New Roman" w:hAnsi="Times New Roman" w:cs="Times New Roman"/>
          <w:sz w:val="24"/>
        </w:rPr>
        <w:t xml:space="preserve">Uganda is currently off-track in reaching many of the targets laid out in NDPII. There are, however, several actions that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can </w:t>
      </w:r>
      <w:r w:rsidR="00224DB8" w:rsidRPr="00375404">
        <w:rPr>
          <w:rFonts w:ascii="Times New Roman" w:hAnsi="Times New Roman" w:cs="Times New Roman"/>
          <w:sz w:val="24"/>
        </w:rPr>
        <w:t xml:space="preserve">take </w:t>
      </w:r>
      <w:r w:rsidRPr="00375404">
        <w:rPr>
          <w:rFonts w:ascii="Times New Roman" w:hAnsi="Times New Roman" w:cs="Times New Roman"/>
          <w:sz w:val="24"/>
        </w:rPr>
        <w:t xml:space="preserve">to improve the effectiveness of NDPII’s policy and strategic direction. Firstly, as stated </w:t>
      </w:r>
      <w:r w:rsidRPr="00375404">
        <w:rPr>
          <w:rFonts w:ascii="Times New Roman" w:hAnsi="Times New Roman" w:cs="Times New Roman"/>
          <w:sz w:val="24"/>
        </w:rPr>
        <w:lastRenderedPageBreak/>
        <w:t xml:space="preserve">in recommendation 4,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should continue to invest in improving the quality of policy across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Secondly, investments should be made in improving public investment management (across the full project management cycle) and in the timeliness and certainty of fund release to sub-national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s and MDAs. Investments in improving public investment management should be considered throughout the full project cycle, particularly in appraising and selecting the right projects where there is capacity to implement the project </w:t>
      </w:r>
      <w:r w:rsidRPr="00375404">
        <w:rPr>
          <w:rFonts w:ascii="Times New Roman" w:hAnsi="Times New Roman" w:cs="Times New Roman"/>
          <w:i/>
          <w:sz w:val="24"/>
        </w:rPr>
        <w:t>before</w:t>
      </w:r>
      <w:r w:rsidRPr="00375404">
        <w:rPr>
          <w:rFonts w:ascii="Times New Roman" w:hAnsi="Times New Roman" w:cs="Times New Roman"/>
          <w:sz w:val="24"/>
        </w:rPr>
        <w:t xml:space="preserve"> securing funding (domestic or external). For instance, of the funds released for the AFDB Water Sanitation Sector Programme Support programme, only 50% of funds </w:t>
      </w:r>
      <w:r w:rsidR="00801942" w:rsidRPr="00375404">
        <w:rPr>
          <w:rFonts w:ascii="Times New Roman" w:hAnsi="Times New Roman" w:cs="Times New Roman"/>
          <w:sz w:val="24"/>
        </w:rPr>
        <w:t xml:space="preserve">to date </w:t>
      </w:r>
      <w:r w:rsidRPr="00375404">
        <w:rPr>
          <w:rFonts w:ascii="Times New Roman" w:hAnsi="Times New Roman" w:cs="Times New Roman"/>
          <w:sz w:val="24"/>
        </w:rPr>
        <w:t xml:space="preserve">have been utilised. Thirdly, there is a need to engage more </w:t>
      </w:r>
      <w:r w:rsidRPr="00375404">
        <w:rPr>
          <w:rFonts w:ascii="Times New Roman" w:hAnsi="Times New Roman" w:cs="Times New Roman"/>
          <w:i/>
          <w:sz w:val="24"/>
        </w:rPr>
        <w:t xml:space="preserve">consistently </w:t>
      </w:r>
      <w:r w:rsidRPr="00375404">
        <w:rPr>
          <w:rFonts w:ascii="Times New Roman" w:hAnsi="Times New Roman" w:cs="Times New Roman"/>
          <w:sz w:val="24"/>
        </w:rPr>
        <w:t xml:space="preserve">and </w:t>
      </w:r>
      <w:r w:rsidRPr="00375404">
        <w:rPr>
          <w:rFonts w:ascii="Times New Roman" w:hAnsi="Times New Roman" w:cs="Times New Roman"/>
          <w:i/>
          <w:sz w:val="24"/>
        </w:rPr>
        <w:t xml:space="preserve">closely </w:t>
      </w:r>
      <w:r w:rsidRPr="00375404">
        <w:rPr>
          <w:rFonts w:ascii="Times New Roman" w:hAnsi="Times New Roman" w:cs="Times New Roman"/>
          <w:sz w:val="24"/>
        </w:rPr>
        <w:t>with implementers of public policy – policies are never implemented in a vacuum</w:t>
      </w:r>
      <w:r w:rsidR="00801942" w:rsidRPr="00375404">
        <w:rPr>
          <w:rFonts w:ascii="Times New Roman" w:hAnsi="Times New Roman" w:cs="Times New Roman"/>
          <w:sz w:val="24"/>
        </w:rPr>
        <w:t>. There</w:t>
      </w:r>
      <w:r w:rsidRPr="00375404">
        <w:rPr>
          <w:rFonts w:ascii="Times New Roman" w:hAnsi="Times New Roman" w:cs="Times New Roman"/>
          <w:sz w:val="24"/>
        </w:rPr>
        <w:t xml:space="preserve"> is a need to </w:t>
      </w:r>
      <w:r w:rsidR="00212E94" w:rsidRPr="00375404">
        <w:rPr>
          <w:rFonts w:ascii="Times New Roman" w:hAnsi="Times New Roman" w:cs="Times New Roman"/>
          <w:sz w:val="24"/>
        </w:rPr>
        <w:t xml:space="preserve">increase </w:t>
      </w:r>
      <w:r w:rsidRPr="00375404">
        <w:rPr>
          <w:rFonts w:ascii="Times New Roman" w:hAnsi="Times New Roman" w:cs="Times New Roman"/>
          <w:sz w:val="24"/>
        </w:rPr>
        <w:t xml:space="preserve">understanding of the dynamics </w:t>
      </w:r>
      <w:r w:rsidR="00212E94" w:rsidRPr="00375404">
        <w:rPr>
          <w:rFonts w:ascii="Times New Roman" w:hAnsi="Times New Roman" w:cs="Times New Roman"/>
          <w:sz w:val="24"/>
        </w:rPr>
        <w:t xml:space="preserve">at play and </w:t>
      </w:r>
      <w:r w:rsidRPr="00375404">
        <w:rPr>
          <w:rFonts w:ascii="Times New Roman" w:hAnsi="Times New Roman" w:cs="Times New Roman"/>
          <w:sz w:val="24"/>
        </w:rPr>
        <w:t xml:space="preserve">use that understanding to adapt and support implementation </w:t>
      </w:r>
      <w:r w:rsidRPr="00375404">
        <w:rPr>
          <w:rFonts w:ascii="Times New Roman" w:hAnsi="Times New Roman" w:cs="Times New Roman"/>
          <w:i/>
          <w:sz w:val="24"/>
        </w:rPr>
        <w:t>with</w:t>
      </w:r>
      <w:r w:rsidRPr="00375404">
        <w:rPr>
          <w:rFonts w:ascii="Times New Roman" w:hAnsi="Times New Roman" w:cs="Times New Roman"/>
          <w:sz w:val="24"/>
        </w:rPr>
        <w:t xml:space="preserve"> stakeholders. </w:t>
      </w:r>
      <w:r w:rsidR="00212E94" w:rsidRPr="00375404">
        <w:rPr>
          <w:rFonts w:ascii="Times New Roman" w:hAnsi="Times New Roman" w:cs="Times New Roman"/>
          <w:sz w:val="24"/>
        </w:rPr>
        <w:t>Lastly, ensuring that there is c</w:t>
      </w:r>
      <w:r w:rsidRPr="00375404">
        <w:rPr>
          <w:rFonts w:ascii="Times New Roman" w:hAnsi="Times New Roman" w:cs="Times New Roman"/>
          <w:sz w:val="24"/>
        </w:rPr>
        <w:t xml:space="preserve">ontinuity </w:t>
      </w:r>
      <w:r w:rsidR="00212E94" w:rsidRPr="00375404">
        <w:rPr>
          <w:rFonts w:ascii="Times New Roman" w:hAnsi="Times New Roman" w:cs="Times New Roman"/>
          <w:sz w:val="24"/>
        </w:rPr>
        <w:t>of action i</w:t>
      </w:r>
      <w:r w:rsidRPr="00375404">
        <w:rPr>
          <w:rFonts w:ascii="Times New Roman" w:hAnsi="Times New Roman" w:cs="Times New Roman"/>
          <w:sz w:val="24"/>
        </w:rPr>
        <w:t>s an essential ingredient f</w:t>
      </w:r>
      <w:r w:rsidR="00212E94" w:rsidRPr="00375404">
        <w:rPr>
          <w:rFonts w:ascii="Times New Roman" w:hAnsi="Times New Roman" w:cs="Times New Roman"/>
          <w:sz w:val="24"/>
        </w:rPr>
        <w:t>or</w:t>
      </w:r>
      <w:r w:rsidRPr="00375404">
        <w:rPr>
          <w:rFonts w:ascii="Times New Roman" w:hAnsi="Times New Roman" w:cs="Times New Roman"/>
          <w:sz w:val="24"/>
        </w:rPr>
        <w:t xml:space="preserve"> effective implementation.  </w:t>
      </w:r>
    </w:p>
    <w:p w14:paraId="0BAF7AE5" w14:textId="1087EFBC"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375404">
        <w:rPr>
          <w:rFonts w:ascii="Times New Roman" w:hAnsi="Times New Roman" w:cs="Times New Roman"/>
          <w:b/>
          <w:sz w:val="24"/>
        </w:rPr>
        <w:t xml:space="preserve">Over the MTR period the number of sector and MDA plans aligned to NDPII has increased. There has been a concerted effort, across </w:t>
      </w:r>
      <w:r w:rsidR="009A2561" w:rsidRPr="00375404">
        <w:rPr>
          <w:rFonts w:ascii="Times New Roman" w:hAnsi="Times New Roman" w:cs="Times New Roman"/>
          <w:b/>
          <w:sz w:val="24"/>
        </w:rPr>
        <w:t>Government</w:t>
      </w:r>
      <w:r w:rsidRPr="00375404">
        <w:rPr>
          <w:rFonts w:ascii="Times New Roman" w:hAnsi="Times New Roman" w:cs="Times New Roman"/>
          <w:b/>
          <w:sz w:val="24"/>
        </w:rPr>
        <w:t xml:space="preserve"> to produce sector plans that are aligned to NDPII.</w:t>
      </w:r>
      <w:r w:rsidRPr="00375404">
        <w:rPr>
          <w:rFonts w:ascii="Times New Roman" w:hAnsi="Times New Roman" w:cs="Times New Roman"/>
          <w:sz w:val="24"/>
        </w:rPr>
        <w:t xml:space="preserve"> This is a positive step. However, more needs to be done. In some cases, strategies are still missing e.g. industrialisation. There is value in continuing to ensure that the capacity of planners and policy makers in sectors and local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in continuously built and that guiding documents align to NDPII. </w:t>
      </w:r>
    </w:p>
    <w:p w14:paraId="37F61569" w14:textId="335C0FCF"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Recommendation 8:</w:t>
      </w:r>
      <w:r w:rsidR="00600C62" w:rsidRPr="00375404">
        <w:rPr>
          <w:rFonts w:ascii="Times New Roman" w:hAnsi="Times New Roman" w:cs="Times New Roman"/>
          <w:sz w:val="24"/>
          <w:u w:val="single"/>
        </w:rPr>
        <w:t xml:space="preserve"> </w:t>
      </w:r>
      <w:r w:rsidR="00600C62" w:rsidRPr="00375404">
        <w:rPr>
          <w:rFonts w:ascii="Times New Roman" w:hAnsi="Times New Roman" w:cs="Times New Roman"/>
          <w:sz w:val="24"/>
        </w:rPr>
        <w:t>Continue to invest in</w:t>
      </w:r>
      <w:r w:rsidR="00281DD0" w:rsidRPr="00375404">
        <w:rPr>
          <w:rFonts w:ascii="Times New Roman" w:hAnsi="Times New Roman" w:cs="Times New Roman"/>
          <w:sz w:val="24"/>
        </w:rPr>
        <w:t xml:space="preserve"> strengthening sectoral, local </w:t>
      </w:r>
      <w:r w:rsidR="009A2561" w:rsidRPr="00375404">
        <w:rPr>
          <w:rFonts w:ascii="Times New Roman" w:hAnsi="Times New Roman" w:cs="Times New Roman"/>
          <w:sz w:val="24"/>
        </w:rPr>
        <w:t>Government</w:t>
      </w:r>
      <w:r w:rsidR="00281DD0" w:rsidRPr="00375404">
        <w:rPr>
          <w:rFonts w:ascii="Times New Roman" w:hAnsi="Times New Roman" w:cs="Times New Roman"/>
          <w:sz w:val="24"/>
        </w:rPr>
        <w:t xml:space="preserve"> and MDA level capacities in planning, budgeting, monitoring, learning and evaluating actions. </w:t>
      </w:r>
      <w:r w:rsidR="00457D34" w:rsidRPr="00375404">
        <w:rPr>
          <w:rFonts w:ascii="Times New Roman" w:hAnsi="Times New Roman" w:cs="Times New Roman"/>
          <w:sz w:val="24"/>
        </w:rPr>
        <w:t>Continue to also assess the quality of policies and plans and their ability to bring about the desired change.</w:t>
      </w:r>
    </w:p>
    <w:p w14:paraId="7BD76E4D" w14:textId="535AF962" w:rsidR="00174FA9" w:rsidRPr="00375404"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sz w:val="24"/>
        </w:rPr>
      </w:pPr>
      <w:r w:rsidRPr="00375404">
        <w:rPr>
          <w:rFonts w:ascii="Times New Roman" w:hAnsi="Times New Roman" w:cs="Times New Roman"/>
          <w:b/>
          <w:sz w:val="24"/>
        </w:rPr>
        <w:t xml:space="preserve">There is a disconnect between planning and budgeting. The annual budget does not fully align with NDPII priorities, and the annual budget has not been translated into sector specific interventions to deliver the NDPII targets. </w:t>
      </w:r>
      <w:r w:rsidRPr="00375404">
        <w:rPr>
          <w:rFonts w:ascii="Times New Roman" w:hAnsi="Times New Roman" w:cs="Times New Roman"/>
          <w:sz w:val="24"/>
        </w:rPr>
        <w:t xml:space="preserve">The degree of alignment between planning and budgeting has also decreased across the MTR period. The overall score for alignment in 2016/17 was ‘moderately satisfactory’; in 2017/18 alignment was rated ‘unsatisfactory’. It is important this this trend is reversed in the remaining two years of NDPII, and in future plans, to ensure </w:t>
      </w:r>
      <w:r w:rsidRPr="00375404">
        <w:rPr>
          <w:rFonts w:ascii="Times New Roman" w:hAnsi="Times New Roman" w:cs="Times New Roman"/>
          <w:sz w:val="24"/>
        </w:rPr>
        <w:lastRenderedPageBreak/>
        <w:t>that implementation of the NDPII is fully supported. Detailed analysis of compliance at the sector level however indicates that the alignment between the annual budget and sectors is less of a problem at policy level; it is more acute in project alignment and budget execution. Table 11 below provides a breakdown of alignment by sector, by compliance areas. Sectors and MDAs are broadly producing plans and strategies in line with NDPII and the National Budget Framework Paper; sectors plans are not being fully funded and some projects funded are not in line with their policies and plans, and therefore not in line with NDPII. Moreover, of the projects that are funded there are weaknesses in budget execution as detailed in Table 1</w:t>
      </w:r>
      <w:r w:rsidR="00A92C7A">
        <w:rPr>
          <w:rFonts w:ascii="Times New Roman" w:hAnsi="Times New Roman" w:cs="Times New Roman"/>
          <w:sz w:val="24"/>
        </w:rPr>
        <w:t>2</w:t>
      </w:r>
      <w:r w:rsidRPr="00375404">
        <w:rPr>
          <w:rFonts w:ascii="Times New Roman" w:hAnsi="Times New Roman" w:cs="Times New Roman"/>
          <w:sz w:val="24"/>
        </w:rPr>
        <w:t xml:space="preserve">. </w:t>
      </w:r>
    </w:p>
    <w:p w14:paraId="714B164D" w14:textId="675979BD" w:rsidR="00174FA9" w:rsidRPr="00375404" w:rsidRDefault="00174FA9" w:rsidP="005A6015">
      <w:pPr>
        <w:pStyle w:val="ListParagraph"/>
        <w:spacing w:line="360" w:lineRule="auto"/>
        <w:ind w:left="851"/>
        <w:contextualSpacing w:val="0"/>
        <w:jc w:val="both"/>
        <w:rPr>
          <w:rFonts w:ascii="Times New Roman" w:hAnsi="Times New Roman" w:cs="Times New Roman"/>
          <w:sz w:val="24"/>
        </w:rPr>
      </w:pPr>
      <w:r w:rsidRPr="00375404">
        <w:rPr>
          <w:rFonts w:ascii="Times New Roman" w:hAnsi="Times New Roman" w:cs="Times New Roman"/>
          <w:sz w:val="24"/>
          <w:u w:val="single"/>
        </w:rPr>
        <w:t xml:space="preserve">Recommendation 9: </w:t>
      </w:r>
      <w:bookmarkStart w:id="56" w:name="_Hlk3572656"/>
      <w:r w:rsidRPr="00375404">
        <w:rPr>
          <w:rFonts w:ascii="Times New Roman" w:hAnsi="Times New Roman" w:cs="Times New Roman"/>
          <w:sz w:val="24"/>
        </w:rPr>
        <w:t>To improve the alignment at the macroeconomic level</w:t>
      </w:r>
      <w:r w:rsidR="00CE2B8F" w:rsidRPr="00375404">
        <w:rPr>
          <w:rFonts w:ascii="Times New Roman" w:hAnsi="Times New Roman" w:cs="Times New Roman"/>
          <w:sz w:val="24"/>
        </w:rPr>
        <w:t xml:space="preserve">,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w:t>
      </w:r>
      <w:r w:rsidR="00CE2B8F" w:rsidRPr="00375404">
        <w:rPr>
          <w:rFonts w:ascii="Times New Roman" w:hAnsi="Times New Roman" w:cs="Times New Roman"/>
          <w:sz w:val="24"/>
        </w:rPr>
        <w:t xml:space="preserve">could </w:t>
      </w:r>
      <w:r w:rsidRPr="00375404">
        <w:rPr>
          <w:rFonts w:ascii="Times New Roman" w:hAnsi="Times New Roman" w:cs="Times New Roman"/>
          <w:sz w:val="24"/>
        </w:rPr>
        <w:t xml:space="preserve">include NDPII processes into the Budget Calendar to ensure that analysis produced by NPA is being factored into the budget process. It is also recommended that there is a discussion between agencies of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on how to harmonise and reconcile differences in purposes between </w:t>
      </w:r>
      <w:r w:rsidR="00CE2B8F" w:rsidRPr="00375404">
        <w:rPr>
          <w:rFonts w:ascii="Times New Roman" w:hAnsi="Times New Roman" w:cs="Times New Roman"/>
          <w:sz w:val="24"/>
        </w:rPr>
        <w:t xml:space="preserve">IMF </w:t>
      </w:r>
      <w:r w:rsidRPr="00375404">
        <w:rPr>
          <w:rFonts w:ascii="Times New Roman" w:hAnsi="Times New Roman" w:cs="Times New Roman"/>
          <w:sz w:val="24"/>
        </w:rPr>
        <w:t xml:space="preserve">PSI processes, the annual budget and NDPII. To improve the alignment of sector and MDA plans to the budget and NDPII,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could consider strengthening public investment management (recommendation 7), focus efforts in the budget strategy and budget allocations on improving domestic resource mobilisation and reducing corruption, consider sanctions/penalties for sector agencies who significantly deviate from planned and approved development priorities under the NDPII and work closely with agencies and stakeholders across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on ensu</w:t>
      </w:r>
      <w:r w:rsidR="00875D90" w:rsidRPr="00375404">
        <w:rPr>
          <w:rFonts w:ascii="Times New Roman" w:hAnsi="Times New Roman" w:cs="Times New Roman"/>
          <w:sz w:val="24"/>
        </w:rPr>
        <w:t>r</w:t>
      </w:r>
      <w:r w:rsidRPr="00375404">
        <w:rPr>
          <w:rFonts w:ascii="Times New Roman" w:hAnsi="Times New Roman" w:cs="Times New Roman"/>
          <w:sz w:val="24"/>
        </w:rPr>
        <w:t>ing buy-in and commitment to NDPII. In light of fiscal constraints</w:t>
      </w:r>
      <w:r w:rsidR="00CE2B8F" w:rsidRPr="00375404">
        <w:rPr>
          <w:rFonts w:ascii="Times New Roman" w:hAnsi="Times New Roman" w:cs="Times New Roman"/>
          <w:sz w:val="24"/>
        </w:rPr>
        <w:t>,</w:t>
      </w:r>
      <w:r w:rsidRPr="00375404">
        <w:rPr>
          <w:rFonts w:ascii="Times New Roman" w:hAnsi="Times New Roman" w:cs="Times New Roman"/>
          <w:sz w:val="24"/>
        </w:rPr>
        <w:t xml:space="preserve"> the </w:t>
      </w:r>
      <w:r w:rsidR="009A2561" w:rsidRPr="00375404">
        <w:rPr>
          <w:rFonts w:ascii="Times New Roman" w:hAnsi="Times New Roman" w:cs="Times New Roman"/>
          <w:sz w:val="24"/>
        </w:rPr>
        <w:t>Government</w:t>
      </w:r>
      <w:r w:rsidRPr="00375404">
        <w:rPr>
          <w:rFonts w:ascii="Times New Roman" w:hAnsi="Times New Roman" w:cs="Times New Roman"/>
          <w:sz w:val="24"/>
        </w:rPr>
        <w:t xml:space="preserve"> should also improve its prioritisation of investments in the short-to-medium term. </w:t>
      </w:r>
    </w:p>
    <w:p w14:paraId="68DE6041" w14:textId="77777777" w:rsidR="005A6015" w:rsidRDefault="005A6015">
      <w:pPr>
        <w:spacing w:after="160" w:line="259" w:lineRule="auto"/>
        <w:rPr>
          <w:rFonts w:ascii="Times New Roman" w:hAnsi="Times New Roman" w:cs="Times New Roman"/>
          <w:b/>
          <w:i/>
          <w:iCs/>
        </w:rPr>
      </w:pPr>
      <w:bookmarkStart w:id="57" w:name="_Toc536205959"/>
      <w:bookmarkEnd w:id="56"/>
      <w:r>
        <w:rPr>
          <w:rFonts w:ascii="Times New Roman" w:hAnsi="Times New Roman" w:cs="Times New Roman"/>
        </w:rPr>
        <w:br w:type="page"/>
      </w:r>
    </w:p>
    <w:p w14:paraId="60CC44C9" w14:textId="60E8C6F9" w:rsidR="00174FA9" w:rsidRPr="00F10F3B" w:rsidRDefault="00174FA9" w:rsidP="00587EDE">
      <w:pPr>
        <w:pStyle w:val="Caption"/>
        <w:spacing w:line="360" w:lineRule="auto"/>
        <w:jc w:val="both"/>
        <w:rPr>
          <w:rFonts w:ascii="Times New Roman" w:hAnsi="Times New Roman" w:cs="Times New Roman"/>
          <w:sz w:val="22"/>
          <w:szCs w:val="22"/>
        </w:rPr>
      </w:pPr>
      <w:r w:rsidRPr="00F10F3B">
        <w:rPr>
          <w:rFonts w:ascii="Times New Roman" w:hAnsi="Times New Roman" w:cs="Times New Roman"/>
          <w:sz w:val="22"/>
          <w:szCs w:val="22"/>
        </w:rPr>
        <w:lastRenderedPageBreak/>
        <w:t xml:space="preserve">Table </w:t>
      </w:r>
      <w:r w:rsidRPr="00F10F3B">
        <w:rPr>
          <w:rFonts w:ascii="Times New Roman" w:hAnsi="Times New Roman" w:cs="Times New Roman"/>
          <w:sz w:val="22"/>
          <w:szCs w:val="22"/>
        </w:rPr>
        <w:fldChar w:fldCharType="begin"/>
      </w:r>
      <w:r w:rsidRPr="00F10F3B">
        <w:rPr>
          <w:rFonts w:ascii="Times New Roman" w:hAnsi="Times New Roman" w:cs="Times New Roman"/>
          <w:sz w:val="22"/>
          <w:szCs w:val="22"/>
        </w:rPr>
        <w:instrText xml:space="preserve"> SEQ Table \* ARABIC </w:instrText>
      </w:r>
      <w:r w:rsidRPr="00F10F3B">
        <w:rPr>
          <w:rFonts w:ascii="Times New Roman" w:hAnsi="Times New Roman" w:cs="Times New Roman"/>
          <w:sz w:val="22"/>
          <w:szCs w:val="22"/>
        </w:rPr>
        <w:fldChar w:fldCharType="separate"/>
      </w:r>
      <w:r w:rsidR="00A057A7">
        <w:rPr>
          <w:rFonts w:ascii="Times New Roman" w:hAnsi="Times New Roman" w:cs="Times New Roman"/>
          <w:noProof/>
          <w:sz w:val="22"/>
          <w:szCs w:val="22"/>
        </w:rPr>
        <w:t>12</w:t>
      </w:r>
      <w:r w:rsidRPr="00F10F3B">
        <w:rPr>
          <w:rFonts w:ascii="Times New Roman" w:hAnsi="Times New Roman" w:cs="Times New Roman"/>
          <w:sz w:val="22"/>
          <w:szCs w:val="22"/>
        </w:rPr>
        <w:fldChar w:fldCharType="end"/>
      </w:r>
      <w:r w:rsidRPr="00F10F3B">
        <w:rPr>
          <w:rFonts w:ascii="Times New Roman" w:hAnsi="Times New Roman" w:cs="Times New Roman"/>
          <w:sz w:val="22"/>
          <w:szCs w:val="22"/>
        </w:rPr>
        <w:t>: Compliance assessment at sector level</w:t>
      </w:r>
      <w:bookmarkEnd w:id="57"/>
    </w:p>
    <w:tbl>
      <w:tblPr>
        <w:tblStyle w:val="TableGrid"/>
        <w:tblW w:w="5000" w:type="pct"/>
        <w:tblLayout w:type="fixed"/>
        <w:tblLook w:val="04A0" w:firstRow="1" w:lastRow="0" w:firstColumn="1" w:lastColumn="0" w:noHBand="0" w:noVBand="1"/>
      </w:tblPr>
      <w:tblGrid>
        <w:gridCol w:w="2829"/>
        <w:gridCol w:w="994"/>
        <w:gridCol w:w="1700"/>
        <w:gridCol w:w="1843"/>
        <w:gridCol w:w="1650"/>
      </w:tblGrid>
      <w:tr w:rsidR="00174FA9" w:rsidRPr="00A92C7A" w14:paraId="7FE9B1EF" w14:textId="77777777" w:rsidTr="003F6E47">
        <w:trPr>
          <w:tblHeader/>
        </w:trPr>
        <w:tc>
          <w:tcPr>
            <w:tcW w:w="1569" w:type="pct"/>
            <w:shd w:val="clear" w:color="auto" w:fill="C5E0B3" w:themeFill="accent6" w:themeFillTint="66"/>
          </w:tcPr>
          <w:p w14:paraId="1777BCAC" w14:textId="77777777" w:rsidR="00174FA9" w:rsidRPr="00A92C7A" w:rsidRDefault="00174FA9" w:rsidP="00587EDE">
            <w:pPr>
              <w:pStyle w:val="ListParagraph"/>
              <w:spacing w:after="0"/>
              <w:ind w:left="0"/>
              <w:jc w:val="both"/>
              <w:rPr>
                <w:rFonts w:ascii="Times New Roman" w:hAnsi="Times New Roman" w:cs="Times New Roman"/>
                <w:b/>
                <w:sz w:val="20"/>
                <w:szCs w:val="20"/>
              </w:rPr>
            </w:pPr>
            <w:r w:rsidRPr="00A92C7A">
              <w:rPr>
                <w:rFonts w:ascii="Times New Roman" w:hAnsi="Times New Roman" w:cs="Times New Roman"/>
                <w:b/>
                <w:sz w:val="20"/>
                <w:szCs w:val="20"/>
              </w:rPr>
              <w:t xml:space="preserve">Sector </w:t>
            </w:r>
          </w:p>
        </w:tc>
        <w:tc>
          <w:tcPr>
            <w:tcW w:w="551" w:type="pct"/>
            <w:shd w:val="clear" w:color="auto" w:fill="C5E0B3" w:themeFill="accent6" w:themeFillTint="66"/>
          </w:tcPr>
          <w:p w14:paraId="678DCA4E" w14:textId="77777777" w:rsidR="00174FA9" w:rsidRPr="00A92C7A" w:rsidRDefault="00174FA9" w:rsidP="00587EDE">
            <w:pPr>
              <w:pStyle w:val="ListParagraph"/>
              <w:spacing w:after="0"/>
              <w:ind w:left="0"/>
              <w:jc w:val="both"/>
              <w:rPr>
                <w:rFonts w:ascii="Times New Roman" w:hAnsi="Times New Roman" w:cs="Times New Roman"/>
                <w:b/>
                <w:sz w:val="20"/>
                <w:szCs w:val="20"/>
              </w:rPr>
            </w:pPr>
            <w:r w:rsidRPr="00A92C7A">
              <w:rPr>
                <w:rFonts w:ascii="Times New Roman" w:hAnsi="Times New Roman" w:cs="Times New Roman"/>
                <w:b/>
                <w:sz w:val="20"/>
                <w:szCs w:val="20"/>
              </w:rPr>
              <w:t xml:space="preserve">Planning </w:t>
            </w:r>
          </w:p>
        </w:tc>
        <w:tc>
          <w:tcPr>
            <w:tcW w:w="943" w:type="pct"/>
            <w:shd w:val="clear" w:color="auto" w:fill="C5E0B3" w:themeFill="accent6" w:themeFillTint="66"/>
          </w:tcPr>
          <w:p w14:paraId="4596F88A" w14:textId="77777777" w:rsidR="00174FA9" w:rsidRPr="00A92C7A" w:rsidRDefault="00174FA9" w:rsidP="00587EDE">
            <w:pPr>
              <w:pStyle w:val="ListParagraph"/>
              <w:spacing w:after="0"/>
              <w:ind w:left="0"/>
              <w:jc w:val="both"/>
              <w:rPr>
                <w:rFonts w:ascii="Times New Roman" w:hAnsi="Times New Roman" w:cs="Times New Roman"/>
                <w:b/>
                <w:sz w:val="20"/>
                <w:szCs w:val="20"/>
              </w:rPr>
            </w:pPr>
            <w:r w:rsidRPr="00A92C7A">
              <w:rPr>
                <w:rFonts w:ascii="Times New Roman" w:hAnsi="Times New Roman" w:cs="Times New Roman"/>
                <w:b/>
                <w:sz w:val="20"/>
                <w:szCs w:val="20"/>
              </w:rPr>
              <w:t>Project alignment</w:t>
            </w:r>
          </w:p>
        </w:tc>
        <w:tc>
          <w:tcPr>
            <w:tcW w:w="1022" w:type="pct"/>
            <w:shd w:val="clear" w:color="auto" w:fill="C5E0B3" w:themeFill="accent6" w:themeFillTint="66"/>
          </w:tcPr>
          <w:p w14:paraId="4BC996AE" w14:textId="77777777" w:rsidR="00174FA9" w:rsidRPr="00A92C7A" w:rsidRDefault="00174FA9" w:rsidP="00587EDE">
            <w:pPr>
              <w:pStyle w:val="ListParagraph"/>
              <w:spacing w:after="0"/>
              <w:ind w:left="0"/>
              <w:jc w:val="both"/>
              <w:rPr>
                <w:rFonts w:ascii="Times New Roman" w:hAnsi="Times New Roman" w:cs="Times New Roman"/>
                <w:b/>
                <w:sz w:val="20"/>
                <w:szCs w:val="20"/>
              </w:rPr>
            </w:pPr>
            <w:r w:rsidRPr="00A92C7A">
              <w:rPr>
                <w:rFonts w:ascii="Times New Roman" w:hAnsi="Times New Roman" w:cs="Times New Roman"/>
                <w:b/>
                <w:sz w:val="20"/>
                <w:szCs w:val="20"/>
              </w:rPr>
              <w:t>Budget preparation</w:t>
            </w:r>
          </w:p>
        </w:tc>
        <w:tc>
          <w:tcPr>
            <w:tcW w:w="915" w:type="pct"/>
            <w:shd w:val="clear" w:color="auto" w:fill="C5E0B3" w:themeFill="accent6" w:themeFillTint="66"/>
          </w:tcPr>
          <w:p w14:paraId="0FA6752B" w14:textId="77777777" w:rsidR="00174FA9" w:rsidRPr="00A92C7A" w:rsidRDefault="00174FA9" w:rsidP="00587EDE">
            <w:pPr>
              <w:pStyle w:val="ListParagraph"/>
              <w:spacing w:after="0"/>
              <w:ind w:left="0"/>
              <w:jc w:val="both"/>
              <w:rPr>
                <w:rFonts w:ascii="Times New Roman" w:hAnsi="Times New Roman" w:cs="Times New Roman"/>
                <w:b/>
                <w:sz w:val="20"/>
                <w:szCs w:val="20"/>
              </w:rPr>
            </w:pPr>
            <w:r w:rsidRPr="00A92C7A">
              <w:rPr>
                <w:rFonts w:ascii="Times New Roman" w:hAnsi="Times New Roman" w:cs="Times New Roman"/>
                <w:b/>
                <w:sz w:val="20"/>
                <w:szCs w:val="20"/>
              </w:rPr>
              <w:t xml:space="preserve">Budget execution </w:t>
            </w:r>
          </w:p>
        </w:tc>
      </w:tr>
      <w:tr w:rsidR="00174FA9" w:rsidRPr="00F10F3B" w14:paraId="2E6708F7" w14:textId="77777777" w:rsidTr="003F6E47">
        <w:trPr>
          <w:trHeight w:val="147"/>
        </w:trPr>
        <w:tc>
          <w:tcPr>
            <w:tcW w:w="1569" w:type="pct"/>
          </w:tcPr>
          <w:p w14:paraId="435C0A52"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 Agriculture</w:t>
            </w:r>
          </w:p>
        </w:tc>
        <w:tc>
          <w:tcPr>
            <w:tcW w:w="551" w:type="pct"/>
            <w:shd w:val="clear" w:color="auto" w:fill="00B050"/>
          </w:tcPr>
          <w:p w14:paraId="3D04C63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86.0%</w:t>
            </w:r>
          </w:p>
        </w:tc>
        <w:tc>
          <w:tcPr>
            <w:tcW w:w="943" w:type="pct"/>
            <w:shd w:val="clear" w:color="auto" w:fill="FFFF00"/>
          </w:tcPr>
          <w:p w14:paraId="7B35821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66.5%</w:t>
            </w:r>
          </w:p>
        </w:tc>
        <w:tc>
          <w:tcPr>
            <w:tcW w:w="1022" w:type="pct"/>
            <w:shd w:val="clear" w:color="auto" w:fill="FF0000"/>
          </w:tcPr>
          <w:p w14:paraId="4ECDE469"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22.5%</w:t>
            </w:r>
          </w:p>
        </w:tc>
        <w:tc>
          <w:tcPr>
            <w:tcW w:w="915" w:type="pct"/>
            <w:shd w:val="clear" w:color="auto" w:fill="FFFF00"/>
          </w:tcPr>
          <w:p w14:paraId="4BC06171"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52.0%</w:t>
            </w:r>
          </w:p>
        </w:tc>
      </w:tr>
      <w:tr w:rsidR="00174FA9" w:rsidRPr="00F10F3B" w14:paraId="5E72A1D8" w14:textId="77777777" w:rsidTr="003F6E47">
        <w:trPr>
          <w:trHeight w:val="244"/>
        </w:trPr>
        <w:tc>
          <w:tcPr>
            <w:tcW w:w="1569" w:type="pct"/>
          </w:tcPr>
          <w:p w14:paraId="41CFA83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2. Health</w:t>
            </w:r>
          </w:p>
        </w:tc>
        <w:tc>
          <w:tcPr>
            <w:tcW w:w="551" w:type="pct"/>
            <w:shd w:val="clear" w:color="auto" w:fill="00B050"/>
          </w:tcPr>
          <w:p w14:paraId="56747668"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88.0%</w:t>
            </w:r>
          </w:p>
        </w:tc>
        <w:tc>
          <w:tcPr>
            <w:tcW w:w="943" w:type="pct"/>
            <w:shd w:val="clear" w:color="auto" w:fill="FFC000"/>
          </w:tcPr>
          <w:p w14:paraId="4CEF515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38.1%</w:t>
            </w:r>
          </w:p>
        </w:tc>
        <w:tc>
          <w:tcPr>
            <w:tcW w:w="1022" w:type="pct"/>
            <w:shd w:val="clear" w:color="auto" w:fill="FFFF00"/>
          </w:tcPr>
          <w:p w14:paraId="141157F8"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67.6%</w:t>
            </w:r>
          </w:p>
        </w:tc>
        <w:tc>
          <w:tcPr>
            <w:tcW w:w="915" w:type="pct"/>
            <w:shd w:val="clear" w:color="auto" w:fill="FFC000"/>
          </w:tcPr>
          <w:p w14:paraId="7868903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37.3%</w:t>
            </w:r>
          </w:p>
        </w:tc>
      </w:tr>
      <w:tr w:rsidR="00174FA9" w:rsidRPr="00F10F3B" w14:paraId="6175B960" w14:textId="77777777" w:rsidTr="003F6E47">
        <w:trPr>
          <w:trHeight w:val="255"/>
        </w:trPr>
        <w:tc>
          <w:tcPr>
            <w:tcW w:w="1569" w:type="pct"/>
          </w:tcPr>
          <w:p w14:paraId="6EB7B71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 Education</w:t>
            </w:r>
          </w:p>
        </w:tc>
        <w:tc>
          <w:tcPr>
            <w:tcW w:w="551" w:type="pct"/>
            <w:shd w:val="clear" w:color="auto" w:fill="00B050"/>
          </w:tcPr>
          <w:p w14:paraId="18F86645"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94.0%</w:t>
            </w:r>
          </w:p>
        </w:tc>
        <w:tc>
          <w:tcPr>
            <w:tcW w:w="943" w:type="pct"/>
            <w:shd w:val="clear" w:color="auto" w:fill="FFC000"/>
          </w:tcPr>
          <w:p w14:paraId="0C78286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33.4%</w:t>
            </w:r>
          </w:p>
        </w:tc>
        <w:tc>
          <w:tcPr>
            <w:tcW w:w="1022" w:type="pct"/>
            <w:shd w:val="clear" w:color="auto" w:fill="FFFF00"/>
          </w:tcPr>
          <w:p w14:paraId="78B3C2B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59.4%</w:t>
            </w:r>
          </w:p>
        </w:tc>
        <w:tc>
          <w:tcPr>
            <w:tcW w:w="915" w:type="pct"/>
            <w:shd w:val="clear" w:color="auto" w:fill="FFC000"/>
          </w:tcPr>
          <w:p w14:paraId="234321D5"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45.6%</w:t>
            </w:r>
          </w:p>
        </w:tc>
      </w:tr>
      <w:tr w:rsidR="00174FA9" w:rsidRPr="00F10F3B" w14:paraId="1B3D8774" w14:textId="77777777" w:rsidTr="003F6E47">
        <w:trPr>
          <w:trHeight w:val="285"/>
        </w:trPr>
        <w:tc>
          <w:tcPr>
            <w:tcW w:w="1569" w:type="pct"/>
          </w:tcPr>
          <w:p w14:paraId="7C557F46"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 Water and environment</w:t>
            </w:r>
          </w:p>
        </w:tc>
        <w:tc>
          <w:tcPr>
            <w:tcW w:w="551" w:type="pct"/>
            <w:shd w:val="clear" w:color="auto" w:fill="00B050"/>
          </w:tcPr>
          <w:p w14:paraId="770093B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100.0%</w:t>
            </w:r>
          </w:p>
        </w:tc>
        <w:tc>
          <w:tcPr>
            <w:tcW w:w="943" w:type="pct"/>
            <w:shd w:val="clear" w:color="auto" w:fill="FFFF00"/>
          </w:tcPr>
          <w:p w14:paraId="6C30CED7"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57.5%</w:t>
            </w:r>
          </w:p>
        </w:tc>
        <w:tc>
          <w:tcPr>
            <w:tcW w:w="1022" w:type="pct"/>
            <w:shd w:val="clear" w:color="auto" w:fill="FFFF00"/>
          </w:tcPr>
          <w:p w14:paraId="277C00D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70.2%</w:t>
            </w:r>
          </w:p>
        </w:tc>
        <w:tc>
          <w:tcPr>
            <w:tcW w:w="915" w:type="pct"/>
            <w:shd w:val="clear" w:color="auto" w:fill="FF0000"/>
          </w:tcPr>
          <w:p w14:paraId="5B3855B9"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10.0%</w:t>
            </w:r>
          </w:p>
        </w:tc>
      </w:tr>
      <w:tr w:rsidR="00174FA9" w:rsidRPr="00F10F3B" w14:paraId="11A0CF43" w14:textId="77777777" w:rsidTr="003F6E47">
        <w:trPr>
          <w:trHeight w:val="285"/>
        </w:trPr>
        <w:tc>
          <w:tcPr>
            <w:tcW w:w="1569" w:type="pct"/>
          </w:tcPr>
          <w:p w14:paraId="2282408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 Works and transport</w:t>
            </w:r>
          </w:p>
        </w:tc>
        <w:tc>
          <w:tcPr>
            <w:tcW w:w="551" w:type="pct"/>
            <w:shd w:val="clear" w:color="auto" w:fill="FF0000"/>
          </w:tcPr>
          <w:p w14:paraId="79F2A7F9"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20.0%</w:t>
            </w:r>
          </w:p>
        </w:tc>
        <w:tc>
          <w:tcPr>
            <w:tcW w:w="943" w:type="pct"/>
            <w:shd w:val="clear" w:color="auto" w:fill="FFFF00"/>
          </w:tcPr>
          <w:p w14:paraId="6D230459"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51.6%</w:t>
            </w:r>
          </w:p>
        </w:tc>
        <w:tc>
          <w:tcPr>
            <w:tcW w:w="1022" w:type="pct"/>
            <w:shd w:val="clear" w:color="auto" w:fill="00B050"/>
          </w:tcPr>
          <w:p w14:paraId="736AC52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80.8%</w:t>
            </w:r>
          </w:p>
        </w:tc>
        <w:tc>
          <w:tcPr>
            <w:tcW w:w="915" w:type="pct"/>
            <w:shd w:val="clear" w:color="auto" w:fill="FFFF00"/>
          </w:tcPr>
          <w:p w14:paraId="6219C4D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54.4%</w:t>
            </w:r>
          </w:p>
        </w:tc>
      </w:tr>
      <w:tr w:rsidR="00174FA9" w:rsidRPr="00F10F3B" w14:paraId="0BBC8839" w14:textId="77777777" w:rsidTr="003F6E47">
        <w:trPr>
          <w:trHeight w:val="285"/>
        </w:trPr>
        <w:tc>
          <w:tcPr>
            <w:tcW w:w="1569" w:type="pct"/>
          </w:tcPr>
          <w:p w14:paraId="613BF37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 Trade, industry and tourism</w:t>
            </w:r>
          </w:p>
        </w:tc>
        <w:tc>
          <w:tcPr>
            <w:tcW w:w="551" w:type="pct"/>
            <w:shd w:val="clear" w:color="auto" w:fill="FFC000"/>
          </w:tcPr>
          <w:p w14:paraId="53F6EF12"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33.0%</w:t>
            </w:r>
          </w:p>
        </w:tc>
        <w:tc>
          <w:tcPr>
            <w:tcW w:w="943" w:type="pct"/>
            <w:shd w:val="clear" w:color="auto" w:fill="FFFF00"/>
          </w:tcPr>
          <w:p w14:paraId="433E6825"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68.8%</w:t>
            </w:r>
          </w:p>
        </w:tc>
        <w:tc>
          <w:tcPr>
            <w:tcW w:w="1022" w:type="pct"/>
            <w:shd w:val="clear" w:color="auto" w:fill="FFFF00"/>
          </w:tcPr>
          <w:p w14:paraId="4C2E2EC7"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56.9%</w:t>
            </w:r>
          </w:p>
        </w:tc>
        <w:tc>
          <w:tcPr>
            <w:tcW w:w="915" w:type="pct"/>
            <w:shd w:val="clear" w:color="auto" w:fill="FF0000"/>
          </w:tcPr>
          <w:p w14:paraId="22C5723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24.7%</w:t>
            </w:r>
          </w:p>
        </w:tc>
      </w:tr>
      <w:tr w:rsidR="00174FA9" w:rsidRPr="00F10F3B" w14:paraId="0720C672" w14:textId="77777777" w:rsidTr="003F6E47">
        <w:trPr>
          <w:trHeight w:val="285"/>
        </w:trPr>
        <w:tc>
          <w:tcPr>
            <w:tcW w:w="1569" w:type="pct"/>
          </w:tcPr>
          <w:p w14:paraId="5AC2A20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 Legislature</w:t>
            </w:r>
          </w:p>
        </w:tc>
        <w:tc>
          <w:tcPr>
            <w:tcW w:w="551" w:type="pct"/>
            <w:shd w:val="clear" w:color="auto" w:fill="00B050"/>
          </w:tcPr>
          <w:p w14:paraId="77D011D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100.0%</w:t>
            </w:r>
          </w:p>
        </w:tc>
        <w:tc>
          <w:tcPr>
            <w:tcW w:w="943" w:type="pct"/>
            <w:shd w:val="clear" w:color="auto" w:fill="FFC000"/>
          </w:tcPr>
          <w:p w14:paraId="0449FAC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37.5%</w:t>
            </w:r>
          </w:p>
        </w:tc>
        <w:tc>
          <w:tcPr>
            <w:tcW w:w="1022" w:type="pct"/>
            <w:shd w:val="clear" w:color="auto" w:fill="FFFF00"/>
          </w:tcPr>
          <w:p w14:paraId="2526F785"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65.0%</w:t>
            </w:r>
          </w:p>
        </w:tc>
        <w:tc>
          <w:tcPr>
            <w:tcW w:w="915" w:type="pct"/>
            <w:shd w:val="clear" w:color="auto" w:fill="FFC000"/>
          </w:tcPr>
          <w:p w14:paraId="62F25E84"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40.0%</w:t>
            </w:r>
          </w:p>
        </w:tc>
      </w:tr>
      <w:tr w:rsidR="00174FA9" w:rsidRPr="00F10F3B" w14:paraId="695CF84A" w14:textId="77777777" w:rsidTr="003F6E47">
        <w:trPr>
          <w:trHeight w:val="285"/>
        </w:trPr>
        <w:tc>
          <w:tcPr>
            <w:tcW w:w="1569" w:type="pct"/>
          </w:tcPr>
          <w:p w14:paraId="0F69CAC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 Public administration</w:t>
            </w:r>
          </w:p>
        </w:tc>
        <w:tc>
          <w:tcPr>
            <w:tcW w:w="551" w:type="pct"/>
            <w:shd w:val="clear" w:color="auto" w:fill="FFC000"/>
          </w:tcPr>
          <w:p w14:paraId="6893D83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40.0%</w:t>
            </w:r>
          </w:p>
        </w:tc>
        <w:tc>
          <w:tcPr>
            <w:tcW w:w="943" w:type="pct"/>
            <w:shd w:val="clear" w:color="auto" w:fill="FF0000"/>
          </w:tcPr>
          <w:p w14:paraId="0ADB16E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23.3%</w:t>
            </w:r>
          </w:p>
        </w:tc>
        <w:tc>
          <w:tcPr>
            <w:tcW w:w="1022" w:type="pct"/>
            <w:shd w:val="clear" w:color="auto" w:fill="FFFF00"/>
          </w:tcPr>
          <w:p w14:paraId="120AF3C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67.8%</w:t>
            </w:r>
          </w:p>
        </w:tc>
        <w:tc>
          <w:tcPr>
            <w:tcW w:w="915" w:type="pct"/>
            <w:shd w:val="clear" w:color="auto" w:fill="FFFF00"/>
          </w:tcPr>
          <w:p w14:paraId="49374B9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62.4%</w:t>
            </w:r>
          </w:p>
        </w:tc>
      </w:tr>
      <w:tr w:rsidR="00174FA9" w:rsidRPr="00F10F3B" w14:paraId="1ACA5B62" w14:textId="77777777" w:rsidTr="003F6E47">
        <w:trPr>
          <w:trHeight w:val="285"/>
        </w:trPr>
        <w:tc>
          <w:tcPr>
            <w:tcW w:w="1569" w:type="pct"/>
          </w:tcPr>
          <w:p w14:paraId="2EAE0D72"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9. Kampala City Authority</w:t>
            </w:r>
          </w:p>
        </w:tc>
        <w:tc>
          <w:tcPr>
            <w:tcW w:w="551" w:type="pct"/>
            <w:shd w:val="clear" w:color="auto" w:fill="00B050"/>
          </w:tcPr>
          <w:p w14:paraId="66468AB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100.0%</w:t>
            </w:r>
          </w:p>
        </w:tc>
        <w:tc>
          <w:tcPr>
            <w:tcW w:w="943" w:type="pct"/>
            <w:shd w:val="clear" w:color="auto" w:fill="00B050"/>
          </w:tcPr>
          <w:p w14:paraId="3B450A3D"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82.9%</w:t>
            </w:r>
          </w:p>
        </w:tc>
        <w:tc>
          <w:tcPr>
            <w:tcW w:w="1022" w:type="pct"/>
            <w:shd w:val="clear" w:color="auto" w:fill="00B050"/>
          </w:tcPr>
          <w:p w14:paraId="62A6ABFC"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93.8%</w:t>
            </w:r>
          </w:p>
        </w:tc>
        <w:tc>
          <w:tcPr>
            <w:tcW w:w="915" w:type="pct"/>
            <w:shd w:val="clear" w:color="auto" w:fill="FFC000"/>
          </w:tcPr>
          <w:p w14:paraId="2F20DCF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40.0%</w:t>
            </w:r>
          </w:p>
        </w:tc>
      </w:tr>
      <w:tr w:rsidR="00174FA9" w:rsidRPr="00F10F3B" w14:paraId="69E50413" w14:textId="77777777" w:rsidTr="003F6E47">
        <w:trPr>
          <w:trHeight w:val="285"/>
        </w:trPr>
        <w:tc>
          <w:tcPr>
            <w:tcW w:w="1569" w:type="pct"/>
          </w:tcPr>
          <w:p w14:paraId="60207C0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 Defense and security</w:t>
            </w:r>
          </w:p>
        </w:tc>
        <w:tc>
          <w:tcPr>
            <w:tcW w:w="551" w:type="pct"/>
            <w:shd w:val="clear" w:color="auto" w:fill="FFC000"/>
          </w:tcPr>
          <w:p w14:paraId="594389BC"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50.0%</w:t>
            </w:r>
          </w:p>
        </w:tc>
        <w:tc>
          <w:tcPr>
            <w:tcW w:w="943" w:type="pct"/>
            <w:shd w:val="clear" w:color="auto" w:fill="FFFF00"/>
          </w:tcPr>
          <w:p w14:paraId="0F07E60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70.1%</w:t>
            </w:r>
          </w:p>
        </w:tc>
        <w:tc>
          <w:tcPr>
            <w:tcW w:w="1022" w:type="pct"/>
            <w:shd w:val="clear" w:color="auto" w:fill="FFFF00"/>
          </w:tcPr>
          <w:p w14:paraId="3D10C0F6"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55.0%</w:t>
            </w:r>
          </w:p>
        </w:tc>
        <w:tc>
          <w:tcPr>
            <w:tcW w:w="915" w:type="pct"/>
            <w:shd w:val="clear" w:color="auto" w:fill="00B050"/>
          </w:tcPr>
          <w:p w14:paraId="46C7611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84.0%</w:t>
            </w:r>
          </w:p>
        </w:tc>
      </w:tr>
      <w:tr w:rsidR="00174FA9" w:rsidRPr="00F10F3B" w14:paraId="4E88EB62" w14:textId="77777777" w:rsidTr="003F6E47">
        <w:trPr>
          <w:trHeight w:val="267"/>
        </w:trPr>
        <w:tc>
          <w:tcPr>
            <w:tcW w:w="1569" w:type="pct"/>
          </w:tcPr>
          <w:p w14:paraId="11DA40B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11. Justice, law and order</w:t>
            </w:r>
          </w:p>
        </w:tc>
        <w:tc>
          <w:tcPr>
            <w:tcW w:w="551" w:type="pct"/>
            <w:shd w:val="clear" w:color="auto" w:fill="0070C0"/>
          </w:tcPr>
          <w:p w14:paraId="7CF28BD1" w14:textId="77777777" w:rsidR="00174FA9" w:rsidRPr="00F10F3B" w:rsidRDefault="00174FA9" w:rsidP="00587EDE">
            <w:pPr>
              <w:pStyle w:val="ListParagraph"/>
              <w:spacing w:after="0"/>
              <w:ind w:left="0"/>
              <w:jc w:val="both"/>
              <w:rPr>
                <w:rFonts w:ascii="Times New Roman" w:hAnsi="Times New Roman" w:cs="Times New Roman"/>
                <w:color w:val="FFFFFF" w:themeColor="background1"/>
                <w:sz w:val="20"/>
                <w:szCs w:val="20"/>
              </w:rPr>
            </w:pPr>
            <w:r w:rsidRPr="00F10F3B">
              <w:rPr>
                <w:rFonts w:ascii="Times New Roman" w:hAnsi="Times New Roman" w:cs="Times New Roman"/>
                <w:color w:val="FFFFFF" w:themeColor="background1"/>
                <w:sz w:val="20"/>
                <w:szCs w:val="20"/>
              </w:rPr>
              <w:t>71.0%</w:t>
            </w:r>
          </w:p>
        </w:tc>
        <w:tc>
          <w:tcPr>
            <w:tcW w:w="943" w:type="pct"/>
            <w:shd w:val="clear" w:color="auto" w:fill="FFC000"/>
          </w:tcPr>
          <w:p w14:paraId="7FEAC61C"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44.0%</w:t>
            </w:r>
          </w:p>
        </w:tc>
        <w:tc>
          <w:tcPr>
            <w:tcW w:w="1022" w:type="pct"/>
            <w:shd w:val="clear" w:color="auto" w:fill="00B050"/>
          </w:tcPr>
          <w:p w14:paraId="6CBF23A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78.0%</w:t>
            </w:r>
          </w:p>
        </w:tc>
        <w:tc>
          <w:tcPr>
            <w:tcW w:w="915" w:type="pct"/>
            <w:shd w:val="clear" w:color="auto" w:fill="FFC000"/>
          </w:tcPr>
          <w:p w14:paraId="7BC84EE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44.0%</w:t>
            </w:r>
          </w:p>
        </w:tc>
      </w:tr>
      <w:tr w:rsidR="00174FA9" w:rsidRPr="00F10F3B" w14:paraId="3C09F04B" w14:textId="77777777" w:rsidTr="003F6E47">
        <w:trPr>
          <w:trHeight w:val="129"/>
        </w:trPr>
        <w:tc>
          <w:tcPr>
            <w:tcW w:w="1569" w:type="pct"/>
          </w:tcPr>
          <w:p w14:paraId="75BAF03B"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12. Accountability</w:t>
            </w:r>
          </w:p>
        </w:tc>
        <w:tc>
          <w:tcPr>
            <w:tcW w:w="551" w:type="pct"/>
            <w:shd w:val="clear" w:color="auto" w:fill="0070C0"/>
          </w:tcPr>
          <w:p w14:paraId="1F9EFB46" w14:textId="77777777" w:rsidR="00174FA9" w:rsidRPr="00F10F3B" w:rsidRDefault="00174FA9" w:rsidP="00587EDE">
            <w:pPr>
              <w:pStyle w:val="ListParagraph"/>
              <w:spacing w:after="0"/>
              <w:ind w:left="0"/>
              <w:jc w:val="both"/>
              <w:rPr>
                <w:rFonts w:ascii="Times New Roman" w:hAnsi="Times New Roman" w:cs="Times New Roman"/>
                <w:color w:val="FFFFFF" w:themeColor="background1"/>
                <w:sz w:val="20"/>
                <w:szCs w:val="20"/>
              </w:rPr>
            </w:pPr>
            <w:r w:rsidRPr="00F10F3B">
              <w:rPr>
                <w:rFonts w:ascii="Times New Roman" w:hAnsi="Times New Roman" w:cs="Times New Roman"/>
                <w:color w:val="FFFFFF" w:themeColor="background1"/>
                <w:sz w:val="20"/>
                <w:szCs w:val="20"/>
              </w:rPr>
              <w:t>64.0%</w:t>
            </w:r>
          </w:p>
        </w:tc>
        <w:tc>
          <w:tcPr>
            <w:tcW w:w="943" w:type="pct"/>
            <w:shd w:val="clear" w:color="auto" w:fill="FFC000"/>
          </w:tcPr>
          <w:p w14:paraId="311A7F6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45.3%</w:t>
            </w:r>
          </w:p>
        </w:tc>
        <w:tc>
          <w:tcPr>
            <w:tcW w:w="1022" w:type="pct"/>
            <w:shd w:val="clear" w:color="auto" w:fill="FFFF00"/>
          </w:tcPr>
          <w:p w14:paraId="609562A2"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71.0%</w:t>
            </w:r>
          </w:p>
        </w:tc>
        <w:tc>
          <w:tcPr>
            <w:tcW w:w="915" w:type="pct"/>
            <w:shd w:val="clear" w:color="auto" w:fill="FFC000"/>
          </w:tcPr>
          <w:p w14:paraId="5DF5DC1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48.0%</w:t>
            </w:r>
          </w:p>
        </w:tc>
      </w:tr>
      <w:tr w:rsidR="00174FA9" w:rsidRPr="00F10F3B" w14:paraId="5A8460A1" w14:textId="77777777" w:rsidTr="003F6E47">
        <w:trPr>
          <w:trHeight w:val="161"/>
        </w:trPr>
        <w:tc>
          <w:tcPr>
            <w:tcW w:w="1569" w:type="pct"/>
          </w:tcPr>
          <w:p w14:paraId="64544A15"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13. Public sector management</w:t>
            </w:r>
          </w:p>
        </w:tc>
        <w:tc>
          <w:tcPr>
            <w:tcW w:w="551" w:type="pct"/>
            <w:shd w:val="clear" w:color="auto" w:fill="0070C0"/>
          </w:tcPr>
          <w:p w14:paraId="10AAE37F" w14:textId="77777777" w:rsidR="00174FA9" w:rsidRPr="00F10F3B" w:rsidRDefault="00174FA9" w:rsidP="00587EDE">
            <w:pPr>
              <w:pStyle w:val="ListParagraph"/>
              <w:spacing w:after="0"/>
              <w:ind w:left="0"/>
              <w:jc w:val="both"/>
              <w:rPr>
                <w:rFonts w:ascii="Times New Roman" w:hAnsi="Times New Roman" w:cs="Times New Roman"/>
                <w:color w:val="FFFFFF" w:themeColor="background1"/>
                <w:sz w:val="20"/>
                <w:szCs w:val="20"/>
              </w:rPr>
            </w:pPr>
            <w:r w:rsidRPr="00F10F3B">
              <w:rPr>
                <w:rFonts w:ascii="Times New Roman" w:hAnsi="Times New Roman" w:cs="Times New Roman"/>
                <w:color w:val="FFFFFF" w:themeColor="background1"/>
                <w:sz w:val="20"/>
                <w:szCs w:val="20"/>
              </w:rPr>
              <w:t>57.0%</w:t>
            </w:r>
          </w:p>
        </w:tc>
        <w:tc>
          <w:tcPr>
            <w:tcW w:w="943" w:type="pct"/>
            <w:shd w:val="clear" w:color="auto" w:fill="FFC000"/>
          </w:tcPr>
          <w:p w14:paraId="06E626C7"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40.1%</w:t>
            </w:r>
          </w:p>
        </w:tc>
        <w:tc>
          <w:tcPr>
            <w:tcW w:w="1022" w:type="pct"/>
            <w:shd w:val="clear" w:color="auto" w:fill="FFFF00"/>
          </w:tcPr>
          <w:p w14:paraId="466A5724"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62.0%</w:t>
            </w:r>
          </w:p>
        </w:tc>
        <w:tc>
          <w:tcPr>
            <w:tcW w:w="915" w:type="pct"/>
            <w:shd w:val="clear" w:color="auto" w:fill="FFC000"/>
          </w:tcPr>
          <w:p w14:paraId="789DD86A"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38.3%</w:t>
            </w:r>
          </w:p>
        </w:tc>
      </w:tr>
      <w:tr w:rsidR="00174FA9" w:rsidRPr="00F10F3B" w14:paraId="41359609" w14:textId="77777777" w:rsidTr="003F6E47">
        <w:trPr>
          <w:trHeight w:val="125"/>
        </w:trPr>
        <w:tc>
          <w:tcPr>
            <w:tcW w:w="1569" w:type="pct"/>
          </w:tcPr>
          <w:p w14:paraId="237BDFB9"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 xml:space="preserve">14. Lands, housing, urban dev. </w:t>
            </w:r>
          </w:p>
        </w:tc>
        <w:tc>
          <w:tcPr>
            <w:tcW w:w="551" w:type="pct"/>
            <w:shd w:val="clear" w:color="auto" w:fill="FFC000"/>
          </w:tcPr>
          <w:p w14:paraId="624290E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50.0%</w:t>
            </w:r>
          </w:p>
        </w:tc>
        <w:tc>
          <w:tcPr>
            <w:tcW w:w="943" w:type="pct"/>
            <w:shd w:val="clear" w:color="auto" w:fill="FFC000"/>
          </w:tcPr>
          <w:p w14:paraId="2EBCC4F5"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34.4%</w:t>
            </w:r>
          </w:p>
        </w:tc>
        <w:tc>
          <w:tcPr>
            <w:tcW w:w="1022" w:type="pct"/>
            <w:shd w:val="clear" w:color="auto" w:fill="FFFF00"/>
          </w:tcPr>
          <w:p w14:paraId="1ADCADD8"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67.3%</w:t>
            </w:r>
          </w:p>
        </w:tc>
        <w:tc>
          <w:tcPr>
            <w:tcW w:w="915" w:type="pct"/>
            <w:shd w:val="clear" w:color="auto" w:fill="FFFF00"/>
          </w:tcPr>
          <w:p w14:paraId="1F05EBD9"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58.0%</w:t>
            </w:r>
          </w:p>
        </w:tc>
      </w:tr>
      <w:tr w:rsidR="00174FA9" w:rsidRPr="00F10F3B" w14:paraId="78A93C68" w14:textId="77777777" w:rsidTr="003F6E47">
        <w:trPr>
          <w:trHeight w:val="103"/>
        </w:trPr>
        <w:tc>
          <w:tcPr>
            <w:tcW w:w="1569" w:type="pct"/>
          </w:tcPr>
          <w:p w14:paraId="3FC9A592"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15. Energy sector, mineral dev.</w:t>
            </w:r>
          </w:p>
        </w:tc>
        <w:tc>
          <w:tcPr>
            <w:tcW w:w="551" w:type="pct"/>
            <w:shd w:val="clear" w:color="auto" w:fill="FF0000"/>
          </w:tcPr>
          <w:p w14:paraId="35E1A4C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14.0%</w:t>
            </w:r>
          </w:p>
        </w:tc>
        <w:tc>
          <w:tcPr>
            <w:tcW w:w="943" w:type="pct"/>
            <w:shd w:val="clear" w:color="auto" w:fill="FFC000"/>
          </w:tcPr>
          <w:p w14:paraId="2C7A94B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48.1%</w:t>
            </w:r>
          </w:p>
        </w:tc>
        <w:tc>
          <w:tcPr>
            <w:tcW w:w="1022" w:type="pct"/>
            <w:shd w:val="clear" w:color="auto" w:fill="FFFF00"/>
          </w:tcPr>
          <w:p w14:paraId="75A751E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69.0%</w:t>
            </w:r>
          </w:p>
        </w:tc>
        <w:tc>
          <w:tcPr>
            <w:tcW w:w="915" w:type="pct"/>
            <w:shd w:val="clear" w:color="auto" w:fill="FF0000"/>
          </w:tcPr>
          <w:p w14:paraId="2EFE9BBC"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18.0%</w:t>
            </w:r>
          </w:p>
        </w:tc>
      </w:tr>
      <w:tr w:rsidR="00174FA9" w:rsidRPr="00F10F3B" w14:paraId="7FF815B0" w14:textId="77777777" w:rsidTr="003F6E47">
        <w:trPr>
          <w:trHeight w:val="185"/>
        </w:trPr>
        <w:tc>
          <w:tcPr>
            <w:tcW w:w="1569" w:type="pct"/>
          </w:tcPr>
          <w:p w14:paraId="0F7F5C11"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16. ICT</w:t>
            </w:r>
          </w:p>
        </w:tc>
        <w:tc>
          <w:tcPr>
            <w:tcW w:w="551" w:type="pct"/>
            <w:shd w:val="clear" w:color="auto" w:fill="00B050"/>
          </w:tcPr>
          <w:p w14:paraId="23FBBC7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100.0%</w:t>
            </w:r>
          </w:p>
        </w:tc>
        <w:tc>
          <w:tcPr>
            <w:tcW w:w="943" w:type="pct"/>
            <w:shd w:val="clear" w:color="auto" w:fill="FFC000"/>
          </w:tcPr>
          <w:p w14:paraId="0B78DA6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36.7%</w:t>
            </w:r>
          </w:p>
        </w:tc>
        <w:tc>
          <w:tcPr>
            <w:tcW w:w="1022" w:type="pct"/>
            <w:shd w:val="clear" w:color="auto" w:fill="00B050"/>
          </w:tcPr>
          <w:p w14:paraId="365E4581"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82.4%</w:t>
            </w:r>
          </w:p>
        </w:tc>
        <w:tc>
          <w:tcPr>
            <w:tcW w:w="915" w:type="pct"/>
            <w:shd w:val="clear" w:color="auto" w:fill="FF0000"/>
          </w:tcPr>
          <w:p w14:paraId="599D3B48"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13.6%</w:t>
            </w:r>
          </w:p>
        </w:tc>
      </w:tr>
      <w:tr w:rsidR="00174FA9" w:rsidRPr="00F10F3B" w14:paraId="2C7017BA" w14:textId="77777777" w:rsidTr="003F6E47">
        <w:trPr>
          <w:trHeight w:val="99"/>
        </w:trPr>
        <w:tc>
          <w:tcPr>
            <w:tcW w:w="1569" w:type="pct"/>
          </w:tcPr>
          <w:p w14:paraId="6B650DA7"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17. Social development</w:t>
            </w:r>
          </w:p>
        </w:tc>
        <w:tc>
          <w:tcPr>
            <w:tcW w:w="551" w:type="pct"/>
            <w:shd w:val="clear" w:color="auto" w:fill="0070C0"/>
          </w:tcPr>
          <w:p w14:paraId="1EC99E4E"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color w:val="FFFFFF" w:themeColor="background1"/>
                <w:sz w:val="20"/>
                <w:szCs w:val="20"/>
              </w:rPr>
              <w:t>67.0%</w:t>
            </w:r>
          </w:p>
        </w:tc>
        <w:tc>
          <w:tcPr>
            <w:tcW w:w="943" w:type="pct"/>
            <w:shd w:val="clear" w:color="auto" w:fill="FFFF00"/>
          </w:tcPr>
          <w:p w14:paraId="37CAD9B3"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60.0%</w:t>
            </w:r>
          </w:p>
        </w:tc>
        <w:tc>
          <w:tcPr>
            <w:tcW w:w="1022" w:type="pct"/>
            <w:shd w:val="clear" w:color="auto" w:fill="00B050"/>
          </w:tcPr>
          <w:p w14:paraId="7C0E66D0"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77.3%</w:t>
            </w:r>
          </w:p>
        </w:tc>
        <w:tc>
          <w:tcPr>
            <w:tcW w:w="915" w:type="pct"/>
            <w:shd w:val="clear" w:color="auto" w:fill="FFFF00"/>
          </w:tcPr>
          <w:p w14:paraId="4F8B4202"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56.0%</w:t>
            </w:r>
          </w:p>
        </w:tc>
      </w:tr>
      <w:tr w:rsidR="00174FA9" w:rsidRPr="00F10F3B" w14:paraId="5903540D" w14:textId="77777777" w:rsidTr="003F6E47">
        <w:trPr>
          <w:trHeight w:val="77"/>
        </w:trPr>
        <w:tc>
          <w:tcPr>
            <w:tcW w:w="1569" w:type="pct"/>
          </w:tcPr>
          <w:p w14:paraId="634AFB9B" w14:textId="158D1F7C"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 xml:space="preserve">18. Local </w:t>
            </w:r>
            <w:r w:rsidR="009A2561" w:rsidRPr="00F10F3B">
              <w:rPr>
                <w:rFonts w:ascii="Times New Roman" w:hAnsi="Times New Roman" w:cs="Times New Roman"/>
                <w:sz w:val="20"/>
                <w:szCs w:val="20"/>
              </w:rPr>
              <w:t>Government</w:t>
            </w:r>
          </w:p>
        </w:tc>
        <w:tc>
          <w:tcPr>
            <w:tcW w:w="551" w:type="pct"/>
            <w:shd w:val="clear" w:color="auto" w:fill="00B050"/>
          </w:tcPr>
          <w:p w14:paraId="4EA35C9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94.5%</w:t>
            </w:r>
          </w:p>
        </w:tc>
        <w:tc>
          <w:tcPr>
            <w:tcW w:w="943" w:type="pct"/>
            <w:shd w:val="clear" w:color="auto" w:fill="FFC000"/>
          </w:tcPr>
          <w:p w14:paraId="6C252E81"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48.0%</w:t>
            </w:r>
          </w:p>
        </w:tc>
        <w:tc>
          <w:tcPr>
            <w:tcW w:w="1022" w:type="pct"/>
          </w:tcPr>
          <w:p w14:paraId="6975F688"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Not rated</w:t>
            </w:r>
          </w:p>
        </w:tc>
        <w:tc>
          <w:tcPr>
            <w:tcW w:w="915" w:type="pct"/>
          </w:tcPr>
          <w:p w14:paraId="6D7FC05B"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Not rated</w:t>
            </w:r>
          </w:p>
        </w:tc>
      </w:tr>
      <w:tr w:rsidR="00174FA9" w:rsidRPr="00F10F3B" w14:paraId="00C16AD8" w14:textId="77777777" w:rsidTr="003F6E47">
        <w:trPr>
          <w:trHeight w:val="77"/>
        </w:trPr>
        <w:tc>
          <w:tcPr>
            <w:tcW w:w="1569" w:type="pct"/>
            <w:shd w:val="clear" w:color="auto" w:fill="C5E0B3" w:themeFill="accent6" w:themeFillTint="66"/>
          </w:tcPr>
          <w:p w14:paraId="6FBC4D43" w14:textId="77777777" w:rsidR="00174FA9" w:rsidRPr="00F10F3B" w:rsidRDefault="00174FA9" w:rsidP="00587EDE">
            <w:pPr>
              <w:spacing w:after="0"/>
              <w:jc w:val="both"/>
              <w:rPr>
                <w:rFonts w:ascii="Times New Roman" w:hAnsi="Times New Roman" w:cs="Times New Roman"/>
                <w:sz w:val="20"/>
                <w:szCs w:val="20"/>
              </w:rPr>
            </w:pPr>
            <w:r w:rsidRPr="00F10F3B">
              <w:rPr>
                <w:rFonts w:ascii="Times New Roman" w:hAnsi="Times New Roman" w:cs="Times New Roman"/>
                <w:sz w:val="20"/>
                <w:szCs w:val="20"/>
              </w:rPr>
              <w:t>Average alignment %</w:t>
            </w:r>
          </w:p>
        </w:tc>
        <w:tc>
          <w:tcPr>
            <w:tcW w:w="551" w:type="pct"/>
            <w:shd w:val="clear" w:color="auto" w:fill="C5E0B3" w:themeFill="accent6" w:themeFillTint="66"/>
          </w:tcPr>
          <w:p w14:paraId="25ECFBAD"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68.25%</w:t>
            </w:r>
          </w:p>
        </w:tc>
        <w:tc>
          <w:tcPr>
            <w:tcW w:w="943" w:type="pct"/>
            <w:shd w:val="clear" w:color="auto" w:fill="C5E0B3" w:themeFill="accent6" w:themeFillTint="66"/>
          </w:tcPr>
          <w:p w14:paraId="0F7FEAE6"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49.24%</w:t>
            </w:r>
          </w:p>
        </w:tc>
        <w:tc>
          <w:tcPr>
            <w:tcW w:w="1022" w:type="pct"/>
            <w:shd w:val="clear" w:color="auto" w:fill="C5E0B3" w:themeFill="accent6" w:themeFillTint="66"/>
          </w:tcPr>
          <w:p w14:paraId="3963453C"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67.41%</w:t>
            </w:r>
          </w:p>
        </w:tc>
        <w:tc>
          <w:tcPr>
            <w:tcW w:w="915" w:type="pct"/>
            <w:shd w:val="clear" w:color="auto" w:fill="C5E0B3" w:themeFill="accent6" w:themeFillTint="66"/>
          </w:tcPr>
          <w:p w14:paraId="3063D3CF" w14:textId="77777777" w:rsidR="00174FA9" w:rsidRPr="00F10F3B" w:rsidRDefault="00174FA9" w:rsidP="00587EDE">
            <w:pPr>
              <w:pStyle w:val="ListParagraph"/>
              <w:spacing w:after="0"/>
              <w:ind w:left="0"/>
              <w:jc w:val="both"/>
              <w:rPr>
                <w:rFonts w:ascii="Times New Roman" w:hAnsi="Times New Roman" w:cs="Times New Roman"/>
                <w:sz w:val="20"/>
                <w:szCs w:val="20"/>
              </w:rPr>
            </w:pPr>
            <w:r w:rsidRPr="00F10F3B">
              <w:rPr>
                <w:rFonts w:ascii="Times New Roman" w:hAnsi="Times New Roman" w:cs="Times New Roman"/>
                <w:sz w:val="20"/>
                <w:szCs w:val="20"/>
              </w:rPr>
              <w:t>42.72%</w:t>
            </w:r>
          </w:p>
        </w:tc>
      </w:tr>
    </w:tbl>
    <w:p w14:paraId="172C8E41" w14:textId="77777777" w:rsidR="00174FA9" w:rsidRPr="00F10F3B" w:rsidRDefault="00174FA9"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Source: author’s analysis of CoC data, FY2017/18</w:t>
      </w:r>
    </w:p>
    <w:p w14:paraId="235A066B" w14:textId="659FA955" w:rsidR="00174FA9" w:rsidRPr="00A92C7A" w:rsidRDefault="00174FA9" w:rsidP="005A6015">
      <w:pPr>
        <w:pStyle w:val="ListParagraph"/>
        <w:numPr>
          <w:ilvl w:val="0"/>
          <w:numId w:val="48"/>
        </w:numPr>
        <w:spacing w:line="360" w:lineRule="auto"/>
        <w:ind w:left="851" w:hanging="491"/>
        <w:contextualSpacing w:val="0"/>
        <w:jc w:val="both"/>
        <w:rPr>
          <w:rFonts w:ascii="Times New Roman" w:hAnsi="Times New Roman" w:cs="Times New Roman"/>
          <w:b/>
          <w:sz w:val="24"/>
        </w:rPr>
      </w:pPr>
      <w:r w:rsidRPr="00A92C7A">
        <w:rPr>
          <w:rFonts w:ascii="Times New Roman" w:hAnsi="Times New Roman" w:cs="Times New Roman"/>
          <w:b/>
          <w:sz w:val="24"/>
        </w:rPr>
        <w:t xml:space="preserve">The level of understanding of NDPII vis-à-vis NDPI by stakeholders appears to be higher. </w:t>
      </w:r>
      <w:r w:rsidRPr="00A92C7A">
        <w:rPr>
          <w:rFonts w:ascii="Times New Roman" w:hAnsi="Times New Roman" w:cs="Times New Roman"/>
          <w:sz w:val="24"/>
        </w:rPr>
        <w:t xml:space="preserve">Discussions with stakeholders during this MTR revealed that there is a common understanding on the priorities of NDPII and some evidence of the broad policy and strategic directions it espouses. Stakeholders noted that NDPII is more succinct and focused than NDPI. Non-state actors, the private sector and development partners have however expressed that they would like to work with </w:t>
      </w:r>
      <w:r w:rsidR="009A2561" w:rsidRPr="00A92C7A">
        <w:rPr>
          <w:rFonts w:ascii="Times New Roman" w:hAnsi="Times New Roman" w:cs="Times New Roman"/>
          <w:sz w:val="24"/>
        </w:rPr>
        <w:t>Government</w:t>
      </w:r>
      <w:r w:rsidRPr="00A92C7A">
        <w:rPr>
          <w:rFonts w:ascii="Times New Roman" w:hAnsi="Times New Roman" w:cs="Times New Roman"/>
          <w:sz w:val="24"/>
        </w:rPr>
        <w:t xml:space="preserve"> in a more meaningful way moving forward. </w:t>
      </w:r>
    </w:p>
    <w:p w14:paraId="6D289C10" w14:textId="4DDEC9E8" w:rsidR="00174FA9" w:rsidRPr="00A92C7A" w:rsidRDefault="00174FA9" w:rsidP="005A6015">
      <w:pPr>
        <w:pStyle w:val="ListParagraph"/>
        <w:spacing w:line="360" w:lineRule="auto"/>
        <w:ind w:left="851"/>
        <w:contextualSpacing w:val="0"/>
        <w:jc w:val="both"/>
        <w:rPr>
          <w:rFonts w:ascii="Times New Roman" w:hAnsi="Times New Roman" w:cs="Times New Roman"/>
          <w:sz w:val="24"/>
        </w:rPr>
      </w:pPr>
      <w:r w:rsidRPr="00A92C7A">
        <w:rPr>
          <w:rFonts w:ascii="Times New Roman" w:hAnsi="Times New Roman" w:cs="Times New Roman"/>
          <w:sz w:val="24"/>
          <w:u w:val="single"/>
        </w:rPr>
        <w:t xml:space="preserve">Recommendation 10: </w:t>
      </w:r>
      <w:r w:rsidRPr="00A92C7A">
        <w:rPr>
          <w:rFonts w:ascii="Times New Roman" w:hAnsi="Times New Roman" w:cs="Times New Roman"/>
          <w:sz w:val="24"/>
        </w:rPr>
        <w:t xml:space="preserve">To improve buy-in and support to NDPII, it is recommended that the </w:t>
      </w:r>
      <w:r w:rsidR="009A2561" w:rsidRPr="00A92C7A">
        <w:rPr>
          <w:rFonts w:ascii="Times New Roman" w:hAnsi="Times New Roman" w:cs="Times New Roman"/>
          <w:sz w:val="24"/>
        </w:rPr>
        <w:t>Government</w:t>
      </w:r>
      <w:r w:rsidRPr="00A92C7A">
        <w:rPr>
          <w:rFonts w:ascii="Times New Roman" w:hAnsi="Times New Roman" w:cs="Times New Roman"/>
          <w:sz w:val="24"/>
        </w:rPr>
        <w:t xml:space="preserve"> considers strengthen</w:t>
      </w:r>
      <w:r w:rsidR="00C94B55" w:rsidRPr="00A92C7A">
        <w:rPr>
          <w:rFonts w:ascii="Times New Roman" w:hAnsi="Times New Roman" w:cs="Times New Roman"/>
          <w:sz w:val="24"/>
        </w:rPr>
        <w:t>ing</w:t>
      </w:r>
      <w:r w:rsidRPr="00A92C7A">
        <w:rPr>
          <w:rFonts w:ascii="Times New Roman" w:hAnsi="Times New Roman" w:cs="Times New Roman"/>
          <w:sz w:val="24"/>
        </w:rPr>
        <w:t xml:space="preserve"> the co-ordination of development partners, enhances the involvement of development partners in preparing NDPIII, streamlines joint sector working groups and ensures that partnership dialogue within the NPF is inclusive and result-orientated. Alignment of development assistance to national priorities could also be strengthened through structured consultation with development partners on priorities, aligned to the country’s budget calendar. </w:t>
      </w:r>
      <w:bookmarkStart w:id="58" w:name="_Hlk3572866"/>
      <w:r w:rsidRPr="00A92C7A">
        <w:rPr>
          <w:rFonts w:ascii="Times New Roman" w:hAnsi="Times New Roman" w:cs="Times New Roman"/>
          <w:sz w:val="24"/>
        </w:rPr>
        <w:t xml:space="preserve">To enhance the level of commitment and buy-in to the plan from </w:t>
      </w:r>
      <w:r w:rsidR="009A2561" w:rsidRPr="00A92C7A">
        <w:rPr>
          <w:rFonts w:ascii="Times New Roman" w:hAnsi="Times New Roman" w:cs="Times New Roman"/>
          <w:sz w:val="24"/>
        </w:rPr>
        <w:t>Government</w:t>
      </w:r>
      <w:r w:rsidRPr="00A92C7A">
        <w:rPr>
          <w:rFonts w:ascii="Times New Roman" w:hAnsi="Times New Roman" w:cs="Times New Roman"/>
          <w:sz w:val="24"/>
        </w:rPr>
        <w:t xml:space="preserve"> stakeholders it is recommended that the </w:t>
      </w:r>
      <w:r w:rsidR="009A2561" w:rsidRPr="00A92C7A">
        <w:rPr>
          <w:rFonts w:ascii="Times New Roman" w:hAnsi="Times New Roman" w:cs="Times New Roman"/>
          <w:sz w:val="24"/>
        </w:rPr>
        <w:t>Government</w:t>
      </w:r>
      <w:r w:rsidRPr="00A92C7A">
        <w:rPr>
          <w:rFonts w:ascii="Times New Roman" w:hAnsi="Times New Roman" w:cs="Times New Roman"/>
          <w:sz w:val="24"/>
        </w:rPr>
        <w:t xml:space="preserve"> revisits and revises the communication plan outlined in the NDPII </w:t>
      </w:r>
      <w:r w:rsidR="009C5EBE" w:rsidRPr="00A92C7A">
        <w:rPr>
          <w:rFonts w:ascii="Times New Roman" w:hAnsi="Times New Roman" w:cs="Times New Roman"/>
          <w:sz w:val="24"/>
        </w:rPr>
        <w:t>Implementation Strategy</w:t>
      </w:r>
      <w:r w:rsidRPr="00A92C7A">
        <w:rPr>
          <w:rFonts w:ascii="Times New Roman" w:hAnsi="Times New Roman" w:cs="Times New Roman"/>
          <w:sz w:val="24"/>
        </w:rPr>
        <w:t xml:space="preserve"> and ensures that </w:t>
      </w:r>
      <w:r w:rsidRPr="00A92C7A">
        <w:rPr>
          <w:rFonts w:ascii="Times New Roman" w:hAnsi="Times New Roman" w:cs="Times New Roman"/>
          <w:sz w:val="24"/>
        </w:rPr>
        <w:lastRenderedPageBreak/>
        <w:t>carries out a series of small meetings with agencies, in addition to larger forums.</w:t>
      </w:r>
      <w:r w:rsidR="002C46BF" w:rsidRPr="00A92C7A">
        <w:rPr>
          <w:rFonts w:ascii="Times New Roman" w:hAnsi="Times New Roman" w:cs="Times New Roman"/>
          <w:sz w:val="24"/>
        </w:rPr>
        <w:t xml:space="preserve"> Focused, meaningful discussions should also ideally be more frequent with civil society and the private sector.</w:t>
      </w:r>
    </w:p>
    <w:bookmarkEnd w:id="58"/>
    <w:p w14:paraId="4AA76E58" w14:textId="54B7BBBD" w:rsidR="00174FA9" w:rsidRPr="00A92C7A" w:rsidRDefault="002C46BF" w:rsidP="005A6015">
      <w:pPr>
        <w:pStyle w:val="ListParagraph"/>
        <w:numPr>
          <w:ilvl w:val="0"/>
          <w:numId w:val="46"/>
        </w:numPr>
        <w:spacing w:line="360" w:lineRule="auto"/>
        <w:ind w:left="426" w:hanging="426"/>
        <w:contextualSpacing w:val="0"/>
        <w:jc w:val="both"/>
        <w:rPr>
          <w:rFonts w:ascii="Times New Roman" w:hAnsi="Times New Roman" w:cs="Times New Roman"/>
          <w:sz w:val="24"/>
        </w:rPr>
      </w:pPr>
      <w:r w:rsidRPr="00A92C7A">
        <w:rPr>
          <w:rFonts w:ascii="Times New Roman" w:hAnsi="Times New Roman" w:cs="Times New Roman"/>
          <w:sz w:val="24"/>
        </w:rPr>
        <w:t xml:space="preserve">In conclusion, </w:t>
      </w:r>
      <w:r w:rsidR="00174FA9" w:rsidRPr="00A92C7A">
        <w:rPr>
          <w:rFonts w:ascii="Times New Roman" w:hAnsi="Times New Roman" w:cs="Times New Roman"/>
          <w:sz w:val="24"/>
        </w:rPr>
        <w:t xml:space="preserve">despite the clear strategic direction provided by NDPII, good planning alone will not deliver Uganda to middle-income status by 2020. As detailed in the recommendations provided there is need, in the remaining years of NDPII and in future plans, to renew and increase efforts into delivering an </w:t>
      </w:r>
      <w:r w:rsidR="00174FA9" w:rsidRPr="00A92C7A">
        <w:rPr>
          <w:rFonts w:ascii="Times New Roman" w:hAnsi="Times New Roman" w:cs="Times New Roman"/>
          <w:i/>
          <w:sz w:val="24"/>
        </w:rPr>
        <w:t>effective and efficient implementation framework</w:t>
      </w:r>
      <w:r w:rsidR="00174FA9" w:rsidRPr="00A92C7A">
        <w:rPr>
          <w:rFonts w:ascii="Times New Roman" w:hAnsi="Times New Roman" w:cs="Times New Roman"/>
          <w:sz w:val="24"/>
        </w:rPr>
        <w:t xml:space="preserve">. </w:t>
      </w:r>
      <w:r w:rsidRPr="00A92C7A">
        <w:rPr>
          <w:rFonts w:ascii="Times New Roman" w:hAnsi="Times New Roman" w:cs="Times New Roman"/>
          <w:sz w:val="24"/>
        </w:rPr>
        <w:t xml:space="preserve">In particular, </w:t>
      </w:r>
      <w:r w:rsidR="00174FA9" w:rsidRPr="00A92C7A">
        <w:rPr>
          <w:rFonts w:ascii="Times New Roman" w:hAnsi="Times New Roman" w:cs="Times New Roman"/>
          <w:sz w:val="24"/>
        </w:rPr>
        <w:t xml:space="preserve">this means investing in public investment management, ensuring </w:t>
      </w:r>
      <w:r w:rsidR="00174FA9" w:rsidRPr="00A92C7A">
        <w:rPr>
          <w:rFonts w:ascii="Times New Roman" w:hAnsi="Times New Roman" w:cs="Times New Roman"/>
          <w:i/>
          <w:sz w:val="24"/>
        </w:rPr>
        <w:t>consistent</w:t>
      </w:r>
      <w:r w:rsidR="00174FA9" w:rsidRPr="00A92C7A">
        <w:rPr>
          <w:rFonts w:ascii="Times New Roman" w:hAnsi="Times New Roman" w:cs="Times New Roman"/>
          <w:sz w:val="24"/>
        </w:rPr>
        <w:t xml:space="preserve"> meaningful communication and partnership with stakeholders across and outside </w:t>
      </w:r>
      <w:r w:rsidR="009A2561" w:rsidRPr="00A92C7A">
        <w:rPr>
          <w:rFonts w:ascii="Times New Roman" w:hAnsi="Times New Roman" w:cs="Times New Roman"/>
          <w:sz w:val="24"/>
        </w:rPr>
        <w:t>Government</w:t>
      </w:r>
      <w:r w:rsidR="00174FA9" w:rsidRPr="00A92C7A">
        <w:rPr>
          <w:rFonts w:ascii="Times New Roman" w:hAnsi="Times New Roman" w:cs="Times New Roman"/>
          <w:sz w:val="24"/>
        </w:rPr>
        <w:t xml:space="preserve"> (development partners, civil society, private sector) and aligning financial resources to the plan. For these to happen there must be strong political will and buy-in to stick to, and support, the plan.</w:t>
      </w:r>
    </w:p>
    <w:p w14:paraId="4D782A15" w14:textId="77777777" w:rsidR="00174FA9" w:rsidRPr="00F10F3B" w:rsidRDefault="00174FA9" w:rsidP="00587EDE">
      <w:pPr>
        <w:spacing w:line="360" w:lineRule="auto"/>
        <w:jc w:val="both"/>
        <w:rPr>
          <w:rFonts w:ascii="Times New Roman" w:hAnsi="Times New Roman" w:cs="Times New Roman"/>
        </w:rPr>
      </w:pPr>
    </w:p>
    <w:p w14:paraId="061C5018" w14:textId="77777777" w:rsidR="009E6F98" w:rsidRPr="00F10F3B" w:rsidRDefault="009E6F98" w:rsidP="00587EDE">
      <w:pPr>
        <w:spacing w:after="160" w:line="360" w:lineRule="auto"/>
        <w:jc w:val="both"/>
        <w:rPr>
          <w:rFonts w:ascii="Times New Roman" w:eastAsiaTheme="majorEastAsia" w:hAnsi="Times New Roman" w:cs="Times New Roman"/>
          <w:b/>
          <w:sz w:val="28"/>
          <w:szCs w:val="32"/>
        </w:rPr>
      </w:pPr>
      <w:r w:rsidRPr="00F10F3B">
        <w:rPr>
          <w:rFonts w:ascii="Times New Roman" w:hAnsi="Times New Roman" w:cs="Times New Roman"/>
        </w:rPr>
        <w:br w:type="page"/>
      </w:r>
    </w:p>
    <w:p w14:paraId="23B64A94" w14:textId="0D9B7328" w:rsidR="00846E60" w:rsidRPr="00F10F3B" w:rsidRDefault="00FC14B6" w:rsidP="00B86D0C">
      <w:pPr>
        <w:pStyle w:val="Heading1"/>
      </w:pPr>
      <w:bookmarkStart w:id="59" w:name="_Toc3454223"/>
      <w:bookmarkStart w:id="60" w:name="_Toc9269387"/>
      <w:r w:rsidRPr="00F10F3B">
        <w:lastRenderedPageBreak/>
        <w:t>References</w:t>
      </w:r>
      <w:bookmarkEnd w:id="59"/>
      <w:bookmarkEnd w:id="60"/>
    </w:p>
    <w:p w14:paraId="6D5B2968" w14:textId="4D990DD8" w:rsidR="00FC14B6" w:rsidRPr="00A92C7A" w:rsidRDefault="00FC14B6"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Department of Policy Development and Capacity Building</w:t>
      </w:r>
      <w:r w:rsidR="00714354" w:rsidRPr="00A92C7A">
        <w:rPr>
          <w:rFonts w:ascii="Times New Roman" w:hAnsi="Times New Roman" w:cs="Times New Roman"/>
          <w:sz w:val="24"/>
          <w:szCs w:val="24"/>
        </w:rPr>
        <w:t xml:space="preserve"> (2017): </w:t>
      </w:r>
      <w:r w:rsidR="00B82E4C" w:rsidRPr="00A92C7A">
        <w:rPr>
          <w:rFonts w:ascii="Times New Roman" w:hAnsi="Times New Roman" w:cs="Times New Roman"/>
          <w:i/>
          <w:sz w:val="24"/>
          <w:szCs w:val="24"/>
        </w:rPr>
        <w:t>P</w:t>
      </w:r>
      <w:r w:rsidR="002E5C27" w:rsidRPr="00A92C7A">
        <w:rPr>
          <w:rFonts w:ascii="Times New Roman" w:hAnsi="Times New Roman" w:cs="Times New Roman"/>
          <w:i/>
          <w:sz w:val="24"/>
          <w:szCs w:val="24"/>
        </w:rPr>
        <w:t>olicy guidance note</w:t>
      </w:r>
    </w:p>
    <w:p w14:paraId="6DFF924A" w14:textId="5D1B7E73" w:rsidR="00EE47AE" w:rsidRPr="00A92C7A" w:rsidRDefault="00EE47AE"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w:t>
      </w:r>
      <w:r w:rsidR="00505790" w:rsidRPr="00A92C7A">
        <w:rPr>
          <w:rFonts w:ascii="Times New Roman" w:hAnsi="Times New Roman" w:cs="Times New Roman"/>
          <w:sz w:val="24"/>
          <w:szCs w:val="24"/>
        </w:rPr>
        <w:t>Governance of the NDP (1.4)</w:t>
      </w:r>
      <w:r w:rsidRPr="00A92C7A">
        <w:rPr>
          <w:rFonts w:ascii="Times New Roman" w:hAnsi="Times New Roman" w:cs="Times New Roman"/>
          <w:sz w:val="24"/>
          <w:szCs w:val="24"/>
        </w:rPr>
        <w:t xml:space="preserve">, </w:t>
      </w:r>
      <w:r w:rsidRPr="00A92C7A">
        <w:rPr>
          <w:rFonts w:ascii="Times New Roman" w:hAnsi="Times New Roman" w:cs="Times New Roman"/>
          <w:i/>
          <w:sz w:val="24"/>
          <w:szCs w:val="24"/>
        </w:rPr>
        <w:t>Diagnostic studies to support the mid-term review of Uganda’s 2</w:t>
      </w:r>
      <w:r w:rsidRPr="00A92C7A">
        <w:rPr>
          <w:rFonts w:ascii="Times New Roman" w:hAnsi="Times New Roman" w:cs="Times New Roman"/>
          <w:i/>
          <w:sz w:val="24"/>
          <w:szCs w:val="24"/>
          <w:vertAlign w:val="superscript"/>
        </w:rPr>
        <w:t>nd</w:t>
      </w:r>
      <w:r w:rsidRPr="00A92C7A">
        <w:rPr>
          <w:rFonts w:ascii="Times New Roman" w:hAnsi="Times New Roman" w:cs="Times New Roman"/>
          <w:i/>
          <w:sz w:val="24"/>
          <w:szCs w:val="24"/>
        </w:rPr>
        <w:t xml:space="preserve"> National Development Plan and evaluation of NDP1</w:t>
      </w:r>
    </w:p>
    <w:p w14:paraId="4641FEE4" w14:textId="54EB3ADD" w:rsidR="003F61F2" w:rsidRPr="00A92C7A" w:rsidRDefault="003F61F2"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Draft main human capital development report (3.1), </w:t>
      </w:r>
      <w:r w:rsidRPr="00A92C7A">
        <w:rPr>
          <w:rFonts w:ascii="Times New Roman" w:hAnsi="Times New Roman" w:cs="Times New Roman"/>
          <w:i/>
          <w:sz w:val="24"/>
          <w:szCs w:val="24"/>
        </w:rPr>
        <w:t>Diagnostic studies to support the mid-term review of Uganda’s 2</w:t>
      </w:r>
      <w:r w:rsidRPr="00A92C7A">
        <w:rPr>
          <w:rFonts w:ascii="Times New Roman" w:hAnsi="Times New Roman" w:cs="Times New Roman"/>
          <w:i/>
          <w:sz w:val="24"/>
          <w:szCs w:val="24"/>
          <w:vertAlign w:val="superscript"/>
        </w:rPr>
        <w:t>nd</w:t>
      </w:r>
      <w:r w:rsidRPr="00A92C7A">
        <w:rPr>
          <w:rFonts w:ascii="Times New Roman" w:hAnsi="Times New Roman" w:cs="Times New Roman"/>
          <w:i/>
          <w:sz w:val="24"/>
          <w:szCs w:val="24"/>
        </w:rPr>
        <w:t xml:space="preserve"> National Development Plan and evaluation of NDP1</w:t>
      </w:r>
    </w:p>
    <w:p w14:paraId="0034B896" w14:textId="4964E6DC" w:rsidR="00B248EF" w:rsidRPr="00A92C7A" w:rsidRDefault="00B248EF"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Draft main </w:t>
      </w:r>
      <w:r w:rsidR="00F65FE2" w:rsidRPr="00A92C7A">
        <w:rPr>
          <w:rFonts w:ascii="Times New Roman" w:hAnsi="Times New Roman" w:cs="Times New Roman"/>
          <w:sz w:val="24"/>
          <w:szCs w:val="24"/>
        </w:rPr>
        <w:t xml:space="preserve">inclusive growth report </w:t>
      </w:r>
      <w:r w:rsidRPr="00A92C7A">
        <w:rPr>
          <w:rFonts w:ascii="Times New Roman" w:hAnsi="Times New Roman" w:cs="Times New Roman"/>
          <w:sz w:val="24"/>
          <w:szCs w:val="24"/>
        </w:rPr>
        <w:t xml:space="preserve">(3.2), </w:t>
      </w:r>
      <w:r w:rsidRPr="00A92C7A">
        <w:rPr>
          <w:rFonts w:ascii="Times New Roman" w:hAnsi="Times New Roman" w:cs="Times New Roman"/>
          <w:i/>
          <w:sz w:val="24"/>
          <w:szCs w:val="24"/>
        </w:rPr>
        <w:t>Diagnostic studies to support the mid-term review of Uganda’s 2</w:t>
      </w:r>
      <w:r w:rsidRPr="00A92C7A">
        <w:rPr>
          <w:rFonts w:ascii="Times New Roman" w:hAnsi="Times New Roman" w:cs="Times New Roman"/>
          <w:i/>
          <w:sz w:val="24"/>
          <w:szCs w:val="24"/>
          <w:vertAlign w:val="superscript"/>
        </w:rPr>
        <w:t>nd</w:t>
      </w:r>
      <w:r w:rsidRPr="00A92C7A">
        <w:rPr>
          <w:rFonts w:ascii="Times New Roman" w:hAnsi="Times New Roman" w:cs="Times New Roman"/>
          <w:i/>
          <w:sz w:val="24"/>
          <w:szCs w:val="24"/>
        </w:rPr>
        <w:t xml:space="preserve"> National Development Plan and evaluation of NDP1</w:t>
      </w:r>
    </w:p>
    <w:p w14:paraId="42DC4F8D" w14:textId="68A734D1" w:rsidR="00FA5204" w:rsidRPr="00A92C7A" w:rsidRDefault="00FA5204"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Draft main </w:t>
      </w:r>
      <w:r w:rsidR="00DC73B6" w:rsidRPr="00A92C7A">
        <w:rPr>
          <w:rFonts w:ascii="Times New Roman" w:hAnsi="Times New Roman" w:cs="Times New Roman"/>
          <w:sz w:val="24"/>
          <w:szCs w:val="24"/>
        </w:rPr>
        <w:t xml:space="preserve">social development </w:t>
      </w:r>
      <w:r w:rsidRPr="00A92C7A">
        <w:rPr>
          <w:rFonts w:ascii="Times New Roman" w:hAnsi="Times New Roman" w:cs="Times New Roman"/>
          <w:sz w:val="24"/>
          <w:szCs w:val="24"/>
        </w:rPr>
        <w:t xml:space="preserve">report (3.3), </w:t>
      </w:r>
      <w:r w:rsidRPr="00A92C7A">
        <w:rPr>
          <w:rFonts w:ascii="Times New Roman" w:hAnsi="Times New Roman" w:cs="Times New Roman"/>
          <w:i/>
          <w:sz w:val="24"/>
          <w:szCs w:val="24"/>
        </w:rPr>
        <w:t>Diagnostic studies to support the mid-term review of Uganda’s 2</w:t>
      </w:r>
      <w:r w:rsidRPr="00A92C7A">
        <w:rPr>
          <w:rFonts w:ascii="Times New Roman" w:hAnsi="Times New Roman" w:cs="Times New Roman"/>
          <w:i/>
          <w:sz w:val="24"/>
          <w:szCs w:val="24"/>
          <w:vertAlign w:val="superscript"/>
        </w:rPr>
        <w:t>nd</w:t>
      </w:r>
      <w:r w:rsidRPr="00A92C7A">
        <w:rPr>
          <w:rFonts w:ascii="Times New Roman" w:hAnsi="Times New Roman" w:cs="Times New Roman"/>
          <w:i/>
          <w:sz w:val="24"/>
          <w:szCs w:val="24"/>
        </w:rPr>
        <w:t xml:space="preserve"> National Development Plan and evaluation of NDP1</w:t>
      </w:r>
    </w:p>
    <w:p w14:paraId="74AD7C8F" w14:textId="070800B7" w:rsidR="008B663A" w:rsidRPr="00A92C7A" w:rsidRDefault="008B66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Draft main </w:t>
      </w:r>
      <w:r w:rsidR="007F6E7E" w:rsidRPr="00A92C7A">
        <w:rPr>
          <w:rFonts w:ascii="Times New Roman" w:hAnsi="Times New Roman" w:cs="Times New Roman"/>
          <w:sz w:val="24"/>
          <w:szCs w:val="24"/>
        </w:rPr>
        <w:t xml:space="preserve">population growth impact </w:t>
      </w:r>
      <w:r w:rsidRPr="00A92C7A">
        <w:rPr>
          <w:rFonts w:ascii="Times New Roman" w:hAnsi="Times New Roman" w:cs="Times New Roman"/>
          <w:sz w:val="24"/>
          <w:szCs w:val="24"/>
        </w:rPr>
        <w:t xml:space="preserve">report (3.5), </w:t>
      </w:r>
      <w:r w:rsidRPr="00A92C7A">
        <w:rPr>
          <w:rFonts w:ascii="Times New Roman" w:hAnsi="Times New Roman" w:cs="Times New Roman"/>
          <w:i/>
          <w:sz w:val="24"/>
          <w:szCs w:val="24"/>
        </w:rPr>
        <w:t>Diagnostic studies to support the mid-term review of Uganda’s 2</w:t>
      </w:r>
      <w:r w:rsidRPr="00A92C7A">
        <w:rPr>
          <w:rFonts w:ascii="Times New Roman" w:hAnsi="Times New Roman" w:cs="Times New Roman"/>
          <w:i/>
          <w:sz w:val="24"/>
          <w:szCs w:val="24"/>
          <w:vertAlign w:val="superscript"/>
        </w:rPr>
        <w:t>nd</w:t>
      </w:r>
      <w:r w:rsidRPr="00A92C7A">
        <w:rPr>
          <w:rFonts w:ascii="Times New Roman" w:hAnsi="Times New Roman" w:cs="Times New Roman"/>
          <w:i/>
          <w:sz w:val="24"/>
          <w:szCs w:val="24"/>
        </w:rPr>
        <w:t xml:space="preserve"> National Development Plan and evaluation of NDP1</w:t>
      </w:r>
    </w:p>
    <w:p w14:paraId="529B319C" w14:textId="5D3CEA1F" w:rsidR="00E502F6" w:rsidRPr="00A92C7A" w:rsidRDefault="00E502F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EU (2018): Synthesis report – industrialisation and value addition, </w:t>
      </w:r>
      <w:r w:rsidR="002031DF" w:rsidRPr="00A92C7A">
        <w:rPr>
          <w:rFonts w:ascii="Times New Roman" w:hAnsi="Times New Roman" w:cs="Times New Roman"/>
          <w:i/>
          <w:sz w:val="24"/>
          <w:szCs w:val="24"/>
        </w:rPr>
        <w:t>D</w:t>
      </w:r>
      <w:r w:rsidR="00431C39" w:rsidRPr="00A92C7A">
        <w:rPr>
          <w:rFonts w:ascii="Times New Roman" w:hAnsi="Times New Roman" w:cs="Times New Roman"/>
          <w:i/>
          <w:sz w:val="24"/>
          <w:szCs w:val="24"/>
        </w:rPr>
        <w:t>iagnostic studies to support the mid-term review of Uganda’s 2</w:t>
      </w:r>
      <w:r w:rsidR="00431C39" w:rsidRPr="00A92C7A">
        <w:rPr>
          <w:rFonts w:ascii="Times New Roman" w:hAnsi="Times New Roman" w:cs="Times New Roman"/>
          <w:i/>
          <w:sz w:val="24"/>
          <w:szCs w:val="24"/>
          <w:vertAlign w:val="superscript"/>
        </w:rPr>
        <w:t>nd</w:t>
      </w:r>
      <w:r w:rsidR="00431C39" w:rsidRPr="00A92C7A">
        <w:rPr>
          <w:rFonts w:ascii="Times New Roman" w:hAnsi="Times New Roman" w:cs="Times New Roman"/>
          <w:i/>
          <w:sz w:val="24"/>
          <w:szCs w:val="24"/>
        </w:rPr>
        <w:t xml:space="preserve"> National Development Plan and evaluation of NDP1</w:t>
      </w:r>
    </w:p>
    <w:p w14:paraId="3B114C65" w14:textId="45988276" w:rsidR="002B29B8" w:rsidRPr="00A92C7A" w:rsidRDefault="002B29B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National Planning Authority (2017): </w:t>
      </w:r>
      <w:r w:rsidRPr="00A92C7A">
        <w:rPr>
          <w:rFonts w:ascii="Times New Roman" w:hAnsi="Times New Roman" w:cs="Times New Roman"/>
          <w:i/>
          <w:sz w:val="24"/>
          <w:szCs w:val="24"/>
        </w:rPr>
        <w:t>Roadmap to attaining middle income status for Uganda</w:t>
      </w:r>
    </w:p>
    <w:p w14:paraId="6E36D165" w14:textId="43980C01" w:rsidR="00FD569C" w:rsidRPr="00A92C7A" w:rsidRDefault="00FD569C"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National Planning Authority (2018): </w:t>
      </w:r>
      <w:r w:rsidRPr="00A92C7A">
        <w:rPr>
          <w:rFonts w:ascii="Times New Roman" w:hAnsi="Times New Roman" w:cs="Times New Roman"/>
          <w:i/>
          <w:sz w:val="24"/>
          <w:szCs w:val="24"/>
        </w:rPr>
        <w:t>The Certificate of Compliance for the Annual Budget FY2017/18</w:t>
      </w:r>
    </w:p>
    <w:p w14:paraId="04EEA140" w14:textId="136C0FF3" w:rsidR="00751076" w:rsidRPr="00A92C7A" w:rsidRDefault="0075107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National Planning Authority (2018): </w:t>
      </w:r>
      <w:r w:rsidRPr="00A92C7A">
        <w:rPr>
          <w:rFonts w:ascii="Times New Roman" w:hAnsi="Times New Roman" w:cs="Times New Roman"/>
          <w:i/>
          <w:sz w:val="24"/>
          <w:szCs w:val="24"/>
        </w:rPr>
        <w:t>Brief to the H.E. The President on the insights</w:t>
      </w:r>
      <w:r w:rsidR="00AC45E5" w:rsidRPr="00A92C7A">
        <w:rPr>
          <w:rFonts w:ascii="Times New Roman" w:hAnsi="Times New Roman" w:cs="Times New Roman"/>
          <w:i/>
          <w:sz w:val="24"/>
          <w:szCs w:val="24"/>
        </w:rPr>
        <w:t xml:space="preserve"> into the strategic direction for the third five-year national development plan (2020/2021-2024-2025)</w:t>
      </w:r>
    </w:p>
    <w:p w14:paraId="33AC9D0B" w14:textId="2E33BA53" w:rsidR="008B6CF4" w:rsidRPr="00A92C7A" w:rsidRDefault="008B6CF4"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M</w:t>
      </w:r>
      <w:r w:rsidR="00B50729" w:rsidRPr="00A92C7A">
        <w:rPr>
          <w:rFonts w:ascii="Times New Roman" w:hAnsi="Times New Roman" w:cs="Times New Roman"/>
          <w:sz w:val="24"/>
          <w:szCs w:val="24"/>
        </w:rPr>
        <w:t>, Joseph</w:t>
      </w:r>
      <w:r w:rsidR="00AC4A56" w:rsidRPr="00A92C7A">
        <w:rPr>
          <w:rFonts w:ascii="Times New Roman" w:hAnsi="Times New Roman" w:cs="Times New Roman"/>
          <w:sz w:val="24"/>
          <w:szCs w:val="24"/>
        </w:rPr>
        <w:t>at</w:t>
      </w:r>
      <w:r w:rsidR="00B50729" w:rsidRPr="00A92C7A">
        <w:rPr>
          <w:rFonts w:ascii="Times New Roman" w:hAnsi="Times New Roman" w:cs="Times New Roman"/>
          <w:sz w:val="24"/>
          <w:szCs w:val="24"/>
        </w:rPr>
        <w:t xml:space="preserve"> (2018): </w:t>
      </w:r>
      <w:r w:rsidR="00B50729" w:rsidRPr="00A92C7A">
        <w:rPr>
          <w:rFonts w:ascii="Times New Roman" w:hAnsi="Times New Roman" w:cs="Times New Roman"/>
          <w:i/>
          <w:sz w:val="24"/>
          <w:szCs w:val="24"/>
        </w:rPr>
        <w:t>Deforestation in Uganda: population increase, forest loss and climate change</w:t>
      </w:r>
    </w:p>
    <w:p w14:paraId="1C2726BE" w14:textId="502AB0D0" w:rsidR="0043709A" w:rsidRPr="00A92C7A" w:rsidRDefault="0043709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PEFA and DFID (2017): </w:t>
      </w:r>
      <w:r w:rsidRPr="00A92C7A">
        <w:rPr>
          <w:rFonts w:ascii="Times New Roman" w:hAnsi="Times New Roman" w:cs="Times New Roman"/>
          <w:i/>
          <w:sz w:val="24"/>
          <w:szCs w:val="24"/>
        </w:rPr>
        <w:t>Uganda Public Expenditure and Financial Accountability Assessment, 2016</w:t>
      </w:r>
    </w:p>
    <w:p w14:paraId="1C222FAE" w14:textId="264C4C10" w:rsidR="00DF41CB" w:rsidRPr="00A92C7A" w:rsidRDefault="00DF41CB"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w:t>
      </w:r>
      <w:r w:rsidR="007452E5" w:rsidRPr="00A92C7A">
        <w:rPr>
          <w:rFonts w:ascii="Times New Roman" w:hAnsi="Times New Roman" w:cs="Times New Roman"/>
          <w:sz w:val="24"/>
          <w:szCs w:val="24"/>
        </w:rPr>
        <w:t xml:space="preserve">(1991): </w:t>
      </w:r>
      <w:r w:rsidR="007452E5" w:rsidRPr="00A92C7A">
        <w:rPr>
          <w:rFonts w:ascii="Times New Roman" w:hAnsi="Times New Roman" w:cs="Times New Roman"/>
          <w:i/>
          <w:sz w:val="24"/>
          <w:szCs w:val="24"/>
        </w:rPr>
        <w:t>Investment Code Act, 1991</w:t>
      </w:r>
    </w:p>
    <w:p w14:paraId="79605504" w14:textId="438EF371" w:rsidR="00293DE8" w:rsidRPr="00A92C7A" w:rsidRDefault="00293D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lastRenderedPageBreak/>
        <w:t xml:space="preserve">Republic of Uganda (1992): </w:t>
      </w:r>
      <w:r w:rsidR="001812D0" w:rsidRPr="00A92C7A">
        <w:rPr>
          <w:rFonts w:ascii="Times New Roman" w:hAnsi="Times New Roman" w:cs="Times New Roman"/>
          <w:i/>
          <w:sz w:val="24"/>
          <w:szCs w:val="24"/>
        </w:rPr>
        <w:t xml:space="preserve">Education for National Integration and development, </w:t>
      </w:r>
      <w:r w:rsidR="009A2561" w:rsidRPr="00A92C7A">
        <w:rPr>
          <w:rFonts w:ascii="Times New Roman" w:hAnsi="Times New Roman" w:cs="Times New Roman"/>
          <w:sz w:val="24"/>
          <w:szCs w:val="24"/>
        </w:rPr>
        <w:t>Government</w:t>
      </w:r>
      <w:r w:rsidR="001812D0" w:rsidRPr="00A92C7A">
        <w:rPr>
          <w:rFonts w:ascii="Times New Roman" w:hAnsi="Times New Roman" w:cs="Times New Roman"/>
          <w:sz w:val="24"/>
          <w:szCs w:val="24"/>
        </w:rPr>
        <w:t xml:space="preserve"> White Paper</w:t>
      </w:r>
    </w:p>
    <w:p w14:paraId="4BB17F73" w14:textId="77777777" w:rsidR="00293DE8" w:rsidRPr="00A92C7A" w:rsidRDefault="00293D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(1991): </w:t>
      </w:r>
      <w:r w:rsidRPr="00A92C7A">
        <w:rPr>
          <w:rFonts w:ascii="Times New Roman" w:hAnsi="Times New Roman" w:cs="Times New Roman"/>
          <w:i/>
          <w:sz w:val="24"/>
          <w:szCs w:val="24"/>
        </w:rPr>
        <w:t>Investment Code Act, 1991</w:t>
      </w:r>
    </w:p>
    <w:p w14:paraId="250825D1" w14:textId="77777777" w:rsidR="00293DE8" w:rsidRPr="00A92C7A" w:rsidRDefault="00293D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(1991): </w:t>
      </w:r>
      <w:r w:rsidRPr="00A92C7A">
        <w:rPr>
          <w:rFonts w:ascii="Times New Roman" w:hAnsi="Times New Roman" w:cs="Times New Roman"/>
          <w:i/>
          <w:sz w:val="24"/>
          <w:szCs w:val="24"/>
        </w:rPr>
        <w:t>Investment Code Act, 1991</w:t>
      </w:r>
    </w:p>
    <w:p w14:paraId="31C3DE47" w14:textId="22BB9C67" w:rsidR="002E0D6E" w:rsidRPr="00A92C7A" w:rsidRDefault="002E0D6E"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(2001): </w:t>
      </w:r>
      <w:r w:rsidRPr="00A92C7A">
        <w:rPr>
          <w:rFonts w:ascii="Times New Roman" w:eastAsia="Times New Roman" w:hAnsi="Times New Roman" w:cs="Times New Roman"/>
          <w:i/>
          <w:color w:val="000000"/>
          <w:sz w:val="24"/>
          <w:szCs w:val="24"/>
          <w:lang w:eastAsia="en-GB"/>
        </w:rPr>
        <w:t xml:space="preserve">Universities and </w:t>
      </w:r>
      <w:r w:rsidR="00550666" w:rsidRPr="00A92C7A">
        <w:rPr>
          <w:rFonts w:ascii="Times New Roman" w:eastAsia="Times New Roman" w:hAnsi="Times New Roman" w:cs="Times New Roman"/>
          <w:i/>
          <w:color w:val="000000"/>
          <w:sz w:val="24"/>
          <w:szCs w:val="24"/>
          <w:lang w:eastAsia="en-GB"/>
        </w:rPr>
        <w:t>o</w:t>
      </w:r>
      <w:r w:rsidRPr="00A92C7A">
        <w:rPr>
          <w:rFonts w:ascii="Times New Roman" w:eastAsia="Times New Roman" w:hAnsi="Times New Roman" w:cs="Times New Roman"/>
          <w:i/>
          <w:color w:val="000000"/>
          <w:sz w:val="24"/>
          <w:szCs w:val="24"/>
          <w:lang w:eastAsia="en-GB"/>
        </w:rPr>
        <w:t xml:space="preserve">ther </w:t>
      </w:r>
      <w:r w:rsidR="00550666" w:rsidRPr="00A92C7A">
        <w:rPr>
          <w:rFonts w:ascii="Times New Roman" w:eastAsia="Times New Roman" w:hAnsi="Times New Roman" w:cs="Times New Roman"/>
          <w:i/>
          <w:color w:val="000000"/>
          <w:sz w:val="24"/>
          <w:szCs w:val="24"/>
          <w:lang w:eastAsia="en-GB"/>
        </w:rPr>
        <w:t>t</w:t>
      </w:r>
      <w:r w:rsidRPr="00A92C7A">
        <w:rPr>
          <w:rFonts w:ascii="Times New Roman" w:eastAsia="Times New Roman" w:hAnsi="Times New Roman" w:cs="Times New Roman"/>
          <w:i/>
          <w:color w:val="000000"/>
          <w:sz w:val="24"/>
          <w:szCs w:val="24"/>
          <w:lang w:eastAsia="en-GB"/>
        </w:rPr>
        <w:t xml:space="preserve">ertiary </w:t>
      </w:r>
      <w:r w:rsidR="00550666" w:rsidRPr="00A92C7A">
        <w:rPr>
          <w:rFonts w:ascii="Times New Roman" w:eastAsia="Times New Roman" w:hAnsi="Times New Roman" w:cs="Times New Roman"/>
          <w:i/>
          <w:color w:val="000000"/>
          <w:sz w:val="24"/>
          <w:szCs w:val="24"/>
          <w:lang w:eastAsia="en-GB"/>
        </w:rPr>
        <w:t>i</w:t>
      </w:r>
      <w:r w:rsidRPr="00A92C7A">
        <w:rPr>
          <w:rFonts w:ascii="Times New Roman" w:eastAsia="Times New Roman" w:hAnsi="Times New Roman" w:cs="Times New Roman"/>
          <w:i/>
          <w:color w:val="000000"/>
          <w:sz w:val="24"/>
          <w:szCs w:val="24"/>
          <w:lang w:eastAsia="en-GB"/>
        </w:rPr>
        <w:t>nstitution</w:t>
      </w:r>
      <w:r w:rsidR="00550666" w:rsidRPr="00A92C7A">
        <w:rPr>
          <w:rFonts w:ascii="Times New Roman" w:eastAsia="Times New Roman" w:hAnsi="Times New Roman" w:cs="Times New Roman"/>
          <w:i/>
          <w:color w:val="000000"/>
          <w:sz w:val="24"/>
          <w:szCs w:val="24"/>
          <w:lang w:eastAsia="en-GB"/>
        </w:rPr>
        <w:t>s</w:t>
      </w:r>
      <w:r w:rsidRPr="00A92C7A">
        <w:rPr>
          <w:rFonts w:ascii="Times New Roman" w:eastAsia="Times New Roman" w:hAnsi="Times New Roman" w:cs="Times New Roman"/>
          <w:i/>
          <w:color w:val="000000"/>
          <w:sz w:val="24"/>
          <w:szCs w:val="24"/>
          <w:lang w:eastAsia="en-GB"/>
        </w:rPr>
        <w:t xml:space="preserve"> Act 2001, Amended 2003 and 2006</w:t>
      </w:r>
    </w:p>
    <w:p w14:paraId="1E983132" w14:textId="6E67DC7D" w:rsidR="002E0D6E" w:rsidRPr="00A92C7A" w:rsidRDefault="002E0D6E"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(2001): </w:t>
      </w:r>
      <w:r w:rsidRPr="00A92C7A">
        <w:rPr>
          <w:rFonts w:ascii="Times New Roman" w:eastAsia="Times New Roman" w:hAnsi="Times New Roman" w:cs="Times New Roman"/>
          <w:i/>
          <w:color w:val="000000"/>
          <w:sz w:val="24"/>
          <w:szCs w:val="24"/>
          <w:lang w:eastAsia="en-GB"/>
        </w:rPr>
        <w:t>National Sanitary and Phytosanitary Policy</w:t>
      </w:r>
    </w:p>
    <w:p w14:paraId="580EBFB4" w14:textId="40076DD1" w:rsidR="007452E5"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(2002): </w:t>
      </w:r>
      <w:r w:rsidRPr="00A92C7A">
        <w:rPr>
          <w:rFonts w:ascii="Times New Roman" w:eastAsia="Times New Roman" w:hAnsi="Times New Roman" w:cs="Times New Roman"/>
          <w:i/>
          <w:color w:val="000000"/>
          <w:sz w:val="24"/>
          <w:szCs w:val="24"/>
          <w:lang w:eastAsia="en-GB"/>
        </w:rPr>
        <w:t>National Planning Authority (NPA) Act, 2002</w:t>
      </w:r>
    </w:p>
    <w:p w14:paraId="2204ACC6" w14:textId="3D4EAC17"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EE15B4" w:rsidRPr="00A92C7A">
        <w:rPr>
          <w:rFonts w:ascii="Times New Roman" w:hAnsi="Times New Roman" w:cs="Times New Roman"/>
          <w:sz w:val="24"/>
          <w:szCs w:val="24"/>
        </w:rPr>
        <w:t>3</w:t>
      </w:r>
      <w:r w:rsidRPr="00A92C7A">
        <w:rPr>
          <w:rFonts w:ascii="Times New Roman" w:hAnsi="Times New Roman" w:cs="Times New Roman"/>
          <w:sz w:val="24"/>
          <w:szCs w:val="24"/>
        </w:rPr>
        <w:t>):</w:t>
      </w:r>
      <w:r w:rsidR="00EE15B4" w:rsidRPr="00A92C7A">
        <w:rPr>
          <w:rFonts w:ascii="Times New Roman" w:hAnsi="Times New Roman" w:cs="Times New Roman"/>
          <w:sz w:val="24"/>
          <w:szCs w:val="24"/>
        </w:rPr>
        <w:t xml:space="preserve"> </w:t>
      </w:r>
      <w:r w:rsidR="00EE15B4" w:rsidRPr="00A92C7A">
        <w:rPr>
          <w:rFonts w:ascii="Times New Roman" w:eastAsia="Times New Roman" w:hAnsi="Times New Roman" w:cs="Times New Roman"/>
          <w:i/>
          <w:color w:val="000000"/>
          <w:sz w:val="24"/>
          <w:szCs w:val="24"/>
          <w:lang w:eastAsia="en-GB"/>
        </w:rPr>
        <w:t>Strategic Plan for Higher Education 2003-2015 (2nd draft)</w:t>
      </w:r>
    </w:p>
    <w:p w14:paraId="3D989988" w14:textId="363DED83"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EE15B4" w:rsidRPr="00A92C7A">
        <w:rPr>
          <w:rFonts w:ascii="Times New Roman" w:hAnsi="Times New Roman" w:cs="Times New Roman"/>
          <w:sz w:val="24"/>
          <w:szCs w:val="24"/>
        </w:rPr>
        <w:t>5</w:t>
      </w:r>
      <w:r w:rsidRPr="00A92C7A">
        <w:rPr>
          <w:rFonts w:ascii="Times New Roman" w:hAnsi="Times New Roman" w:cs="Times New Roman"/>
          <w:sz w:val="24"/>
          <w:szCs w:val="24"/>
        </w:rPr>
        <w:t>):</w:t>
      </w:r>
      <w:r w:rsidR="009F7E16" w:rsidRPr="00A92C7A">
        <w:rPr>
          <w:rFonts w:ascii="Times New Roman" w:hAnsi="Times New Roman" w:cs="Times New Roman"/>
          <w:sz w:val="24"/>
          <w:szCs w:val="24"/>
        </w:rPr>
        <w:t xml:space="preserve"> </w:t>
      </w:r>
      <w:r w:rsidR="009F7E16" w:rsidRPr="00A92C7A">
        <w:rPr>
          <w:rFonts w:ascii="Times New Roman" w:eastAsia="Times New Roman" w:hAnsi="Times New Roman" w:cs="Times New Roman"/>
          <w:i/>
          <w:color w:val="000000"/>
          <w:sz w:val="24"/>
          <w:szCs w:val="24"/>
          <w:lang w:eastAsia="en-GB"/>
        </w:rPr>
        <w:t>National Leather and Leather Products Policy</w:t>
      </w:r>
    </w:p>
    <w:p w14:paraId="5C8B7449" w14:textId="60DCE151"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826CA9" w:rsidRPr="00A92C7A">
        <w:rPr>
          <w:rFonts w:ascii="Times New Roman" w:hAnsi="Times New Roman" w:cs="Times New Roman"/>
          <w:sz w:val="24"/>
          <w:szCs w:val="24"/>
        </w:rPr>
        <w:t>5</w:t>
      </w:r>
      <w:r w:rsidRPr="00A92C7A">
        <w:rPr>
          <w:rFonts w:ascii="Times New Roman" w:hAnsi="Times New Roman" w:cs="Times New Roman"/>
          <w:sz w:val="24"/>
          <w:szCs w:val="24"/>
        </w:rPr>
        <w:t>):</w:t>
      </w:r>
      <w:r w:rsidR="00FA6B1A" w:rsidRPr="00A92C7A">
        <w:rPr>
          <w:rFonts w:ascii="Times New Roman" w:eastAsia="Times New Roman" w:hAnsi="Times New Roman" w:cs="Times New Roman"/>
          <w:color w:val="000000"/>
          <w:sz w:val="24"/>
          <w:szCs w:val="24"/>
          <w:lang w:eastAsia="en-GB"/>
        </w:rPr>
        <w:t xml:space="preserve"> </w:t>
      </w:r>
      <w:r w:rsidR="00FA6B1A" w:rsidRPr="00A92C7A">
        <w:rPr>
          <w:rFonts w:ascii="Times New Roman" w:eastAsia="Times New Roman" w:hAnsi="Times New Roman" w:cs="Times New Roman"/>
          <w:i/>
          <w:color w:val="000000"/>
          <w:sz w:val="24"/>
          <w:szCs w:val="24"/>
          <w:lang w:eastAsia="en-GB"/>
        </w:rPr>
        <w:t>National Strategy for Private Sector Development 2017/18-2021/22</w:t>
      </w:r>
    </w:p>
    <w:p w14:paraId="4DC080D4" w14:textId="38C7A967"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FA6B1A" w:rsidRPr="00A92C7A">
        <w:rPr>
          <w:rFonts w:ascii="Times New Roman" w:hAnsi="Times New Roman" w:cs="Times New Roman"/>
          <w:sz w:val="24"/>
          <w:szCs w:val="24"/>
        </w:rPr>
        <w:t>6</w:t>
      </w:r>
      <w:r w:rsidRPr="00A92C7A">
        <w:rPr>
          <w:rFonts w:ascii="Times New Roman" w:hAnsi="Times New Roman" w:cs="Times New Roman"/>
          <w:sz w:val="24"/>
          <w:szCs w:val="24"/>
        </w:rPr>
        <w:t>):</w:t>
      </w:r>
      <w:r w:rsidR="0041523A" w:rsidRPr="00A92C7A">
        <w:rPr>
          <w:rFonts w:ascii="Times New Roman" w:hAnsi="Times New Roman" w:cs="Times New Roman"/>
          <w:sz w:val="24"/>
          <w:szCs w:val="24"/>
        </w:rPr>
        <w:t xml:space="preserve"> </w:t>
      </w:r>
      <w:r w:rsidR="0041523A" w:rsidRPr="00A92C7A">
        <w:rPr>
          <w:rFonts w:ascii="Times New Roman" w:eastAsia="Times New Roman" w:hAnsi="Times New Roman" w:cs="Times New Roman"/>
          <w:i/>
          <w:color w:val="000000"/>
          <w:sz w:val="24"/>
          <w:szCs w:val="24"/>
          <w:lang w:eastAsia="en-GB"/>
        </w:rPr>
        <w:t>Employment Act, 2006</w:t>
      </w:r>
    </w:p>
    <w:p w14:paraId="02F0C176" w14:textId="147EBEC4"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FA6B1A" w:rsidRPr="00A92C7A">
        <w:rPr>
          <w:rFonts w:ascii="Times New Roman" w:hAnsi="Times New Roman" w:cs="Times New Roman"/>
          <w:sz w:val="24"/>
          <w:szCs w:val="24"/>
        </w:rPr>
        <w:t>6</w:t>
      </w:r>
      <w:r w:rsidRPr="00A92C7A">
        <w:rPr>
          <w:rFonts w:ascii="Times New Roman" w:hAnsi="Times New Roman" w:cs="Times New Roman"/>
          <w:sz w:val="24"/>
          <w:szCs w:val="24"/>
        </w:rPr>
        <w:t>):</w:t>
      </w:r>
      <w:r w:rsidR="0041523A" w:rsidRPr="00A92C7A">
        <w:rPr>
          <w:rFonts w:ascii="Times New Roman" w:eastAsia="Times New Roman" w:hAnsi="Times New Roman" w:cs="Times New Roman"/>
          <w:color w:val="000000"/>
          <w:sz w:val="24"/>
          <w:szCs w:val="24"/>
          <w:lang w:eastAsia="en-GB"/>
        </w:rPr>
        <w:t xml:space="preserve"> </w:t>
      </w:r>
      <w:r w:rsidR="0041523A" w:rsidRPr="00A92C7A">
        <w:rPr>
          <w:rFonts w:ascii="Times New Roman" w:eastAsia="Times New Roman" w:hAnsi="Times New Roman" w:cs="Times New Roman"/>
          <w:i/>
          <w:color w:val="000000"/>
          <w:sz w:val="24"/>
          <w:szCs w:val="24"/>
          <w:lang w:eastAsia="en-GB"/>
        </w:rPr>
        <w:t>National Land Policy, 2006</w:t>
      </w:r>
    </w:p>
    <w:p w14:paraId="771B147B" w14:textId="0EF7B985"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41523A" w:rsidRPr="00A92C7A">
        <w:rPr>
          <w:rFonts w:ascii="Times New Roman" w:hAnsi="Times New Roman" w:cs="Times New Roman"/>
          <w:sz w:val="24"/>
          <w:szCs w:val="24"/>
        </w:rPr>
        <w:t>7</w:t>
      </w:r>
      <w:r w:rsidRPr="00A92C7A">
        <w:rPr>
          <w:rFonts w:ascii="Times New Roman" w:hAnsi="Times New Roman" w:cs="Times New Roman"/>
          <w:sz w:val="24"/>
          <w:szCs w:val="24"/>
        </w:rPr>
        <w:t>):</w:t>
      </w:r>
      <w:r w:rsidR="0041523A" w:rsidRPr="00A92C7A">
        <w:rPr>
          <w:rFonts w:ascii="Times New Roman" w:hAnsi="Times New Roman" w:cs="Times New Roman"/>
          <w:i/>
          <w:sz w:val="24"/>
          <w:szCs w:val="24"/>
        </w:rPr>
        <w:t xml:space="preserve"> National Trade Policy, 2007</w:t>
      </w:r>
    </w:p>
    <w:p w14:paraId="172CA4E1" w14:textId="28580041"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41523A" w:rsidRPr="00A92C7A">
        <w:rPr>
          <w:rFonts w:ascii="Times New Roman" w:hAnsi="Times New Roman" w:cs="Times New Roman"/>
          <w:sz w:val="24"/>
          <w:szCs w:val="24"/>
        </w:rPr>
        <w:t>7</w:t>
      </w:r>
      <w:r w:rsidRPr="00A92C7A">
        <w:rPr>
          <w:rFonts w:ascii="Times New Roman" w:hAnsi="Times New Roman" w:cs="Times New Roman"/>
          <w:sz w:val="24"/>
          <w:szCs w:val="24"/>
        </w:rPr>
        <w:t>):</w:t>
      </w:r>
      <w:r w:rsidR="0041523A" w:rsidRPr="00A92C7A">
        <w:rPr>
          <w:rFonts w:ascii="Times New Roman" w:hAnsi="Times New Roman" w:cs="Times New Roman"/>
          <w:sz w:val="24"/>
          <w:szCs w:val="24"/>
        </w:rPr>
        <w:t xml:space="preserve"> </w:t>
      </w:r>
      <w:r w:rsidR="0041523A" w:rsidRPr="00A92C7A">
        <w:rPr>
          <w:rFonts w:ascii="Times New Roman" w:hAnsi="Times New Roman" w:cs="Times New Roman"/>
          <w:i/>
          <w:sz w:val="24"/>
          <w:szCs w:val="24"/>
        </w:rPr>
        <w:t>Renewable Energy Policy for Uganda, 2007</w:t>
      </w:r>
    </w:p>
    <w:p w14:paraId="4E68E4D6" w14:textId="3B8C2F67"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41523A" w:rsidRPr="00A92C7A">
        <w:rPr>
          <w:rFonts w:ascii="Times New Roman" w:hAnsi="Times New Roman" w:cs="Times New Roman"/>
          <w:sz w:val="24"/>
          <w:szCs w:val="24"/>
        </w:rPr>
        <w:t>7</w:t>
      </w:r>
      <w:r w:rsidRPr="00A92C7A">
        <w:rPr>
          <w:rFonts w:ascii="Times New Roman" w:hAnsi="Times New Roman" w:cs="Times New Roman"/>
          <w:sz w:val="24"/>
          <w:szCs w:val="24"/>
        </w:rPr>
        <w:t>):</w:t>
      </w:r>
      <w:r w:rsidR="0041523A" w:rsidRPr="00A92C7A">
        <w:rPr>
          <w:rFonts w:ascii="Times New Roman" w:hAnsi="Times New Roman" w:cs="Times New Roman"/>
          <w:i/>
          <w:sz w:val="24"/>
          <w:szCs w:val="24"/>
        </w:rPr>
        <w:t xml:space="preserve"> Uganda Gender Policy, 2007</w:t>
      </w:r>
    </w:p>
    <w:p w14:paraId="284B6ABA" w14:textId="5098C0C6"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7F3509" w:rsidRPr="00A92C7A">
        <w:rPr>
          <w:rFonts w:ascii="Times New Roman" w:hAnsi="Times New Roman" w:cs="Times New Roman"/>
          <w:sz w:val="24"/>
          <w:szCs w:val="24"/>
        </w:rPr>
        <w:t>8</w:t>
      </w:r>
      <w:r w:rsidRPr="00A92C7A">
        <w:rPr>
          <w:rFonts w:ascii="Times New Roman" w:hAnsi="Times New Roman" w:cs="Times New Roman"/>
          <w:sz w:val="24"/>
          <w:szCs w:val="24"/>
        </w:rPr>
        <w:t>):</w:t>
      </w:r>
      <w:r w:rsidR="007F3509" w:rsidRPr="00A92C7A">
        <w:rPr>
          <w:rFonts w:ascii="Times New Roman" w:hAnsi="Times New Roman" w:cs="Times New Roman"/>
          <w:sz w:val="24"/>
          <w:szCs w:val="24"/>
        </w:rPr>
        <w:t xml:space="preserve"> </w:t>
      </w:r>
      <w:r w:rsidR="00C429B0" w:rsidRPr="00A92C7A">
        <w:rPr>
          <w:rFonts w:ascii="Times New Roman" w:hAnsi="Times New Roman" w:cs="Times New Roman"/>
          <w:i/>
          <w:sz w:val="24"/>
          <w:szCs w:val="24"/>
        </w:rPr>
        <w:t>National Industrial Policy, 2008</w:t>
      </w:r>
    </w:p>
    <w:p w14:paraId="177E06B4" w14:textId="6780A35C"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C429B0" w:rsidRPr="00A92C7A">
        <w:rPr>
          <w:rFonts w:ascii="Times New Roman" w:hAnsi="Times New Roman" w:cs="Times New Roman"/>
          <w:sz w:val="24"/>
          <w:szCs w:val="24"/>
        </w:rPr>
        <w:t>8</w:t>
      </w:r>
      <w:r w:rsidRPr="00A92C7A">
        <w:rPr>
          <w:rFonts w:ascii="Times New Roman" w:hAnsi="Times New Roman" w:cs="Times New Roman"/>
          <w:sz w:val="24"/>
          <w:szCs w:val="24"/>
        </w:rPr>
        <w:t>):</w:t>
      </w:r>
      <w:r w:rsidR="00C429B0" w:rsidRPr="00A92C7A">
        <w:rPr>
          <w:rFonts w:ascii="Times New Roman" w:hAnsi="Times New Roman" w:cs="Times New Roman"/>
          <w:sz w:val="24"/>
          <w:szCs w:val="24"/>
        </w:rPr>
        <w:t xml:space="preserve"> </w:t>
      </w:r>
      <w:r w:rsidR="00C429B0" w:rsidRPr="00A92C7A">
        <w:rPr>
          <w:rFonts w:ascii="Times New Roman" w:hAnsi="Times New Roman" w:cs="Times New Roman"/>
          <w:i/>
          <w:sz w:val="24"/>
          <w:szCs w:val="24"/>
        </w:rPr>
        <w:t>National Oil and Gas Policy for Uganda, 2008</w:t>
      </w:r>
    </w:p>
    <w:p w14:paraId="3A1BCA09" w14:textId="47A5FBEB"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C429B0" w:rsidRPr="00A92C7A">
        <w:rPr>
          <w:rFonts w:ascii="Times New Roman" w:hAnsi="Times New Roman" w:cs="Times New Roman"/>
          <w:sz w:val="24"/>
          <w:szCs w:val="24"/>
        </w:rPr>
        <w:t>8</w:t>
      </w:r>
      <w:r w:rsidRPr="00A92C7A">
        <w:rPr>
          <w:rFonts w:ascii="Times New Roman" w:hAnsi="Times New Roman" w:cs="Times New Roman"/>
          <w:sz w:val="24"/>
          <w:szCs w:val="24"/>
        </w:rPr>
        <w:t>):</w:t>
      </w:r>
      <w:r w:rsidR="00C429B0" w:rsidRPr="00A92C7A">
        <w:rPr>
          <w:rFonts w:ascii="Times New Roman" w:hAnsi="Times New Roman" w:cs="Times New Roman"/>
          <w:sz w:val="24"/>
          <w:szCs w:val="24"/>
        </w:rPr>
        <w:t xml:space="preserve"> </w:t>
      </w:r>
      <w:r w:rsidR="00C429B0" w:rsidRPr="00A92C7A">
        <w:rPr>
          <w:rFonts w:ascii="Times New Roman" w:hAnsi="Times New Roman" w:cs="Times New Roman"/>
          <w:i/>
          <w:sz w:val="24"/>
          <w:szCs w:val="24"/>
        </w:rPr>
        <w:t>National Agricultural Research Organisation Strategic Plan 2008/9-2017/18</w:t>
      </w:r>
    </w:p>
    <w:p w14:paraId="66C1711B" w14:textId="3EF5BAFD"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EB4B20" w:rsidRPr="00A92C7A">
        <w:rPr>
          <w:rFonts w:ascii="Times New Roman" w:hAnsi="Times New Roman" w:cs="Times New Roman"/>
          <w:sz w:val="24"/>
          <w:szCs w:val="24"/>
        </w:rPr>
        <w:t>8</w:t>
      </w:r>
      <w:r w:rsidRPr="00A92C7A">
        <w:rPr>
          <w:rFonts w:ascii="Times New Roman" w:hAnsi="Times New Roman" w:cs="Times New Roman"/>
          <w:sz w:val="24"/>
          <w:szCs w:val="24"/>
        </w:rPr>
        <w:t>):</w:t>
      </w:r>
      <w:r w:rsidR="00EB4B20" w:rsidRPr="00A92C7A">
        <w:rPr>
          <w:rFonts w:ascii="Times New Roman" w:hAnsi="Times New Roman" w:cs="Times New Roman"/>
          <w:i/>
          <w:sz w:val="24"/>
          <w:szCs w:val="24"/>
        </w:rPr>
        <w:t xml:space="preserve"> Makerere University Strategic Plan 2008/9-2018/19</w:t>
      </w:r>
    </w:p>
    <w:p w14:paraId="4FBC046B" w14:textId="18475BF5" w:rsidR="00550666" w:rsidRPr="00A92C7A" w:rsidRDefault="0055066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(200</w:t>
      </w:r>
      <w:r w:rsidR="00EB4B20" w:rsidRPr="00A92C7A">
        <w:rPr>
          <w:rFonts w:ascii="Times New Roman" w:hAnsi="Times New Roman" w:cs="Times New Roman"/>
          <w:sz w:val="24"/>
          <w:szCs w:val="24"/>
        </w:rPr>
        <w:t>9</w:t>
      </w:r>
      <w:r w:rsidRPr="00A92C7A">
        <w:rPr>
          <w:rFonts w:ascii="Times New Roman" w:hAnsi="Times New Roman" w:cs="Times New Roman"/>
          <w:sz w:val="24"/>
          <w:szCs w:val="24"/>
        </w:rPr>
        <w:t>):</w:t>
      </w:r>
      <w:r w:rsidR="00B162CF" w:rsidRPr="00A92C7A">
        <w:rPr>
          <w:rFonts w:ascii="Times New Roman" w:hAnsi="Times New Roman" w:cs="Times New Roman"/>
          <w:i/>
          <w:sz w:val="24"/>
          <w:szCs w:val="24"/>
        </w:rPr>
        <w:t xml:space="preserve"> Policy Guidelines on Infant and Young Child Feeding, 2009</w:t>
      </w:r>
    </w:p>
    <w:p w14:paraId="049F8F23" w14:textId="7AE19361" w:rsidR="00B162CF" w:rsidRPr="00A92C7A" w:rsidRDefault="00B162CF"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w:t>
      </w:r>
      <w:r w:rsidR="00A32393" w:rsidRPr="00A92C7A">
        <w:rPr>
          <w:rFonts w:ascii="Times New Roman" w:hAnsi="Times New Roman" w:cs="Times New Roman"/>
          <w:sz w:val="24"/>
          <w:szCs w:val="24"/>
        </w:rPr>
        <w:t>10</w:t>
      </w:r>
      <w:r w:rsidRPr="00A92C7A">
        <w:rPr>
          <w:rFonts w:ascii="Times New Roman" w:hAnsi="Times New Roman" w:cs="Times New Roman"/>
          <w:sz w:val="24"/>
          <w:szCs w:val="24"/>
        </w:rPr>
        <w:t>):</w:t>
      </w:r>
      <w:r w:rsidR="00A32393" w:rsidRPr="00A92C7A">
        <w:rPr>
          <w:rFonts w:ascii="Times New Roman" w:hAnsi="Times New Roman" w:cs="Times New Roman"/>
          <w:sz w:val="24"/>
          <w:szCs w:val="24"/>
        </w:rPr>
        <w:t xml:space="preserve"> </w:t>
      </w:r>
      <w:r w:rsidR="00A32393" w:rsidRPr="00A92C7A">
        <w:rPr>
          <w:rFonts w:ascii="Times New Roman" w:hAnsi="Times New Roman" w:cs="Times New Roman"/>
          <w:i/>
          <w:sz w:val="24"/>
          <w:szCs w:val="24"/>
        </w:rPr>
        <w:t>Second National Health Policy, 2010</w:t>
      </w:r>
    </w:p>
    <w:p w14:paraId="31D0B306" w14:textId="3BDDE723" w:rsidR="004462A5" w:rsidRPr="00A92C7A" w:rsidRDefault="004462A5"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w:t>
      </w:r>
      <w:r w:rsidR="00A32393" w:rsidRPr="00A92C7A">
        <w:rPr>
          <w:rFonts w:ascii="Times New Roman" w:hAnsi="Times New Roman" w:cs="Times New Roman"/>
          <w:sz w:val="24"/>
          <w:szCs w:val="24"/>
        </w:rPr>
        <w:t>10</w:t>
      </w:r>
      <w:r w:rsidRPr="00A92C7A">
        <w:rPr>
          <w:rFonts w:ascii="Times New Roman" w:hAnsi="Times New Roman" w:cs="Times New Roman"/>
          <w:sz w:val="24"/>
          <w:szCs w:val="24"/>
        </w:rPr>
        <w:t>):</w:t>
      </w:r>
      <w:r w:rsidR="00A32393" w:rsidRPr="00A92C7A">
        <w:rPr>
          <w:rFonts w:ascii="Times New Roman" w:hAnsi="Times New Roman" w:cs="Times New Roman"/>
          <w:i/>
          <w:sz w:val="24"/>
          <w:szCs w:val="24"/>
        </w:rPr>
        <w:t xml:space="preserve"> Second National Health Policy, 2010</w:t>
      </w:r>
    </w:p>
    <w:p w14:paraId="26FC22D3" w14:textId="1526E9CA" w:rsidR="004462A5" w:rsidRPr="00A92C7A" w:rsidRDefault="00A32393"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(2010):</w:t>
      </w:r>
      <w:r w:rsidR="007424E5" w:rsidRPr="00A92C7A">
        <w:rPr>
          <w:rFonts w:ascii="Times New Roman" w:hAnsi="Times New Roman" w:cs="Times New Roman"/>
          <w:sz w:val="24"/>
          <w:szCs w:val="24"/>
        </w:rPr>
        <w:t xml:space="preserve"> </w:t>
      </w:r>
      <w:r w:rsidR="007424E5" w:rsidRPr="00A92C7A">
        <w:rPr>
          <w:rFonts w:ascii="Times New Roman" w:hAnsi="Times New Roman" w:cs="Times New Roman"/>
          <w:i/>
          <w:sz w:val="24"/>
          <w:szCs w:val="24"/>
        </w:rPr>
        <w:t>National Sugar Policy, 2010</w:t>
      </w:r>
    </w:p>
    <w:p w14:paraId="1DDD2A3E" w14:textId="3D6A950F" w:rsidR="00A32393" w:rsidRPr="00A92C7A" w:rsidRDefault="00A32393"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(2010):</w:t>
      </w:r>
      <w:r w:rsidR="007424E5" w:rsidRPr="00A92C7A">
        <w:rPr>
          <w:rFonts w:ascii="Times New Roman" w:hAnsi="Times New Roman" w:cs="Times New Roman"/>
          <w:sz w:val="24"/>
          <w:szCs w:val="24"/>
        </w:rPr>
        <w:t xml:space="preserve"> </w:t>
      </w:r>
      <w:r w:rsidR="007424E5" w:rsidRPr="00A92C7A">
        <w:rPr>
          <w:rFonts w:ascii="Times New Roman" w:hAnsi="Times New Roman" w:cs="Times New Roman"/>
          <w:i/>
          <w:sz w:val="24"/>
          <w:szCs w:val="24"/>
        </w:rPr>
        <w:t>Health Sector Strategic Plan III 2010/11-2014/15</w:t>
      </w:r>
    </w:p>
    <w:p w14:paraId="65BFB457" w14:textId="10B64A53" w:rsidR="00A32393" w:rsidRPr="00A92C7A" w:rsidRDefault="00A32393"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lastRenderedPageBreak/>
        <w:t>Republic of Uganda (201</w:t>
      </w:r>
      <w:r w:rsidR="00A3613A" w:rsidRPr="00A92C7A">
        <w:rPr>
          <w:rFonts w:ascii="Times New Roman" w:hAnsi="Times New Roman" w:cs="Times New Roman"/>
          <w:sz w:val="24"/>
          <w:szCs w:val="24"/>
        </w:rPr>
        <w:t>1</w:t>
      </w:r>
      <w:r w:rsidRPr="00A92C7A">
        <w:rPr>
          <w:rFonts w:ascii="Times New Roman" w:hAnsi="Times New Roman" w:cs="Times New Roman"/>
          <w:sz w:val="24"/>
          <w:szCs w:val="24"/>
        </w:rPr>
        <w:t>):</w:t>
      </w:r>
      <w:r w:rsidR="00A3613A" w:rsidRPr="00A92C7A">
        <w:rPr>
          <w:rFonts w:ascii="Times New Roman" w:hAnsi="Times New Roman" w:cs="Times New Roman"/>
          <w:sz w:val="24"/>
          <w:szCs w:val="24"/>
        </w:rPr>
        <w:t xml:space="preserve"> </w:t>
      </w:r>
      <w:r w:rsidR="00A3613A" w:rsidRPr="00A92C7A">
        <w:rPr>
          <w:rFonts w:ascii="Times New Roman" w:hAnsi="Times New Roman" w:cs="Times New Roman"/>
          <w:i/>
          <w:sz w:val="24"/>
          <w:szCs w:val="24"/>
        </w:rPr>
        <w:t>National Cooperative Policy, 2011</w:t>
      </w:r>
    </w:p>
    <w:p w14:paraId="2D5CDF9D" w14:textId="092AD28E" w:rsidR="00A32393" w:rsidRPr="00A92C7A" w:rsidRDefault="00A32393"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A3613A" w:rsidRPr="00A92C7A">
        <w:rPr>
          <w:rFonts w:ascii="Times New Roman" w:hAnsi="Times New Roman" w:cs="Times New Roman"/>
          <w:sz w:val="24"/>
          <w:szCs w:val="24"/>
        </w:rPr>
        <w:t>1</w:t>
      </w:r>
      <w:r w:rsidRPr="00A92C7A">
        <w:rPr>
          <w:rFonts w:ascii="Times New Roman" w:hAnsi="Times New Roman" w:cs="Times New Roman"/>
          <w:sz w:val="24"/>
          <w:szCs w:val="24"/>
        </w:rPr>
        <w:t>):</w:t>
      </w:r>
      <w:r w:rsidR="00A3613A" w:rsidRPr="00A92C7A">
        <w:rPr>
          <w:rFonts w:ascii="Times New Roman" w:hAnsi="Times New Roman" w:cs="Times New Roman"/>
          <w:i/>
          <w:sz w:val="24"/>
          <w:szCs w:val="24"/>
        </w:rPr>
        <w:t xml:space="preserve"> National Employment Policy, 2011</w:t>
      </w:r>
    </w:p>
    <w:p w14:paraId="7D1C01F5" w14:textId="229FFE23" w:rsidR="00A3613A" w:rsidRPr="00A92C7A" w:rsidRDefault="00A361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(2011):</w:t>
      </w:r>
      <w:r w:rsidRPr="00A92C7A">
        <w:rPr>
          <w:rFonts w:ascii="Times New Roman" w:hAnsi="Times New Roman" w:cs="Times New Roman"/>
          <w:i/>
          <w:sz w:val="24"/>
          <w:szCs w:val="24"/>
        </w:rPr>
        <w:t xml:space="preserve"> National Policy on </w:t>
      </w:r>
      <w:r w:rsidR="00C81101" w:rsidRPr="00A92C7A">
        <w:rPr>
          <w:rFonts w:ascii="Times New Roman" w:hAnsi="Times New Roman" w:cs="Times New Roman"/>
          <w:i/>
          <w:sz w:val="24"/>
          <w:szCs w:val="24"/>
        </w:rPr>
        <w:t xml:space="preserve">Public Sector Monitoring and Evaluation </w:t>
      </w:r>
    </w:p>
    <w:p w14:paraId="57FB2082" w14:textId="1CB323E0" w:rsidR="00A3613A" w:rsidRPr="00A92C7A" w:rsidRDefault="00A361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(2011):</w:t>
      </w:r>
      <w:r w:rsidRPr="00A92C7A">
        <w:rPr>
          <w:rFonts w:ascii="Times New Roman" w:hAnsi="Times New Roman" w:cs="Times New Roman"/>
          <w:i/>
          <w:sz w:val="24"/>
          <w:szCs w:val="24"/>
        </w:rPr>
        <w:t xml:space="preserve"> </w:t>
      </w:r>
      <w:r w:rsidR="00C81101" w:rsidRPr="00A92C7A">
        <w:rPr>
          <w:rFonts w:ascii="Times New Roman" w:hAnsi="Times New Roman" w:cs="Times New Roman"/>
          <w:i/>
          <w:sz w:val="24"/>
          <w:szCs w:val="24"/>
        </w:rPr>
        <w:t>Skilling Uganda/BTVET Plan 2011-2020</w:t>
      </w:r>
    </w:p>
    <w:p w14:paraId="581B0F4A" w14:textId="4907073D" w:rsidR="00A3613A" w:rsidRPr="00A92C7A" w:rsidRDefault="00A361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(2011):</w:t>
      </w:r>
      <w:r w:rsidRPr="00A92C7A">
        <w:rPr>
          <w:rFonts w:ascii="Times New Roman" w:hAnsi="Times New Roman" w:cs="Times New Roman"/>
          <w:i/>
          <w:sz w:val="24"/>
          <w:szCs w:val="24"/>
        </w:rPr>
        <w:t xml:space="preserve"> </w:t>
      </w:r>
      <w:r w:rsidR="006E0E73" w:rsidRPr="00A92C7A">
        <w:rPr>
          <w:rFonts w:ascii="Times New Roman" w:hAnsi="Times New Roman" w:cs="Times New Roman"/>
          <w:i/>
          <w:sz w:val="24"/>
          <w:szCs w:val="24"/>
        </w:rPr>
        <w:t>Public Service Commission Strategic Plan 2011-2016</w:t>
      </w:r>
    </w:p>
    <w:p w14:paraId="21267196" w14:textId="4127466C" w:rsidR="00A3613A" w:rsidRPr="00A92C7A" w:rsidRDefault="00A361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(2011):</w:t>
      </w:r>
      <w:r w:rsidRPr="00A92C7A">
        <w:rPr>
          <w:rFonts w:ascii="Times New Roman" w:hAnsi="Times New Roman" w:cs="Times New Roman"/>
          <w:i/>
          <w:sz w:val="24"/>
          <w:szCs w:val="24"/>
        </w:rPr>
        <w:t xml:space="preserve"> </w:t>
      </w:r>
      <w:r w:rsidR="006E0E73" w:rsidRPr="00A92C7A">
        <w:rPr>
          <w:rFonts w:ascii="Times New Roman" w:hAnsi="Times New Roman" w:cs="Times New Roman"/>
          <w:i/>
          <w:sz w:val="24"/>
          <w:szCs w:val="24"/>
        </w:rPr>
        <w:t>Judiciary Strategic Investment Plan 2011</w:t>
      </w:r>
      <w:r w:rsidR="00583F3A" w:rsidRPr="00A92C7A">
        <w:rPr>
          <w:rFonts w:ascii="Times New Roman" w:hAnsi="Times New Roman" w:cs="Times New Roman"/>
          <w:i/>
          <w:sz w:val="24"/>
          <w:szCs w:val="24"/>
        </w:rPr>
        <w:t>/12-2015/16</w:t>
      </w:r>
    </w:p>
    <w:p w14:paraId="4ADC364D" w14:textId="6B7019B7" w:rsidR="00A3613A" w:rsidRPr="00A92C7A" w:rsidRDefault="00583F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(2012):</w:t>
      </w:r>
      <w:r w:rsidRPr="00A92C7A">
        <w:rPr>
          <w:rFonts w:ascii="Times New Roman" w:hAnsi="Times New Roman" w:cs="Times New Roman"/>
          <w:i/>
          <w:sz w:val="24"/>
          <w:szCs w:val="24"/>
        </w:rPr>
        <w:t xml:space="preserve"> Mini</w:t>
      </w:r>
      <w:r w:rsidR="00C756DF" w:rsidRPr="00A92C7A">
        <w:rPr>
          <w:rFonts w:ascii="Times New Roman" w:hAnsi="Times New Roman" w:cs="Times New Roman"/>
          <w:i/>
          <w:sz w:val="24"/>
          <w:szCs w:val="24"/>
        </w:rPr>
        <w:t>stry of Works and Transport Strategic Plan 2011/12-2015/16</w:t>
      </w:r>
    </w:p>
    <w:p w14:paraId="6F5376B6" w14:textId="40887ED2" w:rsidR="00583F3A" w:rsidRPr="00A92C7A" w:rsidRDefault="00583F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756DF" w:rsidRPr="00A92C7A">
        <w:rPr>
          <w:rFonts w:ascii="Times New Roman" w:hAnsi="Times New Roman" w:cs="Times New Roman"/>
          <w:sz w:val="24"/>
          <w:szCs w:val="24"/>
        </w:rPr>
        <w:t>2</w:t>
      </w:r>
      <w:r w:rsidRPr="00A92C7A">
        <w:rPr>
          <w:rFonts w:ascii="Times New Roman" w:hAnsi="Times New Roman" w:cs="Times New Roman"/>
          <w:sz w:val="24"/>
          <w:szCs w:val="24"/>
        </w:rPr>
        <w:t>):</w:t>
      </w:r>
      <w:r w:rsidR="00C756DF" w:rsidRPr="00A92C7A">
        <w:rPr>
          <w:rFonts w:ascii="Times New Roman" w:hAnsi="Times New Roman" w:cs="Times New Roman"/>
          <w:sz w:val="24"/>
          <w:szCs w:val="24"/>
        </w:rPr>
        <w:t xml:space="preserve"> </w:t>
      </w:r>
      <w:r w:rsidR="00C756DF" w:rsidRPr="00A92C7A">
        <w:rPr>
          <w:rFonts w:ascii="Times New Roman" w:hAnsi="Times New Roman" w:cs="Times New Roman"/>
          <w:i/>
          <w:sz w:val="24"/>
          <w:szCs w:val="24"/>
        </w:rPr>
        <w:t>National Standards and Quality Policy, 2012</w:t>
      </w:r>
    </w:p>
    <w:p w14:paraId="61CC291B" w14:textId="36727871" w:rsidR="00583F3A" w:rsidRPr="00A92C7A" w:rsidRDefault="00583F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756DF" w:rsidRPr="00A92C7A">
        <w:rPr>
          <w:rFonts w:ascii="Times New Roman" w:hAnsi="Times New Roman" w:cs="Times New Roman"/>
          <w:sz w:val="24"/>
          <w:szCs w:val="24"/>
        </w:rPr>
        <w:t>2</w:t>
      </w:r>
      <w:r w:rsidRPr="00A92C7A">
        <w:rPr>
          <w:rFonts w:ascii="Times New Roman" w:hAnsi="Times New Roman" w:cs="Times New Roman"/>
          <w:sz w:val="24"/>
          <w:szCs w:val="24"/>
        </w:rPr>
        <w:t>):</w:t>
      </w:r>
      <w:r w:rsidR="00C756DF" w:rsidRPr="00A92C7A">
        <w:rPr>
          <w:rFonts w:ascii="Times New Roman" w:hAnsi="Times New Roman" w:cs="Times New Roman"/>
          <w:sz w:val="24"/>
          <w:szCs w:val="24"/>
        </w:rPr>
        <w:t xml:space="preserve"> </w:t>
      </w:r>
      <w:r w:rsidR="00637046" w:rsidRPr="00A92C7A">
        <w:rPr>
          <w:rFonts w:ascii="Times New Roman" w:hAnsi="Times New Roman" w:cs="Times New Roman"/>
          <w:i/>
          <w:sz w:val="24"/>
          <w:szCs w:val="24"/>
        </w:rPr>
        <w:t>National ICT Policy for Uganda, 2012</w:t>
      </w:r>
    </w:p>
    <w:p w14:paraId="654704A2" w14:textId="1B843F34" w:rsidR="00583F3A" w:rsidRPr="00A92C7A" w:rsidRDefault="00583F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E24AE9" w:rsidRPr="00A92C7A">
        <w:rPr>
          <w:rFonts w:ascii="Times New Roman" w:hAnsi="Times New Roman" w:cs="Times New Roman"/>
          <w:sz w:val="24"/>
          <w:szCs w:val="24"/>
        </w:rPr>
        <w:t>2</w:t>
      </w:r>
      <w:r w:rsidRPr="00A92C7A">
        <w:rPr>
          <w:rFonts w:ascii="Times New Roman" w:hAnsi="Times New Roman" w:cs="Times New Roman"/>
          <w:sz w:val="24"/>
          <w:szCs w:val="24"/>
        </w:rPr>
        <w:t>):</w:t>
      </w:r>
      <w:r w:rsidR="00637046" w:rsidRPr="00A92C7A">
        <w:rPr>
          <w:rFonts w:ascii="Times New Roman" w:hAnsi="Times New Roman" w:cs="Times New Roman"/>
          <w:i/>
          <w:sz w:val="24"/>
          <w:szCs w:val="24"/>
        </w:rPr>
        <w:t xml:space="preserve"> Judiciary Gender Policy and Strategy, 2012</w:t>
      </w:r>
    </w:p>
    <w:p w14:paraId="05A13B2C" w14:textId="3F4E0081" w:rsidR="00583F3A" w:rsidRPr="00A92C7A" w:rsidRDefault="00583F3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E24AE9" w:rsidRPr="00A92C7A">
        <w:rPr>
          <w:rFonts w:ascii="Times New Roman" w:hAnsi="Times New Roman" w:cs="Times New Roman"/>
          <w:sz w:val="24"/>
          <w:szCs w:val="24"/>
        </w:rPr>
        <w:t>3</w:t>
      </w:r>
      <w:r w:rsidRPr="00A92C7A">
        <w:rPr>
          <w:rFonts w:ascii="Times New Roman" w:hAnsi="Times New Roman" w:cs="Times New Roman"/>
          <w:sz w:val="24"/>
          <w:szCs w:val="24"/>
        </w:rPr>
        <w:t>):</w:t>
      </w:r>
      <w:r w:rsidR="00E24AE9" w:rsidRPr="00A92C7A">
        <w:rPr>
          <w:rFonts w:ascii="Times New Roman" w:hAnsi="Times New Roman" w:cs="Times New Roman"/>
          <w:i/>
          <w:sz w:val="24"/>
          <w:szCs w:val="24"/>
        </w:rPr>
        <w:t xml:space="preserve"> Uganda National Land Policy, 2013</w:t>
      </w:r>
    </w:p>
    <w:p w14:paraId="07F52143" w14:textId="77777777" w:rsidR="008368C3" w:rsidRPr="00A92C7A" w:rsidRDefault="008368C3"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(2015): </w:t>
      </w:r>
      <w:r w:rsidRPr="00A92C7A">
        <w:rPr>
          <w:rFonts w:ascii="Times New Roman" w:hAnsi="Times New Roman" w:cs="Times New Roman"/>
          <w:i/>
          <w:sz w:val="24"/>
          <w:szCs w:val="24"/>
        </w:rPr>
        <w:t>A guide to policy development and management in Uganda</w:t>
      </w:r>
    </w:p>
    <w:p w14:paraId="578BC873" w14:textId="3ED3F72B"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E24AE9" w:rsidRPr="00A92C7A">
        <w:rPr>
          <w:rFonts w:ascii="Times New Roman" w:hAnsi="Times New Roman" w:cs="Times New Roman"/>
          <w:sz w:val="24"/>
          <w:szCs w:val="24"/>
        </w:rPr>
        <w:t>3</w:t>
      </w:r>
      <w:r w:rsidRPr="00A92C7A">
        <w:rPr>
          <w:rFonts w:ascii="Times New Roman" w:hAnsi="Times New Roman" w:cs="Times New Roman"/>
          <w:sz w:val="24"/>
          <w:szCs w:val="24"/>
        </w:rPr>
        <w:t>):</w:t>
      </w:r>
      <w:r w:rsidR="00E24AE9" w:rsidRPr="00A92C7A">
        <w:rPr>
          <w:rFonts w:ascii="Times New Roman" w:hAnsi="Times New Roman" w:cs="Times New Roman"/>
          <w:sz w:val="24"/>
          <w:szCs w:val="24"/>
        </w:rPr>
        <w:t xml:space="preserve"> </w:t>
      </w:r>
      <w:r w:rsidR="00C05A7E" w:rsidRPr="00A92C7A">
        <w:rPr>
          <w:rFonts w:ascii="Times New Roman" w:hAnsi="Times New Roman" w:cs="Times New Roman"/>
          <w:i/>
          <w:sz w:val="24"/>
          <w:szCs w:val="24"/>
        </w:rPr>
        <w:t>Petroleum (exploration, development and production) Act, 2013</w:t>
      </w:r>
    </w:p>
    <w:p w14:paraId="5285B256" w14:textId="005B088C"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05A7E" w:rsidRPr="00A92C7A">
        <w:rPr>
          <w:rFonts w:ascii="Times New Roman" w:hAnsi="Times New Roman" w:cs="Times New Roman"/>
          <w:sz w:val="24"/>
          <w:szCs w:val="24"/>
        </w:rPr>
        <w:t>3</w:t>
      </w:r>
      <w:r w:rsidRPr="00A92C7A">
        <w:rPr>
          <w:rFonts w:ascii="Times New Roman" w:hAnsi="Times New Roman" w:cs="Times New Roman"/>
          <w:sz w:val="24"/>
          <w:szCs w:val="24"/>
        </w:rPr>
        <w:t>):</w:t>
      </w:r>
      <w:r w:rsidR="00C05A7E" w:rsidRPr="00A92C7A">
        <w:rPr>
          <w:rFonts w:ascii="Times New Roman" w:hAnsi="Times New Roman" w:cs="Times New Roman"/>
          <w:i/>
          <w:sz w:val="24"/>
          <w:szCs w:val="24"/>
        </w:rPr>
        <w:t xml:space="preserve"> Equal opportunities commission strategic pl</w:t>
      </w:r>
      <w:r w:rsidR="00625320" w:rsidRPr="00A92C7A">
        <w:rPr>
          <w:rFonts w:ascii="Times New Roman" w:hAnsi="Times New Roman" w:cs="Times New Roman"/>
          <w:i/>
          <w:sz w:val="24"/>
          <w:szCs w:val="24"/>
        </w:rPr>
        <w:t>an, 2013/14-2017-18</w:t>
      </w:r>
    </w:p>
    <w:p w14:paraId="6E176EDF" w14:textId="0F047933"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8422B1" w:rsidRPr="00A92C7A">
        <w:rPr>
          <w:rFonts w:ascii="Times New Roman" w:hAnsi="Times New Roman" w:cs="Times New Roman"/>
          <w:sz w:val="24"/>
          <w:szCs w:val="24"/>
        </w:rPr>
        <w:t>3</w:t>
      </w:r>
      <w:r w:rsidRPr="00A92C7A">
        <w:rPr>
          <w:rFonts w:ascii="Times New Roman" w:hAnsi="Times New Roman" w:cs="Times New Roman"/>
          <w:sz w:val="24"/>
          <w:szCs w:val="24"/>
        </w:rPr>
        <w:t>):</w:t>
      </w:r>
      <w:r w:rsidR="008422B1" w:rsidRPr="00A92C7A">
        <w:rPr>
          <w:rFonts w:ascii="Times New Roman" w:hAnsi="Times New Roman" w:cs="Times New Roman"/>
          <w:i/>
          <w:sz w:val="24"/>
          <w:szCs w:val="24"/>
        </w:rPr>
        <w:t xml:space="preserve"> National Agricultural Policy, 2013</w:t>
      </w:r>
    </w:p>
    <w:p w14:paraId="140554DB" w14:textId="27CCC0D6"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8422B1" w:rsidRPr="00A92C7A">
        <w:rPr>
          <w:rFonts w:ascii="Times New Roman" w:hAnsi="Times New Roman" w:cs="Times New Roman"/>
          <w:sz w:val="24"/>
          <w:szCs w:val="24"/>
        </w:rPr>
        <w:t>3</w:t>
      </w:r>
      <w:r w:rsidRPr="00A92C7A">
        <w:rPr>
          <w:rFonts w:ascii="Times New Roman" w:hAnsi="Times New Roman" w:cs="Times New Roman"/>
          <w:sz w:val="24"/>
          <w:szCs w:val="24"/>
        </w:rPr>
        <w:t>):</w:t>
      </w:r>
      <w:r w:rsidR="008422B1" w:rsidRPr="00A92C7A">
        <w:rPr>
          <w:rFonts w:ascii="Times New Roman" w:hAnsi="Times New Roman" w:cs="Times New Roman"/>
          <w:i/>
          <w:sz w:val="24"/>
          <w:szCs w:val="24"/>
        </w:rPr>
        <w:t xml:space="preserve"> Uganda Tourism Policy, 2013</w:t>
      </w:r>
    </w:p>
    <w:p w14:paraId="2B950224" w14:textId="779C7306"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8422B1" w:rsidRPr="00A92C7A">
        <w:rPr>
          <w:rFonts w:ascii="Times New Roman" w:hAnsi="Times New Roman" w:cs="Times New Roman"/>
          <w:sz w:val="24"/>
          <w:szCs w:val="24"/>
        </w:rPr>
        <w:t>3</w:t>
      </w:r>
      <w:r w:rsidRPr="00A92C7A">
        <w:rPr>
          <w:rFonts w:ascii="Times New Roman" w:hAnsi="Times New Roman" w:cs="Times New Roman"/>
          <w:sz w:val="24"/>
          <w:szCs w:val="24"/>
        </w:rPr>
        <w:t>):</w:t>
      </w:r>
      <w:r w:rsidR="008422B1" w:rsidRPr="00A92C7A">
        <w:rPr>
          <w:rFonts w:ascii="Times New Roman" w:hAnsi="Times New Roman" w:cs="Times New Roman"/>
          <w:sz w:val="24"/>
          <w:szCs w:val="24"/>
        </w:rPr>
        <w:t xml:space="preserve"> </w:t>
      </w:r>
      <w:r w:rsidR="008422B1" w:rsidRPr="00A92C7A">
        <w:rPr>
          <w:rFonts w:ascii="Times New Roman" w:hAnsi="Times New Roman" w:cs="Times New Roman"/>
          <w:i/>
          <w:sz w:val="24"/>
          <w:szCs w:val="24"/>
        </w:rPr>
        <w:t>Uganda Partnership Policy, 2013</w:t>
      </w:r>
    </w:p>
    <w:p w14:paraId="0E7FFBD8" w14:textId="66536303"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8422B1" w:rsidRPr="00A92C7A">
        <w:rPr>
          <w:rFonts w:ascii="Times New Roman" w:hAnsi="Times New Roman" w:cs="Times New Roman"/>
          <w:sz w:val="24"/>
          <w:szCs w:val="24"/>
        </w:rPr>
        <w:t>4</w:t>
      </w:r>
      <w:r w:rsidRPr="00A92C7A">
        <w:rPr>
          <w:rFonts w:ascii="Times New Roman" w:hAnsi="Times New Roman" w:cs="Times New Roman"/>
          <w:sz w:val="24"/>
          <w:szCs w:val="24"/>
        </w:rPr>
        <w:t>):</w:t>
      </w:r>
      <w:r w:rsidR="00C1162C" w:rsidRPr="00A92C7A">
        <w:rPr>
          <w:rFonts w:ascii="Times New Roman" w:hAnsi="Times New Roman" w:cs="Times New Roman"/>
          <w:sz w:val="24"/>
          <w:szCs w:val="24"/>
        </w:rPr>
        <w:t xml:space="preserve"> </w:t>
      </w:r>
      <w:r w:rsidR="00C1162C" w:rsidRPr="00A92C7A">
        <w:rPr>
          <w:rFonts w:ascii="Times New Roman" w:hAnsi="Times New Roman" w:cs="Times New Roman"/>
          <w:i/>
          <w:sz w:val="24"/>
          <w:szCs w:val="24"/>
        </w:rPr>
        <w:t>Uganda Wildlife Policy, 2014</w:t>
      </w:r>
    </w:p>
    <w:p w14:paraId="5EED3BFF" w14:textId="0C6EC1CA"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1162C" w:rsidRPr="00A92C7A">
        <w:rPr>
          <w:rFonts w:ascii="Times New Roman" w:hAnsi="Times New Roman" w:cs="Times New Roman"/>
          <w:sz w:val="24"/>
          <w:szCs w:val="24"/>
        </w:rPr>
        <w:t>4</w:t>
      </w:r>
      <w:r w:rsidRPr="00A92C7A">
        <w:rPr>
          <w:rFonts w:ascii="Times New Roman" w:hAnsi="Times New Roman" w:cs="Times New Roman"/>
          <w:sz w:val="24"/>
          <w:szCs w:val="24"/>
        </w:rPr>
        <w:t>):</w:t>
      </w:r>
      <w:r w:rsidR="00C1162C" w:rsidRPr="00A92C7A">
        <w:rPr>
          <w:rFonts w:ascii="Times New Roman" w:hAnsi="Times New Roman" w:cs="Times New Roman"/>
          <w:sz w:val="24"/>
          <w:szCs w:val="24"/>
        </w:rPr>
        <w:t xml:space="preserve"> </w:t>
      </w:r>
      <w:r w:rsidR="00C1162C" w:rsidRPr="00A92C7A">
        <w:rPr>
          <w:rFonts w:ascii="Times New Roman" w:hAnsi="Times New Roman" w:cs="Times New Roman"/>
          <w:i/>
          <w:sz w:val="24"/>
          <w:szCs w:val="24"/>
        </w:rPr>
        <w:t>Operation Wealth Creation, 2014</w:t>
      </w:r>
    </w:p>
    <w:p w14:paraId="4E239E1F" w14:textId="2CE2D89E" w:rsidR="00637046" w:rsidRPr="00A92C7A" w:rsidRDefault="00637046"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1162C" w:rsidRPr="00A92C7A">
        <w:rPr>
          <w:rFonts w:ascii="Times New Roman" w:hAnsi="Times New Roman" w:cs="Times New Roman"/>
          <w:sz w:val="24"/>
          <w:szCs w:val="24"/>
        </w:rPr>
        <w:t>4</w:t>
      </w:r>
      <w:r w:rsidRPr="00A92C7A">
        <w:rPr>
          <w:rFonts w:ascii="Times New Roman" w:hAnsi="Times New Roman" w:cs="Times New Roman"/>
          <w:sz w:val="24"/>
          <w:szCs w:val="24"/>
        </w:rPr>
        <w:t>):</w:t>
      </w:r>
      <w:r w:rsidR="00B22B0A" w:rsidRPr="00A92C7A">
        <w:rPr>
          <w:rFonts w:ascii="Times New Roman" w:hAnsi="Times New Roman" w:cs="Times New Roman"/>
          <w:i/>
          <w:sz w:val="24"/>
          <w:szCs w:val="24"/>
        </w:rPr>
        <w:t xml:space="preserve"> Buy Uganda, Build Uganda (BUBU) policy, 2014</w:t>
      </w:r>
    </w:p>
    <w:p w14:paraId="194B11A3" w14:textId="1B7BDB32" w:rsidR="00C1162C" w:rsidRPr="00A92C7A" w:rsidRDefault="00C1162C"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B22B0A" w:rsidRPr="00A92C7A">
        <w:rPr>
          <w:rFonts w:ascii="Times New Roman" w:hAnsi="Times New Roman" w:cs="Times New Roman"/>
          <w:sz w:val="24"/>
          <w:szCs w:val="24"/>
        </w:rPr>
        <w:t>4</w:t>
      </w:r>
      <w:r w:rsidRPr="00A92C7A">
        <w:rPr>
          <w:rFonts w:ascii="Times New Roman" w:hAnsi="Times New Roman" w:cs="Times New Roman"/>
          <w:sz w:val="24"/>
          <w:szCs w:val="24"/>
        </w:rPr>
        <w:t>):</w:t>
      </w:r>
      <w:r w:rsidR="00B22B0A" w:rsidRPr="00A92C7A">
        <w:rPr>
          <w:rFonts w:ascii="Times New Roman" w:hAnsi="Times New Roman" w:cs="Times New Roman"/>
          <w:sz w:val="24"/>
          <w:szCs w:val="24"/>
        </w:rPr>
        <w:t xml:space="preserve"> </w:t>
      </w:r>
      <w:r w:rsidR="00B22B0A" w:rsidRPr="00A92C7A">
        <w:rPr>
          <w:rFonts w:ascii="Times New Roman" w:hAnsi="Times New Roman" w:cs="Times New Roman"/>
          <w:i/>
          <w:sz w:val="24"/>
          <w:szCs w:val="24"/>
        </w:rPr>
        <w:t>Uganda Tourism Development Master Plan, 2014-2024</w:t>
      </w:r>
    </w:p>
    <w:p w14:paraId="191086A7" w14:textId="757C9F34" w:rsidR="00C1162C" w:rsidRPr="00A92C7A" w:rsidRDefault="00C1162C"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C91D5C" w:rsidRPr="00A92C7A">
        <w:rPr>
          <w:rFonts w:ascii="Times New Roman" w:hAnsi="Times New Roman" w:cs="Times New Roman"/>
          <w:sz w:val="24"/>
          <w:szCs w:val="24"/>
        </w:rPr>
        <w:t>5</w:t>
      </w:r>
      <w:r w:rsidRPr="00A92C7A">
        <w:rPr>
          <w:rFonts w:ascii="Times New Roman" w:hAnsi="Times New Roman" w:cs="Times New Roman"/>
          <w:sz w:val="24"/>
          <w:szCs w:val="24"/>
        </w:rPr>
        <w:t>):</w:t>
      </w:r>
      <w:r w:rsidR="00C91D5C" w:rsidRPr="00A92C7A">
        <w:rPr>
          <w:rFonts w:ascii="Times New Roman" w:hAnsi="Times New Roman" w:cs="Times New Roman"/>
          <w:sz w:val="24"/>
          <w:szCs w:val="24"/>
        </w:rPr>
        <w:t xml:space="preserve"> </w:t>
      </w:r>
      <w:r w:rsidR="00C91D5C" w:rsidRPr="00A92C7A">
        <w:rPr>
          <w:rFonts w:ascii="Times New Roman" w:hAnsi="Times New Roman" w:cs="Times New Roman"/>
          <w:i/>
          <w:sz w:val="24"/>
          <w:szCs w:val="24"/>
        </w:rPr>
        <w:t xml:space="preserve">National Policy on East African </w:t>
      </w:r>
      <w:r w:rsidR="0009136C" w:rsidRPr="00A92C7A">
        <w:rPr>
          <w:rFonts w:ascii="Times New Roman" w:hAnsi="Times New Roman" w:cs="Times New Roman"/>
          <w:i/>
          <w:sz w:val="24"/>
          <w:szCs w:val="24"/>
        </w:rPr>
        <w:t>Community Integration</w:t>
      </w:r>
      <w:r w:rsidR="00EE386D" w:rsidRPr="00A92C7A">
        <w:rPr>
          <w:rFonts w:ascii="Times New Roman" w:hAnsi="Times New Roman" w:cs="Times New Roman"/>
          <w:i/>
          <w:sz w:val="24"/>
          <w:szCs w:val="24"/>
        </w:rPr>
        <w:t>, 2015</w:t>
      </w:r>
    </w:p>
    <w:p w14:paraId="362A8A83" w14:textId="5265AE05" w:rsidR="00C1162C" w:rsidRPr="00A92C7A" w:rsidRDefault="00EE386D"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911A37" w:rsidRPr="00A92C7A">
        <w:rPr>
          <w:rFonts w:ascii="Times New Roman" w:hAnsi="Times New Roman" w:cs="Times New Roman"/>
          <w:i/>
          <w:sz w:val="24"/>
          <w:szCs w:val="24"/>
        </w:rPr>
        <w:t xml:space="preserve"> Uganda National </w:t>
      </w:r>
      <w:r w:rsidR="00665535" w:rsidRPr="00A92C7A">
        <w:rPr>
          <w:rFonts w:ascii="Times New Roman" w:hAnsi="Times New Roman" w:cs="Times New Roman"/>
          <w:i/>
          <w:sz w:val="24"/>
          <w:szCs w:val="24"/>
        </w:rPr>
        <w:t>Land Policy Implementation Action Plan, 2015/16-2018/19</w:t>
      </w:r>
    </w:p>
    <w:p w14:paraId="2025274B" w14:textId="3152ECF3" w:rsidR="00EE386D" w:rsidRPr="00A92C7A" w:rsidRDefault="00EE386D"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710C10" w:rsidRPr="00A92C7A">
        <w:rPr>
          <w:rFonts w:ascii="Times New Roman" w:hAnsi="Times New Roman" w:cs="Times New Roman"/>
          <w:sz w:val="24"/>
          <w:szCs w:val="24"/>
        </w:rPr>
        <w:t xml:space="preserve"> </w:t>
      </w:r>
      <w:r w:rsidR="00710C10" w:rsidRPr="00A92C7A">
        <w:rPr>
          <w:rFonts w:ascii="Times New Roman" w:hAnsi="Times New Roman" w:cs="Times New Roman"/>
          <w:i/>
          <w:sz w:val="24"/>
          <w:szCs w:val="24"/>
        </w:rPr>
        <w:t xml:space="preserve">National Tourism Sector </w:t>
      </w:r>
      <w:r w:rsidR="00DA007A" w:rsidRPr="00A92C7A">
        <w:rPr>
          <w:rFonts w:ascii="Times New Roman" w:hAnsi="Times New Roman" w:cs="Times New Roman"/>
          <w:i/>
          <w:sz w:val="24"/>
          <w:szCs w:val="24"/>
        </w:rPr>
        <w:t>Development Plan 2015/16-2019/20</w:t>
      </w:r>
    </w:p>
    <w:p w14:paraId="13E2AE34" w14:textId="180C3C17" w:rsidR="00EE386D" w:rsidRPr="00A92C7A" w:rsidRDefault="00EE386D"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DA007A" w:rsidRPr="00A92C7A">
        <w:rPr>
          <w:rFonts w:ascii="Times New Roman" w:hAnsi="Times New Roman" w:cs="Times New Roman"/>
          <w:sz w:val="24"/>
          <w:szCs w:val="24"/>
        </w:rPr>
        <w:t xml:space="preserve"> </w:t>
      </w:r>
      <w:r w:rsidR="00DA007A" w:rsidRPr="00A92C7A">
        <w:rPr>
          <w:rFonts w:ascii="Times New Roman" w:hAnsi="Times New Roman" w:cs="Times New Roman"/>
          <w:i/>
          <w:sz w:val="24"/>
          <w:szCs w:val="24"/>
        </w:rPr>
        <w:t>Energy and mineral development sector plan, 2015/16-2018/19</w:t>
      </w:r>
    </w:p>
    <w:p w14:paraId="2869FE59" w14:textId="259B1F70"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lastRenderedPageBreak/>
        <w:t>Republic of Uganda (2015):</w:t>
      </w:r>
      <w:r w:rsidR="006B1D90" w:rsidRPr="00A92C7A">
        <w:rPr>
          <w:rFonts w:ascii="Times New Roman" w:hAnsi="Times New Roman" w:cs="Times New Roman"/>
          <w:sz w:val="24"/>
          <w:szCs w:val="24"/>
        </w:rPr>
        <w:t xml:space="preserve"> </w:t>
      </w:r>
      <w:r w:rsidR="006B1D90" w:rsidRPr="00A92C7A">
        <w:rPr>
          <w:rFonts w:ascii="Times New Roman" w:hAnsi="Times New Roman" w:cs="Times New Roman"/>
          <w:i/>
          <w:sz w:val="24"/>
          <w:szCs w:val="24"/>
        </w:rPr>
        <w:t>Public Private Partnerships Act, 2015</w:t>
      </w:r>
    </w:p>
    <w:p w14:paraId="5A84AE9F" w14:textId="2E7CFE66"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6B1D90" w:rsidRPr="00A92C7A">
        <w:rPr>
          <w:rFonts w:ascii="Times New Roman" w:hAnsi="Times New Roman" w:cs="Times New Roman"/>
          <w:sz w:val="24"/>
          <w:szCs w:val="24"/>
        </w:rPr>
        <w:t xml:space="preserve"> </w:t>
      </w:r>
      <w:r w:rsidR="006B1D90" w:rsidRPr="00A92C7A">
        <w:rPr>
          <w:rFonts w:ascii="Times New Roman" w:hAnsi="Times New Roman" w:cs="Times New Roman"/>
          <w:i/>
          <w:sz w:val="24"/>
          <w:szCs w:val="24"/>
        </w:rPr>
        <w:t>Health Sector Development Plan, 2015/16-2019/20</w:t>
      </w:r>
    </w:p>
    <w:p w14:paraId="5CDB0FD7" w14:textId="2FAB8581"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6B1D90" w:rsidRPr="00A92C7A">
        <w:rPr>
          <w:rFonts w:ascii="Times New Roman" w:hAnsi="Times New Roman" w:cs="Times New Roman"/>
          <w:sz w:val="24"/>
          <w:szCs w:val="24"/>
        </w:rPr>
        <w:t xml:space="preserve"> </w:t>
      </w:r>
      <w:r w:rsidR="006B1D90" w:rsidRPr="00A92C7A">
        <w:rPr>
          <w:rFonts w:ascii="Times New Roman" w:hAnsi="Times New Roman" w:cs="Times New Roman"/>
          <w:i/>
          <w:sz w:val="24"/>
          <w:szCs w:val="24"/>
        </w:rPr>
        <w:t>National Social Protection Policy, 2015</w:t>
      </w:r>
    </w:p>
    <w:p w14:paraId="66B94512" w14:textId="3FA56E69"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(2015):</w:t>
      </w:r>
      <w:r w:rsidR="004C2696" w:rsidRPr="00A92C7A">
        <w:rPr>
          <w:rFonts w:ascii="Times New Roman" w:hAnsi="Times New Roman" w:cs="Times New Roman"/>
          <w:sz w:val="24"/>
          <w:szCs w:val="24"/>
        </w:rPr>
        <w:t xml:space="preserve"> </w:t>
      </w:r>
      <w:r w:rsidR="004C2696" w:rsidRPr="00A92C7A">
        <w:rPr>
          <w:rFonts w:ascii="Times New Roman" w:hAnsi="Times New Roman" w:cs="Times New Roman"/>
          <w:i/>
          <w:sz w:val="24"/>
          <w:szCs w:val="24"/>
        </w:rPr>
        <w:t xml:space="preserve">Ministry of Local </w:t>
      </w:r>
      <w:r w:rsidR="009A2561" w:rsidRPr="00A92C7A">
        <w:rPr>
          <w:rFonts w:ascii="Times New Roman" w:hAnsi="Times New Roman" w:cs="Times New Roman"/>
          <w:i/>
          <w:sz w:val="24"/>
          <w:szCs w:val="24"/>
        </w:rPr>
        <w:t>Government</w:t>
      </w:r>
      <w:r w:rsidR="004C2696" w:rsidRPr="00A92C7A">
        <w:rPr>
          <w:rFonts w:ascii="Times New Roman" w:hAnsi="Times New Roman" w:cs="Times New Roman"/>
          <w:i/>
          <w:sz w:val="24"/>
          <w:szCs w:val="24"/>
        </w:rPr>
        <w:t xml:space="preserve"> Strategic Plan for Statistics, 2015/16-2019/20</w:t>
      </w:r>
    </w:p>
    <w:p w14:paraId="67419301" w14:textId="77777777" w:rsidR="00F816D1" w:rsidRPr="00A92C7A" w:rsidRDefault="00F816D1"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Republic of Uganda (2015): </w:t>
      </w:r>
      <w:r w:rsidRPr="00A92C7A">
        <w:rPr>
          <w:rFonts w:ascii="Times New Roman" w:hAnsi="Times New Roman" w:cs="Times New Roman"/>
          <w:i/>
          <w:sz w:val="24"/>
          <w:szCs w:val="24"/>
        </w:rPr>
        <w:t>National development plan II (2015/16-2019/20)</w:t>
      </w:r>
    </w:p>
    <w:p w14:paraId="59B17B48" w14:textId="24DA4EA4" w:rsidR="00F816D1" w:rsidRPr="00A92C7A" w:rsidRDefault="00F816D1"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(2015): </w:t>
      </w:r>
      <w:r w:rsidR="009C5EBE" w:rsidRPr="00A92C7A">
        <w:rPr>
          <w:rFonts w:ascii="Times New Roman" w:hAnsi="Times New Roman" w:cs="Times New Roman"/>
          <w:i/>
          <w:sz w:val="24"/>
          <w:szCs w:val="24"/>
        </w:rPr>
        <w:t>Implementation Strategy</w:t>
      </w:r>
      <w:r w:rsidRPr="00A92C7A">
        <w:rPr>
          <w:rFonts w:ascii="Times New Roman" w:hAnsi="Times New Roman" w:cs="Times New Roman"/>
          <w:i/>
          <w:sz w:val="24"/>
          <w:szCs w:val="24"/>
        </w:rPr>
        <w:t xml:space="preserve"> for the second national development plan (2015/16-2019/20)</w:t>
      </w:r>
    </w:p>
    <w:p w14:paraId="68556255" w14:textId="71AB9CB1" w:rsidR="00190131" w:rsidRPr="00A92C7A" w:rsidRDefault="00190131"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Re</w:t>
      </w:r>
      <w:r w:rsidR="00104E74" w:rsidRPr="00A92C7A">
        <w:rPr>
          <w:rFonts w:ascii="Times New Roman" w:hAnsi="Times New Roman" w:cs="Times New Roman"/>
          <w:sz w:val="24"/>
          <w:szCs w:val="24"/>
        </w:rPr>
        <w:t xml:space="preserve">public of Uganda (2016): </w:t>
      </w:r>
      <w:r w:rsidRPr="00A92C7A">
        <w:rPr>
          <w:rFonts w:ascii="Times New Roman" w:hAnsi="Times New Roman" w:cs="Times New Roman"/>
          <w:i/>
          <w:sz w:val="24"/>
          <w:szCs w:val="24"/>
        </w:rPr>
        <w:t>Achieving Uganda’s development ambition. The Economic Impact of Green Growth – An Agenda for Action</w:t>
      </w:r>
    </w:p>
    <w:p w14:paraId="15BE64D5" w14:textId="724FA0A2"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4C2696" w:rsidRPr="00A92C7A">
        <w:rPr>
          <w:rFonts w:ascii="Times New Roman" w:hAnsi="Times New Roman" w:cs="Times New Roman"/>
          <w:sz w:val="24"/>
          <w:szCs w:val="24"/>
        </w:rPr>
        <w:t>6</w:t>
      </w:r>
      <w:r w:rsidRPr="00A92C7A">
        <w:rPr>
          <w:rFonts w:ascii="Times New Roman" w:hAnsi="Times New Roman" w:cs="Times New Roman"/>
          <w:sz w:val="24"/>
          <w:szCs w:val="24"/>
        </w:rPr>
        <w:t>):</w:t>
      </w:r>
      <w:r w:rsidR="004C2696" w:rsidRPr="00A92C7A">
        <w:rPr>
          <w:rFonts w:ascii="Times New Roman" w:hAnsi="Times New Roman" w:cs="Times New Roman"/>
          <w:sz w:val="24"/>
          <w:szCs w:val="24"/>
        </w:rPr>
        <w:t xml:space="preserve"> </w:t>
      </w:r>
      <w:r w:rsidR="004C2696" w:rsidRPr="00A92C7A">
        <w:rPr>
          <w:rFonts w:ascii="Times New Roman" w:hAnsi="Times New Roman" w:cs="Times New Roman"/>
          <w:i/>
          <w:sz w:val="24"/>
          <w:szCs w:val="24"/>
        </w:rPr>
        <w:t>Health financing strategy, 2015/16-2024/25</w:t>
      </w:r>
    </w:p>
    <w:p w14:paraId="741EC5B0" w14:textId="78F2B0C0"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4C2696" w:rsidRPr="00A92C7A">
        <w:rPr>
          <w:rFonts w:ascii="Times New Roman" w:hAnsi="Times New Roman" w:cs="Times New Roman"/>
          <w:sz w:val="24"/>
          <w:szCs w:val="24"/>
        </w:rPr>
        <w:t>6</w:t>
      </w:r>
      <w:r w:rsidRPr="00A92C7A">
        <w:rPr>
          <w:rFonts w:ascii="Times New Roman" w:hAnsi="Times New Roman" w:cs="Times New Roman"/>
          <w:sz w:val="24"/>
          <w:szCs w:val="24"/>
        </w:rPr>
        <w:t>):</w:t>
      </w:r>
      <w:r w:rsidR="004C2696" w:rsidRPr="00A92C7A">
        <w:rPr>
          <w:rFonts w:ascii="Times New Roman" w:hAnsi="Times New Roman" w:cs="Times New Roman"/>
          <w:sz w:val="24"/>
          <w:szCs w:val="24"/>
        </w:rPr>
        <w:t xml:space="preserve"> </w:t>
      </w:r>
      <w:r w:rsidR="004C2696" w:rsidRPr="00A92C7A">
        <w:rPr>
          <w:rFonts w:ascii="Times New Roman" w:hAnsi="Times New Roman" w:cs="Times New Roman"/>
          <w:i/>
          <w:sz w:val="24"/>
          <w:szCs w:val="24"/>
        </w:rPr>
        <w:t>National Housing Policy, 2016</w:t>
      </w:r>
    </w:p>
    <w:p w14:paraId="3A80F443" w14:textId="3ACCE534"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A732CF" w:rsidRPr="00A92C7A">
        <w:rPr>
          <w:rFonts w:ascii="Times New Roman" w:hAnsi="Times New Roman" w:cs="Times New Roman"/>
          <w:sz w:val="24"/>
          <w:szCs w:val="24"/>
        </w:rPr>
        <w:t>6</w:t>
      </w:r>
      <w:r w:rsidRPr="00A92C7A">
        <w:rPr>
          <w:rFonts w:ascii="Times New Roman" w:hAnsi="Times New Roman" w:cs="Times New Roman"/>
          <w:sz w:val="24"/>
          <w:szCs w:val="24"/>
        </w:rPr>
        <w:t>):</w:t>
      </w:r>
      <w:r w:rsidR="00A732CF" w:rsidRPr="00A92C7A">
        <w:rPr>
          <w:rFonts w:ascii="Times New Roman" w:hAnsi="Times New Roman" w:cs="Times New Roman"/>
          <w:sz w:val="24"/>
          <w:szCs w:val="24"/>
        </w:rPr>
        <w:t xml:space="preserve"> </w:t>
      </w:r>
      <w:r w:rsidR="00A732CF" w:rsidRPr="00A92C7A">
        <w:rPr>
          <w:rFonts w:ascii="Times New Roman" w:hAnsi="Times New Roman" w:cs="Times New Roman"/>
          <w:i/>
          <w:sz w:val="24"/>
          <w:szCs w:val="24"/>
        </w:rPr>
        <w:t>National Slum Upgrading Strategy, 2016</w:t>
      </w:r>
    </w:p>
    <w:p w14:paraId="24F8A935" w14:textId="463ADCA0" w:rsidR="00DA007A" w:rsidRPr="00A92C7A" w:rsidRDefault="00DA007A"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A732CF" w:rsidRPr="00A92C7A">
        <w:rPr>
          <w:rFonts w:ascii="Times New Roman" w:hAnsi="Times New Roman" w:cs="Times New Roman"/>
          <w:sz w:val="24"/>
          <w:szCs w:val="24"/>
        </w:rPr>
        <w:t>6</w:t>
      </w:r>
      <w:r w:rsidRPr="00A92C7A">
        <w:rPr>
          <w:rFonts w:ascii="Times New Roman" w:hAnsi="Times New Roman" w:cs="Times New Roman"/>
          <w:sz w:val="24"/>
          <w:szCs w:val="24"/>
        </w:rPr>
        <w:t>):</w:t>
      </w:r>
      <w:r w:rsidR="00A732CF" w:rsidRPr="00A92C7A">
        <w:rPr>
          <w:rFonts w:ascii="Times New Roman" w:hAnsi="Times New Roman" w:cs="Times New Roman"/>
          <w:sz w:val="24"/>
          <w:szCs w:val="24"/>
        </w:rPr>
        <w:t xml:space="preserve"> </w:t>
      </w:r>
      <w:r w:rsidR="00A732CF" w:rsidRPr="00A92C7A">
        <w:rPr>
          <w:rFonts w:ascii="Times New Roman" w:hAnsi="Times New Roman" w:cs="Times New Roman"/>
          <w:i/>
          <w:sz w:val="24"/>
          <w:szCs w:val="24"/>
        </w:rPr>
        <w:t>Environment and natural resources subsector gender mainstreaming strategy, 2016-2021</w:t>
      </w:r>
    </w:p>
    <w:p w14:paraId="5B2EB506" w14:textId="7132F2F2" w:rsidR="00E01409" w:rsidRPr="00A92C7A" w:rsidRDefault="00E01409"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(2016): </w:t>
      </w:r>
      <w:r w:rsidRPr="00A92C7A">
        <w:rPr>
          <w:rFonts w:ascii="Times New Roman" w:hAnsi="Times New Roman" w:cs="Times New Roman"/>
          <w:i/>
          <w:sz w:val="24"/>
          <w:szCs w:val="24"/>
        </w:rPr>
        <w:t>Social Development Sector Development Plan, 2015/16-2019/20</w:t>
      </w:r>
    </w:p>
    <w:p w14:paraId="032CE856" w14:textId="6CE31DD5" w:rsidR="00E01409" w:rsidRPr="00A92C7A" w:rsidRDefault="00E01409"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(2016): </w:t>
      </w:r>
      <w:r w:rsidRPr="00A92C7A">
        <w:rPr>
          <w:rFonts w:ascii="Times New Roman" w:hAnsi="Times New Roman" w:cs="Times New Roman"/>
          <w:i/>
          <w:sz w:val="24"/>
          <w:szCs w:val="24"/>
        </w:rPr>
        <w:t>Security Sector Development Plan, 2015/16-2019/20</w:t>
      </w:r>
    </w:p>
    <w:p w14:paraId="794DEF5B" w14:textId="5C3B4AB6" w:rsidR="00E01409" w:rsidRPr="00A92C7A" w:rsidRDefault="00E01409"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B766E8" w:rsidRPr="00A92C7A">
        <w:rPr>
          <w:rFonts w:ascii="Times New Roman" w:hAnsi="Times New Roman" w:cs="Times New Roman"/>
          <w:sz w:val="24"/>
          <w:szCs w:val="24"/>
        </w:rPr>
        <w:t>6</w:t>
      </w:r>
      <w:r w:rsidRPr="00A92C7A">
        <w:rPr>
          <w:rFonts w:ascii="Times New Roman" w:hAnsi="Times New Roman" w:cs="Times New Roman"/>
          <w:sz w:val="24"/>
          <w:szCs w:val="24"/>
        </w:rPr>
        <w:t>):</w:t>
      </w:r>
      <w:r w:rsidR="00B766E8" w:rsidRPr="00A92C7A">
        <w:rPr>
          <w:rFonts w:ascii="Times New Roman" w:hAnsi="Times New Roman" w:cs="Times New Roman"/>
          <w:sz w:val="24"/>
          <w:szCs w:val="24"/>
        </w:rPr>
        <w:t xml:space="preserve"> </w:t>
      </w:r>
      <w:r w:rsidR="00B766E8" w:rsidRPr="00A92C7A">
        <w:rPr>
          <w:rFonts w:ascii="Times New Roman" w:hAnsi="Times New Roman" w:cs="Times New Roman"/>
          <w:i/>
          <w:sz w:val="24"/>
          <w:szCs w:val="24"/>
        </w:rPr>
        <w:t>Ministry of Finance, Planning and Economic Development (MFPED) Strategic Plan, 2016-2021</w:t>
      </w:r>
    </w:p>
    <w:p w14:paraId="0CF75EF2" w14:textId="07BBF748" w:rsidR="00E01409" w:rsidRPr="00A92C7A" w:rsidRDefault="00E01409"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B766E8" w:rsidRPr="00A92C7A">
        <w:rPr>
          <w:rFonts w:ascii="Times New Roman" w:hAnsi="Times New Roman" w:cs="Times New Roman"/>
          <w:sz w:val="24"/>
          <w:szCs w:val="24"/>
        </w:rPr>
        <w:t>7</w:t>
      </w:r>
      <w:r w:rsidRPr="00A92C7A">
        <w:rPr>
          <w:rFonts w:ascii="Times New Roman" w:hAnsi="Times New Roman" w:cs="Times New Roman"/>
          <w:sz w:val="24"/>
          <w:szCs w:val="24"/>
        </w:rPr>
        <w:t>):</w:t>
      </w:r>
      <w:r w:rsidR="00B766E8" w:rsidRPr="00A92C7A">
        <w:rPr>
          <w:rFonts w:ascii="Times New Roman" w:hAnsi="Times New Roman" w:cs="Times New Roman"/>
          <w:sz w:val="24"/>
          <w:szCs w:val="24"/>
        </w:rPr>
        <w:t xml:space="preserve"> </w:t>
      </w:r>
      <w:r w:rsidR="00B766E8" w:rsidRPr="00A92C7A">
        <w:rPr>
          <w:rFonts w:ascii="Times New Roman" w:hAnsi="Times New Roman" w:cs="Times New Roman"/>
          <w:i/>
          <w:sz w:val="24"/>
          <w:szCs w:val="24"/>
        </w:rPr>
        <w:t>Uganda National Urban Policy, 2017</w:t>
      </w:r>
    </w:p>
    <w:p w14:paraId="7D420D83" w14:textId="50FB9520" w:rsidR="00E01409" w:rsidRPr="00A92C7A" w:rsidRDefault="00E01409"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B766E8" w:rsidRPr="00A92C7A">
        <w:rPr>
          <w:rFonts w:ascii="Times New Roman" w:hAnsi="Times New Roman" w:cs="Times New Roman"/>
          <w:sz w:val="24"/>
          <w:szCs w:val="24"/>
        </w:rPr>
        <w:t>7</w:t>
      </w:r>
      <w:r w:rsidRPr="00A92C7A">
        <w:rPr>
          <w:rFonts w:ascii="Times New Roman" w:hAnsi="Times New Roman" w:cs="Times New Roman"/>
          <w:sz w:val="24"/>
          <w:szCs w:val="24"/>
        </w:rPr>
        <w:t>):</w:t>
      </w:r>
      <w:r w:rsidR="00B766E8" w:rsidRPr="00A92C7A">
        <w:rPr>
          <w:rFonts w:ascii="Times New Roman" w:hAnsi="Times New Roman" w:cs="Times New Roman"/>
          <w:sz w:val="24"/>
          <w:szCs w:val="24"/>
        </w:rPr>
        <w:t xml:space="preserve"> </w:t>
      </w:r>
      <w:r w:rsidR="00B766E8" w:rsidRPr="00A92C7A">
        <w:rPr>
          <w:rFonts w:ascii="Times New Roman" w:hAnsi="Times New Roman" w:cs="Times New Roman"/>
          <w:i/>
          <w:sz w:val="24"/>
          <w:szCs w:val="24"/>
        </w:rPr>
        <w:t>National Irrigation Policy, 2017</w:t>
      </w:r>
    </w:p>
    <w:p w14:paraId="54A5BCBB" w14:textId="2BD94235" w:rsidR="00B766E8" w:rsidRPr="00A92C7A" w:rsidRDefault="00B766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(2017): </w:t>
      </w:r>
      <w:r w:rsidR="00C277FC" w:rsidRPr="00A92C7A">
        <w:rPr>
          <w:rFonts w:ascii="Times New Roman" w:hAnsi="Times New Roman" w:cs="Times New Roman"/>
          <w:i/>
          <w:sz w:val="24"/>
          <w:szCs w:val="24"/>
        </w:rPr>
        <w:t>Social Protection Gender and Equity Strategy, 2017</w:t>
      </w:r>
    </w:p>
    <w:p w14:paraId="75463463" w14:textId="45A36E51" w:rsidR="00B766E8" w:rsidRPr="00A92C7A" w:rsidRDefault="00B766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7A6367" w:rsidRPr="00A92C7A">
        <w:rPr>
          <w:rFonts w:ascii="Times New Roman" w:hAnsi="Times New Roman" w:cs="Times New Roman"/>
          <w:sz w:val="24"/>
          <w:szCs w:val="24"/>
        </w:rPr>
        <w:t>8</w:t>
      </w:r>
      <w:r w:rsidRPr="00A92C7A">
        <w:rPr>
          <w:rFonts w:ascii="Times New Roman" w:hAnsi="Times New Roman" w:cs="Times New Roman"/>
          <w:sz w:val="24"/>
          <w:szCs w:val="24"/>
        </w:rPr>
        <w:t xml:space="preserve">): </w:t>
      </w:r>
      <w:r w:rsidR="00C277FC" w:rsidRPr="00A92C7A">
        <w:rPr>
          <w:rFonts w:ascii="Times New Roman" w:hAnsi="Times New Roman" w:cs="Times New Roman"/>
          <w:i/>
          <w:sz w:val="24"/>
          <w:szCs w:val="24"/>
        </w:rPr>
        <w:t>Final Greater Kampala Economic Development Strategy, 2017-2025</w:t>
      </w:r>
    </w:p>
    <w:p w14:paraId="2154ADBB" w14:textId="4C24C32E" w:rsidR="00B766E8" w:rsidRPr="00A92C7A" w:rsidRDefault="00B766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7A6367" w:rsidRPr="00A92C7A">
        <w:rPr>
          <w:rFonts w:ascii="Times New Roman" w:hAnsi="Times New Roman" w:cs="Times New Roman"/>
          <w:sz w:val="24"/>
          <w:szCs w:val="24"/>
        </w:rPr>
        <w:t>8</w:t>
      </w:r>
      <w:r w:rsidRPr="00A92C7A">
        <w:rPr>
          <w:rFonts w:ascii="Times New Roman" w:hAnsi="Times New Roman" w:cs="Times New Roman"/>
          <w:sz w:val="24"/>
          <w:szCs w:val="24"/>
        </w:rPr>
        <w:t xml:space="preserve">): </w:t>
      </w:r>
      <w:r w:rsidR="007A6367" w:rsidRPr="00A92C7A">
        <w:rPr>
          <w:rFonts w:ascii="Times New Roman" w:hAnsi="Times New Roman" w:cs="Times New Roman"/>
          <w:i/>
          <w:sz w:val="24"/>
          <w:szCs w:val="24"/>
        </w:rPr>
        <w:t>Draft National Investment Policy, 2018</w:t>
      </w:r>
    </w:p>
    <w:p w14:paraId="4899AAD6" w14:textId="78EF4F65" w:rsidR="00B766E8" w:rsidRPr="00A92C7A" w:rsidRDefault="00B766E8"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Republic of Uganda (201</w:t>
      </w:r>
      <w:r w:rsidR="007A6367" w:rsidRPr="00A92C7A">
        <w:rPr>
          <w:rFonts w:ascii="Times New Roman" w:hAnsi="Times New Roman" w:cs="Times New Roman"/>
          <w:sz w:val="24"/>
          <w:szCs w:val="24"/>
        </w:rPr>
        <w:t>8</w:t>
      </w:r>
      <w:r w:rsidRPr="00A92C7A">
        <w:rPr>
          <w:rFonts w:ascii="Times New Roman" w:hAnsi="Times New Roman" w:cs="Times New Roman"/>
          <w:sz w:val="24"/>
          <w:szCs w:val="24"/>
        </w:rPr>
        <w:t xml:space="preserve">): </w:t>
      </w:r>
      <w:r w:rsidR="007A6367" w:rsidRPr="00A92C7A">
        <w:rPr>
          <w:rFonts w:ascii="Times New Roman" w:hAnsi="Times New Roman" w:cs="Times New Roman"/>
          <w:i/>
          <w:sz w:val="24"/>
          <w:szCs w:val="24"/>
        </w:rPr>
        <w:t>Draft Uganda Tourism Board Strategic Plan, 2018/19-2022/23</w:t>
      </w:r>
    </w:p>
    <w:p w14:paraId="0FC5DFCA" w14:textId="1294E114" w:rsidR="007A6367" w:rsidRPr="00A92C7A" w:rsidRDefault="007A6367"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t xml:space="preserve">Republic of Uganda (2018): </w:t>
      </w:r>
      <w:r w:rsidR="008971B2" w:rsidRPr="00A92C7A">
        <w:rPr>
          <w:rFonts w:ascii="Times New Roman" w:hAnsi="Times New Roman" w:cs="Times New Roman"/>
          <w:i/>
          <w:sz w:val="24"/>
          <w:szCs w:val="24"/>
        </w:rPr>
        <w:t>Electricity Connections Policy, 2018-2027</w:t>
      </w:r>
    </w:p>
    <w:p w14:paraId="3646C94F" w14:textId="2681BC27" w:rsidR="00B766E8" w:rsidRPr="00A92C7A" w:rsidRDefault="007A6367" w:rsidP="00587EDE">
      <w:pPr>
        <w:spacing w:line="360" w:lineRule="auto"/>
        <w:ind w:left="720" w:hanging="720"/>
        <w:jc w:val="both"/>
        <w:rPr>
          <w:rFonts w:ascii="Times New Roman" w:hAnsi="Times New Roman" w:cs="Times New Roman"/>
          <w:i/>
          <w:sz w:val="24"/>
          <w:szCs w:val="24"/>
        </w:rPr>
      </w:pPr>
      <w:r w:rsidRPr="00A92C7A">
        <w:rPr>
          <w:rFonts w:ascii="Times New Roman" w:hAnsi="Times New Roman" w:cs="Times New Roman"/>
          <w:sz w:val="24"/>
          <w:szCs w:val="24"/>
        </w:rPr>
        <w:lastRenderedPageBreak/>
        <w:t>Republic of Uganda (2018):</w:t>
      </w:r>
      <w:r w:rsidR="008971B2" w:rsidRPr="00A92C7A">
        <w:rPr>
          <w:rFonts w:ascii="Times New Roman" w:hAnsi="Times New Roman" w:cs="Times New Roman"/>
          <w:i/>
          <w:sz w:val="24"/>
          <w:szCs w:val="24"/>
        </w:rPr>
        <w:t xml:space="preserve"> Water and Sanitation Gender Strategy, 2018-2022</w:t>
      </w:r>
    </w:p>
    <w:p w14:paraId="383CEA26" w14:textId="233DDD60" w:rsidR="007C1509" w:rsidRPr="00A92C7A" w:rsidRDefault="00B00E7C"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RTD and REEV Consult (2019): </w:t>
      </w:r>
      <w:r w:rsidR="007C1509" w:rsidRPr="00A92C7A">
        <w:rPr>
          <w:rFonts w:ascii="Times New Roman" w:hAnsi="Times New Roman" w:cs="Times New Roman"/>
          <w:sz w:val="24"/>
          <w:szCs w:val="24"/>
        </w:rPr>
        <w:t xml:space="preserve">Economic management thematic report, </w:t>
      </w:r>
      <w:r w:rsidR="00DD67BA" w:rsidRPr="00A92C7A">
        <w:rPr>
          <w:rFonts w:ascii="Times New Roman" w:hAnsi="Times New Roman" w:cs="Times New Roman"/>
          <w:sz w:val="24"/>
          <w:szCs w:val="24"/>
        </w:rPr>
        <w:t>M</w:t>
      </w:r>
      <w:r w:rsidR="007C1509" w:rsidRPr="00A92C7A">
        <w:rPr>
          <w:rFonts w:ascii="Times New Roman" w:hAnsi="Times New Roman" w:cs="Times New Roman"/>
          <w:sz w:val="24"/>
          <w:szCs w:val="24"/>
        </w:rPr>
        <w:t>id-term review of NDPII</w:t>
      </w:r>
    </w:p>
    <w:p w14:paraId="176261C0" w14:textId="4F089ACE" w:rsidR="00993796" w:rsidRPr="00A92C7A" w:rsidRDefault="00993796"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RTD and REEV Consult (2019): Development partnerships thematic report, Mid-term review of NDPII</w:t>
      </w:r>
    </w:p>
    <w:p w14:paraId="52F0C1F6" w14:textId="27B6D5D2" w:rsidR="00734D1E" w:rsidRPr="00A92C7A" w:rsidRDefault="007D1613"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Ministry of Health (2018): Mid-term review report for the health</w:t>
      </w:r>
      <w:r w:rsidR="002E5C27" w:rsidRPr="00A92C7A">
        <w:rPr>
          <w:rFonts w:ascii="Times New Roman" w:hAnsi="Times New Roman" w:cs="Times New Roman"/>
          <w:sz w:val="24"/>
          <w:szCs w:val="24"/>
        </w:rPr>
        <w:t xml:space="preserve"> sector development plan, 2015/16-2019/20</w:t>
      </w:r>
    </w:p>
    <w:p w14:paraId="2C35959C" w14:textId="6D412D17" w:rsidR="00761EAE" w:rsidRPr="00A92C7A" w:rsidRDefault="00761EAE"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UNICEF (2018): </w:t>
      </w:r>
      <w:r w:rsidRPr="00A92C7A">
        <w:rPr>
          <w:rFonts w:ascii="Times New Roman" w:hAnsi="Times New Roman" w:cs="Times New Roman"/>
          <w:i/>
          <w:sz w:val="24"/>
          <w:szCs w:val="24"/>
        </w:rPr>
        <w:t>Uganda: Social Policy Outlook</w:t>
      </w:r>
    </w:p>
    <w:p w14:paraId="786BC20A" w14:textId="2D7AAC87" w:rsidR="009E1E20" w:rsidRPr="00A92C7A" w:rsidRDefault="009E1E20"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UNICEF (2018):</w:t>
      </w:r>
      <w:r w:rsidR="0050223E" w:rsidRPr="00A92C7A">
        <w:rPr>
          <w:rFonts w:ascii="Times New Roman" w:hAnsi="Times New Roman" w:cs="Times New Roman"/>
          <w:sz w:val="24"/>
          <w:szCs w:val="24"/>
        </w:rPr>
        <w:t xml:space="preserve"> </w:t>
      </w:r>
      <w:r w:rsidR="0050223E" w:rsidRPr="00A92C7A">
        <w:rPr>
          <w:rFonts w:ascii="Times New Roman" w:hAnsi="Times New Roman" w:cs="Times New Roman"/>
          <w:i/>
          <w:sz w:val="24"/>
          <w:szCs w:val="24"/>
        </w:rPr>
        <w:t>Uganda: Fiscal Space Analysis</w:t>
      </w:r>
    </w:p>
    <w:p w14:paraId="75F4A7DC" w14:textId="692E833F" w:rsidR="004E37A2" w:rsidRPr="00A92C7A" w:rsidRDefault="004E37A2"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World Bank (2017): Uganda GNI per capita, Atlas method (current US$) </w:t>
      </w:r>
      <w:hyperlink r:id="rId15" w:history="1">
        <w:r w:rsidRPr="00A92C7A">
          <w:rPr>
            <w:rStyle w:val="Hyperlink"/>
            <w:rFonts w:ascii="Times New Roman" w:hAnsi="Times New Roman" w:cs="Times New Roman"/>
            <w:sz w:val="24"/>
            <w:szCs w:val="24"/>
          </w:rPr>
          <w:t>https://data.worldbank.org/indicator/NY.GNP.PCAP.CD?locations=UG</w:t>
        </w:r>
      </w:hyperlink>
      <w:r w:rsidRPr="00A92C7A">
        <w:rPr>
          <w:rFonts w:ascii="Times New Roman" w:hAnsi="Times New Roman" w:cs="Times New Roman"/>
          <w:sz w:val="24"/>
          <w:szCs w:val="24"/>
        </w:rPr>
        <w:t xml:space="preserve"> </w:t>
      </w:r>
    </w:p>
    <w:p w14:paraId="386DEDF1" w14:textId="03CD0622" w:rsidR="00FF0A88" w:rsidRPr="00A92C7A" w:rsidRDefault="00FF0A88"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World Bank (2018): </w:t>
      </w:r>
      <w:r w:rsidRPr="00A92C7A">
        <w:rPr>
          <w:rFonts w:ascii="Times New Roman" w:hAnsi="Times New Roman" w:cs="Times New Roman"/>
          <w:i/>
          <w:sz w:val="24"/>
          <w:szCs w:val="24"/>
        </w:rPr>
        <w:t xml:space="preserve">Human Capital Index </w:t>
      </w:r>
      <w:r w:rsidR="00C05200" w:rsidRPr="00A92C7A">
        <w:rPr>
          <w:rFonts w:ascii="Times New Roman" w:hAnsi="Times New Roman" w:cs="Times New Roman"/>
          <w:i/>
          <w:sz w:val="24"/>
          <w:szCs w:val="24"/>
        </w:rPr>
        <w:t>Summary Paper</w:t>
      </w:r>
    </w:p>
    <w:p w14:paraId="4735CAD8" w14:textId="0CD22C28" w:rsidR="007B7C7D" w:rsidRPr="00A92C7A" w:rsidRDefault="007B7C7D" w:rsidP="00587EDE">
      <w:pPr>
        <w:spacing w:line="360" w:lineRule="auto"/>
        <w:ind w:left="720" w:hanging="720"/>
        <w:jc w:val="both"/>
        <w:rPr>
          <w:rFonts w:ascii="Times New Roman" w:hAnsi="Times New Roman" w:cs="Times New Roman"/>
          <w:sz w:val="24"/>
          <w:szCs w:val="24"/>
        </w:rPr>
      </w:pPr>
      <w:r w:rsidRPr="00A92C7A">
        <w:rPr>
          <w:rFonts w:ascii="Times New Roman" w:hAnsi="Times New Roman" w:cs="Times New Roman"/>
          <w:sz w:val="24"/>
          <w:szCs w:val="24"/>
        </w:rPr>
        <w:t xml:space="preserve">World Bank Country and Lending Groups: </w:t>
      </w:r>
      <w:hyperlink r:id="rId16" w:history="1">
        <w:r w:rsidR="00EE7F1E" w:rsidRPr="00A92C7A">
          <w:rPr>
            <w:rStyle w:val="Hyperlink"/>
            <w:rFonts w:ascii="Times New Roman" w:hAnsi="Times New Roman" w:cs="Times New Roman"/>
            <w:sz w:val="24"/>
            <w:szCs w:val="24"/>
          </w:rPr>
          <w:t>https://datahelpdesk.worldbank.org/knowledgebase/articles/906519-world-bank-country-and-lending-groups</w:t>
        </w:r>
      </w:hyperlink>
      <w:r w:rsidRPr="00A92C7A">
        <w:rPr>
          <w:rFonts w:ascii="Times New Roman" w:hAnsi="Times New Roman" w:cs="Times New Roman"/>
          <w:sz w:val="24"/>
          <w:szCs w:val="24"/>
        </w:rPr>
        <w:t xml:space="preserve"> </w:t>
      </w:r>
    </w:p>
    <w:p w14:paraId="601E8F64" w14:textId="173D4ECD" w:rsidR="005A696C" w:rsidRPr="00F10F3B" w:rsidRDefault="005A696C" w:rsidP="00587EDE">
      <w:pPr>
        <w:spacing w:after="0" w:line="360" w:lineRule="auto"/>
        <w:ind w:right="187"/>
        <w:jc w:val="both"/>
        <w:rPr>
          <w:rFonts w:ascii="Times New Roman" w:hAnsi="Times New Roman" w:cs="Times New Roman"/>
          <w:sz w:val="20"/>
          <w:szCs w:val="21"/>
        </w:rPr>
      </w:pPr>
    </w:p>
    <w:p w14:paraId="5DD0F54E" w14:textId="77777777" w:rsidR="00B6743D" w:rsidRPr="00F10F3B" w:rsidRDefault="00B6743D" w:rsidP="00587EDE">
      <w:pPr>
        <w:spacing w:after="160" w:line="360" w:lineRule="auto"/>
        <w:jc w:val="both"/>
        <w:rPr>
          <w:rFonts w:ascii="Times New Roman" w:eastAsiaTheme="majorEastAsia" w:hAnsi="Times New Roman" w:cs="Times New Roman"/>
          <w:b/>
          <w:sz w:val="28"/>
          <w:szCs w:val="32"/>
        </w:rPr>
      </w:pPr>
      <w:r w:rsidRPr="00F10F3B">
        <w:rPr>
          <w:rFonts w:ascii="Times New Roman" w:hAnsi="Times New Roman" w:cs="Times New Roman"/>
        </w:rPr>
        <w:br w:type="page"/>
      </w:r>
    </w:p>
    <w:p w14:paraId="14BC8F15" w14:textId="77777777" w:rsidR="001B1A88" w:rsidRDefault="001B1A88" w:rsidP="00B86D0C">
      <w:pPr>
        <w:pStyle w:val="Heading1"/>
      </w:pPr>
      <w:bookmarkStart w:id="61" w:name="_Toc9269388"/>
      <w:bookmarkStart w:id="62" w:name="_Toc3454224"/>
      <w:r>
        <w:lastRenderedPageBreak/>
        <w:t>Annexes</w:t>
      </w:r>
      <w:bookmarkEnd w:id="61"/>
    </w:p>
    <w:p w14:paraId="2604DAE7" w14:textId="6EC706B7" w:rsidR="007C015A" w:rsidRPr="00F10F3B" w:rsidRDefault="007C015A" w:rsidP="00587EDE">
      <w:pPr>
        <w:pStyle w:val="Heading2"/>
        <w:spacing w:line="360" w:lineRule="auto"/>
        <w:rPr>
          <w:rFonts w:cs="Times New Roman"/>
        </w:rPr>
      </w:pPr>
      <w:bookmarkStart w:id="63" w:name="_Toc9269389"/>
      <w:r w:rsidRPr="00F10F3B">
        <w:rPr>
          <w:rFonts w:cs="Times New Roman"/>
        </w:rPr>
        <w:t xml:space="preserve">Annex </w:t>
      </w:r>
      <w:r w:rsidR="001B1A88">
        <w:rPr>
          <w:rFonts w:cs="Times New Roman"/>
        </w:rPr>
        <w:t>1</w:t>
      </w:r>
      <w:r w:rsidRPr="00F10F3B">
        <w:rPr>
          <w:rFonts w:cs="Times New Roman"/>
        </w:rPr>
        <w:t>: List of people interviewed</w:t>
      </w:r>
      <w:bookmarkEnd w:id="62"/>
      <w:bookmarkEnd w:id="63"/>
    </w:p>
    <w:tbl>
      <w:tblPr>
        <w:tblStyle w:val="TableGrid"/>
        <w:tblW w:w="0" w:type="auto"/>
        <w:tblLook w:val="04A0" w:firstRow="1" w:lastRow="0" w:firstColumn="1" w:lastColumn="0" w:noHBand="0" w:noVBand="1"/>
      </w:tblPr>
      <w:tblGrid>
        <w:gridCol w:w="2972"/>
        <w:gridCol w:w="6044"/>
      </w:tblGrid>
      <w:tr w:rsidR="007C015A" w:rsidRPr="00A92C7A" w14:paraId="76934FEA" w14:textId="77777777" w:rsidTr="00EE00C0">
        <w:tc>
          <w:tcPr>
            <w:tcW w:w="2972" w:type="dxa"/>
            <w:shd w:val="clear" w:color="auto" w:fill="C5E0B3" w:themeFill="accent6" w:themeFillTint="66"/>
          </w:tcPr>
          <w:p w14:paraId="50B2B90D" w14:textId="30C17914" w:rsidR="007C015A" w:rsidRPr="00A92C7A" w:rsidRDefault="003F4939" w:rsidP="00587EDE">
            <w:pPr>
              <w:jc w:val="both"/>
              <w:rPr>
                <w:rFonts w:ascii="Times New Roman" w:hAnsi="Times New Roman" w:cs="Times New Roman"/>
                <w:sz w:val="20"/>
                <w:szCs w:val="20"/>
              </w:rPr>
            </w:pPr>
            <w:r w:rsidRPr="00A92C7A">
              <w:rPr>
                <w:rFonts w:ascii="Times New Roman" w:hAnsi="Times New Roman" w:cs="Times New Roman"/>
                <w:sz w:val="20"/>
                <w:szCs w:val="20"/>
              </w:rPr>
              <w:t>Name</w:t>
            </w:r>
          </w:p>
        </w:tc>
        <w:tc>
          <w:tcPr>
            <w:tcW w:w="6044" w:type="dxa"/>
            <w:shd w:val="clear" w:color="auto" w:fill="C5E0B3" w:themeFill="accent6" w:themeFillTint="66"/>
          </w:tcPr>
          <w:p w14:paraId="7371FA11" w14:textId="431D5415" w:rsidR="007C015A" w:rsidRPr="00A92C7A" w:rsidRDefault="003F4939" w:rsidP="00587EDE">
            <w:pPr>
              <w:jc w:val="both"/>
              <w:rPr>
                <w:rFonts w:ascii="Times New Roman" w:hAnsi="Times New Roman" w:cs="Times New Roman"/>
                <w:sz w:val="20"/>
                <w:szCs w:val="20"/>
              </w:rPr>
            </w:pPr>
            <w:r w:rsidRPr="00A92C7A">
              <w:rPr>
                <w:rFonts w:ascii="Times New Roman" w:hAnsi="Times New Roman" w:cs="Times New Roman"/>
                <w:sz w:val="20"/>
                <w:szCs w:val="20"/>
              </w:rPr>
              <w:t>Position</w:t>
            </w:r>
          </w:p>
        </w:tc>
      </w:tr>
      <w:tr w:rsidR="007C015A" w:rsidRPr="00A92C7A" w14:paraId="7EC41802" w14:textId="77777777" w:rsidTr="00EE00C0">
        <w:tc>
          <w:tcPr>
            <w:tcW w:w="2972" w:type="dxa"/>
          </w:tcPr>
          <w:p w14:paraId="0C6DBA06" w14:textId="3D759F9D" w:rsidR="007C015A" w:rsidRPr="00A92C7A" w:rsidRDefault="008837AD" w:rsidP="00587EDE">
            <w:pPr>
              <w:jc w:val="both"/>
              <w:rPr>
                <w:rFonts w:ascii="Times New Roman" w:hAnsi="Times New Roman" w:cs="Times New Roman"/>
                <w:sz w:val="20"/>
                <w:szCs w:val="20"/>
              </w:rPr>
            </w:pPr>
            <w:r w:rsidRPr="00A92C7A">
              <w:rPr>
                <w:rFonts w:ascii="Times New Roman" w:hAnsi="Times New Roman" w:cs="Times New Roman"/>
                <w:sz w:val="20"/>
                <w:szCs w:val="20"/>
              </w:rPr>
              <w:t>Mr Zackey Kalega</w:t>
            </w:r>
          </w:p>
        </w:tc>
        <w:tc>
          <w:tcPr>
            <w:tcW w:w="6044" w:type="dxa"/>
          </w:tcPr>
          <w:p w14:paraId="68862EF3" w14:textId="7E4B5FC0" w:rsidR="007C015A" w:rsidRPr="00A92C7A" w:rsidRDefault="008837AD" w:rsidP="00587EDE">
            <w:pPr>
              <w:jc w:val="both"/>
              <w:rPr>
                <w:rFonts w:ascii="Times New Roman" w:hAnsi="Times New Roman" w:cs="Times New Roman"/>
                <w:sz w:val="20"/>
                <w:szCs w:val="20"/>
              </w:rPr>
            </w:pPr>
            <w:r w:rsidRPr="00A92C7A">
              <w:rPr>
                <w:rFonts w:ascii="Times New Roman" w:hAnsi="Times New Roman" w:cs="Times New Roman"/>
                <w:sz w:val="20"/>
                <w:szCs w:val="20"/>
              </w:rPr>
              <w:t>Assistant Commi</w:t>
            </w:r>
            <w:r w:rsidR="00175D3C" w:rsidRPr="00A92C7A">
              <w:rPr>
                <w:rFonts w:ascii="Times New Roman" w:hAnsi="Times New Roman" w:cs="Times New Roman"/>
                <w:sz w:val="20"/>
                <w:szCs w:val="20"/>
              </w:rPr>
              <w:t>ssioner, Trade and Private Sector Development</w:t>
            </w:r>
            <w:r w:rsidR="009B2D4B" w:rsidRPr="00A92C7A">
              <w:rPr>
                <w:rFonts w:ascii="Times New Roman" w:hAnsi="Times New Roman" w:cs="Times New Roman"/>
                <w:sz w:val="20"/>
                <w:szCs w:val="20"/>
              </w:rPr>
              <w:t>, Ministry of Trade, Industry and Cooperatives</w:t>
            </w:r>
          </w:p>
        </w:tc>
      </w:tr>
      <w:tr w:rsidR="00CB1C87" w:rsidRPr="00A92C7A" w14:paraId="3B68F27E" w14:textId="77777777" w:rsidTr="00EE00C0">
        <w:tc>
          <w:tcPr>
            <w:tcW w:w="2972" w:type="dxa"/>
          </w:tcPr>
          <w:p w14:paraId="5CA4BCEA" w14:textId="352BE262" w:rsidR="00CB1C87" w:rsidRPr="00A92C7A" w:rsidRDefault="00D4750E" w:rsidP="00587EDE">
            <w:pPr>
              <w:jc w:val="both"/>
              <w:rPr>
                <w:rFonts w:ascii="Times New Roman" w:hAnsi="Times New Roman" w:cs="Times New Roman"/>
                <w:sz w:val="20"/>
                <w:szCs w:val="20"/>
              </w:rPr>
            </w:pPr>
            <w:r w:rsidRPr="00A92C7A">
              <w:rPr>
                <w:rFonts w:ascii="Times New Roman" w:hAnsi="Times New Roman" w:cs="Times New Roman"/>
                <w:sz w:val="20"/>
                <w:szCs w:val="20"/>
              </w:rPr>
              <w:t>Mr Kabagambe Jesse David</w:t>
            </w:r>
          </w:p>
        </w:tc>
        <w:tc>
          <w:tcPr>
            <w:tcW w:w="6044" w:type="dxa"/>
          </w:tcPr>
          <w:p w14:paraId="36F04A8E" w14:textId="2B1B5605" w:rsidR="00CB1C87" w:rsidRPr="00A92C7A" w:rsidRDefault="00D4750E" w:rsidP="00587EDE">
            <w:pPr>
              <w:jc w:val="both"/>
              <w:rPr>
                <w:rFonts w:ascii="Times New Roman" w:hAnsi="Times New Roman" w:cs="Times New Roman"/>
                <w:sz w:val="20"/>
                <w:szCs w:val="20"/>
              </w:rPr>
            </w:pPr>
            <w:r w:rsidRPr="00A92C7A">
              <w:rPr>
                <w:rFonts w:ascii="Times New Roman" w:hAnsi="Times New Roman" w:cs="Times New Roman"/>
                <w:sz w:val="20"/>
                <w:szCs w:val="20"/>
              </w:rPr>
              <w:t>Research and Training Officer, Green Jobs Programme</w:t>
            </w:r>
            <w:r w:rsidR="009B2D4B" w:rsidRPr="00A92C7A">
              <w:rPr>
                <w:rFonts w:ascii="Times New Roman" w:hAnsi="Times New Roman" w:cs="Times New Roman"/>
                <w:sz w:val="20"/>
                <w:szCs w:val="20"/>
              </w:rPr>
              <w:t xml:space="preserve">, Ministry of </w:t>
            </w:r>
            <w:r w:rsidR="00D31730" w:rsidRPr="00A92C7A">
              <w:rPr>
                <w:rFonts w:ascii="Times New Roman" w:hAnsi="Times New Roman" w:cs="Times New Roman"/>
                <w:sz w:val="20"/>
                <w:szCs w:val="20"/>
              </w:rPr>
              <w:t>Gender, Labour and Social Development</w:t>
            </w:r>
          </w:p>
        </w:tc>
      </w:tr>
      <w:tr w:rsidR="00CB1C87" w:rsidRPr="00A92C7A" w14:paraId="478AC2F9" w14:textId="77777777" w:rsidTr="00EE00C0">
        <w:tc>
          <w:tcPr>
            <w:tcW w:w="2972" w:type="dxa"/>
          </w:tcPr>
          <w:p w14:paraId="08EBD929" w14:textId="1D43DD17" w:rsidR="00CB1C87" w:rsidRPr="00A92C7A" w:rsidRDefault="00EE00C0" w:rsidP="00587EDE">
            <w:pPr>
              <w:jc w:val="both"/>
              <w:rPr>
                <w:rFonts w:ascii="Times New Roman" w:hAnsi="Times New Roman" w:cs="Times New Roman"/>
                <w:sz w:val="20"/>
                <w:szCs w:val="20"/>
              </w:rPr>
            </w:pPr>
            <w:r w:rsidRPr="00A92C7A">
              <w:rPr>
                <w:rFonts w:ascii="Times New Roman" w:hAnsi="Times New Roman" w:cs="Times New Roman"/>
                <w:sz w:val="20"/>
                <w:szCs w:val="20"/>
              </w:rPr>
              <w:t>Mr Martin Wandera</w:t>
            </w:r>
          </w:p>
        </w:tc>
        <w:tc>
          <w:tcPr>
            <w:tcW w:w="6044" w:type="dxa"/>
          </w:tcPr>
          <w:p w14:paraId="5AF6C259" w14:textId="6365149F" w:rsidR="00CB1C87" w:rsidRPr="00A92C7A" w:rsidRDefault="00EE00C0" w:rsidP="00587EDE">
            <w:pPr>
              <w:jc w:val="both"/>
              <w:rPr>
                <w:rFonts w:ascii="Times New Roman" w:hAnsi="Times New Roman" w:cs="Times New Roman"/>
                <w:sz w:val="20"/>
                <w:szCs w:val="20"/>
              </w:rPr>
            </w:pPr>
            <w:r w:rsidRPr="00A92C7A">
              <w:rPr>
                <w:rFonts w:ascii="Times New Roman" w:hAnsi="Times New Roman" w:cs="Times New Roman"/>
                <w:sz w:val="20"/>
                <w:szCs w:val="20"/>
              </w:rPr>
              <w:t>Director of Labour, Employment and Occupational Safety and Health</w:t>
            </w:r>
            <w:r w:rsidR="00D31730" w:rsidRPr="00A92C7A">
              <w:rPr>
                <w:rFonts w:ascii="Times New Roman" w:hAnsi="Times New Roman" w:cs="Times New Roman"/>
                <w:sz w:val="20"/>
                <w:szCs w:val="20"/>
              </w:rPr>
              <w:t>, Ministry of Gender, Labour and Social Development</w:t>
            </w:r>
          </w:p>
        </w:tc>
      </w:tr>
      <w:tr w:rsidR="00EE00C0" w:rsidRPr="00A92C7A" w14:paraId="5CB13169" w14:textId="77777777" w:rsidTr="00EE00C0">
        <w:tc>
          <w:tcPr>
            <w:tcW w:w="2972" w:type="dxa"/>
          </w:tcPr>
          <w:p w14:paraId="5199DD41" w14:textId="6B5B3F6C" w:rsidR="00EE00C0" w:rsidRPr="00A92C7A" w:rsidRDefault="009B2D4B" w:rsidP="00587EDE">
            <w:pPr>
              <w:jc w:val="both"/>
              <w:rPr>
                <w:rFonts w:ascii="Times New Roman" w:hAnsi="Times New Roman" w:cs="Times New Roman"/>
                <w:sz w:val="20"/>
                <w:szCs w:val="20"/>
              </w:rPr>
            </w:pPr>
            <w:r w:rsidRPr="00A92C7A">
              <w:rPr>
                <w:rFonts w:ascii="Times New Roman" w:hAnsi="Times New Roman" w:cs="Times New Roman"/>
                <w:sz w:val="20"/>
                <w:szCs w:val="20"/>
              </w:rPr>
              <w:t>Mr C. K. Ndorere</w:t>
            </w:r>
          </w:p>
        </w:tc>
        <w:tc>
          <w:tcPr>
            <w:tcW w:w="6044" w:type="dxa"/>
          </w:tcPr>
          <w:p w14:paraId="16C9F463" w14:textId="7568C5C9" w:rsidR="00EE00C0" w:rsidRPr="00A92C7A" w:rsidRDefault="009B2D4B" w:rsidP="00587EDE">
            <w:pPr>
              <w:jc w:val="both"/>
              <w:rPr>
                <w:rFonts w:ascii="Times New Roman" w:hAnsi="Times New Roman" w:cs="Times New Roman"/>
                <w:sz w:val="20"/>
                <w:szCs w:val="20"/>
              </w:rPr>
            </w:pPr>
            <w:r w:rsidRPr="00A92C7A">
              <w:rPr>
                <w:rFonts w:ascii="Times New Roman" w:hAnsi="Times New Roman" w:cs="Times New Roman"/>
                <w:sz w:val="20"/>
                <w:szCs w:val="20"/>
              </w:rPr>
              <w:t>Assistant Commissioner, Marketing and Promotion, Minist</w:t>
            </w:r>
            <w:r w:rsidR="00D31730" w:rsidRPr="00A92C7A">
              <w:rPr>
                <w:rFonts w:ascii="Times New Roman" w:hAnsi="Times New Roman" w:cs="Times New Roman"/>
                <w:sz w:val="20"/>
                <w:szCs w:val="20"/>
              </w:rPr>
              <w:t>ry of Trade, Industry and Cooperatives</w:t>
            </w:r>
          </w:p>
        </w:tc>
      </w:tr>
      <w:tr w:rsidR="00D31730" w:rsidRPr="00A92C7A" w14:paraId="076F5C7C" w14:textId="77777777" w:rsidTr="00EE00C0">
        <w:tc>
          <w:tcPr>
            <w:tcW w:w="2972" w:type="dxa"/>
          </w:tcPr>
          <w:p w14:paraId="2A224E31" w14:textId="1618E80C" w:rsidR="00D31730" w:rsidRPr="00A92C7A" w:rsidRDefault="00C836E4" w:rsidP="00587EDE">
            <w:pPr>
              <w:jc w:val="both"/>
              <w:rPr>
                <w:rFonts w:ascii="Times New Roman" w:hAnsi="Times New Roman" w:cs="Times New Roman"/>
                <w:sz w:val="20"/>
                <w:szCs w:val="20"/>
              </w:rPr>
            </w:pPr>
            <w:r w:rsidRPr="00A92C7A">
              <w:rPr>
                <w:rFonts w:ascii="Times New Roman" w:hAnsi="Times New Roman" w:cs="Times New Roman"/>
                <w:sz w:val="20"/>
                <w:szCs w:val="20"/>
              </w:rPr>
              <w:t>Mr Oyuga Drani Gidio Peter</w:t>
            </w:r>
          </w:p>
        </w:tc>
        <w:tc>
          <w:tcPr>
            <w:tcW w:w="6044" w:type="dxa"/>
          </w:tcPr>
          <w:p w14:paraId="011E6E05" w14:textId="4C2C62E0" w:rsidR="00D31730" w:rsidRPr="00A92C7A" w:rsidRDefault="00C836E4" w:rsidP="00587EDE">
            <w:pPr>
              <w:jc w:val="both"/>
              <w:rPr>
                <w:rFonts w:ascii="Times New Roman" w:hAnsi="Times New Roman" w:cs="Times New Roman"/>
                <w:sz w:val="20"/>
                <w:szCs w:val="20"/>
              </w:rPr>
            </w:pPr>
            <w:r w:rsidRPr="00A92C7A">
              <w:rPr>
                <w:rFonts w:ascii="Times New Roman" w:hAnsi="Times New Roman" w:cs="Times New Roman"/>
                <w:sz w:val="20"/>
                <w:szCs w:val="20"/>
              </w:rPr>
              <w:t>Principal Policy Analyst, Office of the President</w:t>
            </w:r>
          </w:p>
        </w:tc>
      </w:tr>
      <w:tr w:rsidR="00C836E4" w:rsidRPr="00A92C7A" w14:paraId="5C7D3C83" w14:textId="77777777" w:rsidTr="00EE00C0">
        <w:tc>
          <w:tcPr>
            <w:tcW w:w="2972" w:type="dxa"/>
          </w:tcPr>
          <w:p w14:paraId="787ACF24" w14:textId="52BDF49D" w:rsidR="00C836E4" w:rsidRPr="00A92C7A" w:rsidRDefault="00B56882" w:rsidP="00587EDE">
            <w:pPr>
              <w:jc w:val="both"/>
              <w:rPr>
                <w:rFonts w:ascii="Times New Roman" w:hAnsi="Times New Roman" w:cs="Times New Roman"/>
                <w:sz w:val="20"/>
                <w:szCs w:val="20"/>
              </w:rPr>
            </w:pPr>
            <w:r w:rsidRPr="00A92C7A">
              <w:rPr>
                <w:rFonts w:ascii="Times New Roman" w:hAnsi="Times New Roman" w:cs="Times New Roman"/>
                <w:sz w:val="20"/>
                <w:szCs w:val="20"/>
              </w:rPr>
              <w:t>Mr Felix Nelly Olum</w:t>
            </w:r>
          </w:p>
        </w:tc>
        <w:tc>
          <w:tcPr>
            <w:tcW w:w="6044" w:type="dxa"/>
          </w:tcPr>
          <w:p w14:paraId="1A6980C1" w14:textId="39761A27" w:rsidR="00C836E4" w:rsidRPr="00A92C7A" w:rsidRDefault="00B56882" w:rsidP="00587EDE">
            <w:pPr>
              <w:jc w:val="both"/>
              <w:rPr>
                <w:rFonts w:ascii="Times New Roman" w:hAnsi="Times New Roman" w:cs="Times New Roman"/>
                <w:sz w:val="20"/>
                <w:szCs w:val="20"/>
              </w:rPr>
            </w:pPr>
            <w:r w:rsidRPr="00A92C7A">
              <w:rPr>
                <w:rFonts w:ascii="Times New Roman" w:hAnsi="Times New Roman" w:cs="Times New Roman"/>
                <w:sz w:val="20"/>
                <w:szCs w:val="20"/>
              </w:rPr>
              <w:t>Principal Economist, Office of the President</w:t>
            </w:r>
          </w:p>
        </w:tc>
      </w:tr>
      <w:tr w:rsidR="00D267CE" w:rsidRPr="00A92C7A" w14:paraId="2BF22954" w14:textId="77777777" w:rsidTr="00EE00C0">
        <w:tc>
          <w:tcPr>
            <w:tcW w:w="2972" w:type="dxa"/>
          </w:tcPr>
          <w:p w14:paraId="5702B020" w14:textId="4A15A304" w:rsidR="00D267CE" w:rsidRPr="00A92C7A" w:rsidRDefault="00D267CE" w:rsidP="00587EDE">
            <w:pPr>
              <w:jc w:val="both"/>
              <w:rPr>
                <w:rFonts w:ascii="Times New Roman" w:hAnsi="Times New Roman" w:cs="Times New Roman"/>
                <w:sz w:val="20"/>
                <w:szCs w:val="20"/>
              </w:rPr>
            </w:pPr>
            <w:r w:rsidRPr="00A92C7A">
              <w:rPr>
                <w:rFonts w:ascii="Times New Roman" w:hAnsi="Times New Roman" w:cs="Times New Roman"/>
                <w:sz w:val="20"/>
                <w:szCs w:val="20"/>
              </w:rPr>
              <w:t>Mr Katamba Francis</w:t>
            </w:r>
          </w:p>
        </w:tc>
        <w:tc>
          <w:tcPr>
            <w:tcW w:w="6044" w:type="dxa"/>
          </w:tcPr>
          <w:p w14:paraId="1D2B94A4" w14:textId="336CE289" w:rsidR="00D267CE" w:rsidRPr="00A92C7A" w:rsidRDefault="00D267CE" w:rsidP="00587EDE">
            <w:pPr>
              <w:jc w:val="both"/>
              <w:rPr>
                <w:rFonts w:ascii="Times New Roman" w:hAnsi="Times New Roman" w:cs="Times New Roman"/>
                <w:sz w:val="20"/>
                <w:szCs w:val="20"/>
              </w:rPr>
            </w:pPr>
            <w:r w:rsidRPr="00A92C7A">
              <w:rPr>
                <w:rFonts w:ascii="Times New Roman" w:hAnsi="Times New Roman" w:cs="Times New Roman"/>
                <w:sz w:val="20"/>
                <w:szCs w:val="20"/>
              </w:rPr>
              <w:t>Assistant Commissioner, Planning, Ministry of Gender, Labour and Social Development</w:t>
            </w:r>
          </w:p>
        </w:tc>
      </w:tr>
      <w:tr w:rsidR="00D267CE" w:rsidRPr="00A92C7A" w14:paraId="383A1832" w14:textId="77777777" w:rsidTr="00EE00C0">
        <w:tc>
          <w:tcPr>
            <w:tcW w:w="2972" w:type="dxa"/>
          </w:tcPr>
          <w:p w14:paraId="5889639F" w14:textId="22C8B578" w:rsidR="00D267CE" w:rsidRPr="00A92C7A" w:rsidRDefault="00335A21" w:rsidP="00587EDE">
            <w:pPr>
              <w:jc w:val="both"/>
              <w:rPr>
                <w:rFonts w:ascii="Times New Roman" w:hAnsi="Times New Roman" w:cs="Times New Roman"/>
                <w:sz w:val="20"/>
                <w:szCs w:val="20"/>
              </w:rPr>
            </w:pPr>
            <w:r w:rsidRPr="00A92C7A">
              <w:rPr>
                <w:rFonts w:ascii="Times New Roman" w:hAnsi="Times New Roman" w:cs="Times New Roman"/>
                <w:sz w:val="20"/>
                <w:szCs w:val="20"/>
              </w:rPr>
              <w:t>Ms Susan Nakitto</w:t>
            </w:r>
          </w:p>
        </w:tc>
        <w:tc>
          <w:tcPr>
            <w:tcW w:w="6044" w:type="dxa"/>
          </w:tcPr>
          <w:p w14:paraId="29BFA56D" w14:textId="757B3575" w:rsidR="00D267CE" w:rsidRPr="00A92C7A" w:rsidRDefault="00335A21" w:rsidP="00587EDE">
            <w:pPr>
              <w:jc w:val="both"/>
              <w:rPr>
                <w:rFonts w:ascii="Times New Roman" w:hAnsi="Times New Roman" w:cs="Times New Roman"/>
                <w:sz w:val="20"/>
                <w:szCs w:val="20"/>
              </w:rPr>
            </w:pPr>
            <w:r w:rsidRPr="00A92C7A">
              <w:rPr>
                <w:rFonts w:ascii="Times New Roman" w:hAnsi="Times New Roman" w:cs="Times New Roman"/>
                <w:sz w:val="20"/>
                <w:szCs w:val="20"/>
              </w:rPr>
              <w:t>Senior Policy Analyst, Ministry of Gender, Labour and Social Development</w:t>
            </w:r>
          </w:p>
        </w:tc>
      </w:tr>
      <w:tr w:rsidR="00335A21" w:rsidRPr="00A92C7A" w14:paraId="591012F3" w14:textId="77777777" w:rsidTr="00EE00C0">
        <w:tc>
          <w:tcPr>
            <w:tcW w:w="2972" w:type="dxa"/>
          </w:tcPr>
          <w:p w14:paraId="209B0FBD" w14:textId="5F531C0A" w:rsidR="00335A21" w:rsidRPr="00A92C7A" w:rsidRDefault="00335A21" w:rsidP="00587EDE">
            <w:pPr>
              <w:jc w:val="both"/>
              <w:rPr>
                <w:rFonts w:ascii="Times New Roman" w:hAnsi="Times New Roman" w:cs="Times New Roman"/>
                <w:sz w:val="20"/>
                <w:szCs w:val="20"/>
              </w:rPr>
            </w:pPr>
            <w:r w:rsidRPr="00A92C7A">
              <w:rPr>
                <w:rFonts w:ascii="Times New Roman" w:hAnsi="Times New Roman" w:cs="Times New Roman"/>
                <w:sz w:val="20"/>
                <w:szCs w:val="20"/>
              </w:rPr>
              <w:t>Mr Geofrey Openy</w:t>
            </w:r>
          </w:p>
        </w:tc>
        <w:tc>
          <w:tcPr>
            <w:tcW w:w="6044" w:type="dxa"/>
          </w:tcPr>
          <w:p w14:paraId="77B7965B" w14:textId="77EA4F93" w:rsidR="00335A21" w:rsidRPr="00A92C7A" w:rsidRDefault="00335A21" w:rsidP="00587EDE">
            <w:pPr>
              <w:jc w:val="both"/>
              <w:rPr>
                <w:rFonts w:ascii="Times New Roman" w:hAnsi="Times New Roman" w:cs="Times New Roman"/>
                <w:sz w:val="20"/>
                <w:szCs w:val="20"/>
              </w:rPr>
            </w:pPr>
            <w:r w:rsidRPr="00A92C7A">
              <w:rPr>
                <w:rFonts w:ascii="Times New Roman" w:hAnsi="Times New Roman" w:cs="Times New Roman"/>
                <w:sz w:val="20"/>
                <w:szCs w:val="20"/>
              </w:rPr>
              <w:t>Economist, Ministry of Gender, Labour and Social Development</w:t>
            </w:r>
          </w:p>
        </w:tc>
      </w:tr>
      <w:tr w:rsidR="006A03F0" w:rsidRPr="00A92C7A" w14:paraId="512068CD" w14:textId="77777777" w:rsidTr="00EE00C0">
        <w:tc>
          <w:tcPr>
            <w:tcW w:w="2972" w:type="dxa"/>
          </w:tcPr>
          <w:p w14:paraId="232B085F" w14:textId="1AA278D7" w:rsidR="006A03F0" w:rsidRPr="00A92C7A" w:rsidRDefault="006A03F0" w:rsidP="00587EDE">
            <w:pPr>
              <w:jc w:val="both"/>
              <w:rPr>
                <w:rFonts w:ascii="Times New Roman" w:hAnsi="Times New Roman" w:cs="Times New Roman"/>
                <w:sz w:val="20"/>
                <w:szCs w:val="20"/>
              </w:rPr>
            </w:pPr>
            <w:r w:rsidRPr="00A92C7A">
              <w:rPr>
                <w:rFonts w:ascii="Times New Roman" w:hAnsi="Times New Roman" w:cs="Times New Roman"/>
                <w:sz w:val="20"/>
                <w:szCs w:val="20"/>
              </w:rPr>
              <w:t>Mr Joseph Muvawala</w:t>
            </w:r>
          </w:p>
        </w:tc>
        <w:tc>
          <w:tcPr>
            <w:tcW w:w="6044" w:type="dxa"/>
          </w:tcPr>
          <w:p w14:paraId="44ECF283" w14:textId="03459E7D" w:rsidR="006A03F0" w:rsidRPr="00A92C7A" w:rsidRDefault="006A03F0" w:rsidP="00587EDE">
            <w:pPr>
              <w:jc w:val="both"/>
              <w:rPr>
                <w:rFonts w:ascii="Times New Roman" w:hAnsi="Times New Roman" w:cs="Times New Roman"/>
                <w:sz w:val="20"/>
                <w:szCs w:val="20"/>
              </w:rPr>
            </w:pPr>
            <w:r w:rsidRPr="00A92C7A">
              <w:rPr>
                <w:rFonts w:ascii="Times New Roman" w:hAnsi="Times New Roman" w:cs="Times New Roman"/>
                <w:sz w:val="20"/>
                <w:szCs w:val="20"/>
              </w:rPr>
              <w:t>Executive Director, National Planning Authority</w:t>
            </w:r>
          </w:p>
        </w:tc>
      </w:tr>
      <w:tr w:rsidR="00E10306" w:rsidRPr="00A92C7A" w14:paraId="76361626" w14:textId="77777777" w:rsidTr="00EE00C0">
        <w:tc>
          <w:tcPr>
            <w:tcW w:w="2972" w:type="dxa"/>
          </w:tcPr>
          <w:p w14:paraId="131EDE36" w14:textId="4E12403F" w:rsidR="00E10306" w:rsidRPr="00A92C7A" w:rsidRDefault="00E10306" w:rsidP="00587EDE">
            <w:pPr>
              <w:jc w:val="both"/>
              <w:rPr>
                <w:rFonts w:ascii="Times New Roman" w:hAnsi="Times New Roman" w:cs="Times New Roman"/>
                <w:sz w:val="20"/>
                <w:szCs w:val="20"/>
              </w:rPr>
            </w:pPr>
            <w:r w:rsidRPr="00A92C7A">
              <w:rPr>
                <w:rFonts w:ascii="Times New Roman" w:hAnsi="Times New Roman" w:cs="Times New Roman"/>
                <w:sz w:val="20"/>
                <w:szCs w:val="20"/>
              </w:rPr>
              <w:t>Mr Vincent Tumusiime</w:t>
            </w:r>
          </w:p>
        </w:tc>
        <w:tc>
          <w:tcPr>
            <w:tcW w:w="6044" w:type="dxa"/>
          </w:tcPr>
          <w:p w14:paraId="223F6C9A" w14:textId="36019BB6" w:rsidR="00E10306" w:rsidRPr="00A92C7A" w:rsidRDefault="00E10306" w:rsidP="00587EDE">
            <w:pPr>
              <w:jc w:val="both"/>
              <w:rPr>
                <w:rFonts w:ascii="Times New Roman" w:hAnsi="Times New Roman" w:cs="Times New Roman"/>
                <w:sz w:val="20"/>
                <w:szCs w:val="20"/>
              </w:rPr>
            </w:pPr>
            <w:r w:rsidRPr="00A92C7A">
              <w:rPr>
                <w:rFonts w:ascii="Times New Roman" w:hAnsi="Times New Roman" w:cs="Times New Roman"/>
                <w:sz w:val="20"/>
                <w:szCs w:val="20"/>
              </w:rPr>
              <w:t>Director, Directorate of Economic Monitoring and Research, Office of the President</w:t>
            </w:r>
          </w:p>
        </w:tc>
      </w:tr>
      <w:tr w:rsidR="00D32040" w:rsidRPr="00A92C7A" w14:paraId="16A20F42" w14:textId="77777777" w:rsidTr="00EE00C0">
        <w:tc>
          <w:tcPr>
            <w:tcW w:w="2972" w:type="dxa"/>
          </w:tcPr>
          <w:p w14:paraId="30660841" w14:textId="55F8002E" w:rsidR="00D32040" w:rsidRPr="00A92C7A" w:rsidRDefault="00D32040" w:rsidP="00587EDE">
            <w:pPr>
              <w:jc w:val="both"/>
              <w:rPr>
                <w:rFonts w:ascii="Times New Roman" w:hAnsi="Times New Roman" w:cs="Times New Roman"/>
                <w:sz w:val="20"/>
                <w:szCs w:val="20"/>
              </w:rPr>
            </w:pPr>
            <w:r w:rsidRPr="00A92C7A">
              <w:rPr>
                <w:rFonts w:ascii="Times New Roman" w:hAnsi="Times New Roman" w:cs="Times New Roman"/>
                <w:sz w:val="20"/>
                <w:szCs w:val="20"/>
              </w:rPr>
              <w:t>Mr Abu</w:t>
            </w:r>
            <w:r w:rsidR="00B9298A" w:rsidRPr="00A92C7A">
              <w:rPr>
                <w:rFonts w:ascii="Times New Roman" w:hAnsi="Times New Roman" w:cs="Times New Roman"/>
                <w:sz w:val="20"/>
                <w:szCs w:val="20"/>
              </w:rPr>
              <w:t>bakar Muhammad Moki</w:t>
            </w:r>
          </w:p>
        </w:tc>
        <w:tc>
          <w:tcPr>
            <w:tcW w:w="6044" w:type="dxa"/>
          </w:tcPr>
          <w:p w14:paraId="5557714A" w14:textId="2E98E293" w:rsidR="00D32040" w:rsidRPr="00A92C7A" w:rsidRDefault="00B9298A" w:rsidP="00587EDE">
            <w:pPr>
              <w:jc w:val="both"/>
              <w:rPr>
                <w:rFonts w:ascii="Times New Roman" w:hAnsi="Times New Roman" w:cs="Times New Roman"/>
                <w:sz w:val="20"/>
                <w:szCs w:val="20"/>
              </w:rPr>
            </w:pPr>
            <w:r w:rsidRPr="00A92C7A">
              <w:rPr>
                <w:rFonts w:ascii="Times New Roman" w:hAnsi="Times New Roman" w:cs="Times New Roman"/>
                <w:sz w:val="20"/>
                <w:szCs w:val="20"/>
              </w:rPr>
              <w:t>Commissioner Policy Development and Capacity Building, Cabinet Secretariat, Office of the President</w:t>
            </w:r>
          </w:p>
        </w:tc>
      </w:tr>
      <w:tr w:rsidR="000F4992" w:rsidRPr="00A92C7A" w14:paraId="01B02A9A" w14:textId="77777777" w:rsidTr="00EE00C0">
        <w:tc>
          <w:tcPr>
            <w:tcW w:w="2972" w:type="dxa"/>
          </w:tcPr>
          <w:p w14:paraId="6227BCC8" w14:textId="2084B550" w:rsidR="000F4992" w:rsidRPr="00A92C7A" w:rsidRDefault="000F4992" w:rsidP="00587EDE">
            <w:pPr>
              <w:jc w:val="both"/>
              <w:rPr>
                <w:rFonts w:ascii="Times New Roman" w:hAnsi="Times New Roman" w:cs="Times New Roman"/>
                <w:sz w:val="20"/>
                <w:szCs w:val="20"/>
              </w:rPr>
            </w:pPr>
            <w:r w:rsidRPr="00A92C7A">
              <w:rPr>
                <w:rFonts w:ascii="Times New Roman" w:hAnsi="Times New Roman" w:cs="Times New Roman"/>
                <w:sz w:val="20"/>
                <w:szCs w:val="20"/>
              </w:rPr>
              <w:t xml:space="preserve">Mr Ainebyona </w:t>
            </w:r>
            <w:r w:rsidR="003F2BE1" w:rsidRPr="00A92C7A">
              <w:rPr>
                <w:rFonts w:ascii="Times New Roman" w:hAnsi="Times New Roman" w:cs="Times New Roman"/>
                <w:sz w:val="20"/>
                <w:szCs w:val="20"/>
              </w:rPr>
              <w:t>Denis</w:t>
            </w:r>
          </w:p>
        </w:tc>
        <w:tc>
          <w:tcPr>
            <w:tcW w:w="6044" w:type="dxa"/>
          </w:tcPr>
          <w:p w14:paraId="29822AC9" w14:textId="796BAFEA" w:rsidR="000F4992" w:rsidRPr="00A92C7A" w:rsidRDefault="000F4992" w:rsidP="00587EDE">
            <w:pPr>
              <w:jc w:val="both"/>
              <w:rPr>
                <w:rFonts w:ascii="Times New Roman" w:hAnsi="Times New Roman" w:cs="Times New Roman"/>
                <w:sz w:val="20"/>
                <w:szCs w:val="20"/>
              </w:rPr>
            </w:pPr>
            <w:r w:rsidRPr="00A92C7A">
              <w:rPr>
                <w:rFonts w:ascii="Times New Roman" w:hAnsi="Times New Roman" w:cs="Times New Roman"/>
                <w:sz w:val="20"/>
                <w:szCs w:val="20"/>
              </w:rPr>
              <w:t>Acting Commissioner, Department of Industry, Ministry of Trade, Industry and Co-operatives</w:t>
            </w:r>
          </w:p>
        </w:tc>
      </w:tr>
      <w:tr w:rsidR="00581AE0" w:rsidRPr="00A92C7A" w14:paraId="0F05F007" w14:textId="77777777" w:rsidTr="00EE00C0">
        <w:tc>
          <w:tcPr>
            <w:tcW w:w="2972" w:type="dxa"/>
          </w:tcPr>
          <w:p w14:paraId="6A7DB9A7" w14:textId="63F018FE" w:rsidR="00581AE0" w:rsidRPr="00A92C7A" w:rsidRDefault="00401E5C" w:rsidP="00587EDE">
            <w:pPr>
              <w:jc w:val="both"/>
              <w:rPr>
                <w:rFonts w:ascii="Times New Roman" w:hAnsi="Times New Roman" w:cs="Times New Roman"/>
                <w:sz w:val="20"/>
                <w:szCs w:val="20"/>
              </w:rPr>
            </w:pPr>
            <w:r w:rsidRPr="00A92C7A">
              <w:rPr>
                <w:rFonts w:ascii="Times New Roman" w:hAnsi="Times New Roman" w:cs="Times New Roman"/>
                <w:sz w:val="20"/>
                <w:szCs w:val="20"/>
              </w:rPr>
              <w:t>Mr Moses Sanon Dhizaala</w:t>
            </w:r>
          </w:p>
        </w:tc>
        <w:tc>
          <w:tcPr>
            <w:tcW w:w="6044" w:type="dxa"/>
          </w:tcPr>
          <w:p w14:paraId="744826D0" w14:textId="0E4C83A1" w:rsidR="00581AE0" w:rsidRPr="00A92C7A" w:rsidRDefault="00401E5C" w:rsidP="00587EDE">
            <w:pPr>
              <w:jc w:val="both"/>
              <w:rPr>
                <w:rFonts w:ascii="Times New Roman" w:hAnsi="Times New Roman" w:cs="Times New Roman"/>
                <w:sz w:val="20"/>
                <w:szCs w:val="20"/>
              </w:rPr>
            </w:pPr>
            <w:r w:rsidRPr="00A92C7A">
              <w:rPr>
                <w:rFonts w:ascii="Times New Roman" w:hAnsi="Times New Roman" w:cs="Times New Roman"/>
                <w:sz w:val="20"/>
                <w:szCs w:val="20"/>
              </w:rPr>
              <w:t xml:space="preserve">Head of Monitoring and evaluation, budget compliance and project appraisal, </w:t>
            </w:r>
            <w:r w:rsidR="00726871" w:rsidRPr="00A92C7A">
              <w:rPr>
                <w:rFonts w:ascii="Times New Roman" w:hAnsi="Times New Roman" w:cs="Times New Roman"/>
                <w:sz w:val="20"/>
                <w:szCs w:val="20"/>
              </w:rPr>
              <w:t>National Planning Authority</w:t>
            </w:r>
          </w:p>
        </w:tc>
      </w:tr>
      <w:tr w:rsidR="00726871" w:rsidRPr="00A92C7A" w14:paraId="623010B3" w14:textId="77777777" w:rsidTr="00EE00C0">
        <w:tc>
          <w:tcPr>
            <w:tcW w:w="2972" w:type="dxa"/>
          </w:tcPr>
          <w:p w14:paraId="78529B98" w14:textId="6191B7D1" w:rsidR="00726871" w:rsidRPr="00A92C7A" w:rsidRDefault="00726871" w:rsidP="00587EDE">
            <w:pPr>
              <w:jc w:val="both"/>
              <w:rPr>
                <w:rFonts w:ascii="Times New Roman" w:hAnsi="Times New Roman" w:cs="Times New Roman"/>
                <w:sz w:val="20"/>
                <w:szCs w:val="20"/>
              </w:rPr>
            </w:pPr>
            <w:r w:rsidRPr="00A92C7A">
              <w:rPr>
                <w:rFonts w:ascii="Times New Roman" w:hAnsi="Times New Roman" w:cs="Times New Roman"/>
                <w:sz w:val="20"/>
                <w:szCs w:val="20"/>
              </w:rPr>
              <w:t>Mr Gyaviira Dhikusooka</w:t>
            </w:r>
          </w:p>
        </w:tc>
        <w:tc>
          <w:tcPr>
            <w:tcW w:w="6044" w:type="dxa"/>
          </w:tcPr>
          <w:p w14:paraId="14281EBE" w14:textId="183F5890" w:rsidR="00726871" w:rsidRPr="00A92C7A" w:rsidRDefault="00726871" w:rsidP="00587EDE">
            <w:pPr>
              <w:jc w:val="both"/>
              <w:rPr>
                <w:rFonts w:ascii="Times New Roman" w:hAnsi="Times New Roman" w:cs="Times New Roman"/>
                <w:sz w:val="20"/>
                <w:szCs w:val="20"/>
              </w:rPr>
            </w:pPr>
            <w:r w:rsidRPr="00A92C7A">
              <w:rPr>
                <w:rFonts w:ascii="Times New Roman" w:hAnsi="Times New Roman" w:cs="Times New Roman"/>
                <w:sz w:val="20"/>
                <w:szCs w:val="20"/>
              </w:rPr>
              <w:t>Senior Planner Monitoring and Evaluation (compliance), National Planning Authority</w:t>
            </w:r>
          </w:p>
        </w:tc>
      </w:tr>
      <w:tr w:rsidR="00FF437C" w:rsidRPr="00A92C7A" w14:paraId="25431DFA" w14:textId="77777777" w:rsidTr="00EE00C0">
        <w:tc>
          <w:tcPr>
            <w:tcW w:w="2972" w:type="dxa"/>
          </w:tcPr>
          <w:p w14:paraId="572B616E" w14:textId="037DBF2F" w:rsidR="00FF437C" w:rsidRPr="00A92C7A" w:rsidRDefault="006C3056" w:rsidP="00587EDE">
            <w:pPr>
              <w:jc w:val="both"/>
              <w:rPr>
                <w:rFonts w:ascii="Times New Roman" w:hAnsi="Times New Roman" w:cs="Times New Roman"/>
                <w:sz w:val="20"/>
                <w:szCs w:val="20"/>
              </w:rPr>
            </w:pPr>
            <w:r w:rsidRPr="00A92C7A">
              <w:rPr>
                <w:rFonts w:ascii="Times New Roman" w:hAnsi="Times New Roman" w:cs="Times New Roman"/>
                <w:sz w:val="20"/>
                <w:szCs w:val="20"/>
              </w:rPr>
              <w:t>Mr Elweru David William</w:t>
            </w:r>
          </w:p>
        </w:tc>
        <w:tc>
          <w:tcPr>
            <w:tcW w:w="6044" w:type="dxa"/>
          </w:tcPr>
          <w:p w14:paraId="36458D1B" w14:textId="1AC9EE30" w:rsidR="00FF437C" w:rsidRPr="00A92C7A" w:rsidRDefault="006C3056" w:rsidP="00587EDE">
            <w:pPr>
              <w:jc w:val="both"/>
              <w:rPr>
                <w:rFonts w:ascii="Times New Roman" w:hAnsi="Times New Roman" w:cs="Times New Roman"/>
                <w:sz w:val="20"/>
                <w:szCs w:val="20"/>
              </w:rPr>
            </w:pPr>
            <w:r w:rsidRPr="00A92C7A">
              <w:rPr>
                <w:rFonts w:ascii="Times New Roman" w:hAnsi="Times New Roman" w:cs="Times New Roman"/>
                <w:sz w:val="20"/>
                <w:szCs w:val="20"/>
              </w:rPr>
              <w:t>Finance and Planning Manager, Uganda Tourism Board</w:t>
            </w:r>
          </w:p>
        </w:tc>
      </w:tr>
      <w:tr w:rsidR="00DF7F31" w:rsidRPr="00A92C7A" w14:paraId="38CBDAA1" w14:textId="77777777" w:rsidTr="00EE00C0">
        <w:tc>
          <w:tcPr>
            <w:tcW w:w="2972" w:type="dxa"/>
          </w:tcPr>
          <w:p w14:paraId="0C007AFA" w14:textId="054C3C62" w:rsidR="00DF7F31" w:rsidRPr="00A92C7A" w:rsidRDefault="00DF7F31" w:rsidP="00587EDE">
            <w:pPr>
              <w:jc w:val="both"/>
              <w:rPr>
                <w:rFonts w:ascii="Times New Roman" w:hAnsi="Times New Roman" w:cs="Times New Roman"/>
                <w:sz w:val="20"/>
                <w:szCs w:val="20"/>
              </w:rPr>
            </w:pPr>
            <w:r w:rsidRPr="00A92C7A">
              <w:rPr>
                <w:rFonts w:ascii="Times New Roman" w:hAnsi="Times New Roman" w:cs="Times New Roman"/>
                <w:sz w:val="20"/>
                <w:szCs w:val="20"/>
              </w:rPr>
              <w:t>Mr Peter Odong</w:t>
            </w:r>
          </w:p>
        </w:tc>
        <w:tc>
          <w:tcPr>
            <w:tcW w:w="6044" w:type="dxa"/>
          </w:tcPr>
          <w:p w14:paraId="097A6D9D" w14:textId="671D1B42" w:rsidR="00DF7F31" w:rsidRPr="00A92C7A" w:rsidRDefault="00DF7F31" w:rsidP="00587EDE">
            <w:pPr>
              <w:jc w:val="both"/>
              <w:rPr>
                <w:rFonts w:ascii="Times New Roman" w:hAnsi="Times New Roman" w:cs="Times New Roman"/>
                <w:sz w:val="20"/>
                <w:szCs w:val="20"/>
              </w:rPr>
            </w:pPr>
            <w:r w:rsidRPr="00A92C7A">
              <w:rPr>
                <w:rFonts w:ascii="Times New Roman" w:hAnsi="Times New Roman" w:cs="Times New Roman"/>
                <w:sz w:val="20"/>
                <w:szCs w:val="20"/>
              </w:rPr>
              <w:t xml:space="preserve">Senior Industrial Officer, </w:t>
            </w:r>
            <w:r w:rsidR="00D8200B" w:rsidRPr="00A92C7A">
              <w:rPr>
                <w:rFonts w:ascii="Times New Roman" w:hAnsi="Times New Roman" w:cs="Times New Roman"/>
                <w:sz w:val="20"/>
                <w:szCs w:val="20"/>
              </w:rPr>
              <w:t>Department of industry and technology</w:t>
            </w:r>
          </w:p>
        </w:tc>
      </w:tr>
      <w:tr w:rsidR="00D8200B" w:rsidRPr="00A92C7A" w14:paraId="365DD7BB" w14:textId="77777777" w:rsidTr="00EE00C0">
        <w:tc>
          <w:tcPr>
            <w:tcW w:w="2972" w:type="dxa"/>
          </w:tcPr>
          <w:p w14:paraId="4D15B6B3" w14:textId="195F22A9" w:rsidR="00D8200B" w:rsidRPr="00A92C7A" w:rsidRDefault="006065EB" w:rsidP="00587EDE">
            <w:pPr>
              <w:jc w:val="both"/>
              <w:rPr>
                <w:rFonts w:ascii="Times New Roman" w:hAnsi="Times New Roman" w:cs="Times New Roman"/>
                <w:sz w:val="20"/>
                <w:szCs w:val="20"/>
              </w:rPr>
            </w:pPr>
            <w:r w:rsidRPr="00A92C7A">
              <w:rPr>
                <w:rFonts w:ascii="Times New Roman" w:hAnsi="Times New Roman" w:cs="Times New Roman"/>
                <w:sz w:val="20"/>
                <w:szCs w:val="20"/>
              </w:rPr>
              <w:t>Mr Dhikusooka Gya</w:t>
            </w:r>
            <w:r w:rsidR="002E6DE9" w:rsidRPr="00A92C7A">
              <w:rPr>
                <w:rFonts w:ascii="Times New Roman" w:hAnsi="Times New Roman" w:cs="Times New Roman"/>
                <w:sz w:val="20"/>
                <w:szCs w:val="20"/>
              </w:rPr>
              <w:t>viira</w:t>
            </w:r>
          </w:p>
        </w:tc>
        <w:tc>
          <w:tcPr>
            <w:tcW w:w="6044" w:type="dxa"/>
          </w:tcPr>
          <w:p w14:paraId="550EDDBF" w14:textId="4B6B788C" w:rsidR="00D8200B" w:rsidRPr="00A92C7A" w:rsidRDefault="002E6DE9" w:rsidP="00587EDE">
            <w:pPr>
              <w:jc w:val="both"/>
              <w:rPr>
                <w:rFonts w:ascii="Times New Roman" w:hAnsi="Times New Roman" w:cs="Times New Roman"/>
                <w:sz w:val="20"/>
                <w:szCs w:val="20"/>
              </w:rPr>
            </w:pPr>
            <w:r w:rsidRPr="00A92C7A">
              <w:rPr>
                <w:rFonts w:ascii="Times New Roman" w:hAnsi="Times New Roman" w:cs="Times New Roman"/>
                <w:sz w:val="20"/>
                <w:szCs w:val="20"/>
              </w:rPr>
              <w:t>Senior planner monitoring and evaluation (compliance), National Planning Authority</w:t>
            </w:r>
          </w:p>
        </w:tc>
      </w:tr>
    </w:tbl>
    <w:p w14:paraId="695E5E0C" w14:textId="751EA391" w:rsidR="007C015A" w:rsidRPr="00F10F3B" w:rsidRDefault="007C015A" w:rsidP="00587EDE">
      <w:pPr>
        <w:spacing w:after="0" w:line="360" w:lineRule="auto"/>
        <w:ind w:right="187"/>
        <w:jc w:val="both"/>
        <w:rPr>
          <w:rFonts w:ascii="Times New Roman" w:hAnsi="Times New Roman" w:cs="Times New Roman"/>
          <w:sz w:val="20"/>
          <w:szCs w:val="21"/>
        </w:rPr>
      </w:pPr>
    </w:p>
    <w:p w14:paraId="039E0EF0" w14:textId="77777777" w:rsidR="009C70A9" w:rsidRPr="00F10F3B" w:rsidRDefault="009C70A9" w:rsidP="00587EDE">
      <w:pPr>
        <w:spacing w:after="160" w:line="360" w:lineRule="auto"/>
        <w:jc w:val="both"/>
        <w:rPr>
          <w:rFonts w:ascii="Times New Roman" w:eastAsiaTheme="majorEastAsia" w:hAnsi="Times New Roman" w:cs="Times New Roman"/>
          <w:b/>
          <w:sz w:val="28"/>
          <w:szCs w:val="32"/>
        </w:rPr>
      </w:pPr>
      <w:r w:rsidRPr="00F10F3B">
        <w:rPr>
          <w:rFonts w:ascii="Times New Roman" w:hAnsi="Times New Roman" w:cs="Times New Roman"/>
        </w:rPr>
        <w:br w:type="page"/>
      </w:r>
    </w:p>
    <w:p w14:paraId="3375EC09" w14:textId="7BAD4287" w:rsidR="00852B24" w:rsidRPr="00F10F3B" w:rsidRDefault="00852B24" w:rsidP="00587EDE">
      <w:pPr>
        <w:pStyle w:val="Heading2"/>
        <w:spacing w:line="360" w:lineRule="auto"/>
        <w:rPr>
          <w:rFonts w:cs="Times New Roman"/>
        </w:rPr>
      </w:pPr>
      <w:bookmarkStart w:id="64" w:name="_Toc3454225"/>
      <w:bookmarkStart w:id="65" w:name="_Toc9269390"/>
      <w:r w:rsidRPr="00F10F3B">
        <w:rPr>
          <w:rFonts w:cs="Times New Roman"/>
        </w:rPr>
        <w:lastRenderedPageBreak/>
        <w:t xml:space="preserve">Annex </w:t>
      </w:r>
      <w:r w:rsidR="001B1A88">
        <w:rPr>
          <w:rFonts w:cs="Times New Roman"/>
        </w:rPr>
        <w:t>2</w:t>
      </w:r>
      <w:r w:rsidRPr="00F10F3B">
        <w:rPr>
          <w:rFonts w:cs="Times New Roman"/>
        </w:rPr>
        <w:t xml:space="preserve">: </w:t>
      </w:r>
      <w:r w:rsidR="00C35C38" w:rsidRPr="00F10F3B">
        <w:rPr>
          <w:rFonts w:cs="Times New Roman"/>
        </w:rPr>
        <w:t>Lines of enquiry</w:t>
      </w:r>
      <w:bookmarkEnd w:id="64"/>
      <w:bookmarkEnd w:id="65"/>
    </w:p>
    <w:p w14:paraId="66E98FA6" w14:textId="5DDACA97" w:rsidR="00F046D7" w:rsidRPr="00A92C7A" w:rsidRDefault="00F046D7" w:rsidP="00587EDE">
      <w:pPr>
        <w:spacing w:line="360" w:lineRule="auto"/>
        <w:jc w:val="both"/>
        <w:rPr>
          <w:rFonts w:ascii="Times New Roman" w:hAnsi="Times New Roman" w:cs="Times New Roman"/>
          <w:sz w:val="24"/>
        </w:rPr>
      </w:pPr>
      <w:r w:rsidRPr="00A92C7A">
        <w:rPr>
          <w:rFonts w:ascii="Times New Roman" w:hAnsi="Times New Roman" w:cs="Times New Roman"/>
          <w:sz w:val="24"/>
        </w:rPr>
        <w:t>The Nati</w:t>
      </w:r>
      <w:r w:rsidR="004B44E1" w:rsidRPr="00A92C7A">
        <w:rPr>
          <w:rFonts w:ascii="Times New Roman" w:hAnsi="Times New Roman" w:cs="Times New Roman"/>
          <w:sz w:val="24"/>
        </w:rPr>
        <w:t xml:space="preserve">onal Development Plan (2014/15 – 2018/19) is </w:t>
      </w:r>
      <w:r w:rsidR="00D64A6E" w:rsidRPr="00A92C7A">
        <w:rPr>
          <w:rFonts w:ascii="Times New Roman" w:hAnsi="Times New Roman" w:cs="Times New Roman"/>
          <w:sz w:val="24"/>
        </w:rPr>
        <w:t xml:space="preserve">currently being implemented by the </w:t>
      </w:r>
      <w:r w:rsidR="009A2561" w:rsidRPr="00A92C7A">
        <w:rPr>
          <w:rFonts w:ascii="Times New Roman" w:hAnsi="Times New Roman" w:cs="Times New Roman"/>
          <w:sz w:val="24"/>
        </w:rPr>
        <w:t>Government</w:t>
      </w:r>
      <w:r w:rsidR="00D64A6E" w:rsidRPr="00A92C7A">
        <w:rPr>
          <w:rFonts w:ascii="Times New Roman" w:hAnsi="Times New Roman" w:cs="Times New Roman"/>
          <w:sz w:val="24"/>
        </w:rPr>
        <w:t xml:space="preserve"> of Uganda. To ensure that implementation is on track, and that lessons can be learned to inform NDPIII, the National Planning Authority has commissioned a mid-term review of NDPII. </w:t>
      </w:r>
      <w:r w:rsidR="001B6A46" w:rsidRPr="00A92C7A">
        <w:rPr>
          <w:rFonts w:ascii="Times New Roman" w:hAnsi="Times New Roman" w:cs="Times New Roman"/>
          <w:sz w:val="24"/>
        </w:rPr>
        <w:t>The table below details the area of enquiry used to inform the development of this thematic report</w:t>
      </w:r>
      <w:r w:rsidR="004440BB" w:rsidRPr="00A92C7A">
        <w:rPr>
          <w:rFonts w:ascii="Times New Roman" w:hAnsi="Times New Roman" w:cs="Times New Roman"/>
          <w:sz w:val="24"/>
        </w:rPr>
        <w:t xml:space="preserve">- investigating the </w:t>
      </w:r>
      <w:r w:rsidR="001B6A46" w:rsidRPr="00A92C7A">
        <w:rPr>
          <w:rFonts w:ascii="Times New Roman" w:hAnsi="Times New Roman" w:cs="Times New Roman"/>
          <w:sz w:val="24"/>
        </w:rPr>
        <w:t xml:space="preserve">policy and strategic direction of NDPII. </w:t>
      </w:r>
    </w:p>
    <w:tbl>
      <w:tblPr>
        <w:tblStyle w:val="TableGrid"/>
        <w:tblW w:w="0" w:type="auto"/>
        <w:tblLook w:val="04A0" w:firstRow="1" w:lastRow="0" w:firstColumn="1" w:lastColumn="0" w:noHBand="0" w:noVBand="1"/>
      </w:tblPr>
      <w:tblGrid>
        <w:gridCol w:w="1838"/>
        <w:gridCol w:w="7178"/>
      </w:tblGrid>
      <w:tr w:rsidR="00C35C38" w:rsidRPr="00A92C7A" w14:paraId="19F1474C" w14:textId="77777777" w:rsidTr="00B05A02">
        <w:tc>
          <w:tcPr>
            <w:tcW w:w="1838" w:type="dxa"/>
            <w:shd w:val="clear" w:color="auto" w:fill="C5E0B3" w:themeFill="accent6" w:themeFillTint="66"/>
          </w:tcPr>
          <w:p w14:paraId="39214AE4" w14:textId="0F6829F1" w:rsidR="00C35C38" w:rsidRPr="00A92C7A" w:rsidRDefault="00C35C38" w:rsidP="00587EDE">
            <w:pPr>
              <w:spacing w:after="0"/>
              <w:ind w:right="187"/>
              <w:jc w:val="both"/>
              <w:rPr>
                <w:rFonts w:ascii="Times New Roman" w:hAnsi="Times New Roman" w:cs="Times New Roman"/>
                <w:b/>
                <w:sz w:val="20"/>
                <w:szCs w:val="21"/>
              </w:rPr>
            </w:pPr>
            <w:r w:rsidRPr="00A92C7A">
              <w:rPr>
                <w:rFonts w:ascii="Times New Roman" w:hAnsi="Times New Roman" w:cs="Times New Roman"/>
                <w:b/>
                <w:sz w:val="20"/>
                <w:szCs w:val="21"/>
              </w:rPr>
              <w:t>Area of enquiry</w:t>
            </w:r>
          </w:p>
        </w:tc>
        <w:tc>
          <w:tcPr>
            <w:tcW w:w="7178" w:type="dxa"/>
            <w:shd w:val="clear" w:color="auto" w:fill="C5E0B3" w:themeFill="accent6" w:themeFillTint="66"/>
          </w:tcPr>
          <w:p w14:paraId="4D42E252" w14:textId="1D4C6C72" w:rsidR="00C35C38" w:rsidRPr="00A92C7A" w:rsidRDefault="00C35C38" w:rsidP="00587EDE">
            <w:pPr>
              <w:spacing w:after="0"/>
              <w:ind w:right="187"/>
              <w:jc w:val="both"/>
              <w:rPr>
                <w:rFonts w:ascii="Times New Roman" w:hAnsi="Times New Roman" w:cs="Times New Roman"/>
                <w:b/>
                <w:sz w:val="20"/>
                <w:szCs w:val="21"/>
              </w:rPr>
            </w:pPr>
            <w:r w:rsidRPr="00A92C7A">
              <w:rPr>
                <w:rFonts w:ascii="Times New Roman" w:hAnsi="Times New Roman" w:cs="Times New Roman"/>
                <w:b/>
                <w:sz w:val="20"/>
                <w:szCs w:val="21"/>
              </w:rPr>
              <w:t>Key questions/analysis</w:t>
            </w:r>
          </w:p>
        </w:tc>
      </w:tr>
      <w:tr w:rsidR="00B05A02" w:rsidRPr="00F10F3B" w14:paraId="5130A1E7" w14:textId="77777777" w:rsidTr="00B05A02">
        <w:tc>
          <w:tcPr>
            <w:tcW w:w="1838" w:type="dxa"/>
          </w:tcPr>
          <w:p w14:paraId="5848EA7A" w14:textId="768610FE" w:rsidR="00B05A02" w:rsidRPr="00F10F3B" w:rsidRDefault="00CE170C" w:rsidP="00587EDE">
            <w:p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NDPII</w:t>
            </w:r>
            <w:r w:rsidR="00713CEF" w:rsidRPr="00F10F3B">
              <w:rPr>
                <w:rFonts w:ascii="Times New Roman" w:hAnsi="Times New Roman" w:cs="Times New Roman"/>
                <w:sz w:val="20"/>
                <w:szCs w:val="21"/>
              </w:rPr>
              <w:t>’s</w:t>
            </w:r>
            <w:r w:rsidRPr="00F10F3B">
              <w:rPr>
                <w:rFonts w:ascii="Times New Roman" w:hAnsi="Times New Roman" w:cs="Times New Roman"/>
                <w:sz w:val="20"/>
                <w:szCs w:val="21"/>
              </w:rPr>
              <w:t xml:space="preserve"> </w:t>
            </w:r>
            <w:r w:rsidR="00B35E98" w:rsidRPr="00F10F3B">
              <w:rPr>
                <w:rFonts w:ascii="Times New Roman" w:hAnsi="Times New Roman" w:cs="Times New Roman"/>
                <w:sz w:val="20"/>
                <w:szCs w:val="21"/>
              </w:rPr>
              <w:t>theory of change</w:t>
            </w:r>
          </w:p>
        </w:tc>
        <w:tc>
          <w:tcPr>
            <w:tcW w:w="7178" w:type="dxa"/>
          </w:tcPr>
          <w:p w14:paraId="1FB09330" w14:textId="77777777" w:rsidR="00B05A02" w:rsidRPr="00F10F3B" w:rsidRDefault="00B05A02"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Is there a valid theory of change behind the NDPII?</w:t>
            </w:r>
          </w:p>
          <w:p w14:paraId="66C9DE82" w14:textId="77777777" w:rsidR="00376E1B" w:rsidRPr="00F10F3B" w:rsidRDefault="009A5C78"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PS5: Is there a valid theory of change behind the NDPII that informs its logic and underpins a coherent, appropriate </w:t>
            </w:r>
            <w:r w:rsidR="002B0B40" w:rsidRPr="00F10F3B">
              <w:rPr>
                <w:rFonts w:ascii="Times New Roman" w:hAnsi="Times New Roman" w:cs="Times New Roman"/>
                <w:sz w:val="20"/>
                <w:szCs w:val="21"/>
              </w:rPr>
              <w:t>and credible strategy map?</w:t>
            </w:r>
          </w:p>
          <w:p w14:paraId="0058292F" w14:textId="45E2DCD2" w:rsidR="007A5757" w:rsidRPr="00F10F3B" w:rsidRDefault="007A5757"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w:t>
            </w:r>
            <w:r w:rsidR="00C43ED1" w:rsidRPr="00F10F3B">
              <w:rPr>
                <w:rFonts w:ascii="Times New Roman" w:hAnsi="Times New Roman" w:cs="Times New Roman"/>
                <w:sz w:val="20"/>
                <w:szCs w:val="21"/>
              </w:rPr>
              <w:t>7: Have the NDPII policy and strategy been developed with a clear understanding of the necessary phasing and sequencing of implementation?</w:t>
            </w:r>
          </w:p>
        </w:tc>
      </w:tr>
      <w:tr w:rsidR="00074895" w:rsidRPr="00F10F3B" w14:paraId="0EB69811" w14:textId="77777777" w:rsidTr="00B05A02">
        <w:tc>
          <w:tcPr>
            <w:tcW w:w="1838" w:type="dxa"/>
          </w:tcPr>
          <w:p w14:paraId="51BFECBE" w14:textId="2C5BA472" w:rsidR="00074895" w:rsidRPr="00F10F3B" w:rsidRDefault="00074895" w:rsidP="00587EDE">
            <w:p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Quality of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policies</w:t>
            </w:r>
            <w:r w:rsidR="00BA7C84" w:rsidRPr="00F10F3B">
              <w:rPr>
                <w:rFonts w:ascii="Times New Roman" w:hAnsi="Times New Roman" w:cs="Times New Roman"/>
                <w:sz w:val="20"/>
                <w:szCs w:val="21"/>
              </w:rPr>
              <w:t>, plans and strategies</w:t>
            </w:r>
            <w:r w:rsidRPr="00F10F3B">
              <w:rPr>
                <w:rFonts w:ascii="Times New Roman" w:hAnsi="Times New Roman" w:cs="Times New Roman"/>
                <w:sz w:val="20"/>
                <w:szCs w:val="21"/>
              </w:rPr>
              <w:t xml:space="preserve"> in relation to NDPII</w:t>
            </w:r>
          </w:p>
        </w:tc>
        <w:tc>
          <w:tcPr>
            <w:tcW w:w="7178" w:type="dxa"/>
          </w:tcPr>
          <w:p w14:paraId="364A7E03" w14:textId="3BAC667D"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What is the quality of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policy and strategy, as defined by Office of President’s guidance?</w:t>
            </w:r>
          </w:p>
          <w:p w14:paraId="2738E38C" w14:textId="77777777"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PS8: Has sufficient attention been given to communicating the benefits and necessary pre-conditions to all major stakeholders for successful change management to underpin NDPII implementation?</w:t>
            </w:r>
          </w:p>
          <w:p w14:paraId="4AEA045F" w14:textId="264134EB" w:rsidR="00F54E88" w:rsidRPr="00F10F3B" w:rsidRDefault="00F54E88"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PS9: What major policy changes need to be made to increase the likelihood of delivering NDPII targets so far?</w:t>
            </w:r>
          </w:p>
        </w:tc>
      </w:tr>
      <w:tr w:rsidR="00074895" w:rsidRPr="00F10F3B" w14:paraId="6B542A4F" w14:textId="77777777" w:rsidTr="00B05A02">
        <w:tc>
          <w:tcPr>
            <w:tcW w:w="1838" w:type="dxa"/>
          </w:tcPr>
          <w:p w14:paraId="13546C5A" w14:textId="5FD39161" w:rsidR="00074895" w:rsidRPr="00F10F3B" w:rsidRDefault="00074895" w:rsidP="00587EDE">
            <w:p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Effectiveness of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policy in achieving NDPII objectives</w:t>
            </w:r>
          </w:p>
        </w:tc>
        <w:tc>
          <w:tcPr>
            <w:tcW w:w="7178" w:type="dxa"/>
          </w:tcPr>
          <w:p w14:paraId="33B65EE7" w14:textId="25B0207B"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To date, how effective has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policy been in achieving NDPII objectives?</w:t>
            </w:r>
          </w:p>
          <w:p w14:paraId="766398F5" w14:textId="77777777"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PS2: Extent of pursuance of export-orientated growth through value-addition, agro-processing, mineral beneficiation, selected heavy and light manufacturing</w:t>
            </w:r>
          </w:p>
          <w:p w14:paraId="65EFF56C" w14:textId="77777777"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PS3: Extent of the progress on private-sector led growth, and quasi-market approaches towards achievement of NDPII objectives and targets</w:t>
            </w:r>
          </w:p>
          <w:p w14:paraId="2CD0EBC1" w14:textId="77777777" w:rsidR="00CE170C" w:rsidRPr="00F10F3B" w:rsidRDefault="00CE170C"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PS10:</w:t>
            </w:r>
            <w:r w:rsidR="00B24288" w:rsidRPr="00F10F3B">
              <w:rPr>
                <w:rFonts w:ascii="Times New Roman" w:hAnsi="Times New Roman" w:cs="Times New Roman"/>
                <w:sz w:val="20"/>
                <w:szCs w:val="21"/>
              </w:rPr>
              <w:t xml:space="preserve"> How effectively have growth and poverty reduction </w:t>
            </w:r>
            <w:r w:rsidR="00AC6326" w:rsidRPr="00F10F3B">
              <w:rPr>
                <w:rFonts w:ascii="Times New Roman" w:hAnsi="Times New Roman" w:cs="Times New Roman"/>
                <w:sz w:val="20"/>
                <w:szCs w:val="21"/>
              </w:rPr>
              <w:t>policy objectives been reconciled in the course of NDPII implementation at this stage?</w:t>
            </w:r>
          </w:p>
          <w:p w14:paraId="6FE8AFAF" w14:textId="137CCEE3" w:rsidR="00AC6326" w:rsidRPr="00F10F3B" w:rsidRDefault="00AC6326"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PS11: To what extent have efficien</w:t>
            </w:r>
            <w:r w:rsidR="009B1602" w:rsidRPr="00F10F3B">
              <w:rPr>
                <w:rFonts w:ascii="Times New Roman" w:hAnsi="Times New Roman" w:cs="Times New Roman"/>
                <w:sz w:val="20"/>
                <w:szCs w:val="21"/>
              </w:rPr>
              <w:t xml:space="preserve">cy and productivity gains been realised in </w:t>
            </w:r>
            <w:r w:rsidR="009A2561" w:rsidRPr="00F10F3B">
              <w:rPr>
                <w:rFonts w:ascii="Times New Roman" w:hAnsi="Times New Roman" w:cs="Times New Roman"/>
                <w:sz w:val="20"/>
                <w:szCs w:val="21"/>
              </w:rPr>
              <w:t>Government</w:t>
            </w:r>
            <w:r w:rsidR="009B1602" w:rsidRPr="00F10F3B">
              <w:rPr>
                <w:rFonts w:ascii="Times New Roman" w:hAnsi="Times New Roman" w:cs="Times New Roman"/>
                <w:sz w:val="20"/>
                <w:szCs w:val="21"/>
              </w:rPr>
              <w:t xml:space="preserve"> as a result of </w:t>
            </w:r>
            <w:r w:rsidR="00497442" w:rsidRPr="00F10F3B">
              <w:rPr>
                <w:rFonts w:ascii="Times New Roman" w:hAnsi="Times New Roman" w:cs="Times New Roman"/>
                <w:sz w:val="20"/>
                <w:szCs w:val="21"/>
              </w:rPr>
              <w:t>NDPII?</w:t>
            </w:r>
          </w:p>
          <w:p w14:paraId="28CD697A" w14:textId="0F2D4C87" w:rsidR="00497442" w:rsidRPr="00F10F3B" w:rsidRDefault="00497442"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PS12: To what extent </w:t>
            </w:r>
            <w:r w:rsidR="00E2537D" w:rsidRPr="00F10F3B">
              <w:rPr>
                <w:rFonts w:ascii="Times New Roman" w:hAnsi="Times New Roman" w:cs="Times New Roman"/>
                <w:sz w:val="20"/>
                <w:szCs w:val="21"/>
              </w:rPr>
              <w:t>has t</w:t>
            </w:r>
            <w:r w:rsidRPr="00F10F3B">
              <w:rPr>
                <w:rFonts w:ascii="Times New Roman" w:hAnsi="Times New Roman" w:cs="Times New Roman"/>
                <w:sz w:val="20"/>
                <w:szCs w:val="21"/>
              </w:rPr>
              <w:t xml:space="preserve">he NDPII </w:t>
            </w:r>
            <w:r w:rsidR="00E2537D" w:rsidRPr="00F10F3B">
              <w:rPr>
                <w:rFonts w:ascii="Times New Roman" w:hAnsi="Times New Roman" w:cs="Times New Roman"/>
                <w:sz w:val="20"/>
                <w:szCs w:val="21"/>
              </w:rPr>
              <w:t>been an effective mechanism for ensuring that economic growth does not have a detrimental impact on the environment?</w:t>
            </w:r>
          </w:p>
        </w:tc>
      </w:tr>
      <w:tr w:rsidR="00074895" w:rsidRPr="00F10F3B" w14:paraId="66BBD9DC" w14:textId="77777777" w:rsidTr="00B05A02">
        <w:tc>
          <w:tcPr>
            <w:tcW w:w="1838" w:type="dxa"/>
          </w:tcPr>
          <w:p w14:paraId="44FF7A91" w14:textId="10D100E9" w:rsidR="00074895" w:rsidRPr="00F10F3B" w:rsidRDefault="00D95A4B" w:rsidP="00587EDE">
            <w:p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Alignment of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plans</w:t>
            </w:r>
            <w:r w:rsidR="00074895" w:rsidRPr="00F10F3B">
              <w:rPr>
                <w:rFonts w:ascii="Times New Roman" w:hAnsi="Times New Roman" w:cs="Times New Roman"/>
                <w:sz w:val="20"/>
                <w:szCs w:val="21"/>
              </w:rPr>
              <w:t>,</w:t>
            </w:r>
            <w:r w:rsidRPr="00F10F3B">
              <w:rPr>
                <w:rFonts w:ascii="Times New Roman" w:hAnsi="Times New Roman" w:cs="Times New Roman"/>
                <w:sz w:val="20"/>
                <w:szCs w:val="21"/>
              </w:rPr>
              <w:t xml:space="preserve"> </w:t>
            </w:r>
            <w:r w:rsidR="00074895" w:rsidRPr="00F10F3B">
              <w:rPr>
                <w:rFonts w:ascii="Times New Roman" w:hAnsi="Times New Roman" w:cs="Times New Roman"/>
                <w:sz w:val="20"/>
                <w:szCs w:val="21"/>
              </w:rPr>
              <w:t>policies and strategies to NDPII</w:t>
            </w:r>
          </w:p>
        </w:tc>
        <w:tc>
          <w:tcPr>
            <w:tcW w:w="7178" w:type="dxa"/>
          </w:tcPr>
          <w:p w14:paraId="5C52B5F0" w14:textId="7380F470"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To date, how consistent are sector and Ministry, Department and Authorities’ (MDAs) plans, policies and strategies to NDPII?</w:t>
            </w:r>
          </w:p>
          <w:p w14:paraId="0F52CC7C" w14:textId="0FD386F4"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PS1: Consistency of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xml:space="preserve"> in guiding the country towards middle income status – are the imperatives in place to achieve this milestone?</w:t>
            </w:r>
          </w:p>
          <w:p w14:paraId="3FA3929E" w14:textId="5B7ECCAD"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 xml:space="preserve">PS4: Is there a common understanding of NDPII strategy and policy among </w:t>
            </w:r>
            <w:r w:rsidR="009A2561" w:rsidRPr="00F10F3B">
              <w:rPr>
                <w:rFonts w:ascii="Times New Roman" w:hAnsi="Times New Roman" w:cs="Times New Roman"/>
                <w:sz w:val="20"/>
                <w:szCs w:val="21"/>
              </w:rPr>
              <w:t>Government</w:t>
            </w:r>
            <w:r w:rsidRPr="00F10F3B">
              <w:rPr>
                <w:rFonts w:ascii="Times New Roman" w:hAnsi="Times New Roman" w:cs="Times New Roman"/>
                <w:sz w:val="20"/>
                <w:szCs w:val="21"/>
              </w:rPr>
              <w:t>, development partners, civil society, the private sector and others?</w:t>
            </w:r>
          </w:p>
          <w:p w14:paraId="180DDBF4" w14:textId="0A3003DB" w:rsidR="00074895" w:rsidRPr="00F10F3B" w:rsidRDefault="00074895" w:rsidP="00587EDE">
            <w:pPr>
              <w:pStyle w:val="ListParagraph"/>
              <w:numPr>
                <w:ilvl w:val="0"/>
                <w:numId w:val="1"/>
              </w:numPr>
              <w:spacing w:after="0"/>
              <w:ind w:right="187"/>
              <w:jc w:val="both"/>
              <w:rPr>
                <w:rFonts w:ascii="Times New Roman" w:hAnsi="Times New Roman" w:cs="Times New Roman"/>
                <w:sz w:val="20"/>
                <w:szCs w:val="21"/>
              </w:rPr>
            </w:pPr>
            <w:r w:rsidRPr="00F10F3B">
              <w:rPr>
                <w:rFonts w:ascii="Times New Roman" w:hAnsi="Times New Roman" w:cs="Times New Roman"/>
                <w:sz w:val="20"/>
                <w:szCs w:val="21"/>
              </w:rPr>
              <w:t>PS6: To what extent have the NDPII policies/strategies informed and driven priorities for sector and MDA plans?</w:t>
            </w:r>
          </w:p>
        </w:tc>
      </w:tr>
    </w:tbl>
    <w:p w14:paraId="0BAF2D26" w14:textId="207F261E" w:rsidR="00C35C38" w:rsidRPr="00F10F3B" w:rsidRDefault="00C35C38" w:rsidP="00587EDE">
      <w:pPr>
        <w:spacing w:after="0" w:line="360" w:lineRule="auto"/>
        <w:ind w:right="187"/>
        <w:jc w:val="both"/>
        <w:rPr>
          <w:rFonts w:ascii="Times New Roman" w:hAnsi="Times New Roman" w:cs="Times New Roman"/>
          <w:sz w:val="20"/>
          <w:szCs w:val="21"/>
        </w:rPr>
      </w:pPr>
    </w:p>
    <w:p w14:paraId="385F6B85" w14:textId="77777777" w:rsidR="00E5100E" w:rsidRPr="00F10F3B" w:rsidRDefault="00E5100E" w:rsidP="00587EDE">
      <w:pPr>
        <w:spacing w:after="160" w:line="360" w:lineRule="auto"/>
        <w:jc w:val="both"/>
        <w:rPr>
          <w:rFonts w:ascii="Times New Roman" w:eastAsiaTheme="majorEastAsia" w:hAnsi="Times New Roman" w:cs="Times New Roman"/>
          <w:b/>
          <w:sz w:val="28"/>
          <w:szCs w:val="32"/>
        </w:rPr>
      </w:pPr>
      <w:r w:rsidRPr="00F10F3B">
        <w:rPr>
          <w:rFonts w:ascii="Times New Roman" w:hAnsi="Times New Roman" w:cs="Times New Roman"/>
        </w:rPr>
        <w:br w:type="page"/>
      </w:r>
    </w:p>
    <w:p w14:paraId="715FC696" w14:textId="77777777" w:rsidR="00F92CC2" w:rsidRPr="00F10F3B" w:rsidRDefault="00F92CC2" w:rsidP="00B86D0C">
      <w:pPr>
        <w:pStyle w:val="Heading1"/>
        <w:sectPr w:rsidR="00F92CC2" w:rsidRPr="00F10F3B" w:rsidSect="00A63B80">
          <w:pgSz w:w="11906" w:h="16838"/>
          <w:pgMar w:top="1440" w:right="1440" w:bottom="1440" w:left="1440" w:header="708" w:footer="708" w:gutter="0"/>
          <w:cols w:space="708"/>
          <w:titlePg/>
          <w:docGrid w:linePitch="360"/>
        </w:sectPr>
      </w:pPr>
    </w:p>
    <w:p w14:paraId="51FD0ACC" w14:textId="77F172F3" w:rsidR="00F92CC2" w:rsidRPr="00F10F3B" w:rsidRDefault="00E5100E" w:rsidP="00587EDE">
      <w:pPr>
        <w:pStyle w:val="Heading2"/>
        <w:spacing w:line="360" w:lineRule="auto"/>
        <w:rPr>
          <w:rFonts w:cs="Times New Roman"/>
        </w:rPr>
      </w:pPr>
      <w:bookmarkStart w:id="66" w:name="_Toc3454226"/>
      <w:bookmarkStart w:id="67" w:name="_Toc9269391"/>
      <w:r w:rsidRPr="00F10F3B">
        <w:rPr>
          <w:rFonts w:cs="Times New Roman"/>
        </w:rPr>
        <w:lastRenderedPageBreak/>
        <w:t xml:space="preserve">Annex </w:t>
      </w:r>
      <w:r w:rsidR="001B1A88">
        <w:rPr>
          <w:rFonts w:cs="Times New Roman"/>
        </w:rPr>
        <w:t>3</w:t>
      </w:r>
      <w:r w:rsidRPr="00F10F3B">
        <w:rPr>
          <w:rFonts w:cs="Times New Roman"/>
        </w:rPr>
        <w:t xml:space="preserve">: </w:t>
      </w:r>
      <w:r w:rsidR="00F92CC2" w:rsidRPr="00F10F3B">
        <w:rPr>
          <w:rFonts w:cs="Times New Roman"/>
        </w:rPr>
        <w:t xml:space="preserve">Quality of </w:t>
      </w:r>
      <w:r w:rsidR="009A2561" w:rsidRPr="00F10F3B">
        <w:rPr>
          <w:rFonts w:cs="Times New Roman"/>
        </w:rPr>
        <w:t>Government</w:t>
      </w:r>
      <w:r w:rsidR="00F92CC2" w:rsidRPr="00F10F3B">
        <w:rPr>
          <w:rFonts w:cs="Times New Roman"/>
        </w:rPr>
        <w:t xml:space="preserve"> policies, plan</w:t>
      </w:r>
      <w:r w:rsidR="00AA1A19" w:rsidRPr="00F10F3B">
        <w:rPr>
          <w:rFonts w:cs="Times New Roman"/>
        </w:rPr>
        <w:t>s</w:t>
      </w:r>
      <w:r w:rsidR="00F92CC2" w:rsidRPr="00F10F3B">
        <w:rPr>
          <w:rFonts w:cs="Times New Roman"/>
        </w:rPr>
        <w:t xml:space="preserve"> and strategies in relation to NDPII</w:t>
      </w:r>
      <w:bookmarkEnd w:id="66"/>
      <w:bookmarkEnd w:id="67"/>
    </w:p>
    <w:p w14:paraId="12993787" w14:textId="6B1026B0" w:rsidR="004A18A4" w:rsidRPr="00A92C7A" w:rsidRDefault="00AA1A19" w:rsidP="005A6015">
      <w:pPr>
        <w:spacing w:line="360" w:lineRule="auto"/>
        <w:ind w:right="187"/>
        <w:jc w:val="both"/>
        <w:rPr>
          <w:rFonts w:ascii="Times New Roman" w:hAnsi="Times New Roman" w:cs="Times New Roman"/>
          <w:sz w:val="24"/>
        </w:rPr>
      </w:pPr>
      <w:r w:rsidRPr="00A92C7A">
        <w:rPr>
          <w:rFonts w:ascii="Times New Roman" w:hAnsi="Times New Roman" w:cs="Times New Roman"/>
          <w:sz w:val="24"/>
        </w:rPr>
        <w:t xml:space="preserve">The table(s) below provide an assessment on the quality of Government policies, plans and strategies in relation to NDPII using Cabinet Secretariat guidance. A score of </w:t>
      </w:r>
      <w:r w:rsidR="00CE2D8A" w:rsidRPr="00A92C7A">
        <w:rPr>
          <w:rFonts w:ascii="Times New Roman" w:hAnsi="Times New Roman" w:cs="Times New Roman"/>
          <w:sz w:val="24"/>
        </w:rPr>
        <w:t>0 (none), 1 (poor), 2 (fair), 3 (good) and 4 (excellent) has been given to each of the eight parameters of a good policy. The eight parameters are: 1)</w:t>
      </w:r>
      <w:r w:rsidR="004A18A4" w:rsidRPr="00A92C7A">
        <w:rPr>
          <w:rFonts w:ascii="Times New Roman" w:hAnsi="Times New Roman" w:cs="Times New Roman"/>
          <w:sz w:val="24"/>
        </w:rPr>
        <w:t xml:space="preserve"> 1) Have an issue(s) or need(s) or problem(s) to be addressed to that it is known what it will change; 2) Be carefully analysed against other policy, law or regulation options before it is introduced, to ensure it is the best, most cost-effective solution to address the identified issue or need or problem;</w:t>
      </w:r>
      <w:r w:rsidR="00AF0D5D" w:rsidRPr="00A92C7A">
        <w:rPr>
          <w:rFonts w:ascii="Times New Roman" w:hAnsi="Times New Roman" w:cs="Times New Roman"/>
          <w:sz w:val="24"/>
        </w:rPr>
        <w:t xml:space="preserve"> 3) </w:t>
      </w:r>
      <w:r w:rsidR="004A18A4" w:rsidRPr="00A92C7A">
        <w:rPr>
          <w:rFonts w:ascii="Times New Roman" w:hAnsi="Times New Roman" w:cs="Times New Roman"/>
          <w:sz w:val="24"/>
        </w:rPr>
        <w:t>Be widely consulted before it is introduced to ensure it is inclusive;</w:t>
      </w:r>
      <w:r w:rsidR="00AF0D5D" w:rsidRPr="00A92C7A">
        <w:rPr>
          <w:rFonts w:ascii="Times New Roman" w:hAnsi="Times New Roman" w:cs="Times New Roman"/>
          <w:sz w:val="24"/>
        </w:rPr>
        <w:t xml:space="preserve"> 4) </w:t>
      </w:r>
      <w:r w:rsidR="004A18A4" w:rsidRPr="00A92C7A">
        <w:rPr>
          <w:rFonts w:ascii="Times New Roman" w:hAnsi="Times New Roman" w:cs="Times New Roman"/>
          <w:sz w:val="24"/>
        </w:rPr>
        <w:t>Be clear, simple and practical so everyone can understand and comply;</w:t>
      </w:r>
      <w:r w:rsidR="00AF0D5D" w:rsidRPr="00A92C7A">
        <w:rPr>
          <w:rFonts w:ascii="Times New Roman" w:hAnsi="Times New Roman" w:cs="Times New Roman"/>
          <w:sz w:val="24"/>
        </w:rPr>
        <w:t xml:space="preserve"> 5) </w:t>
      </w:r>
      <w:r w:rsidR="004A18A4" w:rsidRPr="00A92C7A">
        <w:rPr>
          <w:rFonts w:ascii="Times New Roman" w:hAnsi="Times New Roman" w:cs="Times New Roman"/>
          <w:sz w:val="24"/>
        </w:rPr>
        <w:t>Be easily communicated or disseminated so everybody can access and support compliance;</w:t>
      </w:r>
      <w:r w:rsidR="00AF0D5D" w:rsidRPr="00A92C7A">
        <w:rPr>
          <w:rFonts w:ascii="Times New Roman" w:hAnsi="Times New Roman" w:cs="Times New Roman"/>
          <w:sz w:val="24"/>
        </w:rPr>
        <w:t xml:space="preserve"> 6) </w:t>
      </w:r>
      <w:r w:rsidR="004A18A4" w:rsidRPr="00A92C7A">
        <w:rPr>
          <w:rFonts w:ascii="Times New Roman" w:hAnsi="Times New Roman" w:cs="Times New Roman"/>
          <w:sz w:val="24"/>
        </w:rPr>
        <w:t>Produce benefits that outweigh costs;</w:t>
      </w:r>
      <w:r w:rsidR="00AF0D5D" w:rsidRPr="00A92C7A">
        <w:rPr>
          <w:rFonts w:ascii="Times New Roman" w:hAnsi="Times New Roman" w:cs="Times New Roman"/>
          <w:sz w:val="24"/>
        </w:rPr>
        <w:t xml:space="preserve"> 7) </w:t>
      </w:r>
      <w:r w:rsidR="004A18A4" w:rsidRPr="00A92C7A">
        <w:rPr>
          <w:rFonts w:ascii="Times New Roman" w:hAnsi="Times New Roman" w:cs="Times New Roman"/>
          <w:sz w:val="24"/>
        </w:rPr>
        <w:t>Be properly and fairly-enforceable within the available resources;</w:t>
      </w:r>
      <w:r w:rsidR="00AF0D5D" w:rsidRPr="00A92C7A">
        <w:rPr>
          <w:rFonts w:ascii="Times New Roman" w:hAnsi="Times New Roman" w:cs="Times New Roman"/>
          <w:sz w:val="24"/>
        </w:rPr>
        <w:t xml:space="preserve"> 8)</w:t>
      </w:r>
      <w:r w:rsidR="004A18A4" w:rsidRPr="00A92C7A">
        <w:rPr>
          <w:rFonts w:ascii="Times New Roman" w:hAnsi="Times New Roman" w:cs="Times New Roman"/>
          <w:sz w:val="24"/>
        </w:rPr>
        <w:t>Be monitored and evaluated after introduction to make sure it is effective in ensuring its intended benefits.</w:t>
      </w:r>
      <w:r w:rsidR="0023498A" w:rsidRPr="00A92C7A">
        <w:rPr>
          <w:rFonts w:ascii="Times New Roman" w:hAnsi="Times New Roman" w:cs="Times New Roman"/>
          <w:sz w:val="24"/>
        </w:rPr>
        <w:t xml:space="preserve"> A more detailed breakdown on the rationale for the score given is available upon request.</w:t>
      </w:r>
    </w:p>
    <w:p w14:paraId="53F95135" w14:textId="77777777" w:rsidR="00542ED7" w:rsidRPr="00F10F3B" w:rsidRDefault="000943A0" w:rsidP="00587EDE">
      <w:pPr>
        <w:spacing w:line="360" w:lineRule="auto"/>
        <w:jc w:val="both"/>
        <w:rPr>
          <w:rFonts w:ascii="Times New Roman" w:hAnsi="Times New Roman" w:cs="Times New Roman"/>
        </w:rPr>
      </w:pPr>
      <w:r w:rsidRPr="00F10F3B">
        <w:rPr>
          <w:rFonts w:ascii="Times New Roman" w:hAnsi="Times New Roman" w:cs="Times New Roman"/>
          <w:noProof/>
          <w:lang w:eastAsia="en-GB"/>
        </w:rPr>
        <w:lastRenderedPageBreak/>
        <w:drawing>
          <wp:inline distT="0" distB="0" distL="0" distR="0" wp14:anchorId="0D063856" wp14:editId="240E0105">
            <wp:extent cx="8863330" cy="3783965"/>
            <wp:effectExtent l="0" t="0" r="0" b="698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863330" cy="3783965"/>
                    </a:xfrm>
                    <a:prstGeom prst="rect">
                      <a:avLst/>
                    </a:prstGeom>
                    <a:noFill/>
                    <a:ln>
                      <a:noFill/>
                    </a:ln>
                  </pic:spPr>
                </pic:pic>
              </a:graphicData>
            </a:graphic>
          </wp:inline>
        </w:drawing>
      </w:r>
    </w:p>
    <w:p w14:paraId="2ED2030D" w14:textId="61213346" w:rsidR="0023498A" w:rsidRPr="00F10F3B" w:rsidRDefault="0023498A" w:rsidP="00587EDE">
      <w:pPr>
        <w:spacing w:line="360" w:lineRule="auto"/>
        <w:jc w:val="both"/>
        <w:rPr>
          <w:rFonts w:ascii="Times New Roman" w:hAnsi="Times New Roman" w:cs="Times New Roman"/>
        </w:rPr>
        <w:sectPr w:rsidR="0023498A" w:rsidRPr="00F10F3B" w:rsidSect="00676A20">
          <w:pgSz w:w="16838" w:h="11906" w:orient="landscape"/>
          <w:pgMar w:top="1440" w:right="1440" w:bottom="1440" w:left="1440" w:header="709" w:footer="709" w:gutter="0"/>
          <w:cols w:space="708"/>
          <w:titlePg/>
          <w:docGrid w:linePitch="360"/>
        </w:sectPr>
      </w:pPr>
      <w:r w:rsidRPr="00F10F3B">
        <w:rPr>
          <w:rFonts w:ascii="Times New Roman" w:hAnsi="Times New Roman" w:cs="Times New Roman"/>
          <w:noProof/>
          <w:lang w:eastAsia="en-GB"/>
        </w:rPr>
        <w:lastRenderedPageBreak/>
        <w:drawing>
          <wp:inline distT="0" distB="0" distL="0" distR="0" wp14:anchorId="71CC3570" wp14:editId="4230B1C9">
            <wp:extent cx="8848090" cy="57315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48090" cy="5731510"/>
                    </a:xfrm>
                    <a:prstGeom prst="rect">
                      <a:avLst/>
                    </a:prstGeom>
                    <a:noFill/>
                    <a:ln>
                      <a:noFill/>
                    </a:ln>
                  </pic:spPr>
                </pic:pic>
              </a:graphicData>
            </a:graphic>
          </wp:inline>
        </w:drawing>
      </w:r>
    </w:p>
    <w:p w14:paraId="5B81B4AC" w14:textId="22ADC729" w:rsidR="00E5100E" w:rsidRPr="00F10F3B" w:rsidRDefault="00F92CC2" w:rsidP="00587EDE">
      <w:pPr>
        <w:pStyle w:val="Heading2"/>
        <w:spacing w:line="360" w:lineRule="auto"/>
        <w:rPr>
          <w:rFonts w:cs="Times New Roman"/>
        </w:rPr>
      </w:pPr>
      <w:bookmarkStart w:id="68" w:name="_Toc3454227"/>
      <w:bookmarkStart w:id="69" w:name="_Toc9269392"/>
      <w:r w:rsidRPr="00F10F3B">
        <w:rPr>
          <w:rFonts w:cs="Times New Roman"/>
        </w:rPr>
        <w:lastRenderedPageBreak/>
        <w:t xml:space="preserve">Annex </w:t>
      </w:r>
      <w:r w:rsidR="001B1A88">
        <w:rPr>
          <w:rFonts w:cs="Times New Roman"/>
        </w:rPr>
        <w:t>4</w:t>
      </w:r>
      <w:r w:rsidRPr="00F10F3B">
        <w:rPr>
          <w:rFonts w:cs="Times New Roman"/>
        </w:rPr>
        <w:t xml:space="preserve">: </w:t>
      </w:r>
      <w:r w:rsidR="00E5100E" w:rsidRPr="00F10F3B">
        <w:rPr>
          <w:rFonts w:cs="Times New Roman"/>
        </w:rPr>
        <w:t xml:space="preserve">Effectiveness of </w:t>
      </w:r>
      <w:r w:rsidR="009A2561" w:rsidRPr="00F10F3B">
        <w:rPr>
          <w:rFonts w:cs="Times New Roman"/>
        </w:rPr>
        <w:t>Government</w:t>
      </w:r>
      <w:r w:rsidR="00E5100E" w:rsidRPr="00F10F3B">
        <w:rPr>
          <w:rFonts w:cs="Times New Roman"/>
        </w:rPr>
        <w:t xml:space="preserve"> policy in </w:t>
      </w:r>
      <w:r w:rsidR="0067673C" w:rsidRPr="00F10F3B">
        <w:rPr>
          <w:rFonts w:cs="Times New Roman"/>
        </w:rPr>
        <w:t>achieving inclusive development</w:t>
      </w:r>
      <w:bookmarkEnd w:id="68"/>
      <w:bookmarkEnd w:id="69"/>
    </w:p>
    <w:tbl>
      <w:tblPr>
        <w:tblStyle w:val="TableGrid"/>
        <w:tblW w:w="0" w:type="auto"/>
        <w:tblLook w:val="04A0" w:firstRow="1" w:lastRow="0" w:firstColumn="1" w:lastColumn="0" w:noHBand="0" w:noVBand="1"/>
      </w:tblPr>
      <w:tblGrid>
        <w:gridCol w:w="4588"/>
        <w:gridCol w:w="694"/>
        <w:gridCol w:w="1343"/>
        <w:gridCol w:w="1641"/>
        <w:gridCol w:w="750"/>
      </w:tblGrid>
      <w:tr w:rsidR="001A76C1" w:rsidRPr="00A92C7A" w14:paraId="42247CEE" w14:textId="77777777" w:rsidTr="00646110">
        <w:tc>
          <w:tcPr>
            <w:tcW w:w="0" w:type="auto"/>
          </w:tcPr>
          <w:p w14:paraId="02FF66E9" w14:textId="77777777" w:rsidR="00646110" w:rsidRPr="00A92C7A" w:rsidRDefault="00646110" w:rsidP="00587EDE">
            <w:pPr>
              <w:spacing w:after="0"/>
              <w:jc w:val="both"/>
              <w:rPr>
                <w:rFonts w:ascii="Times New Roman" w:hAnsi="Times New Roman" w:cs="Times New Roman"/>
                <w:b/>
                <w:sz w:val="20"/>
                <w:szCs w:val="20"/>
              </w:rPr>
            </w:pPr>
          </w:p>
        </w:tc>
        <w:tc>
          <w:tcPr>
            <w:tcW w:w="0" w:type="auto"/>
          </w:tcPr>
          <w:p w14:paraId="1B1BAF58" w14:textId="3CD91674" w:rsidR="00646110" w:rsidRPr="00A92C7A" w:rsidRDefault="00646110" w:rsidP="00587EDE">
            <w:pPr>
              <w:spacing w:after="0"/>
              <w:jc w:val="both"/>
              <w:rPr>
                <w:rFonts w:ascii="Times New Roman" w:hAnsi="Times New Roman" w:cs="Times New Roman"/>
                <w:b/>
                <w:sz w:val="20"/>
                <w:szCs w:val="20"/>
              </w:rPr>
            </w:pPr>
            <w:r w:rsidRPr="00A92C7A">
              <w:rPr>
                <w:rFonts w:ascii="Times New Roman" w:hAnsi="Times New Roman" w:cs="Times New Roman"/>
                <w:b/>
                <w:sz w:val="20"/>
                <w:szCs w:val="20"/>
              </w:rPr>
              <w:t>Score</w:t>
            </w:r>
          </w:p>
        </w:tc>
        <w:tc>
          <w:tcPr>
            <w:tcW w:w="0" w:type="auto"/>
          </w:tcPr>
          <w:p w14:paraId="10228D61" w14:textId="1DB87662" w:rsidR="00646110" w:rsidRPr="00A92C7A" w:rsidRDefault="00646110" w:rsidP="00587EDE">
            <w:pPr>
              <w:spacing w:after="0"/>
              <w:jc w:val="both"/>
              <w:rPr>
                <w:rFonts w:ascii="Times New Roman" w:hAnsi="Times New Roman" w:cs="Times New Roman"/>
                <w:b/>
                <w:sz w:val="20"/>
                <w:szCs w:val="20"/>
              </w:rPr>
            </w:pPr>
            <w:r w:rsidRPr="00A92C7A">
              <w:rPr>
                <w:rFonts w:ascii="Times New Roman" w:hAnsi="Times New Roman" w:cs="Times New Roman"/>
                <w:b/>
                <w:sz w:val="20"/>
                <w:szCs w:val="20"/>
              </w:rPr>
              <w:t>Rank among peers</w:t>
            </w:r>
          </w:p>
        </w:tc>
        <w:tc>
          <w:tcPr>
            <w:tcW w:w="0" w:type="auto"/>
          </w:tcPr>
          <w:p w14:paraId="18967485" w14:textId="647E6AE1" w:rsidR="00646110" w:rsidRPr="00A92C7A" w:rsidRDefault="00646110" w:rsidP="00587EDE">
            <w:pPr>
              <w:spacing w:after="0"/>
              <w:jc w:val="both"/>
              <w:rPr>
                <w:rFonts w:ascii="Times New Roman" w:hAnsi="Times New Roman" w:cs="Times New Roman"/>
                <w:b/>
                <w:sz w:val="20"/>
                <w:szCs w:val="20"/>
              </w:rPr>
            </w:pPr>
            <w:r w:rsidRPr="00A92C7A">
              <w:rPr>
                <w:rFonts w:ascii="Times New Roman" w:hAnsi="Times New Roman" w:cs="Times New Roman"/>
                <w:b/>
                <w:sz w:val="20"/>
                <w:szCs w:val="20"/>
              </w:rPr>
              <w:t>Change over last 5 years</w:t>
            </w:r>
          </w:p>
        </w:tc>
        <w:tc>
          <w:tcPr>
            <w:tcW w:w="0" w:type="auto"/>
          </w:tcPr>
          <w:p w14:paraId="5F00C138" w14:textId="08D74DEA" w:rsidR="00646110" w:rsidRPr="00A92C7A" w:rsidRDefault="00646110" w:rsidP="00587EDE">
            <w:pPr>
              <w:spacing w:after="0"/>
              <w:jc w:val="both"/>
              <w:rPr>
                <w:rFonts w:ascii="Times New Roman" w:hAnsi="Times New Roman" w:cs="Times New Roman"/>
                <w:b/>
                <w:sz w:val="20"/>
                <w:szCs w:val="20"/>
              </w:rPr>
            </w:pPr>
            <w:r w:rsidRPr="00A92C7A">
              <w:rPr>
                <w:rFonts w:ascii="Times New Roman" w:hAnsi="Times New Roman" w:cs="Times New Roman"/>
                <w:b/>
                <w:sz w:val="20"/>
                <w:szCs w:val="20"/>
              </w:rPr>
              <w:t>Trend</w:t>
            </w:r>
          </w:p>
        </w:tc>
      </w:tr>
      <w:tr w:rsidR="001A76C1" w:rsidRPr="00A92C7A" w14:paraId="0688B7CD" w14:textId="77777777" w:rsidTr="00C80C2E">
        <w:tc>
          <w:tcPr>
            <w:tcW w:w="0" w:type="auto"/>
          </w:tcPr>
          <w:p w14:paraId="0CD99433" w14:textId="01BF6F9B"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Inclusive Development Index 1-7 (Best)</w:t>
            </w:r>
          </w:p>
        </w:tc>
        <w:tc>
          <w:tcPr>
            <w:tcW w:w="0" w:type="auto"/>
          </w:tcPr>
          <w:p w14:paraId="121724EC" w14:textId="4CC25C77"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3.28</w:t>
            </w:r>
          </w:p>
        </w:tc>
        <w:tc>
          <w:tcPr>
            <w:tcW w:w="0" w:type="auto"/>
            <w:shd w:val="clear" w:color="auto" w:fill="FF0000"/>
          </w:tcPr>
          <w:p w14:paraId="1CF034A6" w14:textId="608A594F" w:rsidR="00646110" w:rsidRPr="00A92C7A" w:rsidRDefault="009360A5"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64/79</w:t>
            </w:r>
          </w:p>
        </w:tc>
        <w:tc>
          <w:tcPr>
            <w:tcW w:w="0" w:type="auto"/>
          </w:tcPr>
          <w:p w14:paraId="46207FA6" w14:textId="749E1F27" w:rsidR="00646110" w:rsidRPr="00A92C7A" w:rsidRDefault="009360A5"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-4.2%</w:t>
            </w:r>
          </w:p>
        </w:tc>
        <w:tc>
          <w:tcPr>
            <w:tcW w:w="0" w:type="auto"/>
          </w:tcPr>
          <w:p w14:paraId="67CDD7BF" w14:textId="55640298" w:rsidR="00646110" w:rsidRPr="00A92C7A" w:rsidRDefault="009360A5"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1A76C1" w:rsidRPr="00A92C7A" w14:paraId="0ABD2F68" w14:textId="77777777" w:rsidTr="00C80C2E">
        <w:tc>
          <w:tcPr>
            <w:tcW w:w="0" w:type="auto"/>
          </w:tcPr>
          <w:p w14:paraId="45FFE6B9" w14:textId="0A9E0B19"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Growth and Development 1-7 (Best)</w:t>
            </w:r>
          </w:p>
        </w:tc>
        <w:tc>
          <w:tcPr>
            <w:tcW w:w="0" w:type="auto"/>
          </w:tcPr>
          <w:p w14:paraId="05432A57" w14:textId="5E813AC4"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2.99</w:t>
            </w:r>
          </w:p>
        </w:tc>
        <w:tc>
          <w:tcPr>
            <w:tcW w:w="0" w:type="auto"/>
            <w:shd w:val="clear" w:color="auto" w:fill="FFFF00"/>
          </w:tcPr>
          <w:p w14:paraId="7CBC0AFE" w14:textId="1B2E520A"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50/79</w:t>
            </w:r>
          </w:p>
        </w:tc>
        <w:tc>
          <w:tcPr>
            <w:tcW w:w="0" w:type="auto"/>
          </w:tcPr>
          <w:p w14:paraId="54FEA5BD" w14:textId="2780C2BE"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+6.3%</w:t>
            </w:r>
          </w:p>
        </w:tc>
        <w:tc>
          <w:tcPr>
            <w:tcW w:w="0" w:type="auto"/>
          </w:tcPr>
          <w:p w14:paraId="48291A0D" w14:textId="113D59DC"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1A76C1" w:rsidRPr="00A92C7A" w14:paraId="41CBBE76" w14:textId="77777777" w:rsidTr="00C80C2E">
        <w:tc>
          <w:tcPr>
            <w:tcW w:w="0" w:type="auto"/>
          </w:tcPr>
          <w:p w14:paraId="16D065DA" w14:textId="3A6481B4"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GDP/capita in $ 2015</w:t>
            </w:r>
          </w:p>
        </w:tc>
        <w:tc>
          <w:tcPr>
            <w:tcW w:w="0" w:type="auto"/>
          </w:tcPr>
          <w:p w14:paraId="53E01118" w14:textId="11EFBB7C"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673</w:t>
            </w:r>
          </w:p>
        </w:tc>
        <w:tc>
          <w:tcPr>
            <w:tcW w:w="0" w:type="auto"/>
            <w:shd w:val="clear" w:color="auto" w:fill="FF0000"/>
          </w:tcPr>
          <w:p w14:paraId="55FCA8B3" w14:textId="4444C0D1"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74/79</w:t>
            </w:r>
          </w:p>
        </w:tc>
        <w:tc>
          <w:tcPr>
            <w:tcW w:w="0" w:type="auto"/>
          </w:tcPr>
          <w:p w14:paraId="58E0B2D8" w14:textId="698119B9"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+2.1%</w:t>
            </w:r>
          </w:p>
        </w:tc>
        <w:tc>
          <w:tcPr>
            <w:tcW w:w="0" w:type="auto"/>
          </w:tcPr>
          <w:p w14:paraId="3F39DDD0" w14:textId="731C9D2F"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1A76C1" w:rsidRPr="00A92C7A" w14:paraId="0FE1D0BB" w14:textId="77777777" w:rsidTr="00C80C2E">
        <w:tc>
          <w:tcPr>
            <w:tcW w:w="0" w:type="auto"/>
          </w:tcPr>
          <w:p w14:paraId="405692FA" w14:textId="36F902C7"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Labour productivity in $</w:t>
            </w:r>
          </w:p>
        </w:tc>
        <w:tc>
          <w:tcPr>
            <w:tcW w:w="0" w:type="auto"/>
          </w:tcPr>
          <w:p w14:paraId="5451600E" w14:textId="12A24D59"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3623</w:t>
            </w:r>
          </w:p>
        </w:tc>
        <w:tc>
          <w:tcPr>
            <w:tcW w:w="0" w:type="auto"/>
            <w:shd w:val="clear" w:color="auto" w:fill="FF0000"/>
          </w:tcPr>
          <w:p w14:paraId="50DECDC1" w14:textId="56509582"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73/79</w:t>
            </w:r>
          </w:p>
        </w:tc>
        <w:tc>
          <w:tcPr>
            <w:tcW w:w="0" w:type="auto"/>
          </w:tcPr>
          <w:p w14:paraId="0E8848B2" w14:textId="0A581CAD"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+1.6%</w:t>
            </w:r>
          </w:p>
        </w:tc>
        <w:tc>
          <w:tcPr>
            <w:tcW w:w="0" w:type="auto"/>
          </w:tcPr>
          <w:p w14:paraId="1D599781" w14:textId="2BC7122E"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1A76C1" w:rsidRPr="00A92C7A" w14:paraId="37C6BF7F" w14:textId="77777777" w:rsidTr="00C80C2E">
        <w:tc>
          <w:tcPr>
            <w:tcW w:w="0" w:type="auto"/>
          </w:tcPr>
          <w:p w14:paraId="65113DDE" w14:textId="0F7541FA"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Healthy life expectancy years</w:t>
            </w:r>
          </w:p>
        </w:tc>
        <w:tc>
          <w:tcPr>
            <w:tcW w:w="0" w:type="auto"/>
          </w:tcPr>
          <w:p w14:paraId="617F66BB" w14:textId="3BDC3E3B"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54</w:t>
            </w:r>
          </w:p>
        </w:tc>
        <w:tc>
          <w:tcPr>
            <w:tcW w:w="0" w:type="auto"/>
            <w:shd w:val="clear" w:color="auto" w:fill="FF0000"/>
          </w:tcPr>
          <w:p w14:paraId="6F950227" w14:textId="7641097D"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68/79</w:t>
            </w:r>
          </w:p>
        </w:tc>
        <w:tc>
          <w:tcPr>
            <w:tcW w:w="0" w:type="auto"/>
          </w:tcPr>
          <w:p w14:paraId="4280736D" w14:textId="6F17A9D3"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+3.5</w:t>
            </w:r>
          </w:p>
        </w:tc>
        <w:tc>
          <w:tcPr>
            <w:tcW w:w="0" w:type="auto"/>
          </w:tcPr>
          <w:p w14:paraId="54D8EDBE" w14:textId="0F113D2A"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1A76C1" w:rsidRPr="00A92C7A" w14:paraId="0FC69D11" w14:textId="77777777" w:rsidTr="00C80C2E">
        <w:tc>
          <w:tcPr>
            <w:tcW w:w="0" w:type="auto"/>
          </w:tcPr>
          <w:p w14:paraId="64A47CF3" w14:textId="25673046" w:rsidR="00646110" w:rsidRPr="00A92C7A" w:rsidRDefault="00646110"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Employment to population ratio</w:t>
            </w:r>
          </w:p>
        </w:tc>
        <w:tc>
          <w:tcPr>
            <w:tcW w:w="0" w:type="auto"/>
          </w:tcPr>
          <w:p w14:paraId="155A5B0F" w14:textId="69B1B517" w:rsidR="00646110" w:rsidRPr="00A92C7A" w:rsidRDefault="009360A5"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74.5</w:t>
            </w:r>
          </w:p>
        </w:tc>
        <w:tc>
          <w:tcPr>
            <w:tcW w:w="0" w:type="auto"/>
            <w:shd w:val="clear" w:color="auto" w:fill="00B050"/>
          </w:tcPr>
          <w:p w14:paraId="46640DB0" w14:textId="7761F2DA"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11/79</w:t>
            </w:r>
          </w:p>
        </w:tc>
        <w:tc>
          <w:tcPr>
            <w:tcW w:w="0" w:type="auto"/>
          </w:tcPr>
          <w:p w14:paraId="076DFE78" w14:textId="4F662F30"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0</w:t>
            </w:r>
          </w:p>
        </w:tc>
        <w:tc>
          <w:tcPr>
            <w:tcW w:w="0" w:type="auto"/>
          </w:tcPr>
          <w:p w14:paraId="21C7F9CB" w14:textId="79ACFA66" w:rsidR="00646110" w:rsidRPr="00A92C7A" w:rsidRDefault="00C80C2E"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4A3BFC25" w14:textId="77777777" w:rsidTr="00B47E77">
        <w:tc>
          <w:tcPr>
            <w:tcW w:w="0" w:type="auto"/>
          </w:tcPr>
          <w:p w14:paraId="743844AB" w14:textId="3728313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Inclusion 1-7 (Best)</w:t>
            </w:r>
          </w:p>
        </w:tc>
        <w:tc>
          <w:tcPr>
            <w:tcW w:w="0" w:type="auto"/>
          </w:tcPr>
          <w:p w14:paraId="2DAF5260" w14:textId="3C68CAE2"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2.6</w:t>
            </w:r>
          </w:p>
        </w:tc>
        <w:tc>
          <w:tcPr>
            <w:tcW w:w="0" w:type="auto"/>
            <w:shd w:val="clear" w:color="auto" w:fill="FF0000"/>
          </w:tcPr>
          <w:p w14:paraId="39F80943" w14:textId="35DC8CD6" w:rsidR="000B354C" w:rsidRPr="00A92C7A" w:rsidRDefault="00B47E77"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68/79</w:t>
            </w:r>
          </w:p>
        </w:tc>
        <w:tc>
          <w:tcPr>
            <w:tcW w:w="0" w:type="auto"/>
          </w:tcPr>
          <w:p w14:paraId="7B8827C0" w14:textId="6ECB13E4"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-14.9%</w:t>
            </w:r>
          </w:p>
        </w:tc>
        <w:tc>
          <w:tcPr>
            <w:tcW w:w="0" w:type="auto"/>
          </w:tcPr>
          <w:p w14:paraId="3169FDD7" w14:textId="775716D2"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3C90E934" w14:textId="77777777" w:rsidTr="00B47E77">
        <w:tc>
          <w:tcPr>
            <w:tcW w:w="0" w:type="auto"/>
          </w:tcPr>
          <w:p w14:paraId="13E57C8E" w14:textId="3F8A8A54"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Net income inequality Gini (2014 data)</w:t>
            </w:r>
          </w:p>
        </w:tc>
        <w:tc>
          <w:tcPr>
            <w:tcW w:w="0" w:type="auto"/>
          </w:tcPr>
          <w:p w14:paraId="65E81765" w14:textId="5E057376"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41.4</w:t>
            </w:r>
          </w:p>
        </w:tc>
        <w:tc>
          <w:tcPr>
            <w:tcW w:w="0" w:type="auto"/>
            <w:shd w:val="clear" w:color="auto" w:fill="FFFF00"/>
          </w:tcPr>
          <w:p w14:paraId="13D6664B" w14:textId="77BF8A9B" w:rsidR="000B354C" w:rsidRPr="00A92C7A" w:rsidRDefault="00B47E77"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50/79</w:t>
            </w:r>
          </w:p>
        </w:tc>
        <w:tc>
          <w:tcPr>
            <w:tcW w:w="0" w:type="auto"/>
          </w:tcPr>
          <w:p w14:paraId="231F149A" w14:textId="44E64463"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+3.1</w:t>
            </w:r>
          </w:p>
        </w:tc>
        <w:tc>
          <w:tcPr>
            <w:tcW w:w="0" w:type="auto"/>
          </w:tcPr>
          <w:p w14:paraId="7A662B1D" w14:textId="4259B722"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19122C67" w14:textId="77777777" w:rsidTr="00B47E77">
        <w:tc>
          <w:tcPr>
            <w:tcW w:w="0" w:type="auto"/>
          </w:tcPr>
          <w:p w14:paraId="33226EB8" w14:textId="40BA8974"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Poverty rate (% of population living on less than $3.10/day at 2011 international prices</w:t>
            </w:r>
          </w:p>
        </w:tc>
        <w:tc>
          <w:tcPr>
            <w:tcW w:w="0" w:type="auto"/>
          </w:tcPr>
          <w:p w14:paraId="4AFE67ED" w14:textId="26B3F55A"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65</w:t>
            </w:r>
          </w:p>
        </w:tc>
        <w:tc>
          <w:tcPr>
            <w:tcW w:w="0" w:type="auto"/>
            <w:shd w:val="clear" w:color="auto" w:fill="FF0000"/>
          </w:tcPr>
          <w:p w14:paraId="1CE5DC32" w14:textId="5A056261"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63/79</w:t>
            </w:r>
          </w:p>
        </w:tc>
        <w:tc>
          <w:tcPr>
            <w:tcW w:w="0" w:type="auto"/>
          </w:tcPr>
          <w:p w14:paraId="393D2FA0" w14:textId="2B6176CB"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-4.4</w:t>
            </w:r>
          </w:p>
        </w:tc>
        <w:tc>
          <w:tcPr>
            <w:tcW w:w="0" w:type="auto"/>
          </w:tcPr>
          <w:p w14:paraId="7B58CF35" w14:textId="4C29E7A9"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67D2FBE5" w14:textId="77777777" w:rsidTr="00B47E77">
        <w:tc>
          <w:tcPr>
            <w:tcW w:w="0" w:type="auto"/>
          </w:tcPr>
          <w:p w14:paraId="47FE7AF3" w14:textId="6BC505A4"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Wealth inequality Gini</w:t>
            </w:r>
          </w:p>
        </w:tc>
        <w:tc>
          <w:tcPr>
            <w:tcW w:w="0" w:type="auto"/>
          </w:tcPr>
          <w:p w14:paraId="08BFA003" w14:textId="116ACD85"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81.4</w:t>
            </w:r>
          </w:p>
        </w:tc>
        <w:tc>
          <w:tcPr>
            <w:tcW w:w="0" w:type="auto"/>
            <w:shd w:val="clear" w:color="auto" w:fill="FFFF00"/>
          </w:tcPr>
          <w:p w14:paraId="3A6A3D80" w14:textId="66E7E9AC"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56/79</w:t>
            </w:r>
          </w:p>
        </w:tc>
        <w:tc>
          <w:tcPr>
            <w:tcW w:w="0" w:type="auto"/>
          </w:tcPr>
          <w:p w14:paraId="18C62A00" w14:textId="437B1DA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+12.7</w:t>
            </w:r>
          </w:p>
        </w:tc>
        <w:tc>
          <w:tcPr>
            <w:tcW w:w="0" w:type="auto"/>
          </w:tcPr>
          <w:p w14:paraId="0545F4F5" w14:textId="06D36181"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27D51B43" w14:textId="77777777" w:rsidTr="00B47E77">
        <w:tc>
          <w:tcPr>
            <w:tcW w:w="0" w:type="auto"/>
          </w:tcPr>
          <w:p w14:paraId="19003C1B" w14:textId="3C608CC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Median income $/day (PPP) per capita</w:t>
            </w:r>
          </w:p>
        </w:tc>
        <w:tc>
          <w:tcPr>
            <w:tcW w:w="0" w:type="auto"/>
          </w:tcPr>
          <w:p w14:paraId="390E8D4F" w14:textId="4C7BEFF9"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2.5</w:t>
            </w:r>
          </w:p>
        </w:tc>
        <w:tc>
          <w:tcPr>
            <w:tcW w:w="0" w:type="auto"/>
            <w:shd w:val="clear" w:color="auto" w:fill="FF0000"/>
          </w:tcPr>
          <w:p w14:paraId="7E4FDDB2" w14:textId="24340E1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60/79</w:t>
            </w:r>
          </w:p>
        </w:tc>
        <w:tc>
          <w:tcPr>
            <w:tcW w:w="0" w:type="auto"/>
          </w:tcPr>
          <w:p w14:paraId="58F8F93D" w14:textId="7F0ADB2E"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+0.2</w:t>
            </w:r>
          </w:p>
        </w:tc>
        <w:tc>
          <w:tcPr>
            <w:tcW w:w="0" w:type="auto"/>
          </w:tcPr>
          <w:p w14:paraId="627E7180" w14:textId="765056A5"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31CB08E6" w14:textId="77777777" w:rsidTr="00B47E77">
        <w:tc>
          <w:tcPr>
            <w:tcW w:w="0" w:type="auto"/>
          </w:tcPr>
          <w:p w14:paraId="16931A06" w14:textId="1CE0FF8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Intergenerational equity 1-7 (best)</w:t>
            </w:r>
          </w:p>
        </w:tc>
        <w:tc>
          <w:tcPr>
            <w:tcW w:w="0" w:type="auto"/>
          </w:tcPr>
          <w:p w14:paraId="245A0357" w14:textId="1845549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4.26</w:t>
            </w:r>
          </w:p>
        </w:tc>
        <w:tc>
          <w:tcPr>
            <w:tcW w:w="0" w:type="auto"/>
            <w:shd w:val="clear" w:color="auto" w:fill="FF0000"/>
          </w:tcPr>
          <w:p w14:paraId="2C3EEC0F" w14:textId="610219B2"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65/79</w:t>
            </w:r>
          </w:p>
        </w:tc>
        <w:tc>
          <w:tcPr>
            <w:tcW w:w="0" w:type="auto"/>
          </w:tcPr>
          <w:p w14:paraId="04F2D1EC" w14:textId="4E11240A"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-3.4%</w:t>
            </w:r>
          </w:p>
        </w:tc>
        <w:tc>
          <w:tcPr>
            <w:tcW w:w="0" w:type="auto"/>
          </w:tcPr>
          <w:p w14:paraId="726BEF5F" w14:textId="048A6229"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3A59431D" w14:textId="77777777" w:rsidTr="00B47E77">
        <w:tc>
          <w:tcPr>
            <w:tcW w:w="0" w:type="auto"/>
          </w:tcPr>
          <w:p w14:paraId="3A052312" w14:textId="3067801F"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Adjusted net savings as % GNI</w:t>
            </w:r>
          </w:p>
        </w:tc>
        <w:tc>
          <w:tcPr>
            <w:tcW w:w="0" w:type="auto"/>
          </w:tcPr>
          <w:p w14:paraId="721F3164" w14:textId="027DD5D1"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3.3</w:t>
            </w:r>
          </w:p>
        </w:tc>
        <w:tc>
          <w:tcPr>
            <w:tcW w:w="0" w:type="auto"/>
            <w:shd w:val="clear" w:color="auto" w:fill="FFFF00"/>
          </w:tcPr>
          <w:p w14:paraId="31B6D0F3" w14:textId="03704BE7"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59/79</w:t>
            </w:r>
          </w:p>
        </w:tc>
        <w:tc>
          <w:tcPr>
            <w:tcW w:w="0" w:type="auto"/>
          </w:tcPr>
          <w:p w14:paraId="4D7ACB6D" w14:textId="28AE7A76"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-1.7</w:t>
            </w:r>
          </w:p>
        </w:tc>
        <w:tc>
          <w:tcPr>
            <w:tcW w:w="0" w:type="auto"/>
          </w:tcPr>
          <w:p w14:paraId="7ADAE392" w14:textId="00558EDB"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4DFEE7C6" w14:textId="77777777" w:rsidTr="00B47E77">
        <w:tc>
          <w:tcPr>
            <w:tcW w:w="0" w:type="auto"/>
          </w:tcPr>
          <w:p w14:paraId="1D6DC75E" w14:textId="775F4AD9"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Carbon intensity of GDP KtCO2/$bn GDP</w:t>
            </w:r>
          </w:p>
        </w:tc>
        <w:tc>
          <w:tcPr>
            <w:tcW w:w="0" w:type="auto"/>
          </w:tcPr>
          <w:p w14:paraId="17862663" w14:textId="45E962FD"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22.4</w:t>
            </w:r>
          </w:p>
        </w:tc>
        <w:tc>
          <w:tcPr>
            <w:tcW w:w="0" w:type="auto"/>
            <w:shd w:val="clear" w:color="auto" w:fill="00B050"/>
          </w:tcPr>
          <w:p w14:paraId="107B5126" w14:textId="1D7021FB"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5/79</w:t>
            </w:r>
          </w:p>
        </w:tc>
        <w:tc>
          <w:tcPr>
            <w:tcW w:w="0" w:type="auto"/>
          </w:tcPr>
          <w:p w14:paraId="65E4E696" w14:textId="628A6DC1"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-16.4</w:t>
            </w:r>
          </w:p>
        </w:tc>
        <w:tc>
          <w:tcPr>
            <w:tcW w:w="0" w:type="auto"/>
          </w:tcPr>
          <w:p w14:paraId="196EE2C9" w14:textId="193D80FE"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6D85EBDF" w14:textId="77777777" w:rsidTr="00B47E77">
        <w:tc>
          <w:tcPr>
            <w:tcW w:w="0" w:type="auto"/>
          </w:tcPr>
          <w:p w14:paraId="2CDFB4EC" w14:textId="02EA4C33"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Public debt as % GDP</w:t>
            </w:r>
          </w:p>
        </w:tc>
        <w:tc>
          <w:tcPr>
            <w:tcW w:w="0" w:type="auto"/>
          </w:tcPr>
          <w:p w14:paraId="1D2C8E9D" w14:textId="1282E085"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34.4</w:t>
            </w:r>
          </w:p>
        </w:tc>
        <w:tc>
          <w:tcPr>
            <w:tcW w:w="0" w:type="auto"/>
            <w:shd w:val="clear" w:color="auto" w:fill="FFFF00"/>
          </w:tcPr>
          <w:p w14:paraId="5167DE72" w14:textId="0F40B542"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22/79</w:t>
            </w:r>
          </w:p>
        </w:tc>
        <w:tc>
          <w:tcPr>
            <w:tcW w:w="0" w:type="auto"/>
          </w:tcPr>
          <w:p w14:paraId="18CDAB36" w14:textId="47A7F5E5"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+10.7</w:t>
            </w:r>
          </w:p>
        </w:tc>
        <w:tc>
          <w:tcPr>
            <w:tcW w:w="0" w:type="auto"/>
          </w:tcPr>
          <w:p w14:paraId="252DEA65" w14:textId="0318EE68"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r w:rsidR="000B354C" w:rsidRPr="00A92C7A" w14:paraId="31350978" w14:textId="77777777" w:rsidTr="000B354C">
        <w:tc>
          <w:tcPr>
            <w:tcW w:w="0" w:type="auto"/>
          </w:tcPr>
          <w:p w14:paraId="0BC3C68C" w14:textId="53977994"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Dependency ration % working age population</w:t>
            </w:r>
          </w:p>
        </w:tc>
        <w:tc>
          <w:tcPr>
            <w:tcW w:w="0" w:type="auto"/>
          </w:tcPr>
          <w:p w14:paraId="70A4973D" w14:textId="260DCBEB"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102.3</w:t>
            </w:r>
          </w:p>
        </w:tc>
        <w:tc>
          <w:tcPr>
            <w:tcW w:w="0" w:type="auto"/>
            <w:shd w:val="clear" w:color="auto" w:fill="FF0000"/>
          </w:tcPr>
          <w:p w14:paraId="754AE9B5" w14:textId="43AA84FD"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79/79</w:t>
            </w:r>
          </w:p>
        </w:tc>
        <w:tc>
          <w:tcPr>
            <w:tcW w:w="0" w:type="auto"/>
          </w:tcPr>
          <w:p w14:paraId="55F4A9FB" w14:textId="39B9929C"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-3.3</w:t>
            </w:r>
          </w:p>
        </w:tc>
        <w:tc>
          <w:tcPr>
            <w:tcW w:w="0" w:type="auto"/>
          </w:tcPr>
          <w:p w14:paraId="2629EB4F" w14:textId="136106CF" w:rsidR="000B354C" w:rsidRPr="00A92C7A" w:rsidRDefault="000B354C" w:rsidP="00587EDE">
            <w:pPr>
              <w:spacing w:after="0"/>
              <w:jc w:val="both"/>
              <w:rPr>
                <w:rFonts w:ascii="Times New Roman" w:hAnsi="Times New Roman" w:cs="Times New Roman"/>
                <w:sz w:val="20"/>
                <w:szCs w:val="20"/>
              </w:rPr>
            </w:pPr>
            <w:r w:rsidRPr="00A92C7A">
              <w:rPr>
                <w:rFonts w:ascii="Times New Roman" w:hAnsi="Times New Roman" w:cs="Times New Roman"/>
                <w:sz w:val="20"/>
                <w:szCs w:val="20"/>
              </w:rPr>
              <w:t>↓</w:t>
            </w:r>
          </w:p>
        </w:tc>
      </w:tr>
    </w:tbl>
    <w:p w14:paraId="5AFDF042" w14:textId="3C1B7C6E" w:rsidR="00053A70" w:rsidRPr="00F10F3B" w:rsidRDefault="00233B66" w:rsidP="00587EDE">
      <w:pPr>
        <w:spacing w:before="120" w:line="360" w:lineRule="auto"/>
        <w:jc w:val="both"/>
        <w:rPr>
          <w:rFonts w:ascii="Times New Roman" w:hAnsi="Times New Roman" w:cs="Times New Roman"/>
          <w:i/>
          <w:sz w:val="20"/>
          <w:szCs w:val="20"/>
        </w:rPr>
      </w:pPr>
      <w:r w:rsidRPr="00F10F3B">
        <w:rPr>
          <w:rFonts w:ascii="Times New Roman" w:hAnsi="Times New Roman" w:cs="Times New Roman"/>
          <w:i/>
          <w:sz w:val="20"/>
          <w:szCs w:val="20"/>
        </w:rPr>
        <w:t>Source: WEF, 2017</w:t>
      </w:r>
    </w:p>
    <w:p w14:paraId="05814B07" w14:textId="09671841" w:rsidR="00233B66" w:rsidRPr="00A92C7A" w:rsidRDefault="00233B66" w:rsidP="00587EDE">
      <w:pPr>
        <w:spacing w:line="360" w:lineRule="auto"/>
        <w:jc w:val="both"/>
        <w:rPr>
          <w:rFonts w:ascii="Times New Roman" w:hAnsi="Times New Roman" w:cs="Times New Roman"/>
          <w:sz w:val="24"/>
        </w:rPr>
      </w:pPr>
      <w:r w:rsidRPr="00A92C7A">
        <w:rPr>
          <w:rFonts w:ascii="Times New Roman" w:hAnsi="Times New Roman" w:cs="Times New Roman"/>
          <w:sz w:val="24"/>
        </w:rPr>
        <w:t xml:space="preserve">The colours used in the third column reflect Uganda’s position compared to its peers in the group of 79 </w:t>
      </w:r>
      <w:r w:rsidR="00F93FED" w:rsidRPr="00A92C7A">
        <w:rPr>
          <w:rFonts w:ascii="Times New Roman" w:hAnsi="Times New Roman" w:cs="Times New Roman"/>
          <w:sz w:val="24"/>
        </w:rPr>
        <w:t>de</w:t>
      </w:r>
      <w:r w:rsidRPr="00A92C7A">
        <w:rPr>
          <w:rFonts w:ascii="Times New Roman" w:hAnsi="Times New Roman" w:cs="Times New Roman"/>
          <w:sz w:val="24"/>
        </w:rPr>
        <w:t xml:space="preserve">veloping </w:t>
      </w:r>
      <w:r w:rsidR="00F93FED" w:rsidRPr="00A92C7A">
        <w:rPr>
          <w:rFonts w:ascii="Times New Roman" w:hAnsi="Times New Roman" w:cs="Times New Roman"/>
          <w:sz w:val="24"/>
        </w:rPr>
        <w:t>e</w:t>
      </w:r>
      <w:r w:rsidRPr="00A92C7A">
        <w:rPr>
          <w:rFonts w:ascii="Times New Roman" w:hAnsi="Times New Roman" w:cs="Times New Roman"/>
          <w:sz w:val="24"/>
        </w:rPr>
        <w:t>conomies with a per capita GDP below $1,320. Green indicates the top 25%, yellow the second, orange the third, and red the lowest 25% in the group. Where index scores are used, a scale of 1-7 is used, with 1 being the lowest or worst score and 7 the highest or best.</w:t>
      </w:r>
      <w:r w:rsidR="00140E4E" w:rsidRPr="00A92C7A">
        <w:rPr>
          <w:rFonts w:ascii="Times New Roman" w:hAnsi="Times New Roman" w:cs="Times New Roman"/>
          <w:sz w:val="24"/>
        </w:rPr>
        <w:t xml:space="preserve"> Overall, with a score of 3.28 out of seven, Uganda obtained the 64</w:t>
      </w:r>
      <w:r w:rsidR="00140E4E" w:rsidRPr="00A92C7A">
        <w:rPr>
          <w:rFonts w:ascii="Times New Roman" w:hAnsi="Times New Roman" w:cs="Times New Roman"/>
          <w:sz w:val="24"/>
          <w:vertAlign w:val="superscript"/>
        </w:rPr>
        <w:t>th</w:t>
      </w:r>
      <w:r w:rsidR="00140E4E" w:rsidRPr="00A92C7A">
        <w:rPr>
          <w:rFonts w:ascii="Times New Roman" w:hAnsi="Times New Roman" w:cs="Times New Roman"/>
          <w:sz w:val="24"/>
        </w:rPr>
        <w:t xml:space="preserve"> position of 79 developing </w:t>
      </w:r>
      <w:r w:rsidR="00F93FED" w:rsidRPr="00A92C7A">
        <w:rPr>
          <w:rFonts w:ascii="Times New Roman" w:hAnsi="Times New Roman" w:cs="Times New Roman"/>
          <w:sz w:val="24"/>
        </w:rPr>
        <w:t>economies</w:t>
      </w:r>
      <w:r w:rsidR="00140E4E" w:rsidRPr="00A92C7A">
        <w:rPr>
          <w:rFonts w:ascii="Times New Roman" w:hAnsi="Times New Roman" w:cs="Times New Roman"/>
          <w:sz w:val="24"/>
        </w:rPr>
        <w:t xml:space="preserve"> at the same level of Namibia</w:t>
      </w:r>
      <w:r w:rsidR="00F93FED" w:rsidRPr="00A92C7A">
        <w:rPr>
          <w:rFonts w:ascii="Times New Roman" w:hAnsi="Times New Roman" w:cs="Times New Roman"/>
          <w:sz w:val="24"/>
        </w:rPr>
        <w:t xml:space="preserve"> and just above Kenya.</w:t>
      </w:r>
    </w:p>
    <w:p w14:paraId="7E615C64" w14:textId="482547AA" w:rsidR="00E8033E" w:rsidRPr="00F10F3B" w:rsidRDefault="002258BC" w:rsidP="00587EDE">
      <w:pPr>
        <w:pStyle w:val="Heading2"/>
        <w:spacing w:line="360" w:lineRule="auto"/>
        <w:rPr>
          <w:rFonts w:cs="Times New Roman"/>
        </w:rPr>
      </w:pPr>
      <w:r w:rsidRPr="00A92C7A">
        <w:rPr>
          <w:rFonts w:cs="Times New Roman"/>
          <w:sz w:val="22"/>
          <w:szCs w:val="21"/>
        </w:rPr>
        <w:br w:type="page"/>
      </w:r>
      <w:bookmarkStart w:id="70" w:name="_Toc3454228"/>
      <w:bookmarkStart w:id="71" w:name="_Toc9269393"/>
      <w:r w:rsidR="00E8033E" w:rsidRPr="00F10F3B">
        <w:rPr>
          <w:rFonts w:cs="Times New Roman"/>
        </w:rPr>
        <w:lastRenderedPageBreak/>
        <w:t xml:space="preserve">Annex </w:t>
      </w:r>
      <w:r w:rsidR="001B1A88">
        <w:rPr>
          <w:rFonts w:cs="Times New Roman"/>
        </w:rPr>
        <w:t>5</w:t>
      </w:r>
      <w:r w:rsidR="00E8033E" w:rsidRPr="00F10F3B">
        <w:rPr>
          <w:rFonts w:cs="Times New Roman"/>
        </w:rPr>
        <w:t xml:space="preserve">: </w:t>
      </w:r>
      <w:r w:rsidR="001A39AE" w:rsidRPr="00F10F3B">
        <w:rPr>
          <w:rFonts w:cs="Times New Roman"/>
        </w:rPr>
        <w:t xml:space="preserve">Alignment of </w:t>
      </w:r>
      <w:r w:rsidR="00526C39" w:rsidRPr="00F10F3B">
        <w:rPr>
          <w:rFonts w:cs="Times New Roman"/>
        </w:rPr>
        <w:t>sector plans and budgets to NDPII (FY2014/15-17/18)</w:t>
      </w:r>
      <w:bookmarkEnd w:id="70"/>
      <w:bookmarkEnd w:id="71"/>
      <w:r w:rsidR="00E8033E" w:rsidRPr="00F10F3B">
        <w:rPr>
          <w:rFonts w:cs="Times New Roman"/>
        </w:rPr>
        <w:t xml:space="preserve"> </w:t>
      </w:r>
    </w:p>
    <w:tbl>
      <w:tblPr>
        <w:tblStyle w:val="TableGrid"/>
        <w:tblW w:w="5000" w:type="pct"/>
        <w:tblLayout w:type="fixed"/>
        <w:tblLook w:val="04A0" w:firstRow="1" w:lastRow="0" w:firstColumn="1" w:lastColumn="0" w:noHBand="0" w:noVBand="1"/>
      </w:tblPr>
      <w:tblGrid>
        <w:gridCol w:w="3258"/>
        <w:gridCol w:w="1416"/>
        <w:gridCol w:w="4342"/>
      </w:tblGrid>
      <w:tr w:rsidR="001A39AE" w:rsidRPr="00F10F3B" w14:paraId="31F36F81" w14:textId="3BD4517A" w:rsidTr="00EC7541">
        <w:trPr>
          <w:tblHeader/>
        </w:trPr>
        <w:tc>
          <w:tcPr>
            <w:tcW w:w="1807" w:type="pct"/>
            <w:shd w:val="clear" w:color="auto" w:fill="C5E0B3" w:themeFill="accent6" w:themeFillTint="66"/>
          </w:tcPr>
          <w:p w14:paraId="1CC44E10" w14:textId="44CA0342" w:rsidR="001A39AE" w:rsidRPr="00F10F3B" w:rsidRDefault="001A39A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w:t>
            </w:r>
          </w:p>
        </w:tc>
        <w:tc>
          <w:tcPr>
            <w:tcW w:w="785" w:type="pct"/>
            <w:shd w:val="clear" w:color="auto" w:fill="C5E0B3" w:themeFill="accent6" w:themeFillTint="66"/>
          </w:tcPr>
          <w:p w14:paraId="7765C568" w14:textId="5CEF2820" w:rsidR="001A39AE" w:rsidRPr="00F10F3B" w:rsidRDefault="00FA337D"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Alignment</w:t>
            </w:r>
            <w:r w:rsidR="007D47E9" w:rsidRPr="00F10F3B">
              <w:rPr>
                <w:rFonts w:ascii="Times New Roman" w:hAnsi="Times New Roman" w:cs="Times New Roman"/>
                <w:sz w:val="20"/>
                <w:szCs w:val="20"/>
              </w:rPr>
              <w:t xml:space="preserve"> (%)</w:t>
            </w:r>
          </w:p>
        </w:tc>
        <w:tc>
          <w:tcPr>
            <w:tcW w:w="2408" w:type="pct"/>
            <w:shd w:val="clear" w:color="auto" w:fill="C5E0B3" w:themeFill="accent6" w:themeFillTint="66"/>
          </w:tcPr>
          <w:p w14:paraId="5B467D8D" w14:textId="213F5632" w:rsidR="001A39AE" w:rsidRPr="00F10F3B" w:rsidRDefault="00FA337D"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Critical issues to address</w:t>
            </w:r>
          </w:p>
        </w:tc>
      </w:tr>
      <w:tr w:rsidR="0077207C" w:rsidRPr="00F10F3B" w14:paraId="75A17424" w14:textId="77777777" w:rsidTr="00184B10">
        <w:trPr>
          <w:trHeight w:val="204"/>
        </w:trPr>
        <w:tc>
          <w:tcPr>
            <w:tcW w:w="1807" w:type="pct"/>
            <w:vMerge w:val="restart"/>
          </w:tcPr>
          <w:p w14:paraId="58693D15" w14:textId="77777777" w:rsidR="0077207C" w:rsidRPr="00F10F3B" w:rsidRDefault="0077207C"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1. Agriculture</w:t>
            </w:r>
          </w:p>
          <w:p w14:paraId="58593308"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Planning processes: 86%</w:t>
            </w:r>
          </w:p>
          <w:p w14:paraId="7107A307"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Sector project alignments: 66.5%</w:t>
            </w:r>
          </w:p>
          <w:p w14:paraId="4D063DAD"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BFP and Budget alignment: 22.5%</w:t>
            </w:r>
          </w:p>
          <w:p w14:paraId="0378F2B0"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Budget release and execution: 52%</w:t>
            </w:r>
          </w:p>
        </w:tc>
        <w:tc>
          <w:tcPr>
            <w:tcW w:w="785" w:type="pct"/>
          </w:tcPr>
          <w:p w14:paraId="5202FF6F" w14:textId="6FB5BB81" w:rsidR="0077207C" w:rsidRPr="00F10F3B" w:rsidRDefault="007D47E9"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w:t>
            </w:r>
            <w:r w:rsidR="007A5F5E" w:rsidRPr="00F10F3B">
              <w:rPr>
                <w:rFonts w:ascii="Times New Roman" w:hAnsi="Times New Roman" w:cs="Times New Roman"/>
                <w:sz w:val="20"/>
                <w:szCs w:val="20"/>
              </w:rPr>
              <w:t xml:space="preserve">17/18: </w:t>
            </w:r>
            <w:r w:rsidR="0077207C" w:rsidRPr="00F10F3B">
              <w:rPr>
                <w:rFonts w:ascii="Times New Roman" w:hAnsi="Times New Roman" w:cs="Times New Roman"/>
                <w:sz w:val="20"/>
                <w:szCs w:val="20"/>
              </w:rPr>
              <w:t>50</w:t>
            </w:r>
            <w:r w:rsidRPr="00F10F3B">
              <w:rPr>
                <w:rFonts w:ascii="Times New Roman" w:hAnsi="Times New Roman" w:cs="Times New Roman"/>
                <w:sz w:val="20"/>
                <w:szCs w:val="20"/>
              </w:rPr>
              <w:t>.9</w:t>
            </w:r>
          </w:p>
        </w:tc>
        <w:tc>
          <w:tcPr>
            <w:tcW w:w="2408" w:type="pct"/>
            <w:vMerge w:val="restart"/>
          </w:tcPr>
          <w:p w14:paraId="4BEC6E2D" w14:textId="4644849A" w:rsidR="0077207C" w:rsidRPr="00F10F3B" w:rsidRDefault="0077207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Financial resources spread too thinly: provide adequate resources to NDPII priority interventions. </w:t>
            </w:r>
          </w:p>
          <w:p w14:paraId="34C7F226" w14:textId="6DEF67C7" w:rsidR="0077207C" w:rsidRPr="00F10F3B" w:rsidRDefault="00BD50F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Slow release of funds. </w:t>
            </w:r>
            <w:r w:rsidR="0077207C" w:rsidRPr="00F10F3B">
              <w:rPr>
                <w:rFonts w:ascii="Times New Roman" w:hAnsi="Times New Roman" w:cs="Times New Roman"/>
                <w:sz w:val="20"/>
                <w:szCs w:val="20"/>
              </w:rPr>
              <w:t>Consolidate projects to reduce duplication and overheads. Increase agricultural research funding.</w:t>
            </w:r>
          </w:p>
        </w:tc>
      </w:tr>
      <w:tr w:rsidR="0077207C" w:rsidRPr="00F10F3B" w14:paraId="4113A8BE" w14:textId="77777777" w:rsidTr="00184B10">
        <w:trPr>
          <w:trHeight w:val="240"/>
        </w:trPr>
        <w:tc>
          <w:tcPr>
            <w:tcW w:w="1807" w:type="pct"/>
            <w:vMerge/>
          </w:tcPr>
          <w:p w14:paraId="02F2D4FA" w14:textId="77777777" w:rsidR="0077207C" w:rsidRPr="00F10F3B" w:rsidRDefault="0077207C"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8E11A4A" w14:textId="4C12C9F7" w:rsidR="0077207C" w:rsidRPr="00F10F3B" w:rsidRDefault="007D47E9"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57.0</w:t>
            </w:r>
          </w:p>
        </w:tc>
        <w:tc>
          <w:tcPr>
            <w:tcW w:w="2408" w:type="pct"/>
            <w:vMerge/>
          </w:tcPr>
          <w:p w14:paraId="2EBA6DD1" w14:textId="60883047" w:rsidR="0077207C" w:rsidRPr="00F10F3B" w:rsidRDefault="0077207C" w:rsidP="00587EDE">
            <w:pPr>
              <w:pStyle w:val="ListParagraph"/>
              <w:spacing w:after="0" w:line="360" w:lineRule="auto"/>
              <w:ind w:left="0"/>
              <w:jc w:val="both"/>
              <w:rPr>
                <w:rFonts w:ascii="Times New Roman" w:hAnsi="Times New Roman" w:cs="Times New Roman"/>
                <w:sz w:val="20"/>
                <w:szCs w:val="20"/>
              </w:rPr>
            </w:pPr>
          </w:p>
        </w:tc>
      </w:tr>
      <w:tr w:rsidR="0077207C" w:rsidRPr="00F10F3B" w14:paraId="6199DD5A" w14:textId="77777777" w:rsidTr="00184B10">
        <w:trPr>
          <w:trHeight w:val="255"/>
        </w:trPr>
        <w:tc>
          <w:tcPr>
            <w:tcW w:w="1807" w:type="pct"/>
            <w:vMerge/>
          </w:tcPr>
          <w:p w14:paraId="4FC268CA" w14:textId="77777777" w:rsidR="0077207C" w:rsidRPr="00F10F3B" w:rsidRDefault="0077207C"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703AF947" w14:textId="37B41B4C" w:rsidR="0077207C" w:rsidRPr="00F10F3B" w:rsidRDefault="007D47E9"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w:t>
            </w:r>
            <w:r w:rsidR="0053326F" w:rsidRPr="00F10F3B">
              <w:rPr>
                <w:rFonts w:ascii="Times New Roman" w:hAnsi="Times New Roman" w:cs="Times New Roman"/>
                <w:sz w:val="20"/>
                <w:szCs w:val="20"/>
              </w:rPr>
              <w:t>15/1</w:t>
            </w:r>
            <w:r w:rsidR="00D478A6" w:rsidRPr="00F10F3B">
              <w:rPr>
                <w:rFonts w:ascii="Times New Roman" w:hAnsi="Times New Roman" w:cs="Times New Roman"/>
                <w:sz w:val="20"/>
                <w:szCs w:val="20"/>
              </w:rPr>
              <w:t>6</w:t>
            </w:r>
            <w:r w:rsidR="0053326F" w:rsidRPr="00F10F3B">
              <w:rPr>
                <w:rFonts w:ascii="Times New Roman" w:hAnsi="Times New Roman" w:cs="Times New Roman"/>
                <w:sz w:val="20"/>
                <w:szCs w:val="20"/>
              </w:rPr>
              <w:t>: 56.1</w:t>
            </w:r>
          </w:p>
        </w:tc>
        <w:tc>
          <w:tcPr>
            <w:tcW w:w="2408" w:type="pct"/>
            <w:vMerge/>
          </w:tcPr>
          <w:p w14:paraId="217A0837"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p>
        </w:tc>
      </w:tr>
      <w:tr w:rsidR="0077207C" w:rsidRPr="00F10F3B" w14:paraId="686B00DE" w14:textId="77777777" w:rsidTr="00184B10">
        <w:trPr>
          <w:trHeight w:val="285"/>
        </w:trPr>
        <w:tc>
          <w:tcPr>
            <w:tcW w:w="1807" w:type="pct"/>
            <w:vMerge/>
          </w:tcPr>
          <w:p w14:paraId="7B65896D" w14:textId="77777777" w:rsidR="0077207C" w:rsidRPr="00F10F3B" w:rsidRDefault="0077207C"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156193B" w14:textId="531A26B6" w:rsidR="0077207C" w:rsidRPr="00F10F3B" w:rsidRDefault="0053326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59264" behindDoc="0" locked="0" layoutInCell="1" allowOverlap="1" wp14:anchorId="7ED14E64" wp14:editId="0C98CB4A">
                      <wp:simplePos x="0" y="0"/>
                      <wp:positionH relativeFrom="column">
                        <wp:posOffset>297815</wp:posOffset>
                      </wp:positionH>
                      <wp:positionV relativeFrom="paragraph">
                        <wp:posOffset>40640</wp:posOffset>
                      </wp:positionV>
                      <wp:extent cx="200025" cy="209550"/>
                      <wp:effectExtent l="19050" t="0" r="28575" b="38100"/>
                      <wp:wrapNone/>
                      <wp:docPr id="1" name="Arrow: Down 1"/>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E14A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3.45pt;margin-top:3.2pt;width:15.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" adj="11291" fillcolor="#4472c4 [3204]" strokecolor="#1f3763 [1604]" strokeweight="1pt"/>
                  </w:pict>
                </mc:Fallback>
              </mc:AlternateContent>
            </w:r>
          </w:p>
        </w:tc>
        <w:tc>
          <w:tcPr>
            <w:tcW w:w="2408" w:type="pct"/>
            <w:vMerge/>
          </w:tcPr>
          <w:p w14:paraId="5F129F02" w14:textId="77777777" w:rsidR="0077207C" w:rsidRPr="00F10F3B" w:rsidRDefault="0077207C" w:rsidP="00587EDE">
            <w:pPr>
              <w:pStyle w:val="ListParagraph"/>
              <w:spacing w:after="0" w:line="360" w:lineRule="auto"/>
              <w:ind w:left="0"/>
              <w:jc w:val="both"/>
              <w:rPr>
                <w:rFonts w:ascii="Times New Roman" w:hAnsi="Times New Roman" w:cs="Times New Roman"/>
                <w:sz w:val="20"/>
                <w:szCs w:val="20"/>
              </w:rPr>
            </w:pPr>
          </w:p>
        </w:tc>
      </w:tr>
      <w:tr w:rsidR="00184B10" w:rsidRPr="00F10F3B" w14:paraId="141D858D" w14:textId="77777777" w:rsidTr="00184B10">
        <w:trPr>
          <w:trHeight w:val="240"/>
        </w:trPr>
        <w:tc>
          <w:tcPr>
            <w:tcW w:w="1807" w:type="pct"/>
            <w:vMerge w:val="restart"/>
          </w:tcPr>
          <w:p w14:paraId="4DF18F33"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2. Health</w:t>
            </w:r>
          </w:p>
          <w:p w14:paraId="470F76C3"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Planning processes: 88%</w:t>
            </w:r>
          </w:p>
          <w:p w14:paraId="374BEB82"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Sector project alignment: 38.1%</w:t>
            </w:r>
          </w:p>
          <w:p w14:paraId="7696BDCE"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BFP and Budget alignment: 67.6%</w:t>
            </w:r>
          </w:p>
          <w:p w14:paraId="0FFC710A"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Budget release and execution: 37.3%</w:t>
            </w:r>
          </w:p>
        </w:tc>
        <w:tc>
          <w:tcPr>
            <w:tcW w:w="785" w:type="pct"/>
          </w:tcPr>
          <w:p w14:paraId="62894102" w14:textId="339BDFCD" w:rsidR="00184B10" w:rsidRPr="00F10F3B" w:rsidRDefault="008C097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FY17/18: </w:t>
            </w:r>
            <w:r w:rsidR="00184B10" w:rsidRPr="00F10F3B">
              <w:rPr>
                <w:rFonts w:ascii="Times New Roman" w:hAnsi="Times New Roman" w:cs="Times New Roman"/>
                <w:sz w:val="20"/>
                <w:szCs w:val="20"/>
              </w:rPr>
              <w:t>51.7</w:t>
            </w:r>
          </w:p>
        </w:tc>
        <w:tc>
          <w:tcPr>
            <w:tcW w:w="2408" w:type="pct"/>
            <w:vMerge w:val="restart"/>
          </w:tcPr>
          <w:p w14:paraId="468FC24B" w14:textId="41862B80"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Improve budget execution rates for projects</w:t>
            </w:r>
            <w:r w:rsidR="00BD50F0" w:rsidRPr="00F10F3B">
              <w:rPr>
                <w:rFonts w:ascii="Times New Roman" w:hAnsi="Times New Roman" w:cs="Times New Roman"/>
                <w:sz w:val="20"/>
                <w:szCs w:val="20"/>
              </w:rPr>
              <w:t xml:space="preserve"> through improved PIM. </w:t>
            </w:r>
            <w:r w:rsidRPr="00F10F3B">
              <w:rPr>
                <w:rFonts w:ascii="Times New Roman" w:hAnsi="Times New Roman" w:cs="Times New Roman"/>
                <w:sz w:val="20"/>
                <w:szCs w:val="20"/>
              </w:rPr>
              <w:t>Improve allocations to health personnel and health promotion. Address financing issues e.g. national health insurance bill and improve alignment of projects to NDPII</w:t>
            </w:r>
          </w:p>
        </w:tc>
      </w:tr>
      <w:tr w:rsidR="00184B10" w:rsidRPr="00F10F3B" w14:paraId="290495C4" w14:textId="77777777" w:rsidTr="00184B10">
        <w:trPr>
          <w:trHeight w:val="216"/>
        </w:trPr>
        <w:tc>
          <w:tcPr>
            <w:tcW w:w="1807" w:type="pct"/>
            <w:vMerge/>
          </w:tcPr>
          <w:p w14:paraId="5C750655"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1080DFD8" w14:textId="0F661FFE" w:rsidR="00184B10" w:rsidRPr="00F10F3B" w:rsidRDefault="008C097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D478A6" w:rsidRPr="00F10F3B">
              <w:rPr>
                <w:rFonts w:ascii="Times New Roman" w:hAnsi="Times New Roman" w:cs="Times New Roman"/>
                <w:sz w:val="20"/>
                <w:szCs w:val="20"/>
              </w:rPr>
              <w:t xml:space="preserve"> 51.0</w:t>
            </w:r>
          </w:p>
        </w:tc>
        <w:tc>
          <w:tcPr>
            <w:tcW w:w="2408" w:type="pct"/>
            <w:vMerge/>
          </w:tcPr>
          <w:p w14:paraId="3B1829B3"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p>
        </w:tc>
      </w:tr>
      <w:tr w:rsidR="00184B10" w:rsidRPr="00F10F3B" w14:paraId="12BFF65D" w14:textId="77777777" w:rsidTr="00184B10">
        <w:trPr>
          <w:trHeight w:val="240"/>
        </w:trPr>
        <w:tc>
          <w:tcPr>
            <w:tcW w:w="1807" w:type="pct"/>
            <w:vMerge/>
          </w:tcPr>
          <w:p w14:paraId="6AFFD20B"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7329E901" w14:textId="10F1D060" w:rsidR="00184B10" w:rsidRPr="00F10F3B" w:rsidRDefault="008C097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w:t>
            </w:r>
            <w:r w:rsidR="00D478A6" w:rsidRPr="00F10F3B">
              <w:rPr>
                <w:rFonts w:ascii="Times New Roman" w:hAnsi="Times New Roman" w:cs="Times New Roman"/>
                <w:sz w:val="20"/>
                <w:szCs w:val="20"/>
              </w:rPr>
              <w:t>16: 52.9</w:t>
            </w:r>
          </w:p>
        </w:tc>
        <w:tc>
          <w:tcPr>
            <w:tcW w:w="2408" w:type="pct"/>
            <w:vMerge/>
          </w:tcPr>
          <w:p w14:paraId="29DCB2B1"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p>
        </w:tc>
      </w:tr>
      <w:tr w:rsidR="00184B10" w:rsidRPr="00F10F3B" w14:paraId="64199FAD" w14:textId="77777777" w:rsidTr="00184B10">
        <w:trPr>
          <w:trHeight w:val="492"/>
        </w:trPr>
        <w:tc>
          <w:tcPr>
            <w:tcW w:w="1807" w:type="pct"/>
            <w:vMerge/>
          </w:tcPr>
          <w:p w14:paraId="6BF468DF"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1A683205" w14:textId="1C6DB6DC" w:rsidR="00184B10" w:rsidRPr="00F10F3B" w:rsidRDefault="00D478A6"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61312" behindDoc="0" locked="0" layoutInCell="1" allowOverlap="1" wp14:anchorId="1D0FC679" wp14:editId="2B25AC20">
                      <wp:simplePos x="0" y="0"/>
                      <wp:positionH relativeFrom="column">
                        <wp:posOffset>305435</wp:posOffset>
                      </wp:positionH>
                      <wp:positionV relativeFrom="paragraph">
                        <wp:posOffset>43180</wp:posOffset>
                      </wp:positionV>
                      <wp:extent cx="200025" cy="209550"/>
                      <wp:effectExtent l="19050" t="0" r="28575" b="38100"/>
                      <wp:wrapNone/>
                      <wp:docPr id="4" name="Arrow: Down 4"/>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7781EA" id="Arrow: Down 4" o:spid="_x0000_s1026" type="#_x0000_t67" style="position:absolute;margin-left:24.05pt;margin-top:3.4pt;width:15.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" adj="11291" fillcolor="#4472c4 [3204]" strokecolor="#1f3763 [1604]" strokeweight="1pt"/>
                  </w:pict>
                </mc:Fallback>
              </mc:AlternateContent>
            </w:r>
          </w:p>
        </w:tc>
        <w:tc>
          <w:tcPr>
            <w:tcW w:w="2408" w:type="pct"/>
            <w:vMerge/>
          </w:tcPr>
          <w:p w14:paraId="2A5398CC"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p>
        </w:tc>
      </w:tr>
      <w:tr w:rsidR="00184B10" w:rsidRPr="00F10F3B" w14:paraId="7D1DA698" w14:textId="77777777" w:rsidTr="00184B10">
        <w:trPr>
          <w:trHeight w:val="252"/>
        </w:trPr>
        <w:tc>
          <w:tcPr>
            <w:tcW w:w="1807" w:type="pct"/>
            <w:vMerge w:val="restart"/>
          </w:tcPr>
          <w:p w14:paraId="4B991E94"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3. Education</w:t>
            </w:r>
          </w:p>
          <w:p w14:paraId="4C3701FC"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Planning processes: 94%</w:t>
            </w:r>
          </w:p>
          <w:p w14:paraId="755401CD"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Sector project alignment: 33.4%</w:t>
            </w:r>
          </w:p>
          <w:p w14:paraId="32D60CD6" w14:textId="77777777"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BFP and Budget alignment: 59.4%</w:t>
            </w:r>
          </w:p>
          <w:p w14:paraId="58B72EDB" w14:textId="77777777" w:rsidR="00184B10" w:rsidRPr="00F10F3B" w:rsidRDefault="00184B10"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Budget release and execution: 45.6%</w:t>
            </w:r>
          </w:p>
        </w:tc>
        <w:tc>
          <w:tcPr>
            <w:tcW w:w="785" w:type="pct"/>
          </w:tcPr>
          <w:p w14:paraId="068D5B7B" w14:textId="4D183A01"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50.</w:t>
            </w:r>
            <w:r w:rsidR="008C0974" w:rsidRPr="00F10F3B">
              <w:rPr>
                <w:rFonts w:ascii="Times New Roman" w:hAnsi="Times New Roman" w:cs="Times New Roman"/>
                <w:sz w:val="20"/>
                <w:szCs w:val="20"/>
              </w:rPr>
              <w:t>9</w:t>
            </w:r>
          </w:p>
        </w:tc>
        <w:tc>
          <w:tcPr>
            <w:tcW w:w="2408" w:type="pct"/>
            <w:vMerge w:val="restart"/>
          </w:tcPr>
          <w:p w14:paraId="77FB41F1" w14:textId="25D00873" w:rsidR="00184B10" w:rsidRPr="00F10F3B" w:rsidRDefault="00184B1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Improve intra-sectoral engagement to help translate sector and MDA plans into the BFP and AB. Address capacity gaps in the area of project preparation and execution. Ensure that projects funded are NDPII projects. </w:t>
            </w:r>
          </w:p>
        </w:tc>
      </w:tr>
      <w:tr w:rsidR="007344CE" w:rsidRPr="00F10F3B" w14:paraId="45E2F499" w14:textId="77777777" w:rsidTr="00184B10">
        <w:trPr>
          <w:trHeight w:val="252"/>
        </w:trPr>
        <w:tc>
          <w:tcPr>
            <w:tcW w:w="1807" w:type="pct"/>
            <w:vMerge/>
          </w:tcPr>
          <w:p w14:paraId="5780FDF1" w14:textId="77777777" w:rsidR="007344CE" w:rsidRPr="00F10F3B" w:rsidRDefault="007344CE"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A9AE929" w14:textId="431A8B6E" w:rsidR="007344CE" w:rsidRPr="00F10F3B" w:rsidRDefault="007344C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60.4</w:t>
            </w:r>
          </w:p>
        </w:tc>
        <w:tc>
          <w:tcPr>
            <w:tcW w:w="2408" w:type="pct"/>
            <w:vMerge/>
          </w:tcPr>
          <w:p w14:paraId="73EF7EDE" w14:textId="77777777" w:rsidR="007344CE" w:rsidRPr="00F10F3B" w:rsidRDefault="007344CE" w:rsidP="00587EDE">
            <w:pPr>
              <w:pStyle w:val="ListParagraph"/>
              <w:spacing w:after="0" w:line="360" w:lineRule="auto"/>
              <w:ind w:left="0"/>
              <w:jc w:val="both"/>
              <w:rPr>
                <w:rFonts w:ascii="Times New Roman" w:hAnsi="Times New Roman" w:cs="Times New Roman"/>
                <w:sz w:val="20"/>
                <w:szCs w:val="20"/>
              </w:rPr>
            </w:pPr>
          </w:p>
        </w:tc>
      </w:tr>
      <w:tr w:rsidR="007344CE" w:rsidRPr="00F10F3B" w14:paraId="404435B3" w14:textId="77777777" w:rsidTr="00047A46">
        <w:trPr>
          <w:trHeight w:val="86"/>
        </w:trPr>
        <w:tc>
          <w:tcPr>
            <w:tcW w:w="1807" w:type="pct"/>
            <w:vMerge/>
          </w:tcPr>
          <w:p w14:paraId="646286B7" w14:textId="77777777" w:rsidR="007344CE" w:rsidRPr="00F10F3B" w:rsidRDefault="007344CE"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2D6FD9D" w14:textId="2644B5F5" w:rsidR="007344CE" w:rsidRPr="00F10F3B" w:rsidRDefault="007344C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FY15/16: </w:t>
            </w:r>
            <w:r w:rsidR="00047A46" w:rsidRPr="00F10F3B">
              <w:rPr>
                <w:rFonts w:ascii="Times New Roman" w:hAnsi="Times New Roman" w:cs="Times New Roman"/>
                <w:sz w:val="20"/>
                <w:szCs w:val="20"/>
              </w:rPr>
              <w:t>49.4</w:t>
            </w:r>
          </w:p>
        </w:tc>
        <w:tc>
          <w:tcPr>
            <w:tcW w:w="2408" w:type="pct"/>
            <w:vMerge/>
          </w:tcPr>
          <w:p w14:paraId="7CCC2F6C" w14:textId="77777777" w:rsidR="007344CE" w:rsidRPr="00F10F3B" w:rsidRDefault="007344CE" w:rsidP="00587EDE">
            <w:pPr>
              <w:pStyle w:val="ListParagraph"/>
              <w:spacing w:after="0" w:line="360" w:lineRule="auto"/>
              <w:ind w:left="0"/>
              <w:jc w:val="both"/>
              <w:rPr>
                <w:rFonts w:ascii="Times New Roman" w:hAnsi="Times New Roman" w:cs="Times New Roman"/>
                <w:sz w:val="20"/>
                <w:szCs w:val="20"/>
              </w:rPr>
            </w:pPr>
          </w:p>
        </w:tc>
      </w:tr>
      <w:tr w:rsidR="007344CE" w:rsidRPr="00F10F3B" w14:paraId="3662508C" w14:textId="77777777" w:rsidTr="00184B10">
        <w:trPr>
          <w:trHeight w:val="384"/>
        </w:trPr>
        <w:tc>
          <w:tcPr>
            <w:tcW w:w="1807" w:type="pct"/>
            <w:vMerge/>
          </w:tcPr>
          <w:p w14:paraId="2C7D921F" w14:textId="77777777" w:rsidR="007344CE" w:rsidRPr="00F10F3B" w:rsidRDefault="007344CE"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85B7C96" w14:textId="3B0312A9" w:rsidR="007344CE" w:rsidRPr="00F10F3B" w:rsidRDefault="00047A46"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63360" behindDoc="0" locked="0" layoutInCell="1" allowOverlap="1" wp14:anchorId="13F05187" wp14:editId="7FB504B0">
                      <wp:simplePos x="0" y="0"/>
                      <wp:positionH relativeFrom="column">
                        <wp:posOffset>313055</wp:posOffset>
                      </wp:positionH>
                      <wp:positionV relativeFrom="paragraph">
                        <wp:posOffset>25400</wp:posOffset>
                      </wp:positionV>
                      <wp:extent cx="200025" cy="209550"/>
                      <wp:effectExtent l="19050" t="19050" r="47625" b="19050"/>
                      <wp:wrapNone/>
                      <wp:docPr id="5" name="Arrow: Down 5"/>
                      <wp:cNvGraphicFramePr/>
                      <a:graphic xmlns:a="http://schemas.openxmlformats.org/drawingml/2006/main">
                        <a:graphicData uri="http://schemas.microsoft.com/office/word/2010/wordprocessingShape">
                          <wps:wsp>
                            <wps:cNvSpPr/>
                            <wps:spPr>
                              <a:xfrm rot="10800000">
                                <a:off x="0" y="0"/>
                                <a:ext cx="200025" cy="2095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100F80A" id="Arrow: Down 5" o:spid="_x0000_s1026" type="#_x0000_t67" style="position:absolute;margin-left:24.65pt;margin-top:2pt;width:15.75pt;height:16.5pt;rotation:180;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" adj="11291" fillcolor="#70ad47 [3209]" strokecolor="#1f3763 [1604]" strokeweight="1pt"/>
                  </w:pict>
                </mc:Fallback>
              </mc:AlternateContent>
            </w:r>
          </w:p>
        </w:tc>
        <w:tc>
          <w:tcPr>
            <w:tcW w:w="2408" w:type="pct"/>
            <w:vMerge/>
          </w:tcPr>
          <w:p w14:paraId="18C771B8" w14:textId="77777777" w:rsidR="007344CE" w:rsidRPr="00F10F3B" w:rsidRDefault="007344CE" w:rsidP="00587EDE">
            <w:pPr>
              <w:pStyle w:val="ListParagraph"/>
              <w:spacing w:after="0" w:line="360" w:lineRule="auto"/>
              <w:ind w:left="0"/>
              <w:jc w:val="both"/>
              <w:rPr>
                <w:rFonts w:ascii="Times New Roman" w:hAnsi="Times New Roman" w:cs="Times New Roman"/>
                <w:sz w:val="20"/>
                <w:szCs w:val="20"/>
              </w:rPr>
            </w:pPr>
          </w:p>
        </w:tc>
      </w:tr>
      <w:tr w:rsidR="00307C0F" w:rsidRPr="00F10F3B" w14:paraId="3F65F518" w14:textId="77777777" w:rsidTr="00762515">
        <w:trPr>
          <w:trHeight w:val="223"/>
        </w:trPr>
        <w:tc>
          <w:tcPr>
            <w:tcW w:w="1807" w:type="pct"/>
            <w:vMerge w:val="restart"/>
          </w:tcPr>
          <w:p w14:paraId="758D12B8" w14:textId="11469D9C" w:rsidR="00307C0F" w:rsidRPr="00F10F3B" w:rsidRDefault="00307C0F"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4. Water and environment</w:t>
            </w:r>
          </w:p>
          <w:p w14:paraId="401426A3" w14:textId="61A4BD30"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671387" w:rsidRPr="00F10F3B">
              <w:rPr>
                <w:rFonts w:ascii="Times New Roman" w:hAnsi="Times New Roman" w:cs="Times New Roman"/>
                <w:sz w:val="20"/>
                <w:szCs w:val="20"/>
              </w:rPr>
              <w:t>100</w:t>
            </w:r>
            <w:r w:rsidRPr="00F10F3B">
              <w:rPr>
                <w:rFonts w:ascii="Times New Roman" w:hAnsi="Times New Roman" w:cs="Times New Roman"/>
                <w:sz w:val="20"/>
                <w:szCs w:val="20"/>
              </w:rPr>
              <w:t>%</w:t>
            </w:r>
          </w:p>
          <w:p w14:paraId="601B168D" w14:textId="41E7C04D"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88694E" w:rsidRPr="00F10F3B">
              <w:rPr>
                <w:rFonts w:ascii="Times New Roman" w:hAnsi="Times New Roman" w:cs="Times New Roman"/>
                <w:sz w:val="20"/>
                <w:szCs w:val="20"/>
              </w:rPr>
              <w:t>57.5</w:t>
            </w:r>
            <w:r w:rsidRPr="00F10F3B">
              <w:rPr>
                <w:rFonts w:ascii="Times New Roman" w:hAnsi="Times New Roman" w:cs="Times New Roman"/>
                <w:sz w:val="20"/>
                <w:szCs w:val="20"/>
              </w:rPr>
              <w:t>%</w:t>
            </w:r>
          </w:p>
          <w:p w14:paraId="0A3D092D" w14:textId="377B5DBB"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671387" w:rsidRPr="00F10F3B">
              <w:rPr>
                <w:rFonts w:ascii="Times New Roman" w:hAnsi="Times New Roman" w:cs="Times New Roman"/>
                <w:sz w:val="20"/>
                <w:szCs w:val="20"/>
              </w:rPr>
              <w:t>70.2</w:t>
            </w:r>
            <w:r w:rsidRPr="00F10F3B">
              <w:rPr>
                <w:rFonts w:ascii="Times New Roman" w:hAnsi="Times New Roman" w:cs="Times New Roman"/>
                <w:sz w:val="20"/>
                <w:szCs w:val="20"/>
              </w:rPr>
              <w:t>%</w:t>
            </w:r>
          </w:p>
          <w:p w14:paraId="6295B0AD" w14:textId="294A55EB" w:rsidR="00307C0F" w:rsidRPr="00F10F3B" w:rsidRDefault="00307C0F"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88694E" w:rsidRPr="00F10F3B">
              <w:rPr>
                <w:rFonts w:ascii="Times New Roman" w:hAnsi="Times New Roman" w:cs="Times New Roman"/>
                <w:sz w:val="20"/>
                <w:szCs w:val="20"/>
              </w:rPr>
              <w:t>10</w:t>
            </w:r>
            <w:r w:rsidRPr="00F10F3B">
              <w:rPr>
                <w:rFonts w:ascii="Times New Roman" w:hAnsi="Times New Roman" w:cs="Times New Roman"/>
                <w:sz w:val="20"/>
                <w:szCs w:val="20"/>
              </w:rPr>
              <w:t>%</w:t>
            </w:r>
          </w:p>
        </w:tc>
        <w:tc>
          <w:tcPr>
            <w:tcW w:w="785" w:type="pct"/>
          </w:tcPr>
          <w:p w14:paraId="23A7D8EE" w14:textId="0AC34E50"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51.2</w:t>
            </w:r>
          </w:p>
        </w:tc>
        <w:tc>
          <w:tcPr>
            <w:tcW w:w="2408" w:type="pct"/>
            <w:vMerge w:val="restart"/>
          </w:tcPr>
          <w:p w14:paraId="7939F481" w14:textId="47CFE3E2" w:rsidR="00307C0F" w:rsidRPr="00F10F3B" w:rsidRDefault="0088694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All MDAs in the water and environment sector have low absorptive capacity for project </w:t>
            </w:r>
            <w:r w:rsidR="0093785A" w:rsidRPr="00F10F3B">
              <w:rPr>
                <w:rFonts w:ascii="Times New Roman" w:hAnsi="Times New Roman" w:cs="Times New Roman"/>
                <w:sz w:val="20"/>
                <w:szCs w:val="20"/>
              </w:rPr>
              <w:t>implementation. Budget execution is extremely low. There is a need to increase allocations to this sector to reverse degradation of the environment.</w:t>
            </w:r>
          </w:p>
        </w:tc>
      </w:tr>
      <w:tr w:rsidR="00307C0F" w:rsidRPr="00F10F3B" w14:paraId="62FACAAD" w14:textId="77777777" w:rsidTr="00762515">
        <w:trPr>
          <w:trHeight w:val="276"/>
        </w:trPr>
        <w:tc>
          <w:tcPr>
            <w:tcW w:w="1807" w:type="pct"/>
            <w:vMerge/>
          </w:tcPr>
          <w:p w14:paraId="2A5EA13F" w14:textId="77777777" w:rsidR="00307C0F" w:rsidRPr="00F10F3B" w:rsidRDefault="00307C0F"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B5CC734" w14:textId="7CFD7A40"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51.8</w:t>
            </w:r>
          </w:p>
        </w:tc>
        <w:tc>
          <w:tcPr>
            <w:tcW w:w="2408" w:type="pct"/>
            <w:vMerge/>
          </w:tcPr>
          <w:p w14:paraId="0152DD27" w14:textId="77777777" w:rsidR="00307C0F" w:rsidRPr="00F10F3B" w:rsidRDefault="00307C0F" w:rsidP="00587EDE">
            <w:pPr>
              <w:pStyle w:val="ListParagraph"/>
              <w:spacing w:after="0" w:line="360" w:lineRule="auto"/>
              <w:ind w:left="0"/>
              <w:jc w:val="both"/>
              <w:rPr>
                <w:rFonts w:ascii="Times New Roman" w:hAnsi="Times New Roman" w:cs="Times New Roman"/>
                <w:sz w:val="20"/>
                <w:szCs w:val="20"/>
              </w:rPr>
            </w:pPr>
          </w:p>
        </w:tc>
      </w:tr>
      <w:tr w:rsidR="00307C0F" w:rsidRPr="00F10F3B" w14:paraId="17B3E4F1" w14:textId="77777777" w:rsidTr="00762515">
        <w:trPr>
          <w:trHeight w:val="252"/>
        </w:trPr>
        <w:tc>
          <w:tcPr>
            <w:tcW w:w="1807" w:type="pct"/>
            <w:vMerge/>
          </w:tcPr>
          <w:p w14:paraId="06F14EEE" w14:textId="77777777" w:rsidR="00307C0F" w:rsidRPr="00F10F3B" w:rsidRDefault="00307C0F"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726DBD26" w14:textId="062E01CF"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55.7</w:t>
            </w:r>
          </w:p>
        </w:tc>
        <w:tc>
          <w:tcPr>
            <w:tcW w:w="2408" w:type="pct"/>
            <w:vMerge/>
          </w:tcPr>
          <w:p w14:paraId="76FE5FF3" w14:textId="77777777" w:rsidR="00307C0F" w:rsidRPr="00F10F3B" w:rsidRDefault="00307C0F" w:rsidP="00587EDE">
            <w:pPr>
              <w:pStyle w:val="ListParagraph"/>
              <w:spacing w:after="0" w:line="360" w:lineRule="auto"/>
              <w:ind w:left="0"/>
              <w:jc w:val="both"/>
              <w:rPr>
                <w:rFonts w:ascii="Times New Roman" w:hAnsi="Times New Roman" w:cs="Times New Roman"/>
                <w:sz w:val="20"/>
                <w:szCs w:val="20"/>
              </w:rPr>
            </w:pPr>
          </w:p>
        </w:tc>
      </w:tr>
      <w:tr w:rsidR="00307C0F" w:rsidRPr="00F10F3B" w14:paraId="5487ACC9" w14:textId="77777777" w:rsidTr="00184B10">
        <w:trPr>
          <w:trHeight w:val="336"/>
        </w:trPr>
        <w:tc>
          <w:tcPr>
            <w:tcW w:w="1807" w:type="pct"/>
            <w:vMerge/>
          </w:tcPr>
          <w:p w14:paraId="4A779643" w14:textId="77777777" w:rsidR="00307C0F" w:rsidRPr="00F10F3B" w:rsidRDefault="00307C0F"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8CC5E35" w14:textId="75D4FF37" w:rsidR="00307C0F" w:rsidRPr="00F10F3B" w:rsidRDefault="00307C0F"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67456" behindDoc="0" locked="0" layoutInCell="1" allowOverlap="1" wp14:anchorId="04F8EA7C" wp14:editId="1C95EFCF">
                      <wp:simplePos x="0" y="0"/>
                      <wp:positionH relativeFrom="column">
                        <wp:posOffset>313055</wp:posOffset>
                      </wp:positionH>
                      <wp:positionV relativeFrom="paragraph">
                        <wp:posOffset>26035</wp:posOffset>
                      </wp:positionV>
                      <wp:extent cx="200025" cy="209550"/>
                      <wp:effectExtent l="19050" t="0" r="28575" b="38100"/>
                      <wp:wrapNone/>
                      <wp:docPr id="6" name="Arrow: Down 6"/>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25518C" id="Arrow: Down 6" o:spid="_x0000_s1026" type="#_x0000_t67" style="position:absolute;margin-left:24.65pt;margin-top:2.05pt;width:15.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" adj="11291" fillcolor="#4472c4 [3204]" strokecolor="#1f3763 [1604]" strokeweight="1pt"/>
                  </w:pict>
                </mc:Fallback>
              </mc:AlternateContent>
            </w:r>
          </w:p>
        </w:tc>
        <w:tc>
          <w:tcPr>
            <w:tcW w:w="2408" w:type="pct"/>
            <w:vMerge/>
          </w:tcPr>
          <w:p w14:paraId="0346F73E" w14:textId="77777777" w:rsidR="00307C0F" w:rsidRPr="00F10F3B" w:rsidRDefault="00307C0F" w:rsidP="00587EDE">
            <w:pPr>
              <w:pStyle w:val="ListParagraph"/>
              <w:spacing w:after="0" w:line="360" w:lineRule="auto"/>
              <w:ind w:left="0"/>
              <w:jc w:val="both"/>
              <w:rPr>
                <w:rFonts w:ascii="Times New Roman" w:hAnsi="Times New Roman" w:cs="Times New Roman"/>
                <w:sz w:val="20"/>
                <w:szCs w:val="20"/>
              </w:rPr>
            </w:pPr>
          </w:p>
        </w:tc>
      </w:tr>
      <w:tr w:rsidR="00762515" w:rsidRPr="00F10F3B" w14:paraId="7034CFF2" w14:textId="77777777" w:rsidTr="00762515">
        <w:trPr>
          <w:trHeight w:val="228"/>
        </w:trPr>
        <w:tc>
          <w:tcPr>
            <w:tcW w:w="1807" w:type="pct"/>
            <w:vMerge w:val="restart"/>
          </w:tcPr>
          <w:p w14:paraId="457879DA" w14:textId="487CF451" w:rsidR="00762515" w:rsidRPr="00F10F3B" w:rsidRDefault="00762515"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5. Works and transport</w:t>
            </w:r>
          </w:p>
          <w:p w14:paraId="39E77BC2" w14:textId="6E866CD0" w:rsidR="00762515" w:rsidRPr="00F10F3B" w:rsidRDefault="00762515"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E23EA4" w:rsidRPr="00F10F3B">
              <w:rPr>
                <w:rFonts w:ascii="Times New Roman" w:hAnsi="Times New Roman" w:cs="Times New Roman"/>
                <w:sz w:val="20"/>
                <w:szCs w:val="20"/>
              </w:rPr>
              <w:t>20.0</w:t>
            </w:r>
            <w:r w:rsidRPr="00F10F3B">
              <w:rPr>
                <w:rFonts w:ascii="Times New Roman" w:hAnsi="Times New Roman" w:cs="Times New Roman"/>
                <w:sz w:val="20"/>
                <w:szCs w:val="20"/>
              </w:rPr>
              <w:t>%</w:t>
            </w:r>
          </w:p>
          <w:p w14:paraId="008399F9" w14:textId="6A95A7C7" w:rsidR="00762515" w:rsidRPr="00F10F3B" w:rsidRDefault="00762515"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124E0A" w:rsidRPr="00F10F3B">
              <w:rPr>
                <w:rFonts w:ascii="Times New Roman" w:hAnsi="Times New Roman" w:cs="Times New Roman"/>
                <w:sz w:val="20"/>
                <w:szCs w:val="20"/>
              </w:rPr>
              <w:t>51.6</w:t>
            </w:r>
            <w:r w:rsidRPr="00F10F3B">
              <w:rPr>
                <w:rFonts w:ascii="Times New Roman" w:hAnsi="Times New Roman" w:cs="Times New Roman"/>
                <w:sz w:val="20"/>
                <w:szCs w:val="20"/>
              </w:rPr>
              <w:t>%</w:t>
            </w:r>
          </w:p>
          <w:p w14:paraId="53B6866D" w14:textId="66F82FFE" w:rsidR="00762515" w:rsidRPr="00F10F3B" w:rsidRDefault="00762515"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BFP and Budget alignment:</w:t>
            </w:r>
            <w:r w:rsidR="00E23EA4" w:rsidRPr="00F10F3B">
              <w:rPr>
                <w:rFonts w:ascii="Times New Roman" w:hAnsi="Times New Roman" w:cs="Times New Roman"/>
                <w:sz w:val="20"/>
                <w:szCs w:val="20"/>
              </w:rPr>
              <w:t xml:space="preserve"> 80.8</w:t>
            </w:r>
            <w:r w:rsidRPr="00F10F3B">
              <w:rPr>
                <w:rFonts w:ascii="Times New Roman" w:hAnsi="Times New Roman" w:cs="Times New Roman"/>
                <w:sz w:val="20"/>
                <w:szCs w:val="20"/>
              </w:rPr>
              <w:t>%</w:t>
            </w:r>
          </w:p>
          <w:p w14:paraId="1C4FDA71" w14:textId="3FB33C64" w:rsidR="00762515" w:rsidRPr="00F10F3B" w:rsidRDefault="00762515"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Budget release and execution:</w:t>
            </w:r>
            <w:r w:rsidR="00124E0A" w:rsidRPr="00F10F3B">
              <w:rPr>
                <w:rFonts w:ascii="Times New Roman" w:hAnsi="Times New Roman" w:cs="Times New Roman"/>
                <w:sz w:val="20"/>
                <w:szCs w:val="20"/>
              </w:rPr>
              <w:t xml:space="preserve"> 54.4</w:t>
            </w:r>
            <w:r w:rsidRPr="00F10F3B">
              <w:rPr>
                <w:rFonts w:ascii="Times New Roman" w:hAnsi="Times New Roman" w:cs="Times New Roman"/>
                <w:sz w:val="20"/>
                <w:szCs w:val="20"/>
              </w:rPr>
              <w:t>%</w:t>
            </w:r>
          </w:p>
        </w:tc>
        <w:tc>
          <w:tcPr>
            <w:tcW w:w="785" w:type="pct"/>
          </w:tcPr>
          <w:p w14:paraId="3E7BF3FF" w14:textId="5DB6E123" w:rsidR="00762515" w:rsidRPr="00F10F3B" w:rsidRDefault="007A586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58.0</w:t>
            </w:r>
          </w:p>
        </w:tc>
        <w:tc>
          <w:tcPr>
            <w:tcW w:w="2408" w:type="pct"/>
            <w:vMerge w:val="restart"/>
          </w:tcPr>
          <w:p w14:paraId="344C5A66" w14:textId="28625E79" w:rsidR="00762515" w:rsidRPr="00F10F3B" w:rsidRDefault="00525B5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Projects are </w:t>
            </w:r>
            <w:r w:rsidR="00C3034F" w:rsidRPr="00F10F3B">
              <w:rPr>
                <w:rFonts w:ascii="Times New Roman" w:hAnsi="Times New Roman" w:cs="Times New Roman"/>
                <w:sz w:val="20"/>
                <w:szCs w:val="20"/>
              </w:rPr>
              <w:t>behind schedule due to delayed compensation of PAPs. Delayed compensation has been due to understaffing in the land acquisition department of UNRA.</w:t>
            </w:r>
            <w:r w:rsidR="00582619" w:rsidRPr="00F10F3B">
              <w:rPr>
                <w:rFonts w:ascii="Times New Roman" w:hAnsi="Times New Roman" w:cs="Times New Roman"/>
                <w:sz w:val="20"/>
                <w:szCs w:val="20"/>
              </w:rPr>
              <w:t xml:space="preserve"> Need to improve planning processes.</w:t>
            </w:r>
          </w:p>
        </w:tc>
      </w:tr>
      <w:tr w:rsidR="00762515" w:rsidRPr="00F10F3B" w14:paraId="412B3110" w14:textId="77777777" w:rsidTr="00762515">
        <w:trPr>
          <w:trHeight w:val="264"/>
        </w:trPr>
        <w:tc>
          <w:tcPr>
            <w:tcW w:w="1807" w:type="pct"/>
            <w:vMerge/>
          </w:tcPr>
          <w:p w14:paraId="59E971C8" w14:textId="77777777" w:rsidR="00762515" w:rsidRPr="00F10F3B" w:rsidRDefault="00762515"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BBEF692" w14:textId="23162751" w:rsidR="00762515" w:rsidRPr="00F10F3B" w:rsidRDefault="007A586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55.0</w:t>
            </w:r>
          </w:p>
        </w:tc>
        <w:tc>
          <w:tcPr>
            <w:tcW w:w="2408" w:type="pct"/>
            <w:vMerge/>
          </w:tcPr>
          <w:p w14:paraId="180634FB" w14:textId="77777777" w:rsidR="00762515" w:rsidRPr="00F10F3B" w:rsidRDefault="00762515" w:rsidP="00587EDE">
            <w:pPr>
              <w:pStyle w:val="ListParagraph"/>
              <w:spacing w:after="0" w:line="360" w:lineRule="auto"/>
              <w:ind w:left="0"/>
              <w:jc w:val="both"/>
              <w:rPr>
                <w:rFonts w:ascii="Times New Roman" w:hAnsi="Times New Roman" w:cs="Times New Roman"/>
                <w:sz w:val="20"/>
                <w:szCs w:val="20"/>
              </w:rPr>
            </w:pPr>
          </w:p>
        </w:tc>
      </w:tr>
      <w:tr w:rsidR="00762515" w:rsidRPr="00F10F3B" w14:paraId="73E01749" w14:textId="77777777" w:rsidTr="00307C0F">
        <w:trPr>
          <w:trHeight w:val="177"/>
        </w:trPr>
        <w:tc>
          <w:tcPr>
            <w:tcW w:w="1807" w:type="pct"/>
            <w:vMerge/>
          </w:tcPr>
          <w:p w14:paraId="7C28D252" w14:textId="77777777" w:rsidR="00762515" w:rsidRPr="00F10F3B" w:rsidRDefault="00762515"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45197C9D" w14:textId="5DB23848" w:rsidR="00762515" w:rsidRPr="00F10F3B" w:rsidRDefault="007A586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72.4</w:t>
            </w:r>
          </w:p>
        </w:tc>
        <w:tc>
          <w:tcPr>
            <w:tcW w:w="2408" w:type="pct"/>
            <w:vMerge/>
          </w:tcPr>
          <w:p w14:paraId="7DCE715E" w14:textId="77777777" w:rsidR="00762515" w:rsidRPr="00F10F3B" w:rsidRDefault="00762515" w:rsidP="00587EDE">
            <w:pPr>
              <w:pStyle w:val="ListParagraph"/>
              <w:spacing w:after="0" w:line="360" w:lineRule="auto"/>
              <w:ind w:left="0"/>
              <w:jc w:val="both"/>
              <w:rPr>
                <w:rFonts w:ascii="Times New Roman" w:hAnsi="Times New Roman" w:cs="Times New Roman"/>
                <w:sz w:val="20"/>
                <w:szCs w:val="20"/>
              </w:rPr>
            </w:pPr>
          </w:p>
        </w:tc>
      </w:tr>
      <w:tr w:rsidR="00762515" w:rsidRPr="00F10F3B" w14:paraId="6A5DFEAE" w14:textId="77777777" w:rsidTr="00184B10">
        <w:trPr>
          <w:trHeight w:val="384"/>
        </w:trPr>
        <w:tc>
          <w:tcPr>
            <w:tcW w:w="1807" w:type="pct"/>
            <w:vMerge/>
          </w:tcPr>
          <w:p w14:paraId="39D65192" w14:textId="77777777" w:rsidR="00762515" w:rsidRPr="00F10F3B" w:rsidRDefault="00762515"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E041838" w14:textId="772CB498" w:rsidR="00762515" w:rsidRPr="00F10F3B" w:rsidRDefault="009116A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69504" behindDoc="0" locked="0" layoutInCell="1" allowOverlap="1" wp14:anchorId="69EDAD4B" wp14:editId="777DC1F9">
                      <wp:simplePos x="0" y="0"/>
                      <wp:positionH relativeFrom="column">
                        <wp:posOffset>305435</wp:posOffset>
                      </wp:positionH>
                      <wp:positionV relativeFrom="paragraph">
                        <wp:posOffset>19050</wp:posOffset>
                      </wp:positionV>
                      <wp:extent cx="200025" cy="209550"/>
                      <wp:effectExtent l="19050" t="0" r="28575" b="38100"/>
                      <wp:wrapNone/>
                      <wp:docPr id="7" name="Arrow: Down 7"/>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90BBC43" id="Arrow: Down 7" o:spid="_x0000_s1026" type="#_x0000_t67" style="position:absolute;margin-left:24.05pt;margin-top:1.5pt;width:15.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" adj="11291" fillcolor="#4472c4 [3204]" strokecolor="#1f3763 [1604]" strokeweight="1pt"/>
                  </w:pict>
                </mc:Fallback>
              </mc:AlternateContent>
            </w:r>
          </w:p>
        </w:tc>
        <w:tc>
          <w:tcPr>
            <w:tcW w:w="2408" w:type="pct"/>
            <w:vMerge/>
          </w:tcPr>
          <w:p w14:paraId="2E220672" w14:textId="77777777" w:rsidR="00762515" w:rsidRPr="00F10F3B" w:rsidRDefault="00762515" w:rsidP="00587EDE">
            <w:pPr>
              <w:pStyle w:val="ListParagraph"/>
              <w:spacing w:after="0" w:line="360" w:lineRule="auto"/>
              <w:ind w:left="0"/>
              <w:jc w:val="both"/>
              <w:rPr>
                <w:rFonts w:ascii="Times New Roman" w:hAnsi="Times New Roman" w:cs="Times New Roman"/>
                <w:sz w:val="20"/>
                <w:szCs w:val="20"/>
              </w:rPr>
            </w:pPr>
          </w:p>
        </w:tc>
      </w:tr>
      <w:tr w:rsidR="00A87740" w:rsidRPr="00F10F3B" w14:paraId="098FA1CA" w14:textId="77777777" w:rsidTr="00307C0F">
        <w:trPr>
          <w:trHeight w:val="58"/>
        </w:trPr>
        <w:tc>
          <w:tcPr>
            <w:tcW w:w="1807" w:type="pct"/>
            <w:vMerge w:val="restart"/>
          </w:tcPr>
          <w:p w14:paraId="351A6F66" w14:textId="022A7C82" w:rsidR="00A87740" w:rsidRPr="00F10F3B" w:rsidRDefault="00A87740"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 xml:space="preserve">6. Trade, industry and tourism </w:t>
            </w:r>
          </w:p>
          <w:p w14:paraId="523078E4" w14:textId="255126D9" w:rsidR="00A87740" w:rsidRPr="00F10F3B" w:rsidRDefault="00A8774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DD152E" w:rsidRPr="00F10F3B">
              <w:rPr>
                <w:rFonts w:ascii="Times New Roman" w:hAnsi="Times New Roman" w:cs="Times New Roman"/>
                <w:sz w:val="20"/>
                <w:szCs w:val="20"/>
              </w:rPr>
              <w:t>33</w:t>
            </w:r>
            <w:r w:rsidRPr="00F10F3B">
              <w:rPr>
                <w:rFonts w:ascii="Times New Roman" w:hAnsi="Times New Roman" w:cs="Times New Roman"/>
                <w:sz w:val="20"/>
                <w:szCs w:val="20"/>
              </w:rPr>
              <w:t>%</w:t>
            </w:r>
          </w:p>
          <w:p w14:paraId="289A9EB1" w14:textId="5642AD38" w:rsidR="00A87740" w:rsidRPr="00F10F3B" w:rsidRDefault="00A8774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DD152E" w:rsidRPr="00F10F3B">
              <w:rPr>
                <w:rFonts w:ascii="Times New Roman" w:hAnsi="Times New Roman" w:cs="Times New Roman"/>
                <w:sz w:val="20"/>
                <w:szCs w:val="20"/>
              </w:rPr>
              <w:t>68.8</w:t>
            </w:r>
            <w:r w:rsidRPr="00F10F3B">
              <w:rPr>
                <w:rFonts w:ascii="Times New Roman" w:hAnsi="Times New Roman" w:cs="Times New Roman"/>
                <w:sz w:val="20"/>
                <w:szCs w:val="20"/>
              </w:rPr>
              <w:t>%</w:t>
            </w:r>
          </w:p>
          <w:p w14:paraId="4EC6BA4D" w14:textId="0CCE2845" w:rsidR="00A87740" w:rsidRPr="00F10F3B" w:rsidRDefault="00A8774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DD152E" w:rsidRPr="00F10F3B">
              <w:rPr>
                <w:rFonts w:ascii="Times New Roman" w:hAnsi="Times New Roman" w:cs="Times New Roman"/>
                <w:sz w:val="20"/>
                <w:szCs w:val="20"/>
              </w:rPr>
              <w:t>56.9</w:t>
            </w:r>
            <w:r w:rsidRPr="00F10F3B">
              <w:rPr>
                <w:rFonts w:ascii="Times New Roman" w:hAnsi="Times New Roman" w:cs="Times New Roman"/>
                <w:sz w:val="20"/>
                <w:szCs w:val="20"/>
              </w:rPr>
              <w:t>%</w:t>
            </w:r>
          </w:p>
          <w:p w14:paraId="38E5F92F" w14:textId="62129AC3" w:rsidR="00A87740" w:rsidRPr="00F10F3B" w:rsidRDefault="00A8774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E41127" w:rsidRPr="00F10F3B">
              <w:rPr>
                <w:rFonts w:ascii="Times New Roman" w:hAnsi="Times New Roman" w:cs="Times New Roman"/>
                <w:sz w:val="20"/>
                <w:szCs w:val="20"/>
              </w:rPr>
              <w:t>24.7</w:t>
            </w:r>
            <w:r w:rsidRPr="00F10F3B">
              <w:rPr>
                <w:rFonts w:ascii="Times New Roman" w:hAnsi="Times New Roman" w:cs="Times New Roman"/>
                <w:sz w:val="20"/>
                <w:szCs w:val="20"/>
              </w:rPr>
              <w:t>%</w:t>
            </w:r>
          </w:p>
        </w:tc>
        <w:tc>
          <w:tcPr>
            <w:tcW w:w="785" w:type="pct"/>
          </w:tcPr>
          <w:p w14:paraId="6995586A" w14:textId="3E89504A" w:rsidR="00A87740"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w:t>
            </w:r>
            <w:r w:rsidR="00B11C4C" w:rsidRPr="00F10F3B">
              <w:rPr>
                <w:rFonts w:ascii="Times New Roman" w:hAnsi="Times New Roman" w:cs="Times New Roman"/>
                <w:sz w:val="20"/>
                <w:szCs w:val="20"/>
              </w:rPr>
              <w:t xml:space="preserve"> 48.5</w:t>
            </w:r>
          </w:p>
        </w:tc>
        <w:tc>
          <w:tcPr>
            <w:tcW w:w="2408" w:type="pct"/>
            <w:vMerge w:val="restart"/>
          </w:tcPr>
          <w:p w14:paraId="216DBA45" w14:textId="0ACB2374" w:rsidR="00A87740" w:rsidRPr="00F10F3B" w:rsidRDefault="00E4112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Some non-vote MDAs receive significant resources but do not have a clear plan. </w:t>
            </w:r>
            <w:r w:rsidR="00A57C3D" w:rsidRPr="00F10F3B">
              <w:rPr>
                <w:rFonts w:ascii="Times New Roman" w:hAnsi="Times New Roman" w:cs="Times New Roman"/>
                <w:sz w:val="20"/>
                <w:szCs w:val="20"/>
              </w:rPr>
              <w:t>Direct funding for industrialisation is not clear in the Annual Budget. Funds allocated for PIPs are not fully released impacting on implementation.</w:t>
            </w:r>
          </w:p>
        </w:tc>
      </w:tr>
      <w:tr w:rsidR="00A87740" w:rsidRPr="00F10F3B" w14:paraId="3AC487B9" w14:textId="77777777" w:rsidTr="00A87740">
        <w:trPr>
          <w:trHeight w:val="252"/>
        </w:trPr>
        <w:tc>
          <w:tcPr>
            <w:tcW w:w="1807" w:type="pct"/>
            <w:vMerge/>
          </w:tcPr>
          <w:p w14:paraId="6923B84B" w14:textId="77777777" w:rsidR="00A87740" w:rsidRPr="00F10F3B" w:rsidRDefault="00A8774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1A62075D" w14:textId="4D3DF129" w:rsidR="00A87740"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B11C4C" w:rsidRPr="00F10F3B">
              <w:rPr>
                <w:rFonts w:ascii="Times New Roman" w:hAnsi="Times New Roman" w:cs="Times New Roman"/>
                <w:sz w:val="20"/>
                <w:szCs w:val="20"/>
              </w:rPr>
              <w:t xml:space="preserve"> 53.4</w:t>
            </w:r>
          </w:p>
        </w:tc>
        <w:tc>
          <w:tcPr>
            <w:tcW w:w="2408" w:type="pct"/>
            <w:vMerge/>
          </w:tcPr>
          <w:p w14:paraId="3DC146C3" w14:textId="77777777" w:rsidR="00A87740" w:rsidRPr="00F10F3B" w:rsidRDefault="00A87740" w:rsidP="00587EDE">
            <w:pPr>
              <w:pStyle w:val="ListParagraph"/>
              <w:spacing w:after="0" w:line="360" w:lineRule="auto"/>
              <w:ind w:left="0"/>
              <w:jc w:val="both"/>
              <w:rPr>
                <w:rFonts w:ascii="Times New Roman" w:hAnsi="Times New Roman" w:cs="Times New Roman"/>
                <w:sz w:val="20"/>
                <w:szCs w:val="20"/>
              </w:rPr>
            </w:pPr>
          </w:p>
        </w:tc>
      </w:tr>
      <w:tr w:rsidR="00A87740" w:rsidRPr="00F10F3B" w14:paraId="0B8A1B97" w14:textId="77777777" w:rsidTr="00A87740">
        <w:trPr>
          <w:trHeight w:val="240"/>
        </w:trPr>
        <w:tc>
          <w:tcPr>
            <w:tcW w:w="1807" w:type="pct"/>
            <w:vMerge/>
          </w:tcPr>
          <w:p w14:paraId="6C35A084" w14:textId="77777777" w:rsidR="00A87740" w:rsidRPr="00F10F3B" w:rsidRDefault="00A8774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05BE30F" w14:textId="5E1CEEFC" w:rsidR="00A87740"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B11C4C" w:rsidRPr="00F10F3B">
              <w:rPr>
                <w:rFonts w:ascii="Times New Roman" w:hAnsi="Times New Roman" w:cs="Times New Roman"/>
                <w:sz w:val="20"/>
                <w:szCs w:val="20"/>
              </w:rPr>
              <w:t>5</w:t>
            </w:r>
            <w:r w:rsidRPr="00F10F3B">
              <w:rPr>
                <w:rFonts w:ascii="Times New Roman" w:hAnsi="Times New Roman" w:cs="Times New Roman"/>
                <w:sz w:val="20"/>
                <w:szCs w:val="20"/>
              </w:rPr>
              <w:t>/16:</w:t>
            </w:r>
            <w:r w:rsidR="00B11C4C" w:rsidRPr="00F10F3B">
              <w:rPr>
                <w:rFonts w:ascii="Times New Roman" w:hAnsi="Times New Roman" w:cs="Times New Roman"/>
                <w:sz w:val="20"/>
                <w:szCs w:val="20"/>
              </w:rPr>
              <w:t xml:space="preserve"> </w:t>
            </w:r>
            <w:r w:rsidR="008D0331" w:rsidRPr="00F10F3B">
              <w:rPr>
                <w:rFonts w:ascii="Times New Roman" w:hAnsi="Times New Roman" w:cs="Times New Roman"/>
                <w:sz w:val="20"/>
                <w:szCs w:val="20"/>
              </w:rPr>
              <w:t>58.3</w:t>
            </w:r>
          </w:p>
        </w:tc>
        <w:tc>
          <w:tcPr>
            <w:tcW w:w="2408" w:type="pct"/>
            <w:vMerge/>
          </w:tcPr>
          <w:p w14:paraId="4022A113" w14:textId="77777777" w:rsidR="00A87740" w:rsidRPr="00F10F3B" w:rsidRDefault="00A87740" w:rsidP="00587EDE">
            <w:pPr>
              <w:pStyle w:val="ListParagraph"/>
              <w:spacing w:after="0" w:line="360" w:lineRule="auto"/>
              <w:ind w:left="0"/>
              <w:jc w:val="both"/>
              <w:rPr>
                <w:rFonts w:ascii="Times New Roman" w:hAnsi="Times New Roman" w:cs="Times New Roman"/>
                <w:sz w:val="20"/>
                <w:szCs w:val="20"/>
              </w:rPr>
            </w:pPr>
          </w:p>
        </w:tc>
      </w:tr>
      <w:tr w:rsidR="00A87740" w:rsidRPr="00F10F3B" w14:paraId="70E6B926" w14:textId="77777777" w:rsidTr="00184B10">
        <w:trPr>
          <w:trHeight w:val="444"/>
        </w:trPr>
        <w:tc>
          <w:tcPr>
            <w:tcW w:w="1807" w:type="pct"/>
            <w:vMerge/>
          </w:tcPr>
          <w:p w14:paraId="702B1CF3" w14:textId="77777777" w:rsidR="00A87740" w:rsidRPr="00F10F3B" w:rsidRDefault="00A87740"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41029342" w14:textId="7D62959E" w:rsidR="00A87740" w:rsidRPr="00F10F3B" w:rsidRDefault="009116A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71552" behindDoc="0" locked="0" layoutInCell="1" allowOverlap="1" wp14:anchorId="1C3A884F" wp14:editId="12422C51">
                      <wp:simplePos x="0" y="0"/>
                      <wp:positionH relativeFrom="column">
                        <wp:posOffset>313055</wp:posOffset>
                      </wp:positionH>
                      <wp:positionV relativeFrom="paragraph">
                        <wp:posOffset>38100</wp:posOffset>
                      </wp:positionV>
                      <wp:extent cx="200025" cy="209550"/>
                      <wp:effectExtent l="19050" t="0" r="28575" b="38100"/>
                      <wp:wrapNone/>
                      <wp:docPr id="8" name="Arrow: Down 8"/>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D0B15C5" id="Arrow: Down 8" o:spid="_x0000_s1026" type="#_x0000_t67" style="position:absolute;margin-left:24.65pt;margin-top:3pt;width:15.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" adj="11291" fillcolor="#4472c4 [3204]" strokecolor="#1f3763 [1604]" strokeweight="1pt"/>
                  </w:pict>
                </mc:Fallback>
              </mc:AlternateContent>
            </w:r>
          </w:p>
        </w:tc>
        <w:tc>
          <w:tcPr>
            <w:tcW w:w="2408" w:type="pct"/>
            <w:vMerge/>
          </w:tcPr>
          <w:p w14:paraId="1AD823EB" w14:textId="77777777" w:rsidR="00A87740" w:rsidRPr="00F10F3B" w:rsidRDefault="00A87740" w:rsidP="00587EDE">
            <w:pPr>
              <w:pStyle w:val="ListParagraph"/>
              <w:spacing w:after="0" w:line="360" w:lineRule="auto"/>
              <w:ind w:left="0"/>
              <w:jc w:val="both"/>
              <w:rPr>
                <w:rFonts w:ascii="Times New Roman" w:hAnsi="Times New Roman" w:cs="Times New Roman"/>
                <w:sz w:val="20"/>
                <w:szCs w:val="20"/>
              </w:rPr>
            </w:pPr>
          </w:p>
        </w:tc>
      </w:tr>
      <w:tr w:rsidR="00723781" w:rsidRPr="00F10F3B" w14:paraId="082B55B2" w14:textId="77777777" w:rsidTr="00A87740">
        <w:trPr>
          <w:trHeight w:val="216"/>
        </w:trPr>
        <w:tc>
          <w:tcPr>
            <w:tcW w:w="1807" w:type="pct"/>
            <w:vMerge w:val="restart"/>
          </w:tcPr>
          <w:p w14:paraId="663E891D" w14:textId="203E4993"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7. Legislature</w:t>
            </w:r>
          </w:p>
          <w:p w14:paraId="081F095C" w14:textId="2D4B6EE1"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3522B2" w:rsidRPr="00F10F3B">
              <w:rPr>
                <w:rFonts w:ascii="Times New Roman" w:hAnsi="Times New Roman" w:cs="Times New Roman"/>
                <w:sz w:val="20"/>
                <w:szCs w:val="20"/>
              </w:rPr>
              <w:t>100</w:t>
            </w:r>
            <w:r w:rsidRPr="00F10F3B">
              <w:rPr>
                <w:rFonts w:ascii="Times New Roman" w:hAnsi="Times New Roman" w:cs="Times New Roman"/>
                <w:sz w:val="20"/>
                <w:szCs w:val="20"/>
              </w:rPr>
              <w:t>%</w:t>
            </w:r>
          </w:p>
          <w:p w14:paraId="29B6D083" w14:textId="605D6088"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3522B2" w:rsidRPr="00F10F3B">
              <w:rPr>
                <w:rFonts w:ascii="Times New Roman" w:hAnsi="Times New Roman" w:cs="Times New Roman"/>
                <w:sz w:val="20"/>
                <w:szCs w:val="20"/>
              </w:rPr>
              <w:t>37.5</w:t>
            </w:r>
            <w:r w:rsidRPr="00F10F3B">
              <w:rPr>
                <w:rFonts w:ascii="Times New Roman" w:hAnsi="Times New Roman" w:cs="Times New Roman"/>
                <w:sz w:val="20"/>
                <w:szCs w:val="20"/>
              </w:rPr>
              <w:t>%</w:t>
            </w:r>
          </w:p>
          <w:p w14:paraId="6569ED02" w14:textId="3CE2988D"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3522B2" w:rsidRPr="00F10F3B">
              <w:rPr>
                <w:rFonts w:ascii="Times New Roman" w:hAnsi="Times New Roman" w:cs="Times New Roman"/>
                <w:sz w:val="20"/>
                <w:szCs w:val="20"/>
              </w:rPr>
              <w:t>65.0</w:t>
            </w:r>
            <w:r w:rsidRPr="00F10F3B">
              <w:rPr>
                <w:rFonts w:ascii="Times New Roman" w:hAnsi="Times New Roman" w:cs="Times New Roman"/>
                <w:sz w:val="20"/>
                <w:szCs w:val="20"/>
              </w:rPr>
              <w:t>%</w:t>
            </w:r>
          </w:p>
          <w:p w14:paraId="2BB64124" w14:textId="7DEB0915"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19046C" w:rsidRPr="00F10F3B">
              <w:rPr>
                <w:rFonts w:ascii="Times New Roman" w:hAnsi="Times New Roman" w:cs="Times New Roman"/>
                <w:sz w:val="20"/>
                <w:szCs w:val="20"/>
              </w:rPr>
              <w:t>40.0</w:t>
            </w:r>
            <w:r w:rsidRPr="00F10F3B">
              <w:rPr>
                <w:rFonts w:ascii="Times New Roman" w:hAnsi="Times New Roman" w:cs="Times New Roman"/>
                <w:sz w:val="20"/>
                <w:szCs w:val="20"/>
              </w:rPr>
              <w:t>%</w:t>
            </w:r>
          </w:p>
        </w:tc>
        <w:tc>
          <w:tcPr>
            <w:tcW w:w="785" w:type="pct"/>
          </w:tcPr>
          <w:p w14:paraId="09EDCCA3" w14:textId="0570DD2C"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w:t>
            </w:r>
            <w:r w:rsidR="008D0331" w:rsidRPr="00F10F3B">
              <w:rPr>
                <w:rFonts w:ascii="Times New Roman" w:hAnsi="Times New Roman" w:cs="Times New Roman"/>
                <w:sz w:val="20"/>
                <w:szCs w:val="20"/>
              </w:rPr>
              <w:t xml:space="preserve"> 52.8</w:t>
            </w:r>
          </w:p>
        </w:tc>
        <w:tc>
          <w:tcPr>
            <w:tcW w:w="2408" w:type="pct"/>
            <w:vMerge w:val="restart"/>
          </w:tcPr>
          <w:p w14:paraId="02D0326E" w14:textId="73C0DE4D" w:rsidR="00723781" w:rsidRPr="00F10F3B" w:rsidRDefault="0019046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The sector has a low absorption capacity. Some NDPII priorities have not be</w:t>
            </w:r>
            <w:r w:rsidR="00F9634B" w:rsidRPr="00F10F3B">
              <w:rPr>
                <w:rFonts w:ascii="Times New Roman" w:hAnsi="Times New Roman" w:cs="Times New Roman"/>
                <w:sz w:val="20"/>
                <w:szCs w:val="20"/>
              </w:rPr>
              <w:t>en factored in funding allocation e.g. reviewing appropriate legislation to facilitate the elimination of corruption.</w:t>
            </w:r>
          </w:p>
        </w:tc>
      </w:tr>
      <w:tr w:rsidR="00723781" w:rsidRPr="00F10F3B" w14:paraId="5E8905AD" w14:textId="77777777" w:rsidTr="00B11C4C">
        <w:trPr>
          <w:trHeight w:val="110"/>
        </w:trPr>
        <w:tc>
          <w:tcPr>
            <w:tcW w:w="1807" w:type="pct"/>
            <w:vMerge/>
          </w:tcPr>
          <w:p w14:paraId="55186C8E"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5096213" w14:textId="747629FE"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8D0331" w:rsidRPr="00F10F3B">
              <w:rPr>
                <w:rFonts w:ascii="Times New Roman" w:hAnsi="Times New Roman" w:cs="Times New Roman"/>
                <w:sz w:val="20"/>
                <w:szCs w:val="20"/>
              </w:rPr>
              <w:t xml:space="preserve"> 61.0</w:t>
            </w:r>
          </w:p>
        </w:tc>
        <w:tc>
          <w:tcPr>
            <w:tcW w:w="2408" w:type="pct"/>
            <w:vMerge/>
          </w:tcPr>
          <w:p w14:paraId="74042840"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095C01DD" w14:textId="77777777" w:rsidTr="00A87740">
        <w:trPr>
          <w:trHeight w:val="228"/>
        </w:trPr>
        <w:tc>
          <w:tcPr>
            <w:tcW w:w="1807" w:type="pct"/>
            <w:vMerge/>
          </w:tcPr>
          <w:p w14:paraId="4182C320"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508485AE" w14:textId="1713A691"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B11C4C" w:rsidRPr="00F10F3B">
              <w:rPr>
                <w:rFonts w:ascii="Times New Roman" w:hAnsi="Times New Roman" w:cs="Times New Roman"/>
                <w:sz w:val="20"/>
                <w:szCs w:val="20"/>
              </w:rPr>
              <w:t>5</w:t>
            </w:r>
            <w:r w:rsidRPr="00F10F3B">
              <w:rPr>
                <w:rFonts w:ascii="Times New Roman" w:hAnsi="Times New Roman" w:cs="Times New Roman"/>
                <w:sz w:val="20"/>
                <w:szCs w:val="20"/>
              </w:rPr>
              <w:t>/16:</w:t>
            </w:r>
            <w:r w:rsidR="008D0331" w:rsidRPr="00F10F3B">
              <w:rPr>
                <w:rFonts w:ascii="Times New Roman" w:hAnsi="Times New Roman" w:cs="Times New Roman"/>
                <w:sz w:val="20"/>
                <w:szCs w:val="20"/>
              </w:rPr>
              <w:t xml:space="preserve"> 70.3</w:t>
            </w:r>
          </w:p>
        </w:tc>
        <w:tc>
          <w:tcPr>
            <w:tcW w:w="2408" w:type="pct"/>
            <w:vMerge/>
          </w:tcPr>
          <w:p w14:paraId="07094300"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6DA98F81" w14:textId="77777777" w:rsidTr="00184B10">
        <w:trPr>
          <w:trHeight w:val="420"/>
        </w:trPr>
        <w:tc>
          <w:tcPr>
            <w:tcW w:w="1807" w:type="pct"/>
            <w:vMerge/>
          </w:tcPr>
          <w:p w14:paraId="7E3B48CB"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436480B1" w14:textId="30EC1746" w:rsidR="00723781" w:rsidRPr="00F10F3B" w:rsidRDefault="009116A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73600" behindDoc="0" locked="0" layoutInCell="1" allowOverlap="1" wp14:anchorId="3409E045" wp14:editId="3A69405B">
                      <wp:simplePos x="0" y="0"/>
                      <wp:positionH relativeFrom="column">
                        <wp:posOffset>290195</wp:posOffset>
                      </wp:positionH>
                      <wp:positionV relativeFrom="paragraph">
                        <wp:posOffset>46355</wp:posOffset>
                      </wp:positionV>
                      <wp:extent cx="200025" cy="209550"/>
                      <wp:effectExtent l="19050" t="0" r="28575" b="38100"/>
                      <wp:wrapNone/>
                      <wp:docPr id="9" name="Arrow: Down 9"/>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F8BEBB" id="Arrow: Down 9" o:spid="_x0000_s1026" type="#_x0000_t67" style="position:absolute;margin-left:22.85pt;margin-top:3.65pt;width:15.75pt;height:16.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" adj="11291" fillcolor="#4472c4 [3204]" strokecolor="#1f3763 [1604]" strokeweight="1pt"/>
                  </w:pict>
                </mc:Fallback>
              </mc:AlternateContent>
            </w:r>
          </w:p>
        </w:tc>
        <w:tc>
          <w:tcPr>
            <w:tcW w:w="2408" w:type="pct"/>
            <w:vMerge/>
          </w:tcPr>
          <w:p w14:paraId="01A9E457"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2F59073D" w14:textId="77777777" w:rsidTr="00B11C4C">
        <w:trPr>
          <w:trHeight w:val="123"/>
        </w:trPr>
        <w:tc>
          <w:tcPr>
            <w:tcW w:w="1807" w:type="pct"/>
            <w:vMerge w:val="restart"/>
          </w:tcPr>
          <w:p w14:paraId="018335D5" w14:textId="2226E006"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8. Public administration</w:t>
            </w:r>
          </w:p>
          <w:p w14:paraId="21B4DE46" w14:textId="499D9B36"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4408CF" w:rsidRPr="00F10F3B">
              <w:rPr>
                <w:rFonts w:ascii="Times New Roman" w:hAnsi="Times New Roman" w:cs="Times New Roman"/>
                <w:sz w:val="20"/>
                <w:szCs w:val="20"/>
              </w:rPr>
              <w:t>40</w:t>
            </w:r>
            <w:r w:rsidRPr="00F10F3B">
              <w:rPr>
                <w:rFonts w:ascii="Times New Roman" w:hAnsi="Times New Roman" w:cs="Times New Roman"/>
                <w:sz w:val="20"/>
                <w:szCs w:val="20"/>
              </w:rPr>
              <w:t>%</w:t>
            </w:r>
          </w:p>
          <w:p w14:paraId="32BFECF7" w14:textId="48876202"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lastRenderedPageBreak/>
              <w:t xml:space="preserve">Sector project alignment: </w:t>
            </w:r>
            <w:r w:rsidR="004408CF" w:rsidRPr="00F10F3B">
              <w:rPr>
                <w:rFonts w:ascii="Times New Roman" w:hAnsi="Times New Roman" w:cs="Times New Roman"/>
                <w:sz w:val="20"/>
                <w:szCs w:val="20"/>
              </w:rPr>
              <w:t>23.3</w:t>
            </w:r>
            <w:r w:rsidRPr="00F10F3B">
              <w:rPr>
                <w:rFonts w:ascii="Times New Roman" w:hAnsi="Times New Roman" w:cs="Times New Roman"/>
                <w:sz w:val="20"/>
                <w:szCs w:val="20"/>
              </w:rPr>
              <w:t>%</w:t>
            </w:r>
          </w:p>
          <w:p w14:paraId="07F28D66" w14:textId="4971A03F"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4408CF" w:rsidRPr="00F10F3B">
              <w:rPr>
                <w:rFonts w:ascii="Times New Roman" w:hAnsi="Times New Roman" w:cs="Times New Roman"/>
                <w:sz w:val="20"/>
                <w:szCs w:val="20"/>
              </w:rPr>
              <w:t>67.8</w:t>
            </w:r>
            <w:r w:rsidRPr="00F10F3B">
              <w:rPr>
                <w:rFonts w:ascii="Times New Roman" w:hAnsi="Times New Roman" w:cs="Times New Roman"/>
                <w:sz w:val="20"/>
                <w:szCs w:val="20"/>
              </w:rPr>
              <w:t>%</w:t>
            </w:r>
          </w:p>
          <w:p w14:paraId="7F272CB9" w14:textId="38C8B836"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AA13EB" w:rsidRPr="00F10F3B">
              <w:rPr>
                <w:rFonts w:ascii="Times New Roman" w:hAnsi="Times New Roman" w:cs="Times New Roman"/>
                <w:sz w:val="20"/>
                <w:szCs w:val="20"/>
              </w:rPr>
              <w:t>62.4</w:t>
            </w:r>
            <w:r w:rsidRPr="00F10F3B">
              <w:rPr>
                <w:rFonts w:ascii="Times New Roman" w:hAnsi="Times New Roman" w:cs="Times New Roman"/>
                <w:sz w:val="20"/>
                <w:szCs w:val="20"/>
              </w:rPr>
              <w:t>%</w:t>
            </w:r>
          </w:p>
        </w:tc>
        <w:tc>
          <w:tcPr>
            <w:tcW w:w="785" w:type="pct"/>
          </w:tcPr>
          <w:p w14:paraId="1CEBB347" w14:textId="7C8AAC24"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lastRenderedPageBreak/>
              <w:t>FY17/18:</w:t>
            </w:r>
            <w:r w:rsidR="00A662B3" w:rsidRPr="00F10F3B">
              <w:rPr>
                <w:rFonts w:ascii="Times New Roman" w:hAnsi="Times New Roman" w:cs="Times New Roman"/>
                <w:sz w:val="20"/>
                <w:szCs w:val="20"/>
              </w:rPr>
              <w:t xml:space="preserve"> 50.1</w:t>
            </w:r>
          </w:p>
        </w:tc>
        <w:tc>
          <w:tcPr>
            <w:tcW w:w="2408" w:type="pct"/>
            <w:vMerge w:val="restart"/>
          </w:tcPr>
          <w:p w14:paraId="1949629E" w14:textId="6B6CC374" w:rsidR="00723781" w:rsidRPr="00F10F3B" w:rsidRDefault="00AA13EB"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Several MDAs in this sector e.g. Uganda AIDS Commission do not </w:t>
            </w:r>
            <w:r w:rsidR="00E5103B" w:rsidRPr="00F10F3B">
              <w:rPr>
                <w:rFonts w:ascii="Times New Roman" w:hAnsi="Times New Roman" w:cs="Times New Roman"/>
                <w:sz w:val="20"/>
                <w:szCs w:val="20"/>
              </w:rPr>
              <w:t>contribute to the sector’s objectives.</w:t>
            </w:r>
          </w:p>
        </w:tc>
      </w:tr>
      <w:tr w:rsidR="00723781" w:rsidRPr="00F10F3B" w14:paraId="378F4629" w14:textId="77777777" w:rsidTr="00BE420B">
        <w:trPr>
          <w:trHeight w:val="58"/>
        </w:trPr>
        <w:tc>
          <w:tcPr>
            <w:tcW w:w="1807" w:type="pct"/>
            <w:vMerge/>
          </w:tcPr>
          <w:p w14:paraId="4E43B69C"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16C16AB9" w14:textId="3B0427DE"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A662B3" w:rsidRPr="00F10F3B">
              <w:rPr>
                <w:rFonts w:ascii="Times New Roman" w:hAnsi="Times New Roman" w:cs="Times New Roman"/>
                <w:sz w:val="20"/>
                <w:szCs w:val="20"/>
              </w:rPr>
              <w:t xml:space="preserve"> 67.7</w:t>
            </w:r>
          </w:p>
        </w:tc>
        <w:tc>
          <w:tcPr>
            <w:tcW w:w="2408" w:type="pct"/>
            <w:vMerge/>
          </w:tcPr>
          <w:p w14:paraId="1527EBD7"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3496B618" w14:textId="77777777" w:rsidTr="00BE420B">
        <w:trPr>
          <w:trHeight w:val="173"/>
        </w:trPr>
        <w:tc>
          <w:tcPr>
            <w:tcW w:w="1807" w:type="pct"/>
            <w:vMerge/>
          </w:tcPr>
          <w:p w14:paraId="34A5EDC3"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5C9F1F9D" w14:textId="688A97BD"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B11C4C" w:rsidRPr="00F10F3B">
              <w:rPr>
                <w:rFonts w:ascii="Times New Roman" w:hAnsi="Times New Roman" w:cs="Times New Roman"/>
                <w:sz w:val="20"/>
                <w:szCs w:val="20"/>
              </w:rPr>
              <w:t>5</w:t>
            </w:r>
            <w:r w:rsidRPr="00F10F3B">
              <w:rPr>
                <w:rFonts w:ascii="Times New Roman" w:hAnsi="Times New Roman" w:cs="Times New Roman"/>
                <w:sz w:val="20"/>
                <w:szCs w:val="20"/>
              </w:rPr>
              <w:t>/16:</w:t>
            </w:r>
            <w:r w:rsidR="00A662B3" w:rsidRPr="00F10F3B">
              <w:rPr>
                <w:rFonts w:ascii="Times New Roman" w:hAnsi="Times New Roman" w:cs="Times New Roman"/>
                <w:sz w:val="20"/>
                <w:szCs w:val="20"/>
              </w:rPr>
              <w:t xml:space="preserve"> 58.3</w:t>
            </w:r>
          </w:p>
        </w:tc>
        <w:tc>
          <w:tcPr>
            <w:tcW w:w="2408" w:type="pct"/>
            <w:vMerge/>
          </w:tcPr>
          <w:p w14:paraId="5F8CB8B4"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77A30031" w14:textId="77777777" w:rsidTr="00184B10">
        <w:trPr>
          <w:trHeight w:val="384"/>
        </w:trPr>
        <w:tc>
          <w:tcPr>
            <w:tcW w:w="1807" w:type="pct"/>
            <w:vMerge/>
          </w:tcPr>
          <w:p w14:paraId="5AD51477"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B7F1277" w14:textId="3BD36387" w:rsidR="00723781" w:rsidRPr="00F10F3B" w:rsidRDefault="00BE420B"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75648" behindDoc="0" locked="0" layoutInCell="1" allowOverlap="1" wp14:anchorId="7B4AE5D5" wp14:editId="008BB6B3">
                      <wp:simplePos x="0" y="0"/>
                      <wp:positionH relativeFrom="column">
                        <wp:posOffset>313055</wp:posOffset>
                      </wp:positionH>
                      <wp:positionV relativeFrom="paragraph">
                        <wp:posOffset>41910</wp:posOffset>
                      </wp:positionV>
                      <wp:extent cx="200025" cy="209550"/>
                      <wp:effectExtent l="19050" t="0" r="28575" b="38100"/>
                      <wp:wrapNone/>
                      <wp:docPr id="10" name="Arrow: Down 10"/>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384793" id="Arrow: Down 10" o:spid="_x0000_s1026" type="#_x0000_t67" style="position:absolute;margin-left:24.65pt;margin-top:3.3pt;width:15.75pt;height:1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" adj="11291" fillcolor="#4472c4 [3204]" strokecolor="#1f3763 [1604]" strokeweight="1pt"/>
                  </w:pict>
                </mc:Fallback>
              </mc:AlternateContent>
            </w:r>
          </w:p>
        </w:tc>
        <w:tc>
          <w:tcPr>
            <w:tcW w:w="2408" w:type="pct"/>
            <w:vMerge/>
          </w:tcPr>
          <w:p w14:paraId="14F43507"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546DA7F1" w14:textId="77777777" w:rsidTr="00A662B3">
        <w:trPr>
          <w:trHeight w:val="58"/>
        </w:trPr>
        <w:tc>
          <w:tcPr>
            <w:tcW w:w="1807" w:type="pct"/>
            <w:vMerge w:val="restart"/>
          </w:tcPr>
          <w:p w14:paraId="05777FB6" w14:textId="0006CB4F"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9.  Kampala Capital City Authority</w:t>
            </w:r>
          </w:p>
          <w:p w14:paraId="546B26B5" w14:textId="38D725BA"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Planning processes:</w:t>
            </w:r>
            <w:r w:rsidR="00E5103B" w:rsidRPr="00F10F3B">
              <w:rPr>
                <w:rFonts w:ascii="Times New Roman" w:hAnsi="Times New Roman" w:cs="Times New Roman"/>
                <w:sz w:val="20"/>
                <w:szCs w:val="20"/>
              </w:rPr>
              <w:t xml:space="preserve"> 100</w:t>
            </w:r>
            <w:r w:rsidRPr="00F10F3B">
              <w:rPr>
                <w:rFonts w:ascii="Times New Roman" w:hAnsi="Times New Roman" w:cs="Times New Roman"/>
                <w:sz w:val="20"/>
                <w:szCs w:val="20"/>
              </w:rPr>
              <w:t>%</w:t>
            </w:r>
          </w:p>
          <w:p w14:paraId="2DB8D36F" w14:textId="2CBA49E7"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E5103B" w:rsidRPr="00F10F3B">
              <w:rPr>
                <w:rFonts w:ascii="Times New Roman" w:hAnsi="Times New Roman" w:cs="Times New Roman"/>
                <w:sz w:val="20"/>
                <w:szCs w:val="20"/>
              </w:rPr>
              <w:t>82.9</w:t>
            </w:r>
            <w:r w:rsidRPr="00F10F3B">
              <w:rPr>
                <w:rFonts w:ascii="Times New Roman" w:hAnsi="Times New Roman" w:cs="Times New Roman"/>
                <w:sz w:val="20"/>
                <w:szCs w:val="20"/>
              </w:rPr>
              <w:t>%</w:t>
            </w:r>
          </w:p>
          <w:p w14:paraId="26940F75" w14:textId="1A898BB3"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846119" w:rsidRPr="00F10F3B">
              <w:rPr>
                <w:rFonts w:ascii="Times New Roman" w:hAnsi="Times New Roman" w:cs="Times New Roman"/>
                <w:sz w:val="20"/>
                <w:szCs w:val="20"/>
              </w:rPr>
              <w:t>93.8</w:t>
            </w:r>
            <w:r w:rsidRPr="00F10F3B">
              <w:rPr>
                <w:rFonts w:ascii="Times New Roman" w:hAnsi="Times New Roman" w:cs="Times New Roman"/>
                <w:sz w:val="20"/>
                <w:szCs w:val="20"/>
              </w:rPr>
              <w:t>%</w:t>
            </w:r>
          </w:p>
          <w:p w14:paraId="1921D5F2" w14:textId="6E786676"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846119" w:rsidRPr="00F10F3B">
              <w:rPr>
                <w:rFonts w:ascii="Times New Roman" w:hAnsi="Times New Roman" w:cs="Times New Roman"/>
                <w:sz w:val="20"/>
                <w:szCs w:val="20"/>
              </w:rPr>
              <w:t>40</w:t>
            </w:r>
            <w:r w:rsidRPr="00F10F3B">
              <w:rPr>
                <w:rFonts w:ascii="Times New Roman" w:hAnsi="Times New Roman" w:cs="Times New Roman"/>
                <w:sz w:val="20"/>
                <w:szCs w:val="20"/>
              </w:rPr>
              <w:t>%</w:t>
            </w:r>
          </w:p>
        </w:tc>
        <w:tc>
          <w:tcPr>
            <w:tcW w:w="785" w:type="pct"/>
          </w:tcPr>
          <w:p w14:paraId="4219619B" w14:textId="16D06498"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w:t>
            </w:r>
            <w:r w:rsidR="00A662B3" w:rsidRPr="00F10F3B">
              <w:rPr>
                <w:rFonts w:ascii="Times New Roman" w:hAnsi="Times New Roman" w:cs="Times New Roman"/>
                <w:sz w:val="20"/>
                <w:szCs w:val="20"/>
              </w:rPr>
              <w:t xml:space="preserve"> </w:t>
            </w:r>
            <w:r w:rsidR="00223E8E" w:rsidRPr="00F10F3B">
              <w:rPr>
                <w:rFonts w:ascii="Times New Roman" w:hAnsi="Times New Roman" w:cs="Times New Roman"/>
                <w:sz w:val="20"/>
                <w:szCs w:val="20"/>
              </w:rPr>
              <w:t>75.0</w:t>
            </w:r>
          </w:p>
        </w:tc>
        <w:tc>
          <w:tcPr>
            <w:tcW w:w="2408" w:type="pct"/>
            <w:vMerge w:val="restart"/>
          </w:tcPr>
          <w:p w14:paraId="62C25617" w14:textId="04D6A5CE" w:rsidR="00723781" w:rsidRPr="00F10F3B" w:rsidRDefault="00846119"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There is poor absorptive capacity arising from delayed counterpart funding from </w:t>
            </w:r>
            <w:r w:rsidR="009A2561" w:rsidRPr="00F10F3B">
              <w:rPr>
                <w:rFonts w:ascii="Times New Roman" w:hAnsi="Times New Roman" w:cs="Times New Roman"/>
                <w:sz w:val="20"/>
                <w:szCs w:val="20"/>
              </w:rPr>
              <w:t>Government</w:t>
            </w:r>
            <w:r w:rsidR="00790A64" w:rsidRPr="00F10F3B">
              <w:rPr>
                <w:rFonts w:ascii="Times New Roman" w:hAnsi="Times New Roman" w:cs="Times New Roman"/>
                <w:sz w:val="20"/>
                <w:szCs w:val="20"/>
              </w:rPr>
              <w:t xml:space="preserve"> for land acquisition. Many PIP projects are recurrent in nature.</w:t>
            </w:r>
            <w:r w:rsidR="00703F54" w:rsidRPr="00F10F3B">
              <w:rPr>
                <w:rFonts w:ascii="Times New Roman" w:hAnsi="Times New Roman" w:cs="Times New Roman"/>
                <w:sz w:val="20"/>
                <w:szCs w:val="20"/>
              </w:rPr>
              <w:t xml:space="preserve"> </w:t>
            </w:r>
          </w:p>
        </w:tc>
      </w:tr>
      <w:tr w:rsidR="00723781" w:rsidRPr="00F10F3B" w14:paraId="7E971B9B" w14:textId="77777777" w:rsidTr="00A662B3">
        <w:trPr>
          <w:trHeight w:val="58"/>
        </w:trPr>
        <w:tc>
          <w:tcPr>
            <w:tcW w:w="1807" w:type="pct"/>
            <w:vMerge/>
          </w:tcPr>
          <w:p w14:paraId="17DA72EB"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277512D" w14:textId="0710BC1C"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443FBA" w:rsidRPr="00F10F3B">
              <w:rPr>
                <w:rFonts w:ascii="Times New Roman" w:hAnsi="Times New Roman" w:cs="Times New Roman"/>
                <w:sz w:val="20"/>
                <w:szCs w:val="20"/>
              </w:rPr>
              <w:t xml:space="preserve"> N/A</w:t>
            </w:r>
          </w:p>
        </w:tc>
        <w:tc>
          <w:tcPr>
            <w:tcW w:w="2408" w:type="pct"/>
            <w:vMerge/>
          </w:tcPr>
          <w:p w14:paraId="267200D8"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4587D7C8" w14:textId="77777777" w:rsidTr="00A87740">
        <w:trPr>
          <w:trHeight w:val="192"/>
        </w:trPr>
        <w:tc>
          <w:tcPr>
            <w:tcW w:w="1807" w:type="pct"/>
            <w:vMerge/>
          </w:tcPr>
          <w:p w14:paraId="3E4BF4BB"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2F875C4" w14:textId="32F41D56"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B11C4C" w:rsidRPr="00F10F3B">
              <w:rPr>
                <w:rFonts w:ascii="Times New Roman" w:hAnsi="Times New Roman" w:cs="Times New Roman"/>
                <w:sz w:val="20"/>
                <w:szCs w:val="20"/>
              </w:rPr>
              <w:t>5</w:t>
            </w:r>
            <w:r w:rsidRPr="00F10F3B">
              <w:rPr>
                <w:rFonts w:ascii="Times New Roman" w:hAnsi="Times New Roman" w:cs="Times New Roman"/>
                <w:sz w:val="20"/>
                <w:szCs w:val="20"/>
              </w:rPr>
              <w:t>/16:</w:t>
            </w:r>
            <w:r w:rsidR="00443FBA" w:rsidRPr="00F10F3B">
              <w:rPr>
                <w:rFonts w:ascii="Times New Roman" w:hAnsi="Times New Roman" w:cs="Times New Roman"/>
                <w:sz w:val="20"/>
                <w:szCs w:val="20"/>
              </w:rPr>
              <w:t xml:space="preserve"> N/A</w:t>
            </w:r>
          </w:p>
        </w:tc>
        <w:tc>
          <w:tcPr>
            <w:tcW w:w="2408" w:type="pct"/>
            <w:vMerge/>
          </w:tcPr>
          <w:p w14:paraId="10CA8CCA"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5CD338B3" w14:textId="77777777" w:rsidTr="00B203D4">
        <w:trPr>
          <w:trHeight w:val="372"/>
        </w:trPr>
        <w:tc>
          <w:tcPr>
            <w:tcW w:w="1807" w:type="pct"/>
            <w:vMerge/>
          </w:tcPr>
          <w:p w14:paraId="57187271"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vAlign w:val="center"/>
          </w:tcPr>
          <w:p w14:paraId="5FEB507C" w14:textId="70F8DA33" w:rsidR="00723781" w:rsidRPr="00F10F3B" w:rsidRDefault="00443FBA"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N/A</w:t>
            </w:r>
          </w:p>
        </w:tc>
        <w:tc>
          <w:tcPr>
            <w:tcW w:w="2408" w:type="pct"/>
            <w:vMerge/>
          </w:tcPr>
          <w:p w14:paraId="617B936A"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4341A5A6" w14:textId="77777777" w:rsidTr="00A87740">
        <w:trPr>
          <w:trHeight w:val="216"/>
        </w:trPr>
        <w:tc>
          <w:tcPr>
            <w:tcW w:w="1807" w:type="pct"/>
            <w:vMerge w:val="restart"/>
          </w:tcPr>
          <w:p w14:paraId="0DD09E7F" w14:textId="4CC5E34E"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 xml:space="preserve">10. Defense and security </w:t>
            </w:r>
          </w:p>
          <w:p w14:paraId="175D2EBA" w14:textId="26085779"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703F54" w:rsidRPr="00F10F3B">
              <w:rPr>
                <w:rFonts w:ascii="Times New Roman" w:hAnsi="Times New Roman" w:cs="Times New Roman"/>
                <w:sz w:val="20"/>
                <w:szCs w:val="20"/>
              </w:rPr>
              <w:t>50.0</w:t>
            </w:r>
            <w:r w:rsidRPr="00F10F3B">
              <w:rPr>
                <w:rFonts w:ascii="Times New Roman" w:hAnsi="Times New Roman" w:cs="Times New Roman"/>
                <w:sz w:val="20"/>
                <w:szCs w:val="20"/>
              </w:rPr>
              <w:t>%</w:t>
            </w:r>
          </w:p>
          <w:p w14:paraId="6CD65F13" w14:textId="1A72DC7B"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703F54" w:rsidRPr="00F10F3B">
              <w:rPr>
                <w:rFonts w:ascii="Times New Roman" w:hAnsi="Times New Roman" w:cs="Times New Roman"/>
                <w:sz w:val="20"/>
                <w:szCs w:val="20"/>
              </w:rPr>
              <w:t>70.1</w:t>
            </w:r>
            <w:r w:rsidRPr="00F10F3B">
              <w:rPr>
                <w:rFonts w:ascii="Times New Roman" w:hAnsi="Times New Roman" w:cs="Times New Roman"/>
                <w:sz w:val="20"/>
                <w:szCs w:val="20"/>
              </w:rPr>
              <w:t>%</w:t>
            </w:r>
          </w:p>
          <w:p w14:paraId="770A3D02" w14:textId="7717DF99"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703F54" w:rsidRPr="00F10F3B">
              <w:rPr>
                <w:rFonts w:ascii="Times New Roman" w:hAnsi="Times New Roman" w:cs="Times New Roman"/>
                <w:sz w:val="20"/>
                <w:szCs w:val="20"/>
              </w:rPr>
              <w:t>55</w:t>
            </w:r>
            <w:r w:rsidRPr="00F10F3B">
              <w:rPr>
                <w:rFonts w:ascii="Times New Roman" w:hAnsi="Times New Roman" w:cs="Times New Roman"/>
                <w:sz w:val="20"/>
                <w:szCs w:val="20"/>
              </w:rPr>
              <w:t>%</w:t>
            </w:r>
          </w:p>
          <w:p w14:paraId="5ED35F26" w14:textId="3C4E1DF4" w:rsidR="00B203D4"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825642" w:rsidRPr="00F10F3B">
              <w:rPr>
                <w:rFonts w:ascii="Times New Roman" w:hAnsi="Times New Roman" w:cs="Times New Roman"/>
                <w:sz w:val="20"/>
                <w:szCs w:val="20"/>
              </w:rPr>
              <w:t>84</w:t>
            </w:r>
            <w:r w:rsidRPr="00F10F3B">
              <w:rPr>
                <w:rFonts w:ascii="Times New Roman" w:hAnsi="Times New Roman" w:cs="Times New Roman"/>
                <w:sz w:val="20"/>
                <w:szCs w:val="20"/>
              </w:rPr>
              <w:t>%</w:t>
            </w:r>
          </w:p>
        </w:tc>
        <w:tc>
          <w:tcPr>
            <w:tcW w:w="785" w:type="pct"/>
          </w:tcPr>
          <w:p w14:paraId="6DF62485" w14:textId="18AE9F3D"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w:t>
            </w:r>
            <w:r w:rsidR="00B203D4" w:rsidRPr="00F10F3B">
              <w:rPr>
                <w:rFonts w:ascii="Times New Roman" w:hAnsi="Times New Roman" w:cs="Times New Roman"/>
                <w:sz w:val="20"/>
                <w:szCs w:val="20"/>
              </w:rPr>
              <w:t xml:space="preserve"> 67.7</w:t>
            </w:r>
          </w:p>
        </w:tc>
        <w:tc>
          <w:tcPr>
            <w:tcW w:w="2408" w:type="pct"/>
            <w:vMerge w:val="restart"/>
          </w:tcPr>
          <w:p w14:paraId="16E3FBDA" w14:textId="7C589A48" w:rsidR="00723781" w:rsidRPr="00F10F3B" w:rsidRDefault="00956E2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There are weaknesses in the transparency of the sector plans e.g. </w:t>
            </w:r>
            <w:r w:rsidR="00D42E86" w:rsidRPr="00F10F3B">
              <w:rPr>
                <w:rFonts w:ascii="Times New Roman" w:hAnsi="Times New Roman" w:cs="Times New Roman"/>
                <w:sz w:val="20"/>
                <w:szCs w:val="20"/>
              </w:rPr>
              <w:t>training targets.</w:t>
            </w:r>
          </w:p>
        </w:tc>
      </w:tr>
      <w:tr w:rsidR="00723781" w:rsidRPr="00F10F3B" w14:paraId="0E206D3D" w14:textId="77777777" w:rsidTr="00B203D4">
        <w:trPr>
          <w:trHeight w:val="105"/>
        </w:trPr>
        <w:tc>
          <w:tcPr>
            <w:tcW w:w="1807" w:type="pct"/>
            <w:vMerge/>
          </w:tcPr>
          <w:p w14:paraId="45E33D4E"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9B3AFBB" w14:textId="7E5CC4F5"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B203D4" w:rsidRPr="00F10F3B">
              <w:rPr>
                <w:rFonts w:ascii="Times New Roman" w:hAnsi="Times New Roman" w:cs="Times New Roman"/>
                <w:sz w:val="20"/>
                <w:szCs w:val="20"/>
              </w:rPr>
              <w:t xml:space="preserve"> 63.9</w:t>
            </w:r>
          </w:p>
        </w:tc>
        <w:tc>
          <w:tcPr>
            <w:tcW w:w="2408" w:type="pct"/>
            <w:vMerge/>
          </w:tcPr>
          <w:p w14:paraId="3D695CF8"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093A0BC0" w14:textId="77777777" w:rsidTr="00A87740">
        <w:trPr>
          <w:trHeight w:val="228"/>
        </w:trPr>
        <w:tc>
          <w:tcPr>
            <w:tcW w:w="1807" w:type="pct"/>
            <w:vMerge/>
          </w:tcPr>
          <w:p w14:paraId="24C4C821"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C3E51F6" w14:textId="69E9BAFB" w:rsidR="00723781" w:rsidRPr="00F10F3B" w:rsidRDefault="00723781"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B11C4C" w:rsidRPr="00F10F3B">
              <w:rPr>
                <w:rFonts w:ascii="Times New Roman" w:hAnsi="Times New Roman" w:cs="Times New Roman"/>
                <w:sz w:val="20"/>
                <w:szCs w:val="20"/>
              </w:rPr>
              <w:t>5</w:t>
            </w:r>
            <w:r w:rsidRPr="00F10F3B">
              <w:rPr>
                <w:rFonts w:ascii="Times New Roman" w:hAnsi="Times New Roman" w:cs="Times New Roman"/>
                <w:sz w:val="20"/>
                <w:szCs w:val="20"/>
              </w:rPr>
              <w:t>/16:</w:t>
            </w:r>
            <w:r w:rsidR="00B203D4" w:rsidRPr="00F10F3B">
              <w:rPr>
                <w:rFonts w:ascii="Times New Roman" w:hAnsi="Times New Roman" w:cs="Times New Roman"/>
                <w:sz w:val="20"/>
                <w:szCs w:val="20"/>
              </w:rPr>
              <w:t xml:space="preserve"> 61.0</w:t>
            </w:r>
          </w:p>
        </w:tc>
        <w:tc>
          <w:tcPr>
            <w:tcW w:w="2408" w:type="pct"/>
            <w:vMerge/>
          </w:tcPr>
          <w:p w14:paraId="6DDB1824"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723781" w:rsidRPr="00F10F3B" w14:paraId="1B438FD7" w14:textId="77777777" w:rsidTr="00184B10">
        <w:trPr>
          <w:trHeight w:val="480"/>
        </w:trPr>
        <w:tc>
          <w:tcPr>
            <w:tcW w:w="1807" w:type="pct"/>
            <w:vMerge/>
          </w:tcPr>
          <w:p w14:paraId="7AB9044B" w14:textId="77777777" w:rsidR="00723781" w:rsidRPr="00F10F3B" w:rsidRDefault="00723781"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6E69AF9" w14:textId="44B5C5C8" w:rsidR="00723781" w:rsidRPr="00F10F3B" w:rsidRDefault="00BE420B"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77696" behindDoc="0" locked="0" layoutInCell="1" allowOverlap="1" wp14:anchorId="74670CE6" wp14:editId="2DC854FF">
                      <wp:simplePos x="0" y="0"/>
                      <wp:positionH relativeFrom="column">
                        <wp:posOffset>297815</wp:posOffset>
                      </wp:positionH>
                      <wp:positionV relativeFrom="paragraph">
                        <wp:posOffset>64135</wp:posOffset>
                      </wp:positionV>
                      <wp:extent cx="200025" cy="209550"/>
                      <wp:effectExtent l="19050" t="0" r="28575" b="38100"/>
                      <wp:wrapNone/>
                      <wp:docPr id="11" name="Arrow: Down 11"/>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99025F" id="Arrow: Down 11" o:spid="_x0000_s1026" type="#_x0000_t67" style="position:absolute;margin-left:23.45pt;margin-top:5.05pt;width:15.75pt;height:16.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" adj="11291" fillcolor="#4472c4 [3204]" strokecolor="#1f3763 [1604]" strokeweight="1pt"/>
                  </w:pict>
                </mc:Fallback>
              </mc:AlternateContent>
            </w:r>
          </w:p>
        </w:tc>
        <w:tc>
          <w:tcPr>
            <w:tcW w:w="2408" w:type="pct"/>
            <w:vMerge/>
          </w:tcPr>
          <w:p w14:paraId="77D40152" w14:textId="77777777" w:rsidR="00723781" w:rsidRPr="00F10F3B" w:rsidRDefault="00723781" w:rsidP="00587EDE">
            <w:pPr>
              <w:pStyle w:val="ListParagraph"/>
              <w:spacing w:after="0" w:line="360" w:lineRule="auto"/>
              <w:ind w:left="0"/>
              <w:jc w:val="both"/>
              <w:rPr>
                <w:rFonts w:ascii="Times New Roman" w:hAnsi="Times New Roman" w:cs="Times New Roman"/>
                <w:sz w:val="20"/>
                <w:szCs w:val="20"/>
              </w:rPr>
            </w:pPr>
          </w:p>
        </w:tc>
      </w:tr>
      <w:tr w:rsidR="00B203D4" w:rsidRPr="00F10F3B" w14:paraId="12B93CE8" w14:textId="77777777" w:rsidTr="00B203D4">
        <w:trPr>
          <w:trHeight w:val="105"/>
        </w:trPr>
        <w:tc>
          <w:tcPr>
            <w:tcW w:w="1807" w:type="pct"/>
            <w:vMerge w:val="restart"/>
          </w:tcPr>
          <w:p w14:paraId="487CA7C6" w14:textId="782AB8CC" w:rsidR="00B203D4" w:rsidRPr="00F10F3B" w:rsidRDefault="00B203D4" w:rsidP="00587EDE">
            <w:pPr>
              <w:spacing w:after="0" w:line="360" w:lineRule="auto"/>
              <w:jc w:val="both"/>
              <w:rPr>
                <w:rFonts w:ascii="Times New Roman" w:hAnsi="Times New Roman" w:cs="Times New Roman"/>
                <w:b/>
                <w:sz w:val="20"/>
                <w:szCs w:val="20"/>
              </w:rPr>
            </w:pPr>
            <w:r w:rsidRPr="00F10F3B">
              <w:rPr>
                <w:rFonts w:ascii="Times New Roman" w:hAnsi="Times New Roman" w:cs="Times New Roman"/>
                <w:b/>
                <w:sz w:val="20"/>
                <w:szCs w:val="20"/>
              </w:rPr>
              <w:t>11. Justice, law and order</w:t>
            </w:r>
          </w:p>
          <w:p w14:paraId="713D21EE" w14:textId="6D5C9763"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D42E86" w:rsidRPr="00F10F3B">
              <w:rPr>
                <w:rFonts w:ascii="Times New Roman" w:hAnsi="Times New Roman" w:cs="Times New Roman"/>
                <w:sz w:val="20"/>
                <w:szCs w:val="20"/>
              </w:rPr>
              <w:t>71</w:t>
            </w:r>
            <w:r w:rsidRPr="00F10F3B">
              <w:rPr>
                <w:rFonts w:ascii="Times New Roman" w:hAnsi="Times New Roman" w:cs="Times New Roman"/>
                <w:sz w:val="20"/>
                <w:szCs w:val="20"/>
              </w:rPr>
              <w:t>%</w:t>
            </w:r>
          </w:p>
          <w:p w14:paraId="514BA0D8" w14:textId="78834BF8"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D42E86" w:rsidRPr="00F10F3B">
              <w:rPr>
                <w:rFonts w:ascii="Times New Roman" w:hAnsi="Times New Roman" w:cs="Times New Roman"/>
                <w:sz w:val="20"/>
                <w:szCs w:val="20"/>
              </w:rPr>
              <w:t>44</w:t>
            </w:r>
            <w:r w:rsidRPr="00F10F3B">
              <w:rPr>
                <w:rFonts w:ascii="Times New Roman" w:hAnsi="Times New Roman" w:cs="Times New Roman"/>
                <w:sz w:val="20"/>
                <w:szCs w:val="20"/>
              </w:rPr>
              <w:t>%</w:t>
            </w:r>
          </w:p>
          <w:p w14:paraId="5D666232" w14:textId="73EE4D03"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6F1A4A" w:rsidRPr="00F10F3B">
              <w:rPr>
                <w:rFonts w:ascii="Times New Roman" w:hAnsi="Times New Roman" w:cs="Times New Roman"/>
                <w:sz w:val="20"/>
                <w:szCs w:val="20"/>
              </w:rPr>
              <w:t>78</w:t>
            </w:r>
            <w:r w:rsidRPr="00F10F3B">
              <w:rPr>
                <w:rFonts w:ascii="Times New Roman" w:hAnsi="Times New Roman" w:cs="Times New Roman"/>
                <w:sz w:val="20"/>
                <w:szCs w:val="20"/>
              </w:rPr>
              <w:t>%</w:t>
            </w:r>
          </w:p>
          <w:p w14:paraId="3BD20F4D" w14:textId="52825323"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release and execution: </w:t>
            </w:r>
            <w:r w:rsidR="006F1A4A" w:rsidRPr="00F10F3B">
              <w:rPr>
                <w:rFonts w:ascii="Times New Roman" w:hAnsi="Times New Roman" w:cs="Times New Roman"/>
                <w:sz w:val="20"/>
                <w:szCs w:val="20"/>
              </w:rPr>
              <w:t>44</w:t>
            </w:r>
            <w:r w:rsidRPr="00F10F3B">
              <w:rPr>
                <w:rFonts w:ascii="Times New Roman" w:hAnsi="Times New Roman" w:cs="Times New Roman"/>
                <w:sz w:val="20"/>
                <w:szCs w:val="20"/>
              </w:rPr>
              <w:t>%</w:t>
            </w:r>
          </w:p>
        </w:tc>
        <w:tc>
          <w:tcPr>
            <w:tcW w:w="785" w:type="pct"/>
          </w:tcPr>
          <w:p w14:paraId="04A1CF79" w14:textId="45361EBA"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w:t>
            </w:r>
            <w:r w:rsidR="00D75349" w:rsidRPr="00F10F3B">
              <w:rPr>
                <w:rFonts w:ascii="Times New Roman" w:hAnsi="Times New Roman" w:cs="Times New Roman"/>
                <w:sz w:val="20"/>
                <w:szCs w:val="20"/>
              </w:rPr>
              <w:t xml:space="preserve"> 57.0</w:t>
            </w:r>
          </w:p>
        </w:tc>
        <w:tc>
          <w:tcPr>
            <w:tcW w:w="2408" w:type="pct"/>
            <w:vMerge w:val="restart"/>
          </w:tcPr>
          <w:p w14:paraId="4EA107E8" w14:textId="1C47D844" w:rsidR="00B203D4" w:rsidRPr="00F10F3B" w:rsidRDefault="006F1A4A"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Most projects are operational in nature rather </w:t>
            </w:r>
            <w:r w:rsidR="00855140" w:rsidRPr="00F10F3B">
              <w:rPr>
                <w:rFonts w:ascii="Times New Roman" w:hAnsi="Times New Roman" w:cs="Times New Roman"/>
                <w:sz w:val="20"/>
                <w:szCs w:val="20"/>
              </w:rPr>
              <w:t>with insufficient transparency on targets and results. Recurrent funding allocations are insufficient for associated development expenditure.</w:t>
            </w:r>
          </w:p>
        </w:tc>
      </w:tr>
      <w:tr w:rsidR="00B203D4" w:rsidRPr="00F10F3B" w14:paraId="7EAABC86" w14:textId="77777777" w:rsidTr="00B203D4">
        <w:trPr>
          <w:trHeight w:val="58"/>
        </w:trPr>
        <w:tc>
          <w:tcPr>
            <w:tcW w:w="1807" w:type="pct"/>
            <w:vMerge/>
          </w:tcPr>
          <w:p w14:paraId="7216F71E" w14:textId="77777777" w:rsidR="00B203D4" w:rsidRPr="00F10F3B" w:rsidRDefault="00B203D4" w:rsidP="00587EDE">
            <w:pPr>
              <w:spacing w:after="0" w:line="360" w:lineRule="auto"/>
              <w:jc w:val="both"/>
              <w:rPr>
                <w:rFonts w:ascii="Times New Roman" w:hAnsi="Times New Roman" w:cs="Times New Roman"/>
                <w:b/>
                <w:sz w:val="20"/>
                <w:szCs w:val="20"/>
              </w:rPr>
            </w:pPr>
          </w:p>
        </w:tc>
        <w:tc>
          <w:tcPr>
            <w:tcW w:w="785" w:type="pct"/>
          </w:tcPr>
          <w:p w14:paraId="76133920" w14:textId="2FC134B1"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D75349" w:rsidRPr="00F10F3B">
              <w:rPr>
                <w:rFonts w:ascii="Times New Roman" w:hAnsi="Times New Roman" w:cs="Times New Roman"/>
                <w:sz w:val="20"/>
                <w:szCs w:val="20"/>
              </w:rPr>
              <w:t xml:space="preserve"> 70.4</w:t>
            </w:r>
          </w:p>
        </w:tc>
        <w:tc>
          <w:tcPr>
            <w:tcW w:w="2408" w:type="pct"/>
            <w:vMerge/>
          </w:tcPr>
          <w:p w14:paraId="5A836AF2"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B203D4" w:rsidRPr="00F10F3B" w14:paraId="63FF144D" w14:textId="77777777" w:rsidTr="00B203D4">
        <w:trPr>
          <w:trHeight w:val="154"/>
        </w:trPr>
        <w:tc>
          <w:tcPr>
            <w:tcW w:w="1807" w:type="pct"/>
            <w:vMerge/>
          </w:tcPr>
          <w:p w14:paraId="38581EBF" w14:textId="77777777" w:rsidR="00B203D4" w:rsidRPr="00F10F3B" w:rsidRDefault="00B203D4" w:rsidP="00587EDE">
            <w:pPr>
              <w:spacing w:after="0" w:line="360" w:lineRule="auto"/>
              <w:jc w:val="both"/>
              <w:rPr>
                <w:rFonts w:ascii="Times New Roman" w:hAnsi="Times New Roman" w:cs="Times New Roman"/>
                <w:b/>
                <w:sz w:val="20"/>
                <w:szCs w:val="20"/>
              </w:rPr>
            </w:pPr>
          </w:p>
        </w:tc>
        <w:tc>
          <w:tcPr>
            <w:tcW w:w="785" w:type="pct"/>
          </w:tcPr>
          <w:p w14:paraId="27A05A82" w14:textId="3DB69B38"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w:t>
            </w:r>
            <w:r w:rsidR="00D75349" w:rsidRPr="00F10F3B">
              <w:rPr>
                <w:rFonts w:ascii="Times New Roman" w:hAnsi="Times New Roman" w:cs="Times New Roman"/>
                <w:sz w:val="20"/>
                <w:szCs w:val="20"/>
              </w:rPr>
              <w:t xml:space="preserve"> 71.0</w:t>
            </w:r>
          </w:p>
        </w:tc>
        <w:tc>
          <w:tcPr>
            <w:tcW w:w="2408" w:type="pct"/>
            <w:vMerge/>
          </w:tcPr>
          <w:p w14:paraId="4DBCEDE4"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B203D4" w:rsidRPr="00F10F3B" w14:paraId="1DD29289" w14:textId="77777777" w:rsidTr="00184B10">
        <w:trPr>
          <w:trHeight w:val="348"/>
        </w:trPr>
        <w:tc>
          <w:tcPr>
            <w:tcW w:w="1807" w:type="pct"/>
            <w:vMerge/>
          </w:tcPr>
          <w:p w14:paraId="70204547" w14:textId="77777777" w:rsidR="00B203D4" w:rsidRPr="00F10F3B" w:rsidRDefault="00B203D4" w:rsidP="00587EDE">
            <w:pPr>
              <w:spacing w:after="0" w:line="360" w:lineRule="auto"/>
              <w:jc w:val="both"/>
              <w:rPr>
                <w:rFonts w:ascii="Times New Roman" w:hAnsi="Times New Roman" w:cs="Times New Roman"/>
                <w:b/>
                <w:sz w:val="20"/>
                <w:szCs w:val="20"/>
              </w:rPr>
            </w:pPr>
          </w:p>
        </w:tc>
        <w:tc>
          <w:tcPr>
            <w:tcW w:w="785" w:type="pct"/>
          </w:tcPr>
          <w:p w14:paraId="210EA6FC" w14:textId="3DCE3472" w:rsidR="00B203D4" w:rsidRPr="00F10F3B" w:rsidRDefault="002B2296"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79744" behindDoc="0" locked="0" layoutInCell="1" allowOverlap="1" wp14:anchorId="36BA4650" wp14:editId="73820FE4">
                      <wp:simplePos x="0" y="0"/>
                      <wp:positionH relativeFrom="column">
                        <wp:posOffset>297815</wp:posOffset>
                      </wp:positionH>
                      <wp:positionV relativeFrom="paragraph">
                        <wp:posOffset>37465</wp:posOffset>
                      </wp:positionV>
                      <wp:extent cx="200025" cy="209550"/>
                      <wp:effectExtent l="19050" t="0" r="28575" b="38100"/>
                      <wp:wrapNone/>
                      <wp:docPr id="12" name="Arrow: Down 12"/>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7AE189" id="Arrow: Down 12" o:spid="_x0000_s1026" type="#_x0000_t67" style="position:absolute;margin-left:23.45pt;margin-top:2.95pt;width:15.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" adj="11291" fillcolor="#4472c4 [3204]" strokecolor="#1f3763 [1604]" strokeweight="1pt"/>
                  </w:pict>
                </mc:Fallback>
              </mc:AlternateContent>
            </w:r>
          </w:p>
        </w:tc>
        <w:tc>
          <w:tcPr>
            <w:tcW w:w="2408" w:type="pct"/>
            <w:vMerge/>
          </w:tcPr>
          <w:p w14:paraId="4A28E47E"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B203D4" w:rsidRPr="00F10F3B" w14:paraId="1BC3C38D" w14:textId="77777777" w:rsidTr="00F25C8E">
        <w:trPr>
          <w:trHeight w:val="178"/>
        </w:trPr>
        <w:tc>
          <w:tcPr>
            <w:tcW w:w="1807" w:type="pct"/>
            <w:vMerge w:val="restart"/>
          </w:tcPr>
          <w:p w14:paraId="676239CA" w14:textId="799C51BE" w:rsidR="00B203D4" w:rsidRPr="00F10F3B" w:rsidRDefault="00B203D4"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12. Accountability</w:t>
            </w:r>
          </w:p>
          <w:p w14:paraId="3E4FEC59" w14:textId="30AE3F35"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0E7718" w:rsidRPr="00F10F3B">
              <w:rPr>
                <w:rFonts w:ascii="Times New Roman" w:hAnsi="Times New Roman" w:cs="Times New Roman"/>
                <w:sz w:val="20"/>
                <w:szCs w:val="20"/>
              </w:rPr>
              <w:t>64</w:t>
            </w:r>
            <w:r w:rsidRPr="00F10F3B">
              <w:rPr>
                <w:rFonts w:ascii="Times New Roman" w:hAnsi="Times New Roman" w:cs="Times New Roman"/>
                <w:sz w:val="20"/>
                <w:szCs w:val="20"/>
              </w:rPr>
              <w:t>%</w:t>
            </w:r>
          </w:p>
          <w:p w14:paraId="1B2AF6BD" w14:textId="2A955782"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0E7718" w:rsidRPr="00F10F3B">
              <w:rPr>
                <w:rFonts w:ascii="Times New Roman" w:hAnsi="Times New Roman" w:cs="Times New Roman"/>
                <w:sz w:val="20"/>
                <w:szCs w:val="20"/>
              </w:rPr>
              <w:t>45.3</w:t>
            </w:r>
            <w:r w:rsidRPr="00F10F3B">
              <w:rPr>
                <w:rFonts w:ascii="Times New Roman" w:hAnsi="Times New Roman" w:cs="Times New Roman"/>
                <w:sz w:val="20"/>
                <w:szCs w:val="20"/>
              </w:rPr>
              <w:t>%</w:t>
            </w:r>
          </w:p>
          <w:p w14:paraId="5A48736C" w14:textId="02096074"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0E7718" w:rsidRPr="00F10F3B">
              <w:rPr>
                <w:rFonts w:ascii="Times New Roman" w:hAnsi="Times New Roman" w:cs="Times New Roman"/>
                <w:sz w:val="20"/>
                <w:szCs w:val="20"/>
              </w:rPr>
              <w:t>71.0</w:t>
            </w:r>
            <w:r w:rsidRPr="00F10F3B">
              <w:rPr>
                <w:rFonts w:ascii="Times New Roman" w:hAnsi="Times New Roman" w:cs="Times New Roman"/>
                <w:sz w:val="20"/>
                <w:szCs w:val="20"/>
              </w:rPr>
              <w:t>%</w:t>
            </w:r>
          </w:p>
          <w:p w14:paraId="2880CA02" w14:textId="0B66608F" w:rsidR="00B203D4" w:rsidRPr="00F10F3B" w:rsidRDefault="00B203D4"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0E7718" w:rsidRPr="00F10F3B">
              <w:rPr>
                <w:rFonts w:ascii="Times New Roman" w:hAnsi="Times New Roman" w:cs="Times New Roman"/>
                <w:sz w:val="20"/>
                <w:szCs w:val="20"/>
              </w:rPr>
              <w:t>48.0</w:t>
            </w:r>
            <w:r w:rsidRPr="00F10F3B">
              <w:rPr>
                <w:rFonts w:ascii="Times New Roman" w:hAnsi="Times New Roman" w:cs="Times New Roman"/>
                <w:sz w:val="20"/>
                <w:szCs w:val="20"/>
              </w:rPr>
              <w:t>%</w:t>
            </w:r>
          </w:p>
        </w:tc>
        <w:tc>
          <w:tcPr>
            <w:tcW w:w="785" w:type="pct"/>
          </w:tcPr>
          <w:p w14:paraId="6FD2650C" w14:textId="2A2E3536" w:rsidR="00B203D4" w:rsidRPr="00F10F3B" w:rsidRDefault="00B203D4"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w:t>
            </w:r>
            <w:r w:rsidR="00F25C8E" w:rsidRPr="00F10F3B">
              <w:rPr>
                <w:rFonts w:ascii="Times New Roman" w:hAnsi="Times New Roman" w:cs="Times New Roman"/>
                <w:sz w:val="20"/>
                <w:szCs w:val="20"/>
              </w:rPr>
              <w:t>7</w:t>
            </w:r>
            <w:r w:rsidRPr="00F10F3B">
              <w:rPr>
                <w:rFonts w:ascii="Times New Roman" w:hAnsi="Times New Roman" w:cs="Times New Roman"/>
                <w:sz w:val="20"/>
                <w:szCs w:val="20"/>
              </w:rPr>
              <w:t>/1</w:t>
            </w:r>
            <w:r w:rsidR="00F25C8E" w:rsidRPr="00F10F3B">
              <w:rPr>
                <w:rFonts w:ascii="Times New Roman" w:hAnsi="Times New Roman" w:cs="Times New Roman"/>
                <w:sz w:val="20"/>
                <w:szCs w:val="20"/>
              </w:rPr>
              <w:t>8</w:t>
            </w:r>
            <w:r w:rsidRPr="00F10F3B">
              <w:rPr>
                <w:rFonts w:ascii="Times New Roman" w:hAnsi="Times New Roman" w:cs="Times New Roman"/>
                <w:sz w:val="20"/>
                <w:szCs w:val="20"/>
              </w:rPr>
              <w:t>:</w:t>
            </w:r>
            <w:r w:rsidR="00F71FF0" w:rsidRPr="00F10F3B">
              <w:rPr>
                <w:rFonts w:ascii="Times New Roman" w:hAnsi="Times New Roman" w:cs="Times New Roman"/>
                <w:sz w:val="20"/>
                <w:szCs w:val="20"/>
              </w:rPr>
              <w:t xml:space="preserve"> 55.7</w:t>
            </w:r>
          </w:p>
        </w:tc>
        <w:tc>
          <w:tcPr>
            <w:tcW w:w="2408" w:type="pct"/>
            <w:vMerge w:val="restart"/>
          </w:tcPr>
          <w:p w14:paraId="757B71A5" w14:textId="5C9C3043" w:rsidR="00B203D4" w:rsidRPr="00F10F3B" w:rsidRDefault="003A013B"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There is a need </w:t>
            </w:r>
            <w:r w:rsidR="00110757" w:rsidRPr="00F10F3B">
              <w:rPr>
                <w:rFonts w:ascii="Times New Roman" w:hAnsi="Times New Roman" w:cs="Times New Roman"/>
                <w:sz w:val="20"/>
                <w:szCs w:val="20"/>
              </w:rPr>
              <w:t>to review the make-up of MDAs in this sector. UFZA and UIA should more to the trade and industry sector.</w:t>
            </w:r>
            <w:r w:rsidR="00BF2C02" w:rsidRPr="00F10F3B">
              <w:rPr>
                <w:rFonts w:ascii="Times New Roman" w:hAnsi="Times New Roman" w:cs="Times New Roman"/>
                <w:sz w:val="20"/>
                <w:szCs w:val="20"/>
              </w:rPr>
              <w:t xml:space="preserve"> Inconsistencies have been noted in the indicators and targets used.</w:t>
            </w:r>
          </w:p>
        </w:tc>
      </w:tr>
      <w:tr w:rsidR="00B203D4" w:rsidRPr="00F10F3B" w14:paraId="2F1C8B30" w14:textId="77777777" w:rsidTr="00F25C8E">
        <w:trPr>
          <w:trHeight w:val="58"/>
        </w:trPr>
        <w:tc>
          <w:tcPr>
            <w:tcW w:w="1807" w:type="pct"/>
            <w:vMerge/>
          </w:tcPr>
          <w:p w14:paraId="639A1277" w14:textId="77777777" w:rsidR="00B203D4" w:rsidRPr="00F10F3B" w:rsidRDefault="00B203D4"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8C34A14" w14:textId="02714015" w:rsidR="00B203D4" w:rsidRPr="00F10F3B" w:rsidRDefault="00F25C8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w:t>
            </w:r>
            <w:r w:rsidR="00F71FF0" w:rsidRPr="00F10F3B">
              <w:rPr>
                <w:rFonts w:ascii="Times New Roman" w:hAnsi="Times New Roman" w:cs="Times New Roman"/>
                <w:sz w:val="20"/>
                <w:szCs w:val="20"/>
              </w:rPr>
              <w:t xml:space="preserve"> 70.0</w:t>
            </w:r>
          </w:p>
        </w:tc>
        <w:tc>
          <w:tcPr>
            <w:tcW w:w="2408" w:type="pct"/>
            <w:vMerge/>
          </w:tcPr>
          <w:p w14:paraId="66FDBBDA"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B203D4" w:rsidRPr="00F10F3B" w14:paraId="2BAE3FF8" w14:textId="77777777" w:rsidTr="00B203D4">
        <w:trPr>
          <w:trHeight w:val="252"/>
        </w:trPr>
        <w:tc>
          <w:tcPr>
            <w:tcW w:w="1807" w:type="pct"/>
            <w:vMerge/>
          </w:tcPr>
          <w:p w14:paraId="4D3FEEC1" w14:textId="77777777" w:rsidR="00B203D4" w:rsidRPr="00F10F3B" w:rsidRDefault="00B203D4"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8B73A3B" w14:textId="3DDC17EE" w:rsidR="00B203D4" w:rsidRPr="00F10F3B" w:rsidRDefault="00F25C8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w:t>
            </w:r>
            <w:r w:rsidR="00F71FF0" w:rsidRPr="00F10F3B">
              <w:rPr>
                <w:rFonts w:ascii="Times New Roman" w:hAnsi="Times New Roman" w:cs="Times New Roman"/>
                <w:sz w:val="20"/>
                <w:szCs w:val="20"/>
              </w:rPr>
              <w:t xml:space="preserve"> 41.3</w:t>
            </w:r>
          </w:p>
        </w:tc>
        <w:tc>
          <w:tcPr>
            <w:tcW w:w="2408" w:type="pct"/>
            <w:vMerge/>
          </w:tcPr>
          <w:p w14:paraId="1841B44A"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B203D4" w:rsidRPr="00F10F3B" w14:paraId="7143AADA" w14:textId="77777777" w:rsidTr="00184B10">
        <w:trPr>
          <w:trHeight w:val="324"/>
        </w:trPr>
        <w:tc>
          <w:tcPr>
            <w:tcW w:w="1807" w:type="pct"/>
            <w:vMerge/>
          </w:tcPr>
          <w:p w14:paraId="704E7B02" w14:textId="77777777" w:rsidR="00B203D4" w:rsidRPr="00F10F3B" w:rsidRDefault="00B203D4"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DD1E9F3" w14:textId="36BD81E4"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c>
          <w:tcPr>
            <w:tcW w:w="2408" w:type="pct"/>
            <w:vMerge/>
          </w:tcPr>
          <w:p w14:paraId="4908CA3F" w14:textId="77777777" w:rsidR="00B203D4" w:rsidRPr="00F10F3B" w:rsidRDefault="00B203D4" w:rsidP="00587EDE">
            <w:pPr>
              <w:pStyle w:val="ListParagraph"/>
              <w:spacing w:after="0" w:line="360" w:lineRule="auto"/>
              <w:ind w:left="0"/>
              <w:jc w:val="both"/>
              <w:rPr>
                <w:rFonts w:ascii="Times New Roman" w:hAnsi="Times New Roman" w:cs="Times New Roman"/>
                <w:sz w:val="20"/>
                <w:szCs w:val="20"/>
              </w:rPr>
            </w:pPr>
          </w:p>
        </w:tc>
      </w:tr>
      <w:tr w:rsidR="00827947" w:rsidRPr="00F10F3B" w14:paraId="04B3D153" w14:textId="77777777" w:rsidTr="00F25C8E">
        <w:trPr>
          <w:trHeight w:val="168"/>
        </w:trPr>
        <w:tc>
          <w:tcPr>
            <w:tcW w:w="1807" w:type="pct"/>
            <w:vMerge w:val="restart"/>
          </w:tcPr>
          <w:p w14:paraId="4031AE65" w14:textId="755FBCE6"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13. Public sector management</w:t>
            </w:r>
          </w:p>
          <w:p w14:paraId="4CFC3F0B" w14:textId="25874F41"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F065B2" w:rsidRPr="00F10F3B">
              <w:rPr>
                <w:rFonts w:ascii="Times New Roman" w:hAnsi="Times New Roman" w:cs="Times New Roman"/>
                <w:sz w:val="20"/>
                <w:szCs w:val="20"/>
              </w:rPr>
              <w:t>57</w:t>
            </w:r>
            <w:r w:rsidRPr="00F10F3B">
              <w:rPr>
                <w:rFonts w:ascii="Times New Roman" w:hAnsi="Times New Roman" w:cs="Times New Roman"/>
                <w:sz w:val="20"/>
                <w:szCs w:val="20"/>
              </w:rPr>
              <w:t>%</w:t>
            </w:r>
          </w:p>
          <w:p w14:paraId="040B677C" w14:textId="385B46D4"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F065B2" w:rsidRPr="00F10F3B">
              <w:rPr>
                <w:rFonts w:ascii="Times New Roman" w:hAnsi="Times New Roman" w:cs="Times New Roman"/>
                <w:sz w:val="20"/>
                <w:szCs w:val="20"/>
              </w:rPr>
              <w:t>40.1</w:t>
            </w:r>
            <w:r w:rsidRPr="00F10F3B">
              <w:rPr>
                <w:rFonts w:ascii="Times New Roman" w:hAnsi="Times New Roman" w:cs="Times New Roman"/>
                <w:sz w:val="20"/>
                <w:szCs w:val="20"/>
              </w:rPr>
              <w:t>%</w:t>
            </w:r>
          </w:p>
          <w:p w14:paraId="448DB565" w14:textId="1A02592D"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F065B2" w:rsidRPr="00F10F3B">
              <w:rPr>
                <w:rFonts w:ascii="Times New Roman" w:hAnsi="Times New Roman" w:cs="Times New Roman"/>
                <w:sz w:val="20"/>
                <w:szCs w:val="20"/>
              </w:rPr>
              <w:t>62</w:t>
            </w:r>
            <w:r w:rsidRPr="00F10F3B">
              <w:rPr>
                <w:rFonts w:ascii="Times New Roman" w:hAnsi="Times New Roman" w:cs="Times New Roman"/>
                <w:sz w:val="20"/>
                <w:szCs w:val="20"/>
              </w:rPr>
              <w:t>%</w:t>
            </w:r>
          </w:p>
          <w:p w14:paraId="0B74CA1F" w14:textId="5738CB08"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F065B2" w:rsidRPr="00F10F3B">
              <w:rPr>
                <w:rFonts w:ascii="Times New Roman" w:hAnsi="Times New Roman" w:cs="Times New Roman"/>
                <w:sz w:val="20"/>
                <w:szCs w:val="20"/>
              </w:rPr>
              <w:t>38.3</w:t>
            </w:r>
            <w:r w:rsidRPr="00F10F3B">
              <w:rPr>
                <w:rFonts w:ascii="Times New Roman" w:hAnsi="Times New Roman" w:cs="Times New Roman"/>
                <w:sz w:val="20"/>
                <w:szCs w:val="20"/>
              </w:rPr>
              <w:t>%</w:t>
            </w:r>
          </w:p>
        </w:tc>
        <w:tc>
          <w:tcPr>
            <w:tcW w:w="785" w:type="pct"/>
          </w:tcPr>
          <w:p w14:paraId="1A7AC65B" w14:textId="3CD635C8"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50.1</w:t>
            </w:r>
          </w:p>
        </w:tc>
        <w:tc>
          <w:tcPr>
            <w:tcW w:w="2408" w:type="pct"/>
            <w:vMerge w:val="restart"/>
          </w:tcPr>
          <w:p w14:paraId="73184249" w14:textId="32301C62" w:rsidR="00827947" w:rsidRPr="00F10F3B" w:rsidRDefault="00B34EEC"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There has been significant delays in implementing NDPII pipeline projects. There has also been a disproportionate allocation of recurrent budget </w:t>
            </w:r>
            <w:r w:rsidR="00B00564" w:rsidRPr="00F10F3B">
              <w:rPr>
                <w:rFonts w:ascii="Times New Roman" w:hAnsi="Times New Roman" w:cs="Times New Roman"/>
                <w:sz w:val="20"/>
                <w:szCs w:val="20"/>
              </w:rPr>
              <w:t>in comparison with funding to projects.</w:t>
            </w:r>
          </w:p>
        </w:tc>
      </w:tr>
      <w:tr w:rsidR="00827947" w:rsidRPr="00F10F3B" w14:paraId="11AA5A65" w14:textId="77777777" w:rsidTr="00F25C8E">
        <w:trPr>
          <w:trHeight w:val="264"/>
        </w:trPr>
        <w:tc>
          <w:tcPr>
            <w:tcW w:w="1807" w:type="pct"/>
            <w:vMerge/>
          </w:tcPr>
          <w:p w14:paraId="4902CBB7"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B4DFD02" w14:textId="3CA36A83"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67.7</w:t>
            </w:r>
          </w:p>
        </w:tc>
        <w:tc>
          <w:tcPr>
            <w:tcW w:w="2408" w:type="pct"/>
            <w:vMerge/>
          </w:tcPr>
          <w:p w14:paraId="49EFDAD1"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0A9B4AC7" w14:textId="77777777" w:rsidTr="00F25C8E">
        <w:trPr>
          <w:trHeight w:val="216"/>
        </w:trPr>
        <w:tc>
          <w:tcPr>
            <w:tcW w:w="1807" w:type="pct"/>
            <w:vMerge/>
          </w:tcPr>
          <w:p w14:paraId="456BE098"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5693FCDC" w14:textId="4DB85E5C"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58.3</w:t>
            </w:r>
          </w:p>
        </w:tc>
        <w:tc>
          <w:tcPr>
            <w:tcW w:w="2408" w:type="pct"/>
            <w:vMerge/>
          </w:tcPr>
          <w:p w14:paraId="0658755E"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10D7B584" w14:textId="77777777" w:rsidTr="00184B10">
        <w:trPr>
          <w:trHeight w:val="552"/>
        </w:trPr>
        <w:tc>
          <w:tcPr>
            <w:tcW w:w="1807" w:type="pct"/>
            <w:vMerge/>
          </w:tcPr>
          <w:p w14:paraId="5078E318"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48ACEAAE" w14:textId="3688AC9E"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10464" behindDoc="0" locked="0" layoutInCell="1" allowOverlap="1" wp14:anchorId="6DF9D3BD" wp14:editId="093E3781">
                      <wp:simplePos x="0" y="0"/>
                      <wp:positionH relativeFrom="column">
                        <wp:posOffset>282575</wp:posOffset>
                      </wp:positionH>
                      <wp:positionV relativeFrom="paragraph">
                        <wp:posOffset>69215</wp:posOffset>
                      </wp:positionV>
                      <wp:extent cx="200025" cy="209550"/>
                      <wp:effectExtent l="19050" t="0" r="28575" b="38100"/>
                      <wp:wrapNone/>
                      <wp:docPr id="14" name="Arrow: Down 14"/>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FA1C33" id="Arrow: Down 14" o:spid="_x0000_s1026" type="#_x0000_t67" style="position:absolute;margin-left:22.25pt;margin-top:5.45pt;width:15.75pt;height:16.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" adj="11291" fillcolor="#4472c4 [3204]" strokecolor="#1f3763 [1604]" strokeweight="1pt"/>
                  </w:pict>
                </mc:Fallback>
              </mc:AlternateContent>
            </w:r>
          </w:p>
        </w:tc>
        <w:tc>
          <w:tcPr>
            <w:tcW w:w="2408" w:type="pct"/>
            <w:vMerge/>
          </w:tcPr>
          <w:p w14:paraId="2CB402AF"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27580838" w14:textId="77777777" w:rsidTr="00F25C8E">
        <w:trPr>
          <w:trHeight w:val="216"/>
        </w:trPr>
        <w:tc>
          <w:tcPr>
            <w:tcW w:w="1807" w:type="pct"/>
            <w:vMerge w:val="restart"/>
          </w:tcPr>
          <w:p w14:paraId="017218B9" w14:textId="1EE693CC"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 xml:space="preserve">14. Lands, housing and urban development  </w:t>
            </w:r>
          </w:p>
          <w:p w14:paraId="112B3432" w14:textId="3275A4F9"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4C679D" w:rsidRPr="00F10F3B">
              <w:rPr>
                <w:rFonts w:ascii="Times New Roman" w:hAnsi="Times New Roman" w:cs="Times New Roman"/>
                <w:sz w:val="20"/>
                <w:szCs w:val="20"/>
              </w:rPr>
              <w:t>50</w:t>
            </w:r>
            <w:r w:rsidRPr="00F10F3B">
              <w:rPr>
                <w:rFonts w:ascii="Times New Roman" w:hAnsi="Times New Roman" w:cs="Times New Roman"/>
                <w:sz w:val="20"/>
                <w:szCs w:val="20"/>
              </w:rPr>
              <w:t>%</w:t>
            </w:r>
          </w:p>
          <w:p w14:paraId="417E247A" w14:textId="7F7BD78D"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4C679D" w:rsidRPr="00F10F3B">
              <w:rPr>
                <w:rFonts w:ascii="Times New Roman" w:hAnsi="Times New Roman" w:cs="Times New Roman"/>
                <w:sz w:val="20"/>
                <w:szCs w:val="20"/>
              </w:rPr>
              <w:t>34.4</w:t>
            </w:r>
            <w:r w:rsidRPr="00F10F3B">
              <w:rPr>
                <w:rFonts w:ascii="Times New Roman" w:hAnsi="Times New Roman" w:cs="Times New Roman"/>
                <w:sz w:val="20"/>
                <w:szCs w:val="20"/>
              </w:rPr>
              <w:t>%</w:t>
            </w:r>
          </w:p>
          <w:p w14:paraId="1F4A3826" w14:textId="0475343B"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4C679D" w:rsidRPr="00F10F3B">
              <w:rPr>
                <w:rFonts w:ascii="Times New Roman" w:hAnsi="Times New Roman" w:cs="Times New Roman"/>
                <w:sz w:val="20"/>
                <w:szCs w:val="20"/>
              </w:rPr>
              <w:t>67.3</w:t>
            </w:r>
            <w:r w:rsidRPr="00F10F3B">
              <w:rPr>
                <w:rFonts w:ascii="Times New Roman" w:hAnsi="Times New Roman" w:cs="Times New Roman"/>
                <w:sz w:val="20"/>
                <w:szCs w:val="20"/>
              </w:rPr>
              <w:t>%</w:t>
            </w:r>
          </w:p>
          <w:p w14:paraId="7D58C119" w14:textId="74072E72"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4C679D" w:rsidRPr="00F10F3B">
              <w:rPr>
                <w:rFonts w:ascii="Times New Roman" w:hAnsi="Times New Roman" w:cs="Times New Roman"/>
                <w:sz w:val="20"/>
                <w:szCs w:val="20"/>
              </w:rPr>
              <w:t>58</w:t>
            </w:r>
            <w:r w:rsidRPr="00F10F3B">
              <w:rPr>
                <w:rFonts w:ascii="Times New Roman" w:hAnsi="Times New Roman" w:cs="Times New Roman"/>
                <w:sz w:val="20"/>
                <w:szCs w:val="20"/>
              </w:rPr>
              <w:t>%</w:t>
            </w:r>
          </w:p>
        </w:tc>
        <w:tc>
          <w:tcPr>
            <w:tcW w:w="785" w:type="pct"/>
          </w:tcPr>
          <w:p w14:paraId="50F4DE3B" w14:textId="4F12845B"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52.9</w:t>
            </w:r>
          </w:p>
        </w:tc>
        <w:tc>
          <w:tcPr>
            <w:tcW w:w="2408" w:type="pct"/>
            <w:vMerge w:val="restart"/>
          </w:tcPr>
          <w:p w14:paraId="5CFE6AE7" w14:textId="6AF00AA9" w:rsidR="00827947" w:rsidRPr="00F10F3B" w:rsidRDefault="004F02D0"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Budget credibility is compromised in the ULC as the vote receives supplementary budgets that are over 100% of the approved budget. </w:t>
            </w:r>
            <w:r w:rsidR="008B4C23" w:rsidRPr="00F10F3B">
              <w:rPr>
                <w:rFonts w:ascii="Times New Roman" w:hAnsi="Times New Roman" w:cs="Times New Roman"/>
                <w:sz w:val="20"/>
                <w:szCs w:val="20"/>
              </w:rPr>
              <w:t xml:space="preserve">No clear targets are indicated in budget instruments. </w:t>
            </w:r>
          </w:p>
        </w:tc>
      </w:tr>
      <w:tr w:rsidR="00827947" w:rsidRPr="00F10F3B" w14:paraId="24146D99" w14:textId="77777777" w:rsidTr="001744CC">
        <w:trPr>
          <w:trHeight w:val="189"/>
        </w:trPr>
        <w:tc>
          <w:tcPr>
            <w:tcW w:w="1807" w:type="pct"/>
            <w:vMerge/>
          </w:tcPr>
          <w:p w14:paraId="3E523A15"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738B1A15" w14:textId="54379568"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65.1</w:t>
            </w:r>
          </w:p>
        </w:tc>
        <w:tc>
          <w:tcPr>
            <w:tcW w:w="2408" w:type="pct"/>
            <w:vMerge/>
          </w:tcPr>
          <w:p w14:paraId="3A748B65"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053ECCC8" w14:textId="77777777" w:rsidTr="001744CC">
        <w:trPr>
          <w:trHeight w:val="58"/>
        </w:trPr>
        <w:tc>
          <w:tcPr>
            <w:tcW w:w="1807" w:type="pct"/>
            <w:vMerge/>
          </w:tcPr>
          <w:p w14:paraId="24B141BE"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F33DF27" w14:textId="61B24329"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41.3</w:t>
            </w:r>
          </w:p>
        </w:tc>
        <w:tc>
          <w:tcPr>
            <w:tcW w:w="2408" w:type="pct"/>
            <w:vMerge/>
          </w:tcPr>
          <w:p w14:paraId="4404BFCC"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524E7C77" w14:textId="77777777" w:rsidTr="00184B10">
        <w:trPr>
          <w:trHeight w:val="660"/>
        </w:trPr>
        <w:tc>
          <w:tcPr>
            <w:tcW w:w="1807" w:type="pct"/>
            <w:vMerge/>
          </w:tcPr>
          <w:p w14:paraId="176F67EF"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7F30315" w14:textId="59DB03B4"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16608" behindDoc="0" locked="0" layoutInCell="1" allowOverlap="1" wp14:anchorId="118E545A" wp14:editId="49A55631">
                      <wp:simplePos x="0" y="0"/>
                      <wp:positionH relativeFrom="column">
                        <wp:posOffset>290195</wp:posOffset>
                      </wp:positionH>
                      <wp:positionV relativeFrom="paragraph">
                        <wp:posOffset>76835</wp:posOffset>
                      </wp:positionV>
                      <wp:extent cx="200025" cy="209550"/>
                      <wp:effectExtent l="19050" t="19050" r="47625" b="19050"/>
                      <wp:wrapNone/>
                      <wp:docPr id="17" name="Arrow: Down 17"/>
                      <wp:cNvGraphicFramePr/>
                      <a:graphic xmlns:a="http://schemas.openxmlformats.org/drawingml/2006/main">
                        <a:graphicData uri="http://schemas.microsoft.com/office/word/2010/wordprocessingShape">
                          <wps:wsp>
                            <wps:cNvSpPr/>
                            <wps:spPr>
                              <a:xfrm rot="10800000">
                                <a:off x="0" y="0"/>
                                <a:ext cx="200025" cy="2095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3489CD" id="Arrow: Down 17" o:spid="_x0000_s1026" type="#_x0000_t67" style="position:absolute;margin-left:22.85pt;margin-top:6.05pt;width:15.75pt;height:16.5pt;rotation:180;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" adj="11291" fillcolor="#70ad47 [3209]" strokecolor="#1f3763 [1604]" strokeweight="1pt"/>
                  </w:pict>
                </mc:Fallback>
              </mc:AlternateContent>
            </w:r>
          </w:p>
        </w:tc>
        <w:tc>
          <w:tcPr>
            <w:tcW w:w="2408" w:type="pct"/>
            <w:vMerge/>
          </w:tcPr>
          <w:p w14:paraId="30CA0C81"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0B8FF761" w14:textId="77777777" w:rsidTr="001744CC">
        <w:trPr>
          <w:trHeight w:val="65"/>
        </w:trPr>
        <w:tc>
          <w:tcPr>
            <w:tcW w:w="1807" w:type="pct"/>
            <w:vMerge w:val="restart"/>
          </w:tcPr>
          <w:p w14:paraId="7740202F" w14:textId="3FAEB28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15. Energy sector and mineral dev.</w:t>
            </w:r>
          </w:p>
          <w:p w14:paraId="721FB517" w14:textId="3DCB4DCD"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D02196" w:rsidRPr="00F10F3B">
              <w:rPr>
                <w:rFonts w:ascii="Times New Roman" w:hAnsi="Times New Roman" w:cs="Times New Roman"/>
                <w:sz w:val="20"/>
                <w:szCs w:val="20"/>
              </w:rPr>
              <w:t>14</w:t>
            </w:r>
            <w:r w:rsidRPr="00F10F3B">
              <w:rPr>
                <w:rFonts w:ascii="Times New Roman" w:hAnsi="Times New Roman" w:cs="Times New Roman"/>
                <w:sz w:val="20"/>
                <w:szCs w:val="20"/>
              </w:rPr>
              <w:t>%</w:t>
            </w:r>
          </w:p>
          <w:p w14:paraId="457323AC" w14:textId="6E8D816F"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BF181D" w:rsidRPr="00F10F3B">
              <w:rPr>
                <w:rFonts w:ascii="Times New Roman" w:hAnsi="Times New Roman" w:cs="Times New Roman"/>
                <w:sz w:val="20"/>
                <w:szCs w:val="20"/>
              </w:rPr>
              <w:t>48.1</w:t>
            </w:r>
            <w:r w:rsidRPr="00F10F3B">
              <w:rPr>
                <w:rFonts w:ascii="Times New Roman" w:hAnsi="Times New Roman" w:cs="Times New Roman"/>
                <w:sz w:val="20"/>
                <w:szCs w:val="20"/>
              </w:rPr>
              <w:t>%</w:t>
            </w:r>
          </w:p>
          <w:p w14:paraId="6D2C621C" w14:textId="009B730A"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D02196" w:rsidRPr="00F10F3B">
              <w:rPr>
                <w:rFonts w:ascii="Times New Roman" w:hAnsi="Times New Roman" w:cs="Times New Roman"/>
                <w:sz w:val="20"/>
                <w:szCs w:val="20"/>
              </w:rPr>
              <w:t>69</w:t>
            </w:r>
            <w:r w:rsidRPr="00F10F3B">
              <w:rPr>
                <w:rFonts w:ascii="Times New Roman" w:hAnsi="Times New Roman" w:cs="Times New Roman"/>
                <w:sz w:val="20"/>
                <w:szCs w:val="20"/>
              </w:rPr>
              <w:t>%</w:t>
            </w:r>
          </w:p>
          <w:p w14:paraId="5ABCCA33" w14:textId="5F762DB8"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BF181D" w:rsidRPr="00F10F3B">
              <w:rPr>
                <w:rFonts w:ascii="Times New Roman" w:hAnsi="Times New Roman" w:cs="Times New Roman"/>
                <w:sz w:val="20"/>
                <w:szCs w:val="20"/>
              </w:rPr>
              <w:t>18</w:t>
            </w:r>
            <w:r w:rsidRPr="00F10F3B">
              <w:rPr>
                <w:rFonts w:ascii="Times New Roman" w:hAnsi="Times New Roman" w:cs="Times New Roman"/>
                <w:sz w:val="20"/>
                <w:szCs w:val="20"/>
              </w:rPr>
              <w:t>%</w:t>
            </w:r>
          </w:p>
        </w:tc>
        <w:tc>
          <w:tcPr>
            <w:tcW w:w="785" w:type="pct"/>
          </w:tcPr>
          <w:p w14:paraId="17A5F473" w14:textId="7822929D"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41.9</w:t>
            </w:r>
          </w:p>
        </w:tc>
        <w:tc>
          <w:tcPr>
            <w:tcW w:w="2408" w:type="pct"/>
            <w:vMerge w:val="restart"/>
          </w:tcPr>
          <w:p w14:paraId="549FA529" w14:textId="6C648EBC" w:rsidR="00827947" w:rsidRPr="00F10F3B" w:rsidRDefault="00BF181D"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Transmission line projects are not on schedule due to land </w:t>
            </w:r>
            <w:r w:rsidR="00041AC5" w:rsidRPr="00F10F3B">
              <w:rPr>
                <w:rFonts w:ascii="Times New Roman" w:hAnsi="Times New Roman" w:cs="Times New Roman"/>
                <w:sz w:val="20"/>
                <w:szCs w:val="20"/>
              </w:rPr>
              <w:t xml:space="preserve">acquisition challenges. Low release of funds to the sector is affecting implementation. Some entities </w:t>
            </w:r>
            <w:r w:rsidR="002E6EDF" w:rsidRPr="00F10F3B">
              <w:rPr>
                <w:rFonts w:ascii="Times New Roman" w:hAnsi="Times New Roman" w:cs="Times New Roman"/>
                <w:sz w:val="20"/>
                <w:szCs w:val="20"/>
              </w:rPr>
              <w:t xml:space="preserve">e.g. ERA </w:t>
            </w:r>
            <w:r w:rsidR="00041AC5" w:rsidRPr="00F10F3B">
              <w:rPr>
                <w:rFonts w:ascii="Times New Roman" w:hAnsi="Times New Roman" w:cs="Times New Roman"/>
                <w:sz w:val="20"/>
                <w:szCs w:val="20"/>
              </w:rPr>
              <w:t>are spending revenue at source.</w:t>
            </w:r>
          </w:p>
        </w:tc>
      </w:tr>
      <w:tr w:rsidR="00827947" w:rsidRPr="00F10F3B" w14:paraId="4F723914" w14:textId="77777777" w:rsidTr="00F25C8E">
        <w:trPr>
          <w:trHeight w:val="252"/>
        </w:trPr>
        <w:tc>
          <w:tcPr>
            <w:tcW w:w="1807" w:type="pct"/>
            <w:vMerge/>
          </w:tcPr>
          <w:p w14:paraId="245C41D0"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02558AE1" w14:textId="79CE0AEE"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64.5</w:t>
            </w:r>
          </w:p>
        </w:tc>
        <w:tc>
          <w:tcPr>
            <w:tcW w:w="2408" w:type="pct"/>
            <w:vMerge/>
          </w:tcPr>
          <w:p w14:paraId="26BD83B3"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3B7388BA" w14:textId="77777777" w:rsidTr="00F25C8E">
        <w:trPr>
          <w:trHeight w:val="252"/>
        </w:trPr>
        <w:tc>
          <w:tcPr>
            <w:tcW w:w="1807" w:type="pct"/>
            <w:vMerge/>
          </w:tcPr>
          <w:p w14:paraId="0F4D4A19"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3206CD6" w14:textId="2A670D9E"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53.4</w:t>
            </w:r>
          </w:p>
        </w:tc>
        <w:tc>
          <w:tcPr>
            <w:tcW w:w="2408" w:type="pct"/>
            <w:vMerge/>
          </w:tcPr>
          <w:p w14:paraId="2DFC19B9"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0334C6E5" w14:textId="77777777" w:rsidTr="00184B10">
        <w:trPr>
          <w:trHeight w:val="348"/>
        </w:trPr>
        <w:tc>
          <w:tcPr>
            <w:tcW w:w="1807" w:type="pct"/>
            <w:vMerge/>
          </w:tcPr>
          <w:p w14:paraId="7921E6EF"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4A554FD" w14:textId="71ED2A70"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35040" behindDoc="0" locked="0" layoutInCell="1" allowOverlap="1" wp14:anchorId="5B86C1DC" wp14:editId="3ED50203">
                      <wp:simplePos x="0" y="0"/>
                      <wp:positionH relativeFrom="column">
                        <wp:posOffset>282575</wp:posOffset>
                      </wp:positionH>
                      <wp:positionV relativeFrom="paragraph">
                        <wp:posOffset>49530</wp:posOffset>
                      </wp:positionV>
                      <wp:extent cx="200025" cy="209550"/>
                      <wp:effectExtent l="19050" t="0" r="28575" b="38100"/>
                      <wp:wrapNone/>
                      <wp:docPr id="18" name="Arrow: Down 18"/>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0933EA" id="Arrow: Down 18" o:spid="_x0000_s1026" type="#_x0000_t67" style="position:absolute;margin-left:22.25pt;margin-top:3.9pt;width:15.75pt;height:16.5pt;z-index:251735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" adj="11291" fillcolor="#4472c4 [3204]" strokecolor="#1f3763 [1604]" strokeweight="1pt"/>
                  </w:pict>
                </mc:Fallback>
              </mc:AlternateContent>
            </w:r>
          </w:p>
        </w:tc>
        <w:tc>
          <w:tcPr>
            <w:tcW w:w="2408" w:type="pct"/>
            <w:vMerge/>
          </w:tcPr>
          <w:p w14:paraId="75BA329E"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236D1422" w14:textId="77777777" w:rsidTr="001744CC">
        <w:trPr>
          <w:trHeight w:val="111"/>
        </w:trPr>
        <w:tc>
          <w:tcPr>
            <w:tcW w:w="1807" w:type="pct"/>
            <w:vMerge w:val="restart"/>
          </w:tcPr>
          <w:p w14:paraId="58E451F7" w14:textId="1641BD2A"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lastRenderedPageBreak/>
              <w:t>16. ICT</w:t>
            </w:r>
          </w:p>
          <w:p w14:paraId="4A295B0E" w14:textId="4EBE1DF6"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2E6EDF" w:rsidRPr="00F10F3B">
              <w:rPr>
                <w:rFonts w:ascii="Times New Roman" w:hAnsi="Times New Roman" w:cs="Times New Roman"/>
                <w:sz w:val="20"/>
                <w:szCs w:val="20"/>
              </w:rPr>
              <w:t>100</w:t>
            </w:r>
            <w:r w:rsidRPr="00F10F3B">
              <w:rPr>
                <w:rFonts w:ascii="Times New Roman" w:hAnsi="Times New Roman" w:cs="Times New Roman"/>
                <w:sz w:val="20"/>
                <w:szCs w:val="20"/>
              </w:rPr>
              <w:t>%</w:t>
            </w:r>
          </w:p>
          <w:p w14:paraId="2F96F843" w14:textId="335CBA1C"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066C66" w:rsidRPr="00F10F3B">
              <w:rPr>
                <w:rFonts w:ascii="Times New Roman" w:hAnsi="Times New Roman" w:cs="Times New Roman"/>
                <w:sz w:val="20"/>
                <w:szCs w:val="20"/>
              </w:rPr>
              <w:t>36.7</w:t>
            </w:r>
            <w:r w:rsidRPr="00F10F3B">
              <w:rPr>
                <w:rFonts w:ascii="Times New Roman" w:hAnsi="Times New Roman" w:cs="Times New Roman"/>
                <w:sz w:val="20"/>
                <w:szCs w:val="20"/>
              </w:rPr>
              <w:t>%</w:t>
            </w:r>
          </w:p>
          <w:p w14:paraId="4DBEE374" w14:textId="1796F928"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6313F4" w:rsidRPr="00F10F3B">
              <w:rPr>
                <w:rFonts w:ascii="Times New Roman" w:hAnsi="Times New Roman" w:cs="Times New Roman"/>
                <w:sz w:val="20"/>
                <w:szCs w:val="20"/>
              </w:rPr>
              <w:t>82.4</w:t>
            </w:r>
            <w:r w:rsidRPr="00F10F3B">
              <w:rPr>
                <w:rFonts w:ascii="Times New Roman" w:hAnsi="Times New Roman" w:cs="Times New Roman"/>
                <w:sz w:val="20"/>
                <w:szCs w:val="20"/>
              </w:rPr>
              <w:t>%</w:t>
            </w:r>
          </w:p>
          <w:p w14:paraId="57D8CF0C" w14:textId="30953452"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6313F4" w:rsidRPr="00F10F3B">
              <w:rPr>
                <w:rFonts w:ascii="Times New Roman" w:hAnsi="Times New Roman" w:cs="Times New Roman"/>
                <w:sz w:val="20"/>
                <w:szCs w:val="20"/>
              </w:rPr>
              <w:t>13.6</w:t>
            </w:r>
            <w:r w:rsidRPr="00F10F3B">
              <w:rPr>
                <w:rFonts w:ascii="Times New Roman" w:hAnsi="Times New Roman" w:cs="Times New Roman"/>
                <w:sz w:val="20"/>
                <w:szCs w:val="20"/>
              </w:rPr>
              <w:t>%</w:t>
            </w:r>
          </w:p>
        </w:tc>
        <w:tc>
          <w:tcPr>
            <w:tcW w:w="785" w:type="pct"/>
          </w:tcPr>
          <w:p w14:paraId="338BEB8F" w14:textId="4DB68BC9"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49.8</w:t>
            </w:r>
          </w:p>
        </w:tc>
        <w:tc>
          <w:tcPr>
            <w:tcW w:w="2408" w:type="pct"/>
            <w:vMerge w:val="restart"/>
          </w:tcPr>
          <w:p w14:paraId="19D88B84" w14:textId="6E46D01E" w:rsidR="00827947" w:rsidRPr="00F10F3B" w:rsidRDefault="00066C66"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Funding to the sector is still low (0.4% of Total Budget)</w:t>
            </w:r>
            <w:r w:rsidR="00C67DF6" w:rsidRPr="00F10F3B">
              <w:rPr>
                <w:rFonts w:ascii="Times New Roman" w:hAnsi="Times New Roman" w:cs="Times New Roman"/>
                <w:sz w:val="20"/>
                <w:szCs w:val="20"/>
              </w:rPr>
              <w:t xml:space="preserve"> with a number of key NDPII interventions unfunded. Public corporations and state enterprises are not mainstreamed into the planning and budget instruments</w:t>
            </w:r>
          </w:p>
        </w:tc>
      </w:tr>
      <w:tr w:rsidR="00827947" w:rsidRPr="00F10F3B" w14:paraId="5367F7DE" w14:textId="77777777" w:rsidTr="001744CC">
        <w:trPr>
          <w:trHeight w:val="129"/>
        </w:trPr>
        <w:tc>
          <w:tcPr>
            <w:tcW w:w="1807" w:type="pct"/>
            <w:vMerge/>
          </w:tcPr>
          <w:p w14:paraId="191AE166"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745CBE4" w14:textId="54DCEE9C"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50.8</w:t>
            </w:r>
          </w:p>
        </w:tc>
        <w:tc>
          <w:tcPr>
            <w:tcW w:w="2408" w:type="pct"/>
            <w:vMerge/>
          </w:tcPr>
          <w:p w14:paraId="0BABA866"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52801FE5" w14:textId="77777777" w:rsidTr="00F25C8E">
        <w:trPr>
          <w:trHeight w:val="264"/>
        </w:trPr>
        <w:tc>
          <w:tcPr>
            <w:tcW w:w="1807" w:type="pct"/>
            <w:vMerge/>
          </w:tcPr>
          <w:p w14:paraId="116CD604"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175B0816" w14:textId="1FB65317"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68.6</w:t>
            </w:r>
          </w:p>
        </w:tc>
        <w:tc>
          <w:tcPr>
            <w:tcW w:w="2408" w:type="pct"/>
            <w:vMerge/>
          </w:tcPr>
          <w:p w14:paraId="1A51E30D"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4002ED4B" w14:textId="77777777" w:rsidTr="00184B10">
        <w:trPr>
          <w:trHeight w:val="300"/>
        </w:trPr>
        <w:tc>
          <w:tcPr>
            <w:tcW w:w="1807" w:type="pct"/>
            <w:vMerge/>
          </w:tcPr>
          <w:p w14:paraId="49F440BB"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A642C23" w14:textId="2809B0D7"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28896" behindDoc="0" locked="0" layoutInCell="1" allowOverlap="1" wp14:anchorId="2039880D" wp14:editId="0E881648">
                      <wp:simplePos x="0" y="0"/>
                      <wp:positionH relativeFrom="column">
                        <wp:posOffset>305435</wp:posOffset>
                      </wp:positionH>
                      <wp:positionV relativeFrom="paragraph">
                        <wp:posOffset>27305</wp:posOffset>
                      </wp:positionV>
                      <wp:extent cx="200025" cy="209550"/>
                      <wp:effectExtent l="19050" t="0" r="28575" b="38100"/>
                      <wp:wrapNone/>
                      <wp:docPr id="19" name="Arrow: Down 19"/>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4551A04" id="Arrow: Down 19" o:spid="_x0000_s1026" type="#_x0000_t67" style="position:absolute;margin-left:24.05pt;margin-top:2.15pt;width:15.75pt;height:16.5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" adj="11291" fillcolor="#4472c4 [3204]" strokecolor="#1f3763 [1604]" strokeweight="1pt"/>
                  </w:pict>
                </mc:Fallback>
              </mc:AlternateContent>
            </w:r>
          </w:p>
        </w:tc>
        <w:tc>
          <w:tcPr>
            <w:tcW w:w="2408" w:type="pct"/>
            <w:vMerge/>
          </w:tcPr>
          <w:p w14:paraId="2FFE0B44" w14:textId="11CD8179"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76011DB4" w14:textId="77777777" w:rsidTr="00F25C8E">
        <w:trPr>
          <w:trHeight w:val="252"/>
        </w:trPr>
        <w:tc>
          <w:tcPr>
            <w:tcW w:w="1807" w:type="pct"/>
            <w:vMerge w:val="restart"/>
          </w:tcPr>
          <w:p w14:paraId="23DD794E" w14:textId="316562E9"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17. Social development</w:t>
            </w:r>
          </w:p>
          <w:p w14:paraId="02836302" w14:textId="5A736ED1"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43780C" w:rsidRPr="00F10F3B">
              <w:rPr>
                <w:rFonts w:ascii="Times New Roman" w:hAnsi="Times New Roman" w:cs="Times New Roman"/>
                <w:sz w:val="20"/>
                <w:szCs w:val="20"/>
              </w:rPr>
              <w:t>67</w:t>
            </w:r>
            <w:r w:rsidRPr="00F10F3B">
              <w:rPr>
                <w:rFonts w:ascii="Times New Roman" w:hAnsi="Times New Roman" w:cs="Times New Roman"/>
                <w:sz w:val="20"/>
                <w:szCs w:val="20"/>
              </w:rPr>
              <w:t>%</w:t>
            </w:r>
          </w:p>
          <w:p w14:paraId="0579E3A6" w14:textId="2999EC23"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43780C" w:rsidRPr="00F10F3B">
              <w:rPr>
                <w:rFonts w:ascii="Times New Roman" w:hAnsi="Times New Roman" w:cs="Times New Roman"/>
                <w:sz w:val="20"/>
                <w:szCs w:val="20"/>
              </w:rPr>
              <w:t>60.0</w:t>
            </w:r>
            <w:r w:rsidRPr="00F10F3B">
              <w:rPr>
                <w:rFonts w:ascii="Times New Roman" w:hAnsi="Times New Roman" w:cs="Times New Roman"/>
                <w:sz w:val="20"/>
                <w:szCs w:val="20"/>
              </w:rPr>
              <w:t>%</w:t>
            </w:r>
          </w:p>
          <w:p w14:paraId="301F1952" w14:textId="25CD19A4"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43780C" w:rsidRPr="00F10F3B">
              <w:rPr>
                <w:rFonts w:ascii="Times New Roman" w:hAnsi="Times New Roman" w:cs="Times New Roman"/>
                <w:sz w:val="20"/>
                <w:szCs w:val="20"/>
              </w:rPr>
              <w:t>77.3</w:t>
            </w:r>
            <w:r w:rsidRPr="00F10F3B">
              <w:rPr>
                <w:rFonts w:ascii="Times New Roman" w:hAnsi="Times New Roman" w:cs="Times New Roman"/>
                <w:sz w:val="20"/>
                <w:szCs w:val="20"/>
              </w:rPr>
              <w:t>%</w:t>
            </w:r>
          </w:p>
          <w:p w14:paraId="4E2BF438" w14:textId="7E2B7E42"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4C2A1E" w:rsidRPr="00F10F3B">
              <w:rPr>
                <w:rFonts w:ascii="Times New Roman" w:hAnsi="Times New Roman" w:cs="Times New Roman"/>
                <w:sz w:val="20"/>
                <w:szCs w:val="20"/>
              </w:rPr>
              <w:t>56</w:t>
            </w:r>
            <w:r w:rsidRPr="00F10F3B">
              <w:rPr>
                <w:rFonts w:ascii="Times New Roman" w:hAnsi="Times New Roman" w:cs="Times New Roman"/>
                <w:sz w:val="20"/>
                <w:szCs w:val="20"/>
              </w:rPr>
              <w:t>%</w:t>
            </w:r>
          </w:p>
        </w:tc>
        <w:tc>
          <w:tcPr>
            <w:tcW w:w="785" w:type="pct"/>
          </w:tcPr>
          <w:p w14:paraId="0744F1FF" w14:textId="18A2D581"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65.0</w:t>
            </w:r>
          </w:p>
        </w:tc>
        <w:tc>
          <w:tcPr>
            <w:tcW w:w="2408" w:type="pct"/>
            <w:vMerge w:val="restart"/>
          </w:tcPr>
          <w:p w14:paraId="7B047B74" w14:textId="2BE6D49E" w:rsidR="00827947" w:rsidRPr="00F10F3B" w:rsidRDefault="004C2A1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Some MDAs to not have an approved strategic plan.</w:t>
            </w:r>
            <w:r w:rsidR="006801FA" w:rsidRPr="00F10F3B">
              <w:rPr>
                <w:rFonts w:ascii="Times New Roman" w:hAnsi="Times New Roman" w:cs="Times New Roman"/>
                <w:sz w:val="20"/>
                <w:szCs w:val="20"/>
              </w:rPr>
              <w:t xml:space="preserve"> Out of the 13 sector projects in the NDPII, 5 are in the PIP.</w:t>
            </w:r>
          </w:p>
        </w:tc>
      </w:tr>
      <w:tr w:rsidR="00827947" w:rsidRPr="00F10F3B" w14:paraId="716CDA06" w14:textId="77777777" w:rsidTr="001744CC">
        <w:trPr>
          <w:trHeight w:val="61"/>
        </w:trPr>
        <w:tc>
          <w:tcPr>
            <w:tcW w:w="1807" w:type="pct"/>
            <w:vMerge/>
          </w:tcPr>
          <w:p w14:paraId="08458DB7"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6F5A6DB5" w14:textId="6B885C43"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57.7</w:t>
            </w:r>
          </w:p>
        </w:tc>
        <w:tc>
          <w:tcPr>
            <w:tcW w:w="2408" w:type="pct"/>
            <w:vMerge/>
          </w:tcPr>
          <w:p w14:paraId="7B2FBCD9"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6146D0A0" w14:textId="77777777" w:rsidTr="00F25C8E">
        <w:trPr>
          <w:trHeight w:val="252"/>
        </w:trPr>
        <w:tc>
          <w:tcPr>
            <w:tcW w:w="1807" w:type="pct"/>
            <w:vMerge/>
          </w:tcPr>
          <w:p w14:paraId="1F88251B"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45044C15" w14:textId="78A65090"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65.1</w:t>
            </w:r>
          </w:p>
        </w:tc>
        <w:tc>
          <w:tcPr>
            <w:tcW w:w="2408" w:type="pct"/>
            <w:vMerge/>
          </w:tcPr>
          <w:p w14:paraId="50E7A236"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5403E855" w14:textId="77777777" w:rsidTr="00184B10">
        <w:trPr>
          <w:trHeight w:val="384"/>
        </w:trPr>
        <w:tc>
          <w:tcPr>
            <w:tcW w:w="1807" w:type="pct"/>
            <w:vMerge/>
          </w:tcPr>
          <w:p w14:paraId="10EE58AD"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2CCA942" w14:textId="3044AE40"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22752" behindDoc="0" locked="0" layoutInCell="1" allowOverlap="1" wp14:anchorId="5F2E47A5" wp14:editId="342EE5B8">
                      <wp:simplePos x="0" y="0"/>
                      <wp:positionH relativeFrom="column">
                        <wp:posOffset>282575</wp:posOffset>
                      </wp:positionH>
                      <wp:positionV relativeFrom="paragraph">
                        <wp:posOffset>33655</wp:posOffset>
                      </wp:positionV>
                      <wp:extent cx="200025" cy="209550"/>
                      <wp:effectExtent l="19050" t="0" r="28575" b="38100"/>
                      <wp:wrapNone/>
                      <wp:docPr id="20" name="Arrow: Down 20"/>
                      <wp:cNvGraphicFramePr/>
                      <a:graphic xmlns:a="http://schemas.openxmlformats.org/drawingml/2006/main">
                        <a:graphicData uri="http://schemas.microsoft.com/office/word/2010/wordprocessingShape">
                          <wps:wsp>
                            <wps:cNvSpPr/>
                            <wps:spPr>
                              <a:xfrm>
                                <a:off x="0" y="0"/>
                                <a:ext cx="200025" cy="209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5BCCEAA" id="Arrow: Down 20" o:spid="_x0000_s1026" type="#_x0000_t67" style="position:absolute;margin-left:22.25pt;margin-top:2.65pt;width:15.75pt;height:16.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" adj="11291" fillcolor="#4472c4 [3204]" strokecolor="#1f3763 [1604]" strokeweight="1pt"/>
                  </w:pict>
                </mc:Fallback>
              </mc:AlternateContent>
            </w:r>
          </w:p>
        </w:tc>
        <w:tc>
          <w:tcPr>
            <w:tcW w:w="2408" w:type="pct"/>
            <w:vMerge/>
          </w:tcPr>
          <w:p w14:paraId="20861C99"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6F56EB15" w14:textId="77777777" w:rsidTr="001744CC">
        <w:trPr>
          <w:trHeight w:val="89"/>
        </w:trPr>
        <w:tc>
          <w:tcPr>
            <w:tcW w:w="1807" w:type="pct"/>
            <w:vMerge w:val="restart"/>
          </w:tcPr>
          <w:p w14:paraId="74857C70" w14:textId="5297F2B9"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b/>
                <w:sz w:val="20"/>
                <w:szCs w:val="20"/>
              </w:rPr>
              <w:t xml:space="preserve">18. Local </w:t>
            </w:r>
            <w:r w:rsidR="009A2561" w:rsidRPr="00F10F3B">
              <w:rPr>
                <w:rFonts w:ascii="Times New Roman" w:hAnsi="Times New Roman" w:cs="Times New Roman"/>
                <w:b/>
                <w:sz w:val="20"/>
                <w:szCs w:val="20"/>
              </w:rPr>
              <w:t>Government</w:t>
            </w:r>
            <w:r w:rsidRPr="00F10F3B">
              <w:rPr>
                <w:rFonts w:ascii="Times New Roman" w:hAnsi="Times New Roman" w:cs="Times New Roman"/>
                <w:b/>
                <w:sz w:val="20"/>
                <w:szCs w:val="20"/>
              </w:rPr>
              <w:t xml:space="preserve"> </w:t>
            </w:r>
          </w:p>
          <w:p w14:paraId="4003BF9C" w14:textId="26C29898"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Planning processes: </w:t>
            </w:r>
            <w:r w:rsidR="007B0268" w:rsidRPr="00F10F3B">
              <w:rPr>
                <w:rFonts w:ascii="Times New Roman" w:hAnsi="Times New Roman" w:cs="Times New Roman"/>
                <w:sz w:val="20"/>
                <w:szCs w:val="20"/>
              </w:rPr>
              <w:t>94.5</w:t>
            </w:r>
            <w:r w:rsidRPr="00F10F3B">
              <w:rPr>
                <w:rFonts w:ascii="Times New Roman" w:hAnsi="Times New Roman" w:cs="Times New Roman"/>
                <w:sz w:val="20"/>
                <w:szCs w:val="20"/>
              </w:rPr>
              <w:t>%</w:t>
            </w:r>
          </w:p>
          <w:p w14:paraId="6ADAA54D" w14:textId="3D085E40"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Sector project alignment: </w:t>
            </w:r>
            <w:r w:rsidR="007B0268" w:rsidRPr="00F10F3B">
              <w:rPr>
                <w:rFonts w:ascii="Times New Roman" w:hAnsi="Times New Roman" w:cs="Times New Roman"/>
                <w:sz w:val="20"/>
                <w:szCs w:val="20"/>
              </w:rPr>
              <w:t>48</w:t>
            </w:r>
            <w:r w:rsidRPr="00F10F3B">
              <w:rPr>
                <w:rFonts w:ascii="Times New Roman" w:hAnsi="Times New Roman" w:cs="Times New Roman"/>
                <w:sz w:val="20"/>
                <w:szCs w:val="20"/>
              </w:rPr>
              <w:t>%</w:t>
            </w:r>
          </w:p>
          <w:p w14:paraId="61046ECF" w14:textId="61E05CFA"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BFP and Budget alignment: </w:t>
            </w:r>
            <w:r w:rsidR="00AB53F2" w:rsidRPr="00F10F3B">
              <w:rPr>
                <w:rFonts w:ascii="Times New Roman" w:hAnsi="Times New Roman" w:cs="Times New Roman"/>
                <w:sz w:val="20"/>
                <w:szCs w:val="20"/>
              </w:rPr>
              <w:t>NR</w:t>
            </w:r>
            <w:r w:rsidRPr="00F10F3B">
              <w:rPr>
                <w:rFonts w:ascii="Times New Roman" w:hAnsi="Times New Roman" w:cs="Times New Roman"/>
                <w:sz w:val="20"/>
                <w:szCs w:val="20"/>
              </w:rPr>
              <w:t>%</w:t>
            </w:r>
          </w:p>
          <w:p w14:paraId="11EA3983" w14:textId="19D0DDFC"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r w:rsidRPr="00F10F3B">
              <w:rPr>
                <w:rFonts w:ascii="Times New Roman" w:hAnsi="Times New Roman" w:cs="Times New Roman"/>
                <w:sz w:val="20"/>
                <w:szCs w:val="20"/>
              </w:rPr>
              <w:t xml:space="preserve">Budget release and execution: </w:t>
            </w:r>
            <w:r w:rsidR="00AB53F2" w:rsidRPr="00F10F3B">
              <w:rPr>
                <w:rFonts w:ascii="Times New Roman" w:hAnsi="Times New Roman" w:cs="Times New Roman"/>
                <w:sz w:val="20"/>
                <w:szCs w:val="20"/>
              </w:rPr>
              <w:t>NR</w:t>
            </w:r>
            <w:r w:rsidRPr="00F10F3B">
              <w:rPr>
                <w:rFonts w:ascii="Times New Roman" w:hAnsi="Times New Roman" w:cs="Times New Roman"/>
                <w:sz w:val="20"/>
                <w:szCs w:val="20"/>
              </w:rPr>
              <w:t>%</w:t>
            </w:r>
          </w:p>
        </w:tc>
        <w:tc>
          <w:tcPr>
            <w:tcW w:w="785" w:type="pct"/>
          </w:tcPr>
          <w:p w14:paraId="61AD1262" w14:textId="6704149C"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FY17/18: 62.2</w:t>
            </w:r>
          </w:p>
        </w:tc>
        <w:tc>
          <w:tcPr>
            <w:tcW w:w="2408" w:type="pct"/>
            <w:vMerge w:val="restart"/>
          </w:tcPr>
          <w:p w14:paraId="47A7117E" w14:textId="14B759F9" w:rsidR="00827947" w:rsidRPr="00F10F3B" w:rsidRDefault="005A033E"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 xml:space="preserve">Alignment of NDPII to several key departments is unsatisfactory. </w:t>
            </w:r>
            <w:r w:rsidR="00B03006" w:rsidRPr="00F10F3B">
              <w:rPr>
                <w:rFonts w:ascii="Times New Roman" w:hAnsi="Times New Roman" w:cs="Times New Roman"/>
                <w:sz w:val="20"/>
                <w:szCs w:val="20"/>
              </w:rPr>
              <w:t xml:space="preserve">There is a need to improve the alignment of district councils’ work plans to NDPII priorities. </w:t>
            </w:r>
            <w:r w:rsidR="004D1CF1" w:rsidRPr="00F10F3B">
              <w:rPr>
                <w:rFonts w:ascii="Times New Roman" w:hAnsi="Times New Roman" w:cs="Times New Roman"/>
                <w:sz w:val="20"/>
                <w:szCs w:val="20"/>
              </w:rPr>
              <w:t xml:space="preserve">Funding transfers to Local </w:t>
            </w:r>
            <w:r w:rsidR="009A2561" w:rsidRPr="00F10F3B">
              <w:rPr>
                <w:rFonts w:ascii="Times New Roman" w:hAnsi="Times New Roman" w:cs="Times New Roman"/>
                <w:sz w:val="20"/>
                <w:szCs w:val="20"/>
              </w:rPr>
              <w:t>Government</w:t>
            </w:r>
            <w:r w:rsidR="004D1CF1" w:rsidRPr="00F10F3B">
              <w:rPr>
                <w:rFonts w:ascii="Times New Roman" w:hAnsi="Times New Roman" w:cs="Times New Roman"/>
                <w:sz w:val="20"/>
                <w:szCs w:val="20"/>
              </w:rPr>
              <w:t xml:space="preserve"> is inadequate.</w:t>
            </w:r>
          </w:p>
        </w:tc>
      </w:tr>
      <w:tr w:rsidR="00827947" w:rsidRPr="00F10F3B" w14:paraId="4444BA41" w14:textId="77777777" w:rsidTr="00F25C8E">
        <w:trPr>
          <w:trHeight w:val="240"/>
        </w:trPr>
        <w:tc>
          <w:tcPr>
            <w:tcW w:w="1807" w:type="pct"/>
            <w:vMerge/>
          </w:tcPr>
          <w:p w14:paraId="1E8F5C99"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7CE0234F" w14:textId="78339865"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FY16/17: 51.8</w:t>
            </w:r>
          </w:p>
        </w:tc>
        <w:tc>
          <w:tcPr>
            <w:tcW w:w="2408" w:type="pct"/>
            <w:vMerge/>
          </w:tcPr>
          <w:p w14:paraId="3DB783B6"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7F1216B7" w14:textId="77777777" w:rsidTr="00762F03">
        <w:trPr>
          <w:trHeight w:val="58"/>
        </w:trPr>
        <w:tc>
          <w:tcPr>
            <w:tcW w:w="1807" w:type="pct"/>
            <w:vMerge/>
          </w:tcPr>
          <w:p w14:paraId="00938894"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36EB4605" w14:textId="11940D9B"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sz w:val="20"/>
                <w:szCs w:val="20"/>
              </w:rPr>
              <w:t>FY15/16: N/A</w:t>
            </w:r>
          </w:p>
        </w:tc>
        <w:tc>
          <w:tcPr>
            <w:tcW w:w="2408" w:type="pct"/>
            <w:vMerge/>
          </w:tcPr>
          <w:p w14:paraId="7AEA06C1"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r w:rsidR="00827947" w:rsidRPr="00F10F3B" w14:paraId="08568AD2" w14:textId="77777777" w:rsidTr="00184B10">
        <w:trPr>
          <w:trHeight w:val="372"/>
        </w:trPr>
        <w:tc>
          <w:tcPr>
            <w:tcW w:w="1807" w:type="pct"/>
            <w:vMerge/>
          </w:tcPr>
          <w:p w14:paraId="6B3D41D0" w14:textId="77777777" w:rsidR="00827947" w:rsidRPr="00F10F3B" w:rsidRDefault="00827947" w:rsidP="00587EDE">
            <w:pPr>
              <w:pStyle w:val="ListParagraph"/>
              <w:spacing w:after="0" w:line="360" w:lineRule="auto"/>
              <w:ind w:left="0"/>
              <w:jc w:val="both"/>
              <w:rPr>
                <w:rFonts w:ascii="Times New Roman" w:hAnsi="Times New Roman" w:cs="Times New Roman"/>
                <w:b/>
                <w:sz w:val="20"/>
                <w:szCs w:val="20"/>
              </w:rPr>
            </w:pPr>
          </w:p>
        </w:tc>
        <w:tc>
          <w:tcPr>
            <w:tcW w:w="785" w:type="pct"/>
          </w:tcPr>
          <w:p w14:paraId="2812BDAD" w14:textId="4229EFC6" w:rsidR="00827947" w:rsidRPr="00F10F3B" w:rsidRDefault="00827947" w:rsidP="00587EDE">
            <w:pPr>
              <w:pStyle w:val="ListParagraph"/>
              <w:spacing w:after="0" w:line="360" w:lineRule="auto"/>
              <w:ind w:left="0"/>
              <w:jc w:val="both"/>
              <w:rPr>
                <w:rFonts w:ascii="Times New Roman" w:hAnsi="Times New Roman" w:cs="Times New Roman"/>
                <w:sz w:val="20"/>
                <w:szCs w:val="20"/>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704320" behindDoc="0" locked="0" layoutInCell="1" allowOverlap="1" wp14:anchorId="2CF19641" wp14:editId="0C142D0E">
                      <wp:simplePos x="0" y="0"/>
                      <wp:positionH relativeFrom="column">
                        <wp:posOffset>297815</wp:posOffset>
                      </wp:positionH>
                      <wp:positionV relativeFrom="paragraph">
                        <wp:posOffset>26670</wp:posOffset>
                      </wp:positionV>
                      <wp:extent cx="200025" cy="209550"/>
                      <wp:effectExtent l="19050" t="19050" r="47625" b="19050"/>
                      <wp:wrapNone/>
                      <wp:docPr id="22" name="Arrow: Down 22"/>
                      <wp:cNvGraphicFramePr/>
                      <a:graphic xmlns:a="http://schemas.openxmlformats.org/drawingml/2006/main">
                        <a:graphicData uri="http://schemas.microsoft.com/office/word/2010/wordprocessingShape">
                          <wps:wsp>
                            <wps:cNvSpPr/>
                            <wps:spPr>
                              <a:xfrm rot="10800000">
                                <a:off x="0" y="0"/>
                                <a:ext cx="200025" cy="2095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02FE81" id="Arrow: Down 22" o:spid="_x0000_s1026" type="#_x0000_t67" style="position:absolute;margin-left:23.45pt;margin-top:2.1pt;width:15.75pt;height:16.5pt;rotation:180;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" adj="11291" fillcolor="#70ad47 [3209]" strokecolor="#1f3763 [1604]" strokeweight="1pt"/>
                  </w:pict>
                </mc:Fallback>
              </mc:AlternateContent>
            </w:r>
          </w:p>
        </w:tc>
        <w:tc>
          <w:tcPr>
            <w:tcW w:w="2408" w:type="pct"/>
            <w:vMerge/>
          </w:tcPr>
          <w:p w14:paraId="72036C16" w14:textId="77777777" w:rsidR="00827947" w:rsidRPr="00F10F3B" w:rsidRDefault="00827947" w:rsidP="00587EDE">
            <w:pPr>
              <w:pStyle w:val="ListParagraph"/>
              <w:spacing w:after="0" w:line="360" w:lineRule="auto"/>
              <w:ind w:left="0"/>
              <w:jc w:val="both"/>
              <w:rPr>
                <w:rFonts w:ascii="Times New Roman" w:hAnsi="Times New Roman" w:cs="Times New Roman"/>
                <w:sz w:val="20"/>
                <w:szCs w:val="20"/>
              </w:rPr>
            </w:pPr>
          </w:p>
        </w:tc>
      </w:tr>
    </w:tbl>
    <w:p w14:paraId="4D7CFC34" w14:textId="0BE6C93E" w:rsidR="007510E0" w:rsidRPr="00F10F3B" w:rsidRDefault="00AB3A10" w:rsidP="00587EDE">
      <w:pPr>
        <w:spacing w:before="120" w:line="360" w:lineRule="auto"/>
        <w:jc w:val="both"/>
        <w:rPr>
          <w:rFonts w:ascii="Times New Roman" w:hAnsi="Times New Roman" w:cs="Times New Roman"/>
          <w:i/>
        </w:rPr>
      </w:pPr>
      <w:r w:rsidRPr="00F10F3B">
        <w:rPr>
          <w:rFonts w:ascii="Times New Roman" w:hAnsi="Times New Roman" w:cs="Times New Roman"/>
          <w:noProof/>
          <w:sz w:val="20"/>
          <w:szCs w:val="20"/>
          <w:lang w:eastAsia="en-GB"/>
        </w:rPr>
        <mc:AlternateContent>
          <mc:Choice Requires="wps">
            <w:drawing>
              <wp:anchor distT="0" distB="0" distL="114300" distR="114300" simplePos="0" relativeHeight="251687936" behindDoc="0" locked="0" layoutInCell="1" allowOverlap="1" wp14:anchorId="1366DE72" wp14:editId="1E30A360">
                <wp:simplePos x="0" y="0"/>
                <wp:positionH relativeFrom="column">
                  <wp:posOffset>2430780</wp:posOffset>
                </wp:positionH>
                <wp:positionV relativeFrom="paragraph">
                  <wp:posOffset>-5177790</wp:posOffset>
                </wp:positionV>
                <wp:extent cx="200025" cy="209550"/>
                <wp:effectExtent l="19050" t="19050" r="47625" b="19050"/>
                <wp:wrapNone/>
                <wp:docPr id="16" name="Arrow: Down 16"/>
                <wp:cNvGraphicFramePr/>
                <a:graphic xmlns:a="http://schemas.openxmlformats.org/drawingml/2006/main">
                  <a:graphicData uri="http://schemas.microsoft.com/office/word/2010/wordprocessingShape">
                    <wps:wsp>
                      <wps:cNvSpPr/>
                      <wps:spPr>
                        <a:xfrm rot="10800000">
                          <a:off x="0" y="0"/>
                          <a:ext cx="200025" cy="209550"/>
                        </a:xfrm>
                        <a:prstGeom prst="downArrow">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556833" id="Arrow: Down 16" o:spid="_x0000_s1026" type="#_x0000_t67" style="position:absolute;margin-left:191.4pt;margin-top:-407.7pt;width:15.75pt;height:16.5pt;rotation:180;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" adj="11291" fillcolor="#70ad47 [3209]" strokecolor="#1f3763 [1604]" strokeweight="1pt"/>
            </w:pict>
          </mc:Fallback>
        </mc:AlternateContent>
      </w:r>
      <w:r w:rsidR="007510E0" w:rsidRPr="00F10F3B">
        <w:rPr>
          <w:rFonts w:ascii="Times New Roman" w:hAnsi="Times New Roman" w:cs="Times New Roman"/>
          <w:i/>
        </w:rPr>
        <w:t>Source: National Planning Authority, CoC 2017/18</w:t>
      </w:r>
    </w:p>
    <w:sectPr w:rsidR="007510E0" w:rsidRPr="00F10F3B" w:rsidSect="00676A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39F81" w14:textId="77777777" w:rsidR="006575DD" w:rsidRDefault="006575DD" w:rsidP="009504E7">
      <w:pPr>
        <w:spacing w:after="0"/>
      </w:pPr>
      <w:r>
        <w:separator/>
      </w:r>
    </w:p>
  </w:endnote>
  <w:endnote w:type="continuationSeparator" w:id="0">
    <w:p w14:paraId="49D81F3C" w14:textId="77777777" w:rsidR="006575DD" w:rsidRDefault="006575DD" w:rsidP="009504E7">
      <w:pPr>
        <w:spacing w:after="0"/>
      </w:pPr>
      <w:r>
        <w:continuationSeparator/>
      </w:r>
    </w:p>
  </w:endnote>
  <w:endnote w:type="continuationNotice" w:id="1">
    <w:p w14:paraId="5A04D739" w14:textId="77777777" w:rsidR="006575DD" w:rsidRDefault="006575D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NeueLTPro-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6814580"/>
      <w:docPartObj>
        <w:docPartGallery w:val="Page Numbers (Bottom of Page)"/>
        <w:docPartUnique/>
      </w:docPartObj>
    </w:sdtPr>
    <w:sdtEndPr>
      <w:rPr>
        <w:noProof/>
      </w:rPr>
    </w:sdtEndPr>
    <w:sdtContent>
      <w:p w14:paraId="260F586C" w14:textId="2E659FC0" w:rsidR="0096340A" w:rsidRDefault="0096340A">
        <w:pPr>
          <w:pStyle w:val="Footer"/>
          <w:jc w:val="right"/>
        </w:pPr>
        <w:r w:rsidRPr="00003E08">
          <w:rPr>
            <w:rFonts w:ascii="Times New Roman" w:hAnsi="Times New Roman" w:cs="Times New Roman"/>
            <w:sz w:val="24"/>
            <w:szCs w:val="24"/>
          </w:rPr>
          <w:fldChar w:fldCharType="begin"/>
        </w:r>
        <w:r w:rsidRPr="00003E08">
          <w:rPr>
            <w:rFonts w:ascii="Times New Roman" w:hAnsi="Times New Roman" w:cs="Times New Roman"/>
            <w:sz w:val="24"/>
            <w:szCs w:val="24"/>
          </w:rPr>
          <w:instrText xml:space="preserve"> PAGE   \* MERGEFORMAT </w:instrText>
        </w:r>
        <w:r w:rsidRPr="00003E08">
          <w:rPr>
            <w:rFonts w:ascii="Times New Roman" w:hAnsi="Times New Roman" w:cs="Times New Roman"/>
            <w:sz w:val="24"/>
            <w:szCs w:val="24"/>
          </w:rPr>
          <w:fldChar w:fldCharType="separate"/>
        </w:r>
        <w:r>
          <w:rPr>
            <w:rFonts w:ascii="Times New Roman" w:hAnsi="Times New Roman" w:cs="Times New Roman"/>
            <w:noProof/>
            <w:sz w:val="24"/>
            <w:szCs w:val="24"/>
          </w:rPr>
          <w:t>8</w:t>
        </w:r>
        <w:r w:rsidRPr="00003E08">
          <w:rPr>
            <w:rFonts w:ascii="Times New Roman" w:hAnsi="Times New Roman" w:cs="Times New Roman"/>
            <w:noProof/>
            <w:sz w:val="24"/>
            <w:szCs w:val="24"/>
          </w:rPr>
          <w:fldChar w:fldCharType="end"/>
        </w:r>
      </w:p>
    </w:sdtContent>
  </w:sdt>
  <w:p w14:paraId="677AF154" w14:textId="77777777" w:rsidR="0096340A" w:rsidRDefault="00963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3862084"/>
      <w:docPartObj>
        <w:docPartGallery w:val="Page Numbers (Bottom of Page)"/>
        <w:docPartUnique/>
      </w:docPartObj>
    </w:sdtPr>
    <w:sdtEndPr>
      <w:rPr>
        <w:noProof/>
      </w:rPr>
    </w:sdtEndPr>
    <w:sdtContent>
      <w:p w14:paraId="540B92B0" w14:textId="34DC4F15" w:rsidR="0096340A" w:rsidRDefault="0096340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8CE30E3" w14:textId="77777777" w:rsidR="0096340A" w:rsidRDefault="00963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2FAD0F" w14:textId="77777777" w:rsidR="006575DD" w:rsidRDefault="006575DD" w:rsidP="009504E7">
      <w:pPr>
        <w:spacing w:after="0"/>
      </w:pPr>
      <w:r>
        <w:separator/>
      </w:r>
    </w:p>
  </w:footnote>
  <w:footnote w:type="continuationSeparator" w:id="0">
    <w:p w14:paraId="6746320A" w14:textId="77777777" w:rsidR="006575DD" w:rsidRDefault="006575DD" w:rsidP="009504E7">
      <w:pPr>
        <w:spacing w:after="0"/>
      </w:pPr>
      <w:r>
        <w:continuationSeparator/>
      </w:r>
    </w:p>
  </w:footnote>
  <w:footnote w:type="continuationNotice" w:id="1">
    <w:p w14:paraId="482803E7" w14:textId="77777777" w:rsidR="006575DD" w:rsidRDefault="006575DD">
      <w:pPr>
        <w:spacing w:after="0"/>
      </w:pPr>
    </w:p>
  </w:footnote>
  <w:footnote w:id="2">
    <w:p w14:paraId="25ACFFE5" w14:textId="2FF36F1C" w:rsidR="0096340A" w:rsidRPr="004274FC" w:rsidRDefault="0096340A" w:rsidP="004274FC">
      <w:pPr>
        <w:pStyle w:val="FootnoteText"/>
        <w:spacing w:after="0" w:line="240" w:lineRule="auto"/>
        <w:rPr>
          <w:rFonts w:asciiTheme="majorHAnsi" w:hAnsiTheme="majorHAnsi" w:cstheme="majorHAnsi"/>
        </w:rPr>
      </w:pPr>
      <w:r>
        <w:rPr>
          <w:rStyle w:val="FootnoteReference"/>
        </w:rPr>
        <w:footnoteRef/>
      </w:r>
      <w:r>
        <w:t xml:space="preserve"> </w:t>
      </w:r>
      <w:r w:rsidRPr="004274FC">
        <w:rPr>
          <w:rFonts w:asciiTheme="majorHAnsi" w:hAnsiTheme="majorHAnsi" w:cstheme="majorHAnsi"/>
        </w:rPr>
        <w:t>Alternatives include do nothing, awareness creation and sensitisation, strengthen co-ordination and institutional capabilities, innovation of new actions or interventions, mainstream into existing policies, laws and regulations.</w:t>
      </w:r>
    </w:p>
  </w:footnote>
  <w:footnote w:id="3">
    <w:p w14:paraId="507494E0" w14:textId="0FF8CBF9" w:rsidR="0096340A" w:rsidRDefault="0096340A">
      <w:pPr>
        <w:pStyle w:val="FootnoteText"/>
      </w:pPr>
      <w:r>
        <w:rPr>
          <w:rStyle w:val="FootnoteReference"/>
        </w:rPr>
        <w:footnoteRef/>
      </w:r>
      <w:r>
        <w:t xml:space="preserve"> </w:t>
      </w:r>
      <w:r w:rsidRPr="00151FFB">
        <w:rPr>
          <w:rFonts w:asciiTheme="majorHAnsi" w:hAnsiTheme="majorHAnsi" w:cstheme="majorHAnsi"/>
        </w:rPr>
        <w:t>Estimate of voice and accountability index ranges from -2.5 (weak) to 2.5 (strong).</w:t>
      </w:r>
    </w:p>
  </w:footnote>
  <w:footnote w:id="4">
    <w:p w14:paraId="48B98ADB" w14:textId="77777777" w:rsidR="0096340A" w:rsidRPr="00A71905" w:rsidRDefault="0096340A" w:rsidP="00A71905">
      <w:pPr>
        <w:pStyle w:val="FootnoteText"/>
        <w:spacing w:after="0" w:line="240" w:lineRule="auto"/>
        <w:rPr>
          <w:rFonts w:asciiTheme="majorHAnsi" w:hAnsiTheme="majorHAnsi" w:cstheme="majorHAnsi"/>
        </w:rPr>
      </w:pPr>
      <w:r>
        <w:rPr>
          <w:rStyle w:val="FootnoteReference"/>
        </w:rPr>
        <w:footnoteRef/>
      </w:r>
      <w:r>
        <w:t xml:space="preserve"> </w:t>
      </w:r>
      <w:hyperlink r:id="rId1" w:history="1">
        <w:r w:rsidRPr="00A71905">
          <w:rPr>
            <w:rStyle w:val="Hyperlink"/>
            <w:rFonts w:asciiTheme="majorHAnsi" w:hAnsiTheme="majorHAnsi" w:cstheme="majorHAnsi"/>
          </w:rPr>
          <w:t>https://atlas.media.mit.edu/en/profile/country/uga/</w:t>
        </w:r>
      </w:hyperlink>
      <w:r w:rsidRPr="00A71905">
        <w:rPr>
          <w:rFonts w:asciiTheme="majorHAnsi" w:hAnsiTheme="majorHAnsi" w:cstheme="majorHAnsi"/>
        </w:rPr>
        <w:t xml:space="preserve"> </w:t>
      </w:r>
    </w:p>
  </w:footnote>
  <w:footnote w:id="5">
    <w:p w14:paraId="1110DF3C" w14:textId="77777777" w:rsidR="0096340A" w:rsidRDefault="0096340A" w:rsidP="00A71905">
      <w:pPr>
        <w:pStyle w:val="FootnoteText"/>
        <w:spacing w:after="0" w:line="240" w:lineRule="auto"/>
      </w:pPr>
      <w:r w:rsidRPr="00A71905">
        <w:rPr>
          <w:rStyle w:val="FootnoteReference"/>
          <w:rFonts w:asciiTheme="majorHAnsi" w:hAnsiTheme="majorHAnsi" w:cstheme="majorHAnsi"/>
        </w:rPr>
        <w:footnoteRef/>
      </w:r>
      <w:r w:rsidRPr="00A71905">
        <w:rPr>
          <w:rFonts w:asciiTheme="majorHAnsi" w:hAnsiTheme="majorHAnsi" w:cstheme="majorHAnsi"/>
        </w:rPr>
        <w:t xml:space="preserve"> The Industry sector includes mining and quarrying, manufacturing, electricity, water and construction.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2113"/>
    <w:multiLevelType w:val="hybridMultilevel"/>
    <w:tmpl w:val="3894F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B73BB"/>
    <w:multiLevelType w:val="hybridMultilevel"/>
    <w:tmpl w:val="206C2D98"/>
    <w:lvl w:ilvl="0" w:tplc="6700E8BA">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8216D5"/>
    <w:multiLevelType w:val="hybridMultilevel"/>
    <w:tmpl w:val="21447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A90DBB"/>
    <w:multiLevelType w:val="hybridMultilevel"/>
    <w:tmpl w:val="82FEB9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2D5BDE"/>
    <w:multiLevelType w:val="hybridMultilevel"/>
    <w:tmpl w:val="4770E8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D131ED"/>
    <w:multiLevelType w:val="hybridMultilevel"/>
    <w:tmpl w:val="AE28E0E2"/>
    <w:lvl w:ilvl="0" w:tplc="E1F61B8C">
      <w:start w:val="1"/>
      <w:numFmt w:val="lowerRoman"/>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3D02D5"/>
    <w:multiLevelType w:val="hybridMultilevel"/>
    <w:tmpl w:val="86D66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C5314"/>
    <w:multiLevelType w:val="hybridMultilevel"/>
    <w:tmpl w:val="6AF0FE24"/>
    <w:lvl w:ilvl="0" w:tplc="63123A8C">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5759D1"/>
    <w:multiLevelType w:val="hybridMultilevel"/>
    <w:tmpl w:val="CAEC465C"/>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211C79F0"/>
    <w:multiLevelType w:val="hybridMultilevel"/>
    <w:tmpl w:val="D40A39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1EF7F58"/>
    <w:multiLevelType w:val="multilevel"/>
    <w:tmpl w:val="52B41B32"/>
    <w:lvl w:ilvl="0">
      <w:start w:val="1"/>
      <w:numFmt w:val="decimal"/>
      <w:lvlText w:val="%1."/>
      <w:lvlJc w:val="left"/>
      <w:pPr>
        <w:ind w:left="393" w:hanging="360"/>
      </w:pPr>
    </w:lvl>
    <w:lvl w:ilvl="1">
      <w:start w:val="3"/>
      <w:numFmt w:val="decimal"/>
      <w:isLgl/>
      <w:lvlText w:val="%1.%2"/>
      <w:lvlJc w:val="left"/>
      <w:pPr>
        <w:ind w:left="417" w:hanging="384"/>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473" w:hanging="144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1" w15:restartNumberingAfterBreak="0">
    <w:nsid w:val="25CA6BF9"/>
    <w:multiLevelType w:val="hybridMultilevel"/>
    <w:tmpl w:val="7418258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827E9A"/>
    <w:multiLevelType w:val="hybridMultilevel"/>
    <w:tmpl w:val="5ACE2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914A3A"/>
    <w:multiLevelType w:val="hybridMultilevel"/>
    <w:tmpl w:val="9DBCD8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203620"/>
    <w:multiLevelType w:val="hybridMultilevel"/>
    <w:tmpl w:val="206C2D98"/>
    <w:lvl w:ilvl="0" w:tplc="6700E8BA">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EF1937"/>
    <w:multiLevelType w:val="hybridMultilevel"/>
    <w:tmpl w:val="FD040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EC560C"/>
    <w:multiLevelType w:val="hybridMultilevel"/>
    <w:tmpl w:val="3B4A0DAE"/>
    <w:lvl w:ilvl="0" w:tplc="50682872">
      <w:start w:val="1"/>
      <w:numFmt w:val="lowerRoman"/>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127C1A"/>
    <w:multiLevelType w:val="hybridMultilevel"/>
    <w:tmpl w:val="A0E033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4351B45"/>
    <w:multiLevelType w:val="hybridMultilevel"/>
    <w:tmpl w:val="0CEAB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49B5052"/>
    <w:multiLevelType w:val="hybridMultilevel"/>
    <w:tmpl w:val="4CE2F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8706EF7"/>
    <w:multiLevelType w:val="hybridMultilevel"/>
    <w:tmpl w:val="B238AA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2F6432"/>
    <w:multiLevelType w:val="hybridMultilevel"/>
    <w:tmpl w:val="9D1CBCFC"/>
    <w:lvl w:ilvl="0" w:tplc="C2BE7054">
      <w:start w:val="1"/>
      <w:numFmt w:val="lowerRoman"/>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0577A72"/>
    <w:multiLevelType w:val="hybridMultilevel"/>
    <w:tmpl w:val="19FE6E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165F78"/>
    <w:multiLevelType w:val="hybridMultilevel"/>
    <w:tmpl w:val="9F70FA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83457A"/>
    <w:multiLevelType w:val="hybridMultilevel"/>
    <w:tmpl w:val="49025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A34CAA"/>
    <w:multiLevelType w:val="hybridMultilevel"/>
    <w:tmpl w:val="CDAAAA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CAD4D1A"/>
    <w:multiLevelType w:val="hybridMultilevel"/>
    <w:tmpl w:val="3FEEF052"/>
    <w:lvl w:ilvl="0" w:tplc="08090001">
      <w:start w:val="1"/>
      <w:numFmt w:val="bullet"/>
      <w:lvlText w:val=""/>
      <w:lvlJc w:val="left"/>
      <w:pPr>
        <w:ind w:left="393" w:hanging="360"/>
      </w:pPr>
      <w:rPr>
        <w:rFonts w:ascii="Symbol" w:hAnsi="Symbol" w:hint="default"/>
      </w:rPr>
    </w:lvl>
    <w:lvl w:ilvl="1" w:tplc="08090003" w:tentative="1">
      <w:start w:val="1"/>
      <w:numFmt w:val="bullet"/>
      <w:lvlText w:val="o"/>
      <w:lvlJc w:val="left"/>
      <w:pPr>
        <w:ind w:left="1113" w:hanging="360"/>
      </w:pPr>
      <w:rPr>
        <w:rFonts w:ascii="Courier New" w:hAnsi="Courier New" w:cs="Courier New" w:hint="default"/>
      </w:rPr>
    </w:lvl>
    <w:lvl w:ilvl="2" w:tplc="08090005" w:tentative="1">
      <w:start w:val="1"/>
      <w:numFmt w:val="bullet"/>
      <w:lvlText w:val=""/>
      <w:lvlJc w:val="left"/>
      <w:pPr>
        <w:ind w:left="1833" w:hanging="360"/>
      </w:pPr>
      <w:rPr>
        <w:rFonts w:ascii="Wingdings" w:hAnsi="Wingdings" w:hint="default"/>
      </w:rPr>
    </w:lvl>
    <w:lvl w:ilvl="3" w:tplc="08090001" w:tentative="1">
      <w:start w:val="1"/>
      <w:numFmt w:val="bullet"/>
      <w:lvlText w:val=""/>
      <w:lvlJc w:val="left"/>
      <w:pPr>
        <w:ind w:left="2553" w:hanging="360"/>
      </w:pPr>
      <w:rPr>
        <w:rFonts w:ascii="Symbol" w:hAnsi="Symbol" w:hint="default"/>
      </w:rPr>
    </w:lvl>
    <w:lvl w:ilvl="4" w:tplc="08090003" w:tentative="1">
      <w:start w:val="1"/>
      <w:numFmt w:val="bullet"/>
      <w:lvlText w:val="o"/>
      <w:lvlJc w:val="left"/>
      <w:pPr>
        <w:ind w:left="3273" w:hanging="360"/>
      </w:pPr>
      <w:rPr>
        <w:rFonts w:ascii="Courier New" w:hAnsi="Courier New" w:cs="Courier New" w:hint="default"/>
      </w:rPr>
    </w:lvl>
    <w:lvl w:ilvl="5" w:tplc="08090005" w:tentative="1">
      <w:start w:val="1"/>
      <w:numFmt w:val="bullet"/>
      <w:lvlText w:val=""/>
      <w:lvlJc w:val="left"/>
      <w:pPr>
        <w:ind w:left="3993" w:hanging="360"/>
      </w:pPr>
      <w:rPr>
        <w:rFonts w:ascii="Wingdings" w:hAnsi="Wingdings" w:hint="default"/>
      </w:rPr>
    </w:lvl>
    <w:lvl w:ilvl="6" w:tplc="08090001" w:tentative="1">
      <w:start w:val="1"/>
      <w:numFmt w:val="bullet"/>
      <w:lvlText w:val=""/>
      <w:lvlJc w:val="left"/>
      <w:pPr>
        <w:ind w:left="4713" w:hanging="360"/>
      </w:pPr>
      <w:rPr>
        <w:rFonts w:ascii="Symbol" w:hAnsi="Symbol" w:hint="default"/>
      </w:rPr>
    </w:lvl>
    <w:lvl w:ilvl="7" w:tplc="08090003" w:tentative="1">
      <w:start w:val="1"/>
      <w:numFmt w:val="bullet"/>
      <w:lvlText w:val="o"/>
      <w:lvlJc w:val="left"/>
      <w:pPr>
        <w:ind w:left="5433" w:hanging="360"/>
      </w:pPr>
      <w:rPr>
        <w:rFonts w:ascii="Courier New" w:hAnsi="Courier New" w:cs="Courier New" w:hint="default"/>
      </w:rPr>
    </w:lvl>
    <w:lvl w:ilvl="8" w:tplc="08090005" w:tentative="1">
      <w:start w:val="1"/>
      <w:numFmt w:val="bullet"/>
      <w:lvlText w:val=""/>
      <w:lvlJc w:val="left"/>
      <w:pPr>
        <w:ind w:left="6153" w:hanging="360"/>
      </w:pPr>
      <w:rPr>
        <w:rFonts w:ascii="Wingdings" w:hAnsi="Wingdings" w:hint="default"/>
      </w:rPr>
    </w:lvl>
  </w:abstractNum>
  <w:abstractNum w:abstractNumId="27" w15:restartNumberingAfterBreak="0">
    <w:nsid w:val="587C42C8"/>
    <w:multiLevelType w:val="hybridMultilevel"/>
    <w:tmpl w:val="8252F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906449"/>
    <w:multiLevelType w:val="hybridMultilevel"/>
    <w:tmpl w:val="3B7E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3B6CC3"/>
    <w:multiLevelType w:val="hybridMultilevel"/>
    <w:tmpl w:val="3E883E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5D8E5A88"/>
    <w:multiLevelType w:val="hybridMultilevel"/>
    <w:tmpl w:val="98AA30DE"/>
    <w:lvl w:ilvl="0" w:tplc="3454C88E">
      <w:start w:val="1"/>
      <w:numFmt w:val="bullet"/>
      <w:lvlText w:val=""/>
      <w:lvlJc w:val="left"/>
      <w:pPr>
        <w:ind w:left="720" w:hanging="360"/>
      </w:pPr>
      <w:rPr>
        <w:rFonts w:ascii="Symbol" w:eastAsia="Calibri" w:hAnsi="Symbol" w:cs="HelveticaNeueLTPro-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877E30"/>
    <w:multiLevelType w:val="hybridMultilevel"/>
    <w:tmpl w:val="1D0CDC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09F7B71"/>
    <w:multiLevelType w:val="multilevel"/>
    <w:tmpl w:val="C8B0BE36"/>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15:restartNumberingAfterBreak="0">
    <w:nsid w:val="60EA3F46"/>
    <w:multiLevelType w:val="hybridMultilevel"/>
    <w:tmpl w:val="2C983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2FC3AF7"/>
    <w:multiLevelType w:val="hybridMultilevel"/>
    <w:tmpl w:val="C36C9E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6F351F"/>
    <w:multiLevelType w:val="hybridMultilevel"/>
    <w:tmpl w:val="68BA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005F20"/>
    <w:multiLevelType w:val="hybridMultilevel"/>
    <w:tmpl w:val="2E304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72D057E"/>
    <w:multiLevelType w:val="hybridMultilevel"/>
    <w:tmpl w:val="AA12E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B5EC7"/>
    <w:multiLevelType w:val="hybridMultilevel"/>
    <w:tmpl w:val="8E283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E36E2"/>
    <w:multiLevelType w:val="hybridMultilevel"/>
    <w:tmpl w:val="7100904C"/>
    <w:lvl w:ilvl="0" w:tplc="478064C8">
      <w:start w:val="1"/>
      <w:numFmt w:val="decimal"/>
      <w:lvlText w:val="%1."/>
      <w:lvlJc w:val="left"/>
      <w:pPr>
        <w:ind w:left="717" w:hanging="360"/>
      </w:pPr>
      <w:rPr>
        <w:b/>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0" w15:restartNumberingAfterBreak="0">
    <w:nsid w:val="6C985744"/>
    <w:multiLevelType w:val="hybridMultilevel"/>
    <w:tmpl w:val="4686E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6E1643"/>
    <w:multiLevelType w:val="hybridMultilevel"/>
    <w:tmpl w:val="5DD655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29226AD"/>
    <w:multiLevelType w:val="hybridMultilevel"/>
    <w:tmpl w:val="90B28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3DF7FB4"/>
    <w:multiLevelType w:val="hybridMultilevel"/>
    <w:tmpl w:val="F1304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ED551E"/>
    <w:multiLevelType w:val="hybridMultilevel"/>
    <w:tmpl w:val="517EC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0656AB"/>
    <w:multiLevelType w:val="hybridMultilevel"/>
    <w:tmpl w:val="1B329A24"/>
    <w:lvl w:ilvl="0" w:tplc="08090001">
      <w:start w:val="1"/>
      <w:numFmt w:val="bullet"/>
      <w:lvlText w:val=""/>
      <w:lvlJc w:val="left"/>
      <w:pPr>
        <w:ind w:left="360" w:hanging="360"/>
      </w:pPr>
      <w:rPr>
        <w:rFonts w:ascii="Symbol" w:hAnsi="Symbol" w:hint="default"/>
      </w:rPr>
    </w:lvl>
    <w:lvl w:ilvl="1" w:tplc="0809000F">
      <w:start w:val="1"/>
      <w:numFmt w:val="decimal"/>
      <w:lvlText w:val="%2."/>
      <w:lvlJc w:val="left"/>
      <w:pPr>
        <w:ind w:left="1080" w:hanging="360"/>
      </w:pPr>
      <w:rPr>
        <w:rFonts w:hint="default"/>
      </w:rPr>
    </w:lvl>
    <w:lvl w:ilvl="2" w:tplc="50C65682">
      <w:start w:val="1"/>
      <w:numFmt w:val="decimal"/>
      <w:lvlText w:val="%3-"/>
      <w:lvlJc w:val="left"/>
      <w:pPr>
        <w:ind w:left="1800" w:hanging="360"/>
      </w:pPr>
      <w:rPr>
        <w:rFonts w:hint="default"/>
      </w:rPr>
    </w:lvl>
    <w:lvl w:ilvl="3" w:tplc="D3400026">
      <w:start w:val="1"/>
      <w:numFmt w:val="lowerRoman"/>
      <w:lvlText w:val="(%4)"/>
      <w:lvlJc w:val="left"/>
      <w:pPr>
        <w:ind w:left="2880" w:hanging="720"/>
      </w:pPr>
      <w:rPr>
        <w:rFonts w:hint="default"/>
        <w:b/>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98777D2"/>
    <w:multiLevelType w:val="hybridMultilevel"/>
    <w:tmpl w:val="206C2D98"/>
    <w:lvl w:ilvl="0" w:tplc="6700E8BA">
      <w:start w:val="1"/>
      <w:numFmt w:val="lowerRoman"/>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CA5D68"/>
    <w:multiLevelType w:val="hybridMultilevel"/>
    <w:tmpl w:val="51FA58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31"/>
  </w:num>
  <w:num w:numId="3">
    <w:abstractNumId w:val="41"/>
  </w:num>
  <w:num w:numId="4">
    <w:abstractNumId w:val="43"/>
  </w:num>
  <w:num w:numId="5">
    <w:abstractNumId w:val="7"/>
  </w:num>
  <w:num w:numId="6">
    <w:abstractNumId w:val="34"/>
  </w:num>
  <w:num w:numId="7">
    <w:abstractNumId w:val="15"/>
  </w:num>
  <w:num w:numId="8">
    <w:abstractNumId w:val="2"/>
  </w:num>
  <w:num w:numId="9">
    <w:abstractNumId w:val="6"/>
  </w:num>
  <w:num w:numId="10">
    <w:abstractNumId w:val="23"/>
  </w:num>
  <w:num w:numId="11">
    <w:abstractNumId w:val="3"/>
  </w:num>
  <w:num w:numId="12">
    <w:abstractNumId w:val="4"/>
  </w:num>
  <w:num w:numId="13">
    <w:abstractNumId w:val="10"/>
  </w:num>
  <w:num w:numId="14">
    <w:abstractNumId w:val="17"/>
  </w:num>
  <w:num w:numId="15">
    <w:abstractNumId w:val="45"/>
  </w:num>
  <w:num w:numId="16">
    <w:abstractNumId w:val="20"/>
  </w:num>
  <w:num w:numId="17">
    <w:abstractNumId w:val="25"/>
  </w:num>
  <w:num w:numId="18">
    <w:abstractNumId w:val="37"/>
  </w:num>
  <w:num w:numId="19">
    <w:abstractNumId w:val="19"/>
  </w:num>
  <w:num w:numId="20">
    <w:abstractNumId w:val="21"/>
  </w:num>
  <w:num w:numId="21">
    <w:abstractNumId w:val="9"/>
  </w:num>
  <w:num w:numId="22">
    <w:abstractNumId w:val="29"/>
  </w:num>
  <w:num w:numId="23">
    <w:abstractNumId w:val="33"/>
  </w:num>
  <w:num w:numId="24">
    <w:abstractNumId w:val="0"/>
  </w:num>
  <w:num w:numId="25">
    <w:abstractNumId w:val="8"/>
  </w:num>
  <w:num w:numId="26">
    <w:abstractNumId w:val="16"/>
  </w:num>
  <w:num w:numId="27">
    <w:abstractNumId w:val="44"/>
  </w:num>
  <w:num w:numId="28">
    <w:abstractNumId w:val="5"/>
  </w:num>
  <w:num w:numId="29">
    <w:abstractNumId w:val="36"/>
  </w:num>
  <w:num w:numId="30">
    <w:abstractNumId w:val="30"/>
  </w:num>
  <w:num w:numId="31">
    <w:abstractNumId w:val="12"/>
  </w:num>
  <w:num w:numId="32">
    <w:abstractNumId w:val="38"/>
  </w:num>
  <w:num w:numId="33">
    <w:abstractNumId w:val="39"/>
  </w:num>
  <w:num w:numId="34">
    <w:abstractNumId w:val="18"/>
  </w:num>
  <w:num w:numId="35">
    <w:abstractNumId w:val="24"/>
  </w:num>
  <w:num w:numId="36">
    <w:abstractNumId w:val="47"/>
  </w:num>
  <w:num w:numId="37">
    <w:abstractNumId w:val="13"/>
  </w:num>
  <w:num w:numId="38">
    <w:abstractNumId w:val="42"/>
  </w:num>
  <w:num w:numId="39">
    <w:abstractNumId w:val="27"/>
  </w:num>
  <w:num w:numId="40">
    <w:abstractNumId w:val="26"/>
  </w:num>
  <w:num w:numId="41">
    <w:abstractNumId w:val="28"/>
  </w:num>
  <w:num w:numId="42">
    <w:abstractNumId w:val="11"/>
  </w:num>
  <w:num w:numId="43">
    <w:abstractNumId w:val="35"/>
  </w:num>
  <w:num w:numId="44">
    <w:abstractNumId w:val="46"/>
  </w:num>
  <w:num w:numId="45">
    <w:abstractNumId w:val="32"/>
  </w:num>
  <w:num w:numId="46">
    <w:abstractNumId w:val="40"/>
  </w:num>
  <w:num w:numId="47">
    <w:abstractNumId w:val="1"/>
  </w:num>
  <w:num w:numId="48">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60"/>
    <w:rsid w:val="00000644"/>
    <w:rsid w:val="00000E93"/>
    <w:rsid w:val="00001FE6"/>
    <w:rsid w:val="00002D4F"/>
    <w:rsid w:val="00003E08"/>
    <w:rsid w:val="000041FE"/>
    <w:rsid w:val="00004E5F"/>
    <w:rsid w:val="000050C0"/>
    <w:rsid w:val="000051A8"/>
    <w:rsid w:val="0000538F"/>
    <w:rsid w:val="00005DDA"/>
    <w:rsid w:val="00006686"/>
    <w:rsid w:val="00007035"/>
    <w:rsid w:val="00007272"/>
    <w:rsid w:val="000072C4"/>
    <w:rsid w:val="00007ACF"/>
    <w:rsid w:val="000114D3"/>
    <w:rsid w:val="00011F57"/>
    <w:rsid w:val="00013D6D"/>
    <w:rsid w:val="0001429B"/>
    <w:rsid w:val="00014FBE"/>
    <w:rsid w:val="00016254"/>
    <w:rsid w:val="00016459"/>
    <w:rsid w:val="000218D0"/>
    <w:rsid w:val="00022AF2"/>
    <w:rsid w:val="00025E31"/>
    <w:rsid w:val="00026FA0"/>
    <w:rsid w:val="000301A3"/>
    <w:rsid w:val="00030494"/>
    <w:rsid w:val="00030913"/>
    <w:rsid w:val="00030962"/>
    <w:rsid w:val="00030C7E"/>
    <w:rsid w:val="000311B8"/>
    <w:rsid w:val="00032A37"/>
    <w:rsid w:val="00034432"/>
    <w:rsid w:val="00034A9B"/>
    <w:rsid w:val="00035B00"/>
    <w:rsid w:val="00035EA7"/>
    <w:rsid w:val="00036707"/>
    <w:rsid w:val="00037CE2"/>
    <w:rsid w:val="00040CE0"/>
    <w:rsid w:val="00041A58"/>
    <w:rsid w:val="00041AC5"/>
    <w:rsid w:val="00042A06"/>
    <w:rsid w:val="00043824"/>
    <w:rsid w:val="00043B32"/>
    <w:rsid w:val="00044969"/>
    <w:rsid w:val="00044A51"/>
    <w:rsid w:val="000465C9"/>
    <w:rsid w:val="00047084"/>
    <w:rsid w:val="00047A46"/>
    <w:rsid w:val="00050C67"/>
    <w:rsid w:val="0005111C"/>
    <w:rsid w:val="000522FA"/>
    <w:rsid w:val="00052918"/>
    <w:rsid w:val="00052A62"/>
    <w:rsid w:val="00053A70"/>
    <w:rsid w:val="00053C57"/>
    <w:rsid w:val="00054732"/>
    <w:rsid w:val="00055425"/>
    <w:rsid w:val="00055B09"/>
    <w:rsid w:val="00055F54"/>
    <w:rsid w:val="00056AC6"/>
    <w:rsid w:val="00057523"/>
    <w:rsid w:val="0005758C"/>
    <w:rsid w:val="00060444"/>
    <w:rsid w:val="00060795"/>
    <w:rsid w:val="00061475"/>
    <w:rsid w:val="00061B76"/>
    <w:rsid w:val="000656CC"/>
    <w:rsid w:val="00066489"/>
    <w:rsid w:val="00066C66"/>
    <w:rsid w:val="00067090"/>
    <w:rsid w:val="000674BC"/>
    <w:rsid w:val="000676D1"/>
    <w:rsid w:val="00070A7B"/>
    <w:rsid w:val="00071024"/>
    <w:rsid w:val="00071B35"/>
    <w:rsid w:val="00071F35"/>
    <w:rsid w:val="0007203E"/>
    <w:rsid w:val="000725C1"/>
    <w:rsid w:val="00072E95"/>
    <w:rsid w:val="0007413D"/>
    <w:rsid w:val="00074895"/>
    <w:rsid w:val="00074A06"/>
    <w:rsid w:val="00074EDE"/>
    <w:rsid w:val="00075015"/>
    <w:rsid w:val="00077330"/>
    <w:rsid w:val="00077FC1"/>
    <w:rsid w:val="00080BA9"/>
    <w:rsid w:val="000820EE"/>
    <w:rsid w:val="000832F2"/>
    <w:rsid w:val="000835A7"/>
    <w:rsid w:val="000839D0"/>
    <w:rsid w:val="00083FDF"/>
    <w:rsid w:val="00084989"/>
    <w:rsid w:val="00084A8D"/>
    <w:rsid w:val="00086349"/>
    <w:rsid w:val="00086B88"/>
    <w:rsid w:val="000871AE"/>
    <w:rsid w:val="0009048A"/>
    <w:rsid w:val="000907F6"/>
    <w:rsid w:val="00090D8A"/>
    <w:rsid w:val="00090DBA"/>
    <w:rsid w:val="0009136C"/>
    <w:rsid w:val="00092288"/>
    <w:rsid w:val="000923B4"/>
    <w:rsid w:val="00093E75"/>
    <w:rsid w:val="000943A0"/>
    <w:rsid w:val="00094777"/>
    <w:rsid w:val="00095D1A"/>
    <w:rsid w:val="00096562"/>
    <w:rsid w:val="000966CC"/>
    <w:rsid w:val="000977AA"/>
    <w:rsid w:val="000A19E9"/>
    <w:rsid w:val="000A2BE5"/>
    <w:rsid w:val="000A2C2D"/>
    <w:rsid w:val="000A366D"/>
    <w:rsid w:val="000A490E"/>
    <w:rsid w:val="000A4942"/>
    <w:rsid w:val="000A4EEE"/>
    <w:rsid w:val="000A4EF9"/>
    <w:rsid w:val="000A54C4"/>
    <w:rsid w:val="000A60A2"/>
    <w:rsid w:val="000A6318"/>
    <w:rsid w:val="000A65D8"/>
    <w:rsid w:val="000A6B45"/>
    <w:rsid w:val="000B061D"/>
    <w:rsid w:val="000B0B30"/>
    <w:rsid w:val="000B1A67"/>
    <w:rsid w:val="000B2377"/>
    <w:rsid w:val="000B2D5A"/>
    <w:rsid w:val="000B347C"/>
    <w:rsid w:val="000B354C"/>
    <w:rsid w:val="000B736E"/>
    <w:rsid w:val="000C0403"/>
    <w:rsid w:val="000C120F"/>
    <w:rsid w:val="000C121C"/>
    <w:rsid w:val="000C1906"/>
    <w:rsid w:val="000C1C7E"/>
    <w:rsid w:val="000C48F7"/>
    <w:rsid w:val="000C5096"/>
    <w:rsid w:val="000C689E"/>
    <w:rsid w:val="000C710E"/>
    <w:rsid w:val="000D0718"/>
    <w:rsid w:val="000D0991"/>
    <w:rsid w:val="000D105E"/>
    <w:rsid w:val="000D2B1C"/>
    <w:rsid w:val="000D4411"/>
    <w:rsid w:val="000D5506"/>
    <w:rsid w:val="000D5F0D"/>
    <w:rsid w:val="000D6528"/>
    <w:rsid w:val="000D6732"/>
    <w:rsid w:val="000D72CD"/>
    <w:rsid w:val="000D7A98"/>
    <w:rsid w:val="000E38C3"/>
    <w:rsid w:val="000E5B63"/>
    <w:rsid w:val="000E6BCD"/>
    <w:rsid w:val="000E75A3"/>
    <w:rsid w:val="000E7685"/>
    <w:rsid w:val="000E7718"/>
    <w:rsid w:val="000E7A23"/>
    <w:rsid w:val="000E7D01"/>
    <w:rsid w:val="000F0D25"/>
    <w:rsid w:val="000F1809"/>
    <w:rsid w:val="000F1C23"/>
    <w:rsid w:val="000F2D92"/>
    <w:rsid w:val="000F4992"/>
    <w:rsid w:val="000F5388"/>
    <w:rsid w:val="000F7176"/>
    <w:rsid w:val="000F7689"/>
    <w:rsid w:val="000F791A"/>
    <w:rsid w:val="000F7BF8"/>
    <w:rsid w:val="000F7F1C"/>
    <w:rsid w:val="00101E35"/>
    <w:rsid w:val="00103329"/>
    <w:rsid w:val="0010334C"/>
    <w:rsid w:val="00104436"/>
    <w:rsid w:val="00104CF8"/>
    <w:rsid w:val="00104E74"/>
    <w:rsid w:val="00104F9E"/>
    <w:rsid w:val="00105007"/>
    <w:rsid w:val="00107A57"/>
    <w:rsid w:val="00110757"/>
    <w:rsid w:val="00110881"/>
    <w:rsid w:val="00110CF7"/>
    <w:rsid w:val="001110A7"/>
    <w:rsid w:val="00111B36"/>
    <w:rsid w:val="00111EAB"/>
    <w:rsid w:val="0011209F"/>
    <w:rsid w:val="001126D4"/>
    <w:rsid w:val="0011505C"/>
    <w:rsid w:val="00115735"/>
    <w:rsid w:val="00116CA6"/>
    <w:rsid w:val="0012134C"/>
    <w:rsid w:val="00122398"/>
    <w:rsid w:val="001225E4"/>
    <w:rsid w:val="00122C60"/>
    <w:rsid w:val="00123467"/>
    <w:rsid w:val="0012420C"/>
    <w:rsid w:val="00124322"/>
    <w:rsid w:val="00124E0A"/>
    <w:rsid w:val="00125C52"/>
    <w:rsid w:val="00126075"/>
    <w:rsid w:val="00126123"/>
    <w:rsid w:val="00126224"/>
    <w:rsid w:val="0012736A"/>
    <w:rsid w:val="00127B37"/>
    <w:rsid w:val="00130A36"/>
    <w:rsid w:val="00130F28"/>
    <w:rsid w:val="00132D89"/>
    <w:rsid w:val="00132FC8"/>
    <w:rsid w:val="001350AC"/>
    <w:rsid w:val="00136C98"/>
    <w:rsid w:val="00137790"/>
    <w:rsid w:val="00137973"/>
    <w:rsid w:val="001405A5"/>
    <w:rsid w:val="00140AC3"/>
    <w:rsid w:val="00140E4E"/>
    <w:rsid w:val="001411CF"/>
    <w:rsid w:val="00142525"/>
    <w:rsid w:val="001436A0"/>
    <w:rsid w:val="001455D4"/>
    <w:rsid w:val="00150FFF"/>
    <w:rsid w:val="00151E46"/>
    <w:rsid w:val="00151FFB"/>
    <w:rsid w:val="00152314"/>
    <w:rsid w:val="001533A8"/>
    <w:rsid w:val="00155CE4"/>
    <w:rsid w:val="00156EBC"/>
    <w:rsid w:val="00160379"/>
    <w:rsid w:val="00160558"/>
    <w:rsid w:val="001607CB"/>
    <w:rsid w:val="00160F43"/>
    <w:rsid w:val="00161174"/>
    <w:rsid w:val="001615E0"/>
    <w:rsid w:val="00162D42"/>
    <w:rsid w:val="0016425D"/>
    <w:rsid w:val="001658D7"/>
    <w:rsid w:val="00165D11"/>
    <w:rsid w:val="00167C9C"/>
    <w:rsid w:val="00167D9B"/>
    <w:rsid w:val="00170448"/>
    <w:rsid w:val="00171B2C"/>
    <w:rsid w:val="001744CC"/>
    <w:rsid w:val="00174C9D"/>
    <w:rsid w:val="00174FA9"/>
    <w:rsid w:val="00175D3C"/>
    <w:rsid w:val="0017661E"/>
    <w:rsid w:val="00176D28"/>
    <w:rsid w:val="001812D0"/>
    <w:rsid w:val="00181E4C"/>
    <w:rsid w:val="001844E2"/>
    <w:rsid w:val="00184963"/>
    <w:rsid w:val="00184B10"/>
    <w:rsid w:val="00185C2F"/>
    <w:rsid w:val="00186993"/>
    <w:rsid w:val="0018707F"/>
    <w:rsid w:val="00187C16"/>
    <w:rsid w:val="00187F75"/>
    <w:rsid w:val="00190131"/>
    <w:rsid w:val="0019046C"/>
    <w:rsid w:val="0019053A"/>
    <w:rsid w:val="00190FBD"/>
    <w:rsid w:val="0019131A"/>
    <w:rsid w:val="00191852"/>
    <w:rsid w:val="00192C41"/>
    <w:rsid w:val="001930E3"/>
    <w:rsid w:val="00196BB3"/>
    <w:rsid w:val="00196DF1"/>
    <w:rsid w:val="001A0AB7"/>
    <w:rsid w:val="001A1C1F"/>
    <w:rsid w:val="001A1E2D"/>
    <w:rsid w:val="001A1F96"/>
    <w:rsid w:val="001A1FDA"/>
    <w:rsid w:val="001A2024"/>
    <w:rsid w:val="001A2248"/>
    <w:rsid w:val="001A22CD"/>
    <w:rsid w:val="001A2AB5"/>
    <w:rsid w:val="001A2C93"/>
    <w:rsid w:val="001A39AE"/>
    <w:rsid w:val="001A76C1"/>
    <w:rsid w:val="001B03C0"/>
    <w:rsid w:val="001B1205"/>
    <w:rsid w:val="001B1A51"/>
    <w:rsid w:val="001B1A88"/>
    <w:rsid w:val="001B1F0A"/>
    <w:rsid w:val="001B2148"/>
    <w:rsid w:val="001B2999"/>
    <w:rsid w:val="001B2B57"/>
    <w:rsid w:val="001B308B"/>
    <w:rsid w:val="001B3617"/>
    <w:rsid w:val="001B3868"/>
    <w:rsid w:val="001B4385"/>
    <w:rsid w:val="001B4CCE"/>
    <w:rsid w:val="001B6A46"/>
    <w:rsid w:val="001C17F5"/>
    <w:rsid w:val="001C2081"/>
    <w:rsid w:val="001C4142"/>
    <w:rsid w:val="001C4B35"/>
    <w:rsid w:val="001C4B8D"/>
    <w:rsid w:val="001C50A6"/>
    <w:rsid w:val="001C50D7"/>
    <w:rsid w:val="001C5241"/>
    <w:rsid w:val="001C5496"/>
    <w:rsid w:val="001C6863"/>
    <w:rsid w:val="001D1AB1"/>
    <w:rsid w:val="001D275F"/>
    <w:rsid w:val="001D2853"/>
    <w:rsid w:val="001D3171"/>
    <w:rsid w:val="001D3471"/>
    <w:rsid w:val="001D4386"/>
    <w:rsid w:val="001D448B"/>
    <w:rsid w:val="001D4AE3"/>
    <w:rsid w:val="001D50A3"/>
    <w:rsid w:val="001D6274"/>
    <w:rsid w:val="001D7712"/>
    <w:rsid w:val="001D7D9C"/>
    <w:rsid w:val="001E05CE"/>
    <w:rsid w:val="001E05DA"/>
    <w:rsid w:val="001E0B15"/>
    <w:rsid w:val="001E1EB6"/>
    <w:rsid w:val="001E1FA1"/>
    <w:rsid w:val="001E3053"/>
    <w:rsid w:val="001E3BEC"/>
    <w:rsid w:val="001E3C07"/>
    <w:rsid w:val="001E3FEA"/>
    <w:rsid w:val="001E4006"/>
    <w:rsid w:val="001E4D37"/>
    <w:rsid w:val="001E59C9"/>
    <w:rsid w:val="001E5D57"/>
    <w:rsid w:val="001E61DB"/>
    <w:rsid w:val="001E7E84"/>
    <w:rsid w:val="001E7F02"/>
    <w:rsid w:val="001F03FA"/>
    <w:rsid w:val="001F058C"/>
    <w:rsid w:val="001F163A"/>
    <w:rsid w:val="001F2559"/>
    <w:rsid w:val="001F3B43"/>
    <w:rsid w:val="001F44FD"/>
    <w:rsid w:val="001F52A9"/>
    <w:rsid w:val="001F5ED1"/>
    <w:rsid w:val="001F64CE"/>
    <w:rsid w:val="00200210"/>
    <w:rsid w:val="00200779"/>
    <w:rsid w:val="00201127"/>
    <w:rsid w:val="002011F3"/>
    <w:rsid w:val="00201D0C"/>
    <w:rsid w:val="0020208F"/>
    <w:rsid w:val="002027CC"/>
    <w:rsid w:val="00202F1A"/>
    <w:rsid w:val="00203185"/>
    <w:rsid w:val="002031DF"/>
    <w:rsid w:val="00203239"/>
    <w:rsid w:val="00203AE8"/>
    <w:rsid w:val="00204214"/>
    <w:rsid w:val="0020477E"/>
    <w:rsid w:val="00204C62"/>
    <w:rsid w:val="002057CA"/>
    <w:rsid w:val="002061FC"/>
    <w:rsid w:val="00207292"/>
    <w:rsid w:val="002073C5"/>
    <w:rsid w:val="00207733"/>
    <w:rsid w:val="00207846"/>
    <w:rsid w:val="0021024D"/>
    <w:rsid w:val="00210438"/>
    <w:rsid w:val="002109C4"/>
    <w:rsid w:val="00211CAB"/>
    <w:rsid w:val="0021215A"/>
    <w:rsid w:val="00212E94"/>
    <w:rsid w:val="00212FB8"/>
    <w:rsid w:val="00215747"/>
    <w:rsid w:val="0021587A"/>
    <w:rsid w:val="00215C33"/>
    <w:rsid w:val="002163D0"/>
    <w:rsid w:val="00216A60"/>
    <w:rsid w:val="00216E54"/>
    <w:rsid w:val="00217346"/>
    <w:rsid w:val="00217826"/>
    <w:rsid w:val="002204DF"/>
    <w:rsid w:val="0022087B"/>
    <w:rsid w:val="0022280B"/>
    <w:rsid w:val="00223BE4"/>
    <w:rsid w:val="00223E8E"/>
    <w:rsid w:val="00224DB8"/>
    <w:rsid w:val="0022559F"/>
    <w:rsid w:val="0022577F"/>
    <w:rsid w:val="002258BC"/>
    <w:rsid w:val="00226736"/>
    <w:rsid w:val="002267C3"/>
    <w:rsid w:val="00226C44"/>
    <w:rsid w:val="0023052A"/>
    <w:rsid w:val="002314AF"/>
    <w:rsid w:val="0023240E"/>
    <w:rsid w:val="00233B66"/>
    <w:rsid w:val="0023498A"/>
    <w:rsid w:val="00234EFF"/>
    <w:rsid w:val="00235909"/>
    <w:rsid w:val="002359F3"/>
    <w:rsid w:val="00237892"/>
    <w:rsid w:val="00240B6D"/>
    <w:rsid w:val="00241B35"/>
    <w:rsid w:val="002420AF"/>
    <w:rsid w:val="0024249A"/>
    <w:rsid w:val="00242575"/>
    <w:rsid w:val="00242DA4"/>
    <w:rsid w:val="0024318F"/>
    <w:rsid w:val="00243A40"/>
    <w:rsid w:val="00244E6F"/>
    <w:rsid w:val="00246116"/>
    <w:rsid w:val="0024740B"/>
    <w:rsid w:val="002503E8"/>
    <w:rsid w:val="00250DB9"/>
    <w:rsid w:val="002514EE"/>
    <w:rsid w:val="0025330E"/>
    <w:rsid w:val="00253B3C"/>
    <w:rsid w:val="00253F04"/>
    <w:rsid w:val="00254035"/>
    <w:rsid w:val="00254159"/>
    <w:rsid w:val="0025713F"/>
    <w:rsid w:val="00266156"/>
    <w:rsid w:val="00267A9B"/>
    <w:rsid w:val="00270FDA"/>
    <w:rsid w:val="00271244"/>
    <w:rsid w:val="002723EE"/>
    <w:rsid w:val="002735B9"/>
    <w:rsid w:val="00274185"/>
    <w:rsid w:val="00274350"/>
    <w:rsid w:val="0027484B"/>
    <w:rsid w:val="00275635"/>
    <w:rsid w:val="00276485"/>
    <w:rsid w:val="00276B82"/>
    <w:rsid w:val="00276EDD"/>
    <w:rsid w:val="0027753D"/>
    <w:rsid w:val="002776CB"/>
    <w:rsid w:val="00281DD0"/>
    <w:rsid w:val="002828D7"/>
    <w:rsid w:val="00283666"/>
    <w:rsid w:val="00284056"/>
    <w:rsid w:val="0028423F"/>
    <w:rsid w:val="002852AD"/>
    <w:rsid w:val="002852BE"/>
    <w:rsid w:val="0028599A"/>
    <w:rsid w:val="00286E2A"/>
    <w:rsid w:val="00290A79"/>
    <w:rsid w:val="00291D34"/>
    <w:rsid w:val="00292A10"/>
    <w:rsid w:val="00292A24"/>
    <w:rsid w:val="00293DE8"/>
    <w:rsid w:val="002946FE"/>
    <w:rsid w:val="00294F02"/>
    <w:rsid w:val="002962A5"/>
    <w:rsid w:val="002965FF"/>
    <w:rsid w:val="00297589"/>
    <w:rsid w:val="00297F24"/>
    <w:rsid w:val="002A0851"/>
    <w:rsid w:val="002A0F2E"/>
    <w:rsid w:val="002A2F37"/>
    <w:rsid w:val="002A3E6E"/>
    <w:rsid w:val="002A4196"/>
    <w:rsid w:val="002A4DBD"/>
    <w:rsid w:val="002A50BA"/>
    <w:rsid w:val="002A5C20"/>
    <w:rsid w:val="002B03F3"/>
    <w:rsid w:val="002B046B"/>
    <w:rsid w:val="002B046E"/>
    <w:rsid w:val="002B0B40"/>
    <w:rsid w:val="002B0D80"/>
    <w:rsid w:val="002B2296"/>
    <w:rsid w:val="002B29B8"/>
    <w:rsid w:val="002B2A03"/>
    <w:rsid w:val="002B515F"/>
    <w:rsid w:val="002B6125"/>
    <w:rsid w:val="002B6645"/>
    <w:rsid w:val="002C0CA0"/>
    <w:rsid w:val="002C176D"/>
    <w:rsid w:val="002C1CEB"/>
    <w:rsid w:val="002C2A5C"/>
    <w:rsid w:val="002C331D"/>
    <w:rsid w:val="002C46BF"/>
    <w:rsid w:val="002C641C"/>
    <w:rsid w:val="002C6860"/>
    <w:rsid w:val="002C749B"/>
    <w:rsid w:val="002C7598"/>
    <w:rsid w:val="002C76C6"/>
    <w:rsid w:val="002C7FA1"/>
    <w:rsid w:val="002D0AD9"/>
    <w:rsid w:val="002D0C72"/>
    <w:rsid w:val="002D1A73"/>
    <w:rsid w:val="002D1B91"/>
    <w:rsid w:val="002D30C2"/>
    <w:rsid w:val="002D32EA"/>
    <w:rsid w:val="002D43FE"/>
    <w:rsid w:val="002D57EF"/>
    <w:rsid w:val="002D5B7E"/>
    <w:rsid w:val="002D5EFE"/>
    <w:rsid w:val="002D69A6"/>
    <w:rsid w:val="002D7528"/>
    <w:rsid w:val="002D79E8"/>
    <w:rsid w:val="002D7FCA"/>
    <w:rsid w:val="002E02E5"/>
    <w:rsid w:val="002E0D6E"/>
    <w:rsid w:val="002E2FFF"/>
    <w:rsid w:val="002E330D"/>
    <w:rsid w:val="002E468E"/>
    <w:rsid w:val="002E5677"/>
    <w:rsid w:val="002E5C27"/>
    <w:rsid w:val="002E5FA4"/>
    <w:rsid w:val="002E6355"/>
    <w:rsid w:val="002E6DE9"/>
    <w:rsid w:val="002E6EDF"/>
    <w:rsid w:val="002F0909"/>
    <w:rsid w:val="002F141A"/>
    <w:rsid w:val="002F18D2"/>
    <w:rsid w:val="002F57AA"/>
    <w:rsid w:val="002F78C8"/>
    <w:rsid w:val="00300373"/>
    <w:rsid w:val="0030040E"/>
    <w:rsid w:val="00300DEC"/>
    <w:rsid w:val="00301825"/>
    <w:rsid w:val="003019DD"/>
    <w:rsid w:val="003023DB"/>
    <w:rsid w:val="003026B5"/>
    <w:rsid w:val="00302854"/>
    <w:rsid w:val="00306567"/>
    <w:rsid w:val="003067F3"/>
    <w:rsid w:val="00306FF5"/>
    <w:rsid w:val="003072DE"/>
    <w:rsid w:val="00307C0F"/>
    <w:rsid w:val="00310CB0"/>
    <w:rsid w:val="00310EA4"/>
    <w:rsid w:val="00312E11"/>
    <w:rsid w:val="00312F76"/>
    <w:rsid w:val="00314213"/>
    <w:rsid w:val="0031482B"/>
    <w:rsid w:val="00315D8E"/>
    <w:rsid w:val="003161C5"/>
    <w:rsid w:val="00317E18"/>
    <w:rsid w:val="00321D5B"/>
    <w:rsid w:val="003226B8"/>
    <w:rsid w:val="00324BA9"/>
    <w:rsid w:val="00324C0F"/>
    <w:rsid w:val="00325804"/>
    <w:rsid w:val="00325B1C"/>
    <w:rsid w:val="00326108"/>
    <w:rsid w:val="0032643D"/>
    <w:rsid w:val="00327891"/>
    <w:rsid w:val="003279F7"/>
    <w:rsid w:val="003315A4"/>
    <w:rsid w:val="003322C4"/>
    <w:rsid w:val="0033255A"/>
    <w:rsid w:val="00333828"/>
    <w:rsid w:val="00333F9E"/>
    <w:rsid w:val="0033592F"/>
    <w:rsid w:val="00335A21"/>
    <w:rsid w:val="003365F6"/>
    <w:rsid w:val="00340F2D"/>
    <w:rsid w:val="003425A4"/>
    <w:rsid w:val="00342A1D"/>
    <w:rsid w:val="003434E1"/>
    <w:rsid w:val="003440D8"/>
    <w:rsid w:val="003442BA"/>
    <w:rsid w:val="0034596C"/>
    <w:rsid w:val="00345DC9"/>
    <w:rsid w:val="00347EF5"/>
    <w:rsid w:val="0035128B"/>
    <w:rsid w:val="003522B2"/>
    <w:rsid w:val="003523A7"/>
    <w:rsid w:val="0035273C"/>
    <w:rsid w:val="00352ACB"/>
    <w:rsid w:val="003536E9"/>
    <w:rsid w:val="00354D89"/>
    <w:rsid w:val="003557B0"/>
    <w:rsid w:val="00356565"/>
    <w:rsid w:val="00357EBD"/>
    <w:rsid w:val="003607F5"/>
    <w:rsid w:val="003617BC"/>
    <w:rsid w:val="00362733"/>
    <w:rsid w:val="003631A2"/>
    <w:rsid w:val="00363557"/>
    <w:rsid w:val="00364236"/>
    <w:rsid w:val="0036450D"/>
    <w:rsid w:val="00365A65"/>
    <w:rsid w:val="00366262"/>
    <w:rsid w:val="003715BC"/>
    <w:rsid w:val="00371FCE"/>
    <w:rsid w:val="00372C53"/>
    <w:rsid w:val="00375371"/>
    <w:rsid w:val="00375404"/>
    <w:rsid w:val="00376E1B"/>
    <w:rsid w:val="003772DC"/>
    <w:rsid w:val="00381C74"/>
    <w:rsid w:val="003820A8"/>
    <w:rsid w:val="003824B8"/>
    <w:rsid w:val="00382EE8"/>
    <w:rsid w:val="0039072C"/>
    <w:rsid w:val="00391171"/>
    <w:rsid w:val="00391668"/>
    <w:rsid w:val="003965BD"/>
    <w:rsid w:val="0039684A"/>
    <w:rsid w:val="00397988"/>
    <w:rsid w:val="003A013B"/>
    <w:rsid w:val="003A3787"/>
    <w:rsid w:val="003A38B6"/>
    <w:rsid w:val="003A38CD"/>
    <w:rsid w:val="003A3A44"/>
    <w:rsid w:val="003A6F19"/>
    <w:rsid w:val="003A7C8D"/>
    <w:rsid w:val="003A7F08"/>
    <w:rsid w:val="003B04AC"/>
    <w:rsid w:val="003B0510"/>
    <w:rsid w:val="003B060A"/>
    <w:rsid w:val="003B2392"/>
    <w:rsid w:val="003B43F3"/>
    <w:rsid w:val="003B5B32"/>
    <w:rsid w:val="003B61C9"/>
    <w:rsid w:val="003C061C"/>
    <w:rsid w:val="003C19EC"/>
    <w:rsid w:val="003C27C3"/>
    <w:rsid w:val="003C389D"/>
    <w:rsid w:val="003C4D0B"/>
    <w:rsid w:val="003C5943"/>
    <w:rsid w:val="003C5ED0"/>
    <w:rsid w:val="003C75DE"/>
    <w:rsid w:val="003C7B22"/>
    <w:rsid w:val="003D031F"/>
    <w:rsid w:val="003D05F8"/>
    <w:rsid w:val="003D1165"/>
    <w:rsid w:val="003D14CA"/>
    <w:rsid w:val="003D2B2D"/>
    <w:rsid w:val="003D331F"/>
    <w:rsid w:val="003D3ED3"/>
    <w:rsid w:val="003D4AA2"/>
    <w:rsid w:val="003D53E5"/>
    <w:rsid w:val="003D6CA0"/>
    <w:rsid w:val="003D719C"/>
    <w:rsid w:val="003D79BB"/>
    <w:rsid w:val="003D7E50"/>
    <w:rsid w:val="003E1A54"/>
    <w:rsid w:val="003E1C98"/>
    <w:rsid w:val="003E3D22"/>
    <w:rsid w:val="003E4991"/>
    <w:rsid w:val="003E62DA"/>
    <w:rsid w:val="003E6EDA"/>
    <w:rsid w:val="003E7107"/>
    <w:rsid w:val="003E7E55"/>
    <w:rsid w:val="003F20BB"/>
    <w:rsid w:val="003F258E"/>
    <w:rsid w:val="003F2ABE"/>
    <w:rsid w:val="003F2BE1"/>
    <w:rsid w:val="003F488F"/>
    <w:rsid w:val="003F4909"/>
    <w:rsid w:val="003F4939"/>
    <w:rsid w:val="003F4CA3"/>
    <w:rsid w:val="003F61F2"/>
    <w:rsid w:val="003F6B7A"/>
    <w:rsid w:val="003F6D05"/>
    <w:rsid w:val="003F6D7D"/>
    <w:rsid w:val="003F6E47"/>
    <w:rsid w:val="003F6F83"/>
    <w:rsid w:val="003F74C2"/>
    <w:rsid w:val="004003F0"/>
    <w:rsid w:val="00400F7C"/>
    <w:rsid w:val="00401C28"/>
    <w:rsid w:val="00401E5C"/>
    <w:rsid w:val="00401FDF"/>
    <w:rsid w:val="00402B43"/>
    <w:rsid w:val="004032C4"/>
    <w:rsid w:val="0040342A"/>
    <w:rsid w:val="00404A18"/>
    <w:rsid w:val="00405007"/>
    <w:rsid w:val="00411F32"/>
    <w:rsid w:val="004121FB"/>
    <w:rsid w:val="00412950"/>
    <w:rsid w:val="00414136"/>
    <w:rsid w:val="0041523A"/>
    <w:rsid w:val="004161E8"/>
    <w:rsid w:val="00416890"/>
    <w:rsid w:val="00416E94"/>
    <w:rsid w:val="004175B5"/>
    <w:rsid w:val="00421A50"/>
    <w:rsid w:val="00421ADA"/>
    <w:rsid w:val="00421E1E"/>
    <w:rsid w:val="00421F96"/>
    <w:rsid w:val="0042393E"/>
    <w:rsid w:val="0042502D"/>
    <w:rsid w:val="004250ED"/>
    <w:rsid w:val="004274FC"/>
    <w:rsid w:val="004301CE"/>
    <w:rsid w:val="00430C5A"/>
    <w:rsid w:val="00431C39"/>
    <w:rsid w:val="00431D82"/>
    <w:rsid w:val="004331E4"/>
    <w:rsid w:val="00433CBE"/>
    <w:rsid w:val="00434150"/>
    <w:rsid w:val="00434BB7"/>
    <w:rsid w:val="004351B2"/>
    <w:rsid w:val="0043709A"/>
    <w:rsid w:val="004371FE"/>
    <w:rsid w:val="0043780C"/>
    <w:rsid w:val="004408CF"/>
    <w:rsid w:val="0044143D"/>
    <w:rsid w:val="00442800"/>
    <w:rsid w:val="00442F89"/>
    <w:rsid w:val="00443672"/>
    <w:rsid w:val="00443FBA"/>
    <w:rsid w:val="004440BB"/>
    <w:rsid w:val="00444BC5"/>
    <w:rsid w:val="00444C2B"/>
    <w:rsid w:val="00444CB9"/>
    <w:rsid w:val="00445CA9"/>
    <w:rsid w:val="004462A5"/>
    <w:rsid w:val="0044691A"/>
    <w:rsid w:val="00447105"/>
    <w:rsid w:val="00447267"/>
    <w:rsid w:val="00447C3D"/>
    <w:rsid w:val="00450168"/>
    <w:rsid w:val="00452A83"/>
    <w:rsid w:val="004545C8"/>
    <w:rsid w:val="00454F31"/>
    <w:rsid w:val="00456223"/>
    <w:rsid w:val="00457D34"/>
    <w:rsid w:val="00457E2C"/>
    <w:rsid w:val="004603FC"/>
    <w:rsid w:val="004607A9"/>
    <w:rsid w:val="00463E3F"/>
    <w:rsid w:val="00464065"/>
    <w:rsid w:val="00464ADD"/>
    <w:rsid w:val="00465086"/>
    <w:rsid w:val="004653D5"/>
    <w:rsid w:val="0046557A"/>
    <w:rsid w:val="00471808"/>
    <w:rsid w:val="00471B6C"/>
    <w:rsid w:val="00471B71"/>
    <w:rsid w:val="00472CAE"/>
    <w:rsid w:val="004732C3"/>
    <w:rsid w:val="0047606F"/>
    <w:rsid w:val="00476D60"/>
    <w:rsid w:val="0047717D"/>
    <w:rsid w:val="00477718"/>
    <w:rsid w:val="00477CED"/>
    <w:rsid w:val="0048099B"/>
    <w:rsid w:val="00480BA1"/>
    <w:rsid w:val="004815A2"/>
    <w:rsid w:val="004835E0"/>
    <w:rsid w:val="00483906"/>
    <w:rsid w:val="004843F8"/>
    <w:rsid w:val="004846AA"/>
    <w:rsid w:val="00485938"/>
    <w:rsid w:val="00485F24"/>
    <w:rsid w:val="00486288"/>
    <w:rsid w:val="00487277"/>
    <w:rsid w:val="00490710"/>
    <w:rsid w:val="00490765"/>
    <w:rsid w:val="00490C94"/>
    <w:rsid w:val="00492173"/>
    <w:rsid w:val="00492C98"/>
    <w:rsid w:val="00493EEE"/>
    <w:rsid w:val="004944C8"/>
    <w:rsid w:val="0049486F"/>
    <w:rsid w:val="00495187"/>
    <w:rsid w:val="00495464"/>
    <w:rsid w:val="004956E7"/>
    <w:rsid w:val="00495AB4"/>
    <w:rsid w:val="00497442"/>
    <w:rsid w:val="004A1488"/>
    <w:rsid w:val="004A18A4"/>
    <w:rsid w:val="004A2B12"/>
    <w:rsid w:val="004A35AE"/>
    <w:rsid w:val="004A441B"/>
    <w:rsid w:val="004A61DF"/>
    <w:rsid w:val="004A6F32"/>
    <w:rsid w:val="004A7080"/>
    <w:rsid w:val="004B062F"/>
    <w:rsid w:val="004B0B65"/>
    <w:rsid w:val="004B0E7B"/>
    <w:rsid w:val="004B2142"/>
    <w:rsid w:val="004B348B"/>
    <w:rsid w:val="004B44E1"/>
    <w:rsid w:val="004B5FE0"/>
    <w:rsid w:val="004B6284"/>
    <w:rsid w:val="004B63DE"/>
    <w:rsid w:val="004C2204"/>
    <w:rsid w:val="004C2696"/>
    <w:rsid w:val="004C2A1E"/>
    <w:rsid w:val="004C2E1E"/>
    <w:rsid w:val="004C3235"/>
    <w:rsid w:val="004C4D15"/>
    <w:rsid w:val="004C4EB1"/>
    <w:rsid w:val="004C5020"/>
    <w:rsid w:val="004C679D"/>
    <w:rsid w:val="004D05F1"/>
    <w:rsid w:val="004D1CF1"/>
    <w:rsid w:val="004D2B0D"/>
    <w:rsid w:val="004D2FAB"/>
    <w:rsid w:val="004D5A8D"/>
    <w:rsid w:val="004D7704"/>
    <w:rsid w:val="004E0D2D"/>
    <w:rsid w:val="004E10E2"/>
    <w:rsid w:val="004E10F4"/>
    <w:rsid w:val="004E1C32"/>
    <w:rsid w:val="004E2098"/>
    <w:rsid w:val="004E23BC"/>
    <w:rsid w:val="004E2878"/>
    <w:rsid w:val="004E37A2"/>
    <w:rsid w:val="004E3F4A"/>
    <w:rsid w:val="004E568E"/>
    <w:rsid w:val="004E6B5F"/>
    <w:rsid w:val="004E6F8A"/>
    <w:rsid w:val="004E74CF"/>
    <w:rsid w:val="004E7EB0"/>
    <w:rsid w:val="004F02D0"/>
    <w:rsid w:val="004F0411"/>
    <w:rsid w:val="004F1988"/>
    <w:rsid w:val="004F232C"/>
    <w:rsid w:val="004F3390"/>
    <w:rsid w:val="004F4806"/>
    <w:rsid w:val="004F4E2B"/>
    <w:rsid w:val="004F76DB"/>
    <w:rsid w:val="005009CA"/>
    <w:rsid w:val="00500BC7"/>
    <w:rsid w:val="00500CA6"/>
    <w:rsid w:val="005016C1"/>
    <w:rsid w:val="0050215F"/>
    <w:rsid w:val="0050223E"/>
    <w:rsid w:val="0050227E"/>
    <w:rsid w:val="005050F6"/>
    <w:rsid w:val="00505790"/>
    <w:rsid w:val="0050607E"/>
    <w:rsid w:val="0050613F"/>
    <w:rsid w:val="00506ED6"/>
    <w:rsid w:val="00507482"/>
    <w:rsid w:val="005104CC"/>
    <w:rsid w:val="00510630"/>
    <w:rsid w:val="0051087D"/>
    <w:rsid w:val="0051207C"/>
    <w:rsid w:val="005122BA"/>
    <w:rsid w:val="00512424"/>
    <w:rsid w:val="00512799"/>
    <w:rsid w:val="00512A57"/>
    <w:rsid w:val="00513EE1"/>
    <w:rsid w:val="00514ECB"/>
    <w:rsid w:val="005153DB"/>
    <w:rsid w:val="0051775A"/>
    <w:rsid w:val="0052136E"/>
    <w:rsid w:val="00521DC8"/>
    <w:rsid w:val="00521EC0"/>
    <w:rsid w:val="0052380F"/>
    <w:rsid w:val="00523D54"/>
    <w:rsid w:val="005249F0"/>
    <w:rsid w:val="00524A2E"/>
    <w:rsid w:val="00524F65"/>
    <w:rsid w:val="005256B7"/>
    <w:rsid w:val="00525B5E"/>
    <w:rsid w:val="00525E6C"/>
    <w:rsid w:val="00525F05"/>
    <w:rsid w:val="0052614B"/>
    <w:rsid w:val="00526721"/>
    <w:rsid w:val="00526C39"/>
    <w:rsid w:val="005279AA"/>
    <w:rsid w:val="00527CB7"/>
    <w:rsid w:val="00527EEC"/>
    <w:rsid w:val="0053020D"/>
    <w:rsid w:val="00531DB8"/>
    <w:rsid w:val="0053326F"/>
    <w:rsid w:val="0053425B"/>
    <w:rsid w:val="0053434B"/>
    <w:rsid w:val="00535F5F"/>
    <w:rsid w:val="0053724F"/>
    <w:rsid w:val="00537FD6"/>
    <w:rsid w:val="00540340"/>
    <w:rsid w:val="00540577"/>
    <w:rsid w:val="00540D43"/>
    <w:rsid w:val="00542CF4"/>
    <w:rsid w:val="00542ED7"/>
    <w:rsid w:val="00543587"/>
    <w:rsid w:val="00543847"/>
    <w:rsid w:val="00547F74"/>
    <w:rsid w:val="00550666"/>
    <w:rsid w:val="00551FCB"/>
    <w:rsid w:val="00552171"/>
    <w:rsid w:val="00554350"/>
    <w:rsid w:val="005544AD"/>
    <w:rsid w:val="005544EF"/>
    <w:rsid w:val="00555F28"/>
    <w:rsid w:val="00556B13"/>
    <w:rsid w:val="00556B31"/>
    <w:rsid w:val="00557534"/>
    <w:rsid w:val="00561242"/>
    <w:rsid w:val="00561FB4"/>
    <w:rsid w:val="005628B2"/>
    <w:rsid w:val="00563560"/>
    <w:rsid w:val="00563B8B"/>
    <w:rsid w:val="005649C5"/>
    <w:rsid w:val="00564B33"/>
    <w:rsid w:val="00565E8B"/>
    <w:rsid w:val="00566097"/>
    <w:rsid w:val="00566C87"/>
    <w:rsid w:val="00567486"/>
    <w:rsid w:val="0056780B"/>
    <w:rsid w:val="005678F7"/>
    <w:rsid w:val="00570013"/>
    <w:rsid w:val="00570CF9"/>
    <w:rsid w:val="0057147F"/>
    <w:rsid w:val="00571DA2"/>
    <w:rsid w:val="00572C27"/>
    <w:rsid w:val="00573811"/>
    <w:rsid w:val="00574415"/>
    <w:rsid w:val="00574A0C"/>
    <w:rsid w:val="005750FA"/>
    <w:rsid w:val="00576E45"/>
    <w:rsid w:val="005771E6"/>
    <w:rsid w:val="00577329"/>
    <w:rsid w:val="00581AE0"/>
    <w:rsid w:val="00582619"/>
    <w:rsid w:val="0058325C"/>
    <w:rsid w:val="00583F3A"/>
    <w:rsid w:val="0058626B"/>
    <w:rsid w:val="00586F6E"/>
    <w:rsid w:val="00587EDE"/>
    <w:rsid w:val="0059109E"/>
    <w:rsid w:val="005911F9"/>
    <w:rsid w:val="00591225"/>
    <w:rsid w:val="005929B6"/>
    <w:rsid w:val="0059391E"/>
    <w:rsid w:val="0059403D"/>
    <w:rsid w:val="005940AC"/>
    <w:rsid w:val="005942B7"/>
    <w:rsid w:val="00596AD9"/>
    <w:rsid w:val="005A033E"/>
    <w:rsid w:val="005A05CE"/>
    <w:rsid w:val="005A0810"/>
    <w:rsid w:val="005A091F"/>
    <w:rsid w:val="005A0E8F"/>
    <w:rsid w:val="005A154F"/>
    <w:rsid w:val="005A19B1"/>
    <w:rsid w:val="005A1DFF"/>
    <w:rsid w:val="005A1F45"/>
    <w:rsid w:val="005A2322"/>
    <w:rsid w:val="005A2CCB"/>
    <w:rsid w:val="005A2D27"/>
    <w:rsid w:val="005A6015"/>
    <w:rsid w:val="005A652D"/>
    <w:rsid w:val="005A696C"/>
    <w:rsid w:val="005A705A"/>
    <w:rsid w:val="005A73E5"/>
    <w:rsid w:val="005A76C4"/>
    <w:rsid w:val="005A7CD1"/>
    <w:rsid w:val="005A7F24"/>
    <w:rsid w:val="005B0964"/>
    <w:rsid w:val="005B1606"/>
    <w:rsid w:val="005B251F"/>
    <w:rsid w:val="005B3AED"/>
    <w:rsid w:val="005B52B4"/>
    <w:rsid w:val="005B5470"/>
    <w:rsid w:val="005B6F0B"/>
    <w:rsid w:val="005B6FAC"/>
    <w:rsid w:val="005B71C0"/>
    <w:rsid w:val="005B7A2B"/>
    <w:rsid w:val="005B7B93"/>
    <w:rsid w:val="005C3034"/>
    <w:rsid w:val="005C3C3A"/>
    <w:rsid w:val="005C4C8B"/>
    <w:rsid w:val="005C6284"/>
    <w:rsid w:val="005C659F"/>
    <w:rsid w:val="005C6944"/>
    <w:rsid w:val="005D214A"/>
    <w:rsid w:val="005D2CDF"/>
    <w:rsid w:val="005D50FA"/>
    <w:rsid w:val="005D5CAE"/>
    <w:rsid w:val="005D701C"/>
    <w:rsid w:val="005D785F"/>
    <w:rsid w:val="005E2F15"/>
    <w:rsid w:val="005E4A67"/>
    <w:rsid w:val="005E51E8"/>
    <w:rsid w:val="005E6582"/>
    <w:rsid w:val="005E6FC4"/>
    <w:rsid w:val="005F1778"/>
    <w:rsid w:val="005F1E3A"/>
    <w:rsid w:val="005F23FB"/>
    <w:rsid w:val="005F27C9"/>
    <w:rsid w:val="005F3AB1"/>
    <w:rsid w:val="005F3EC2"/>
    <w:rsid w:val="005F5934"/>
    <w:rsid w:val="005F6089"/>
    <w:rsid w:val="005F6E00"/>
    <w:rsid w:val="005F789B"/>
    <w:rsid w:val="006005C9"/>
    <w:rsid w:val="00600C62"/>
    <w:rsid w:val="00601CD6"/>
    <w:rsid w:val="00601E61"/>
    <w:rsid w:val="0060228C"/>
    <w:rsid w:val="006027E0"/>
    <w:rsid w:val="006033A5"/>
    <w:rsid w:val="00603D6A"/>
    <w:rsid w:val="00606485"/>
    <w:rsid w:val="006065EB"/>
    <w:rsid w:val="0060729F"/>
    <w:rsid w:val="00607BF3"/>
    <w:rsid w:val="00607C92"/>
    <w:rsid w:val="006102D8"/>
    <w:rsid w:val="00610B14"/>
    <w:rsid w:val="006110AA"/>
    <w:rsid w:val="0061112E"/>
    <w:rsid w:val="0061147D"/>
    <w:rsid w:val="00611A51"/>
    <w:rsid w:val="00612808"/>
    <w:rsid w:val="00613B5F"/>
    <w:rsid w:val="00614C6C"/>
    <w:rsid w:val="0061617C"/>
    <w:rsid w:val="00616F96"/>
    <w:rsid w:val="00621DC3"/>
    <w:rsid w:val="00621F39"/>
    <w:rsid w:val="00624C98"/>
    <w:rsid w:val="00625320"/>
    <w:rsid w:val="00625C16"/>
    <w:rsid w:val="00626367"/>
    <w:rsid w:val="00626DCD"/>
    <w:rsid w:val="0062770A"/>
    <w:rsid w:val="0062772F"/>
    <w:rsid w:val="0062774E"/>
    <w:rsid w:val="006278C8"/>
    <w:rsid w:val="00627FDB"/>
    <w:rsid w:val="00630D2F"/>
    <w:rsid w:val="006313F4"/>
    <w:rsid w:val="00633B6D"/>
    <w:rsid w:val="006341B4"/>
    <w:rsid w:val="00634BD2"/>
    <w:rsid w:val="00636571"/>
    <w:rsid w:val="00637046"/>
    <w:rsid w:val="006370E7"/>
    <w:rsid w:val="006372A7"/>
    <w:rsid w:val="00637924"/>
    <w:rsid w:val="00640C5D"/>
    <w:rsid w:val="00640D27"/>
    <w:rsid w:val="00640FBF"/>
    <w:rsid w:val="006415B7"/>
    <w:rsid w:val="00641A4F"/>
    <w:rsid w:val="0064391E"/>
    <w:rsid w:val="00643B8A"/>
    <w:rsid w:val="00644F5D"/>
    <w:rsid w:val="006454EF"/>
    <w:rsid w:val="00645D60"/>
    <w:rsid w:val="00646110"/>
    <w:rsid w:val="00646421"/>
    <w:rsid w:val="0065311F"/>
    <w:rsid w:val="006539C3"/>
    <w:rsid w:val="00653B00"/>
    <w:rsid w:val="0065524C"/>
    <w:rsid w:val="00655615"/>
    <w:rsid w:val="0065574F"/>
    <w:rsid w:val="006566BA"/>
    <w:rsid w:val="006575DD"/>
    <w:rsid w:val="00657714"/>
    <w:rsid w:val="00657F0F"/>
    <w:rsid w:val="00660684"/>
    <w:rsid w:val="00661C45"/>
    <w:rsid w:val="00663CF1"/>
    <w:rsid w:val="00665535"/>
    <w:rsid w:val="0066799C"/>
    <w:rsid w:val="0067079E"/>
    <w:rsid w:val="006710BE"/>
    <w:rsid w:val="0067117A"/>
    <w:rsid w:val="00671387"/>
    <w:rsid w:val="0067148C"/>
    <w:rsid w:val="006716D4"/>
    <w:rsid w:val="00671C20"/>
    <w:rsid w:val="00671DF9"/>
    <w:rsid w:val="00671F46"/>
    <w:rsid w:val="006720F7"/>
    <w:rsid w:val="00672766"/>
    <w:rsid w:val="0067287D"/>
    <w:rsid w:val="0067305E"/>
    <w:rsid w:val="00675605"/>
    <w:rsid w:val="006759AC"/>
    <w:rsid w:val="0067673C"/>
    <w:rsid w:val="00676A20"/>
    <w:rsid w:val="00677D3D"/>
    <w:rsid w:val="006801FA"/>
    <w:rsid w:val="00680223"/>
    <w:rsid w:val="00681217"/>
    <w:rsid w:val="00681445"/>
    <w:rsid w:val="00682568"/>
    <w:rsid w:val="0068300E"/>
    <w:rsid w:val="00683AFA"/>
    <w:rsid w:val="0068408B"/>
    <w:rsid w:val="006854CF"/>
    <w:rsid w:val="00685BBA"/>
    <w:rsid w:val="00686299"/>
    <w:rsid w:val="00686943"/>
    <w:rsid w:val="00687BCF"/>
    <w:rsid w:val="006904D1"/>
    <w:rsid w:val="006915BB"/>
    <w:rsid w:val="00693A0A"/>
    <w:rsid w:val="006941BE"/>
    <w:rsid w:val="0069458A"/>
    <w:rsid w:val="00695087"/>
    <w:rsid w:val="00696C6E"/>
    <w:rsid w:val="006977B2"/>
    <w:rsid w:val="006978ED"/>
    <w:rsid w:val="00697C68"/>
    <w:rsid w:val="006A03F0"/>
    <w:rsid w:val="006A27DD"/>
    <w:rsid w:val="006A35FE"/>
    <w:rsid w:val="006A4B9E"/>
    <w:rsid w:val="006A767B"/>
    <w:rsid w:val="006B0E33"/>
    <w:rsid w:val="006B13E5"/>
    <w:rsid w:val="006B1D90"/>
    <w:rsid w:val="006B1DB5"/>
    <w:rsid w:val="006B2817"/>
    <w:rsid w:val="006B393B"/>
    <w:rsid w:val="006B4F5D"/>
    <w:rsid w:val="006B5173"/>
    <w:rsid w:val="006B7201"/>
    <w:rsid w:val="006C0683"/>
    <w:rsid w:val="006C070A"/>
    <w:rsid w:val="006C1223"/>
    <w:rsid w:val="006C192D"/>
    <w:rsid w:val="006C212D"/>
    <w:rsid w:val="006C217B"/>
    <w:rsid w:val="006C3056"/>
    <w:rsid w:val="006C326D"/>
    <w:rsid w:val="006C39EA"/>
    <w:rsid w:val="006C3DC6"/>
    <w:rsid w:val="006C3F72"/>
    <w:rsid w:val="006C595F"/>
    <w:rsid w:val="006C67BD"/>
    <w:rsid w:val="006C76B5"/>
    <w:rsid w:val="006C7CE6"/>
    <w:rsid w:val="006C7D33"/>
    <w:rsid w:val="006D0A90"/>
    <w:rsid w:val="006D0D00"/>
    <w:rsid w:val="006D2BB4"/>
    <w:rsid w:val="006D3F5C"/>
    <w:rsid w:val="006D4EB5"/>
    <w:rsid w:val="006D59B6"/>
    <w:rsid w:val="006D6503"/>
    <w:rsid w:val="006D7D80"/>
    <w:rsid w:val="006E0776"/>
    <w:rsid w:val="006E0A3A"/>
    <w:rsid w:val="006E0E73"/>
    <w:rsid w:val="006E2147"/>
    <w:rsid w:val="006E23DF"/>
    <w:rsid w:val="006E5D50"/>
    <w:rsid w:val="006E630C"/>
    <w:rsid w:val="006E71E1"/>
    <w:rsid w:val="006F1824"/>
    <w:rsid w:val="006F1A4A"/>
    <w:rsid w:val="006F30E7"/>
    <w:rsid w:val="006F36CC"/>
    <w:rsid w:val="006F4005"/>
    <w:rsid w:val="006F6EEC"/>
    <w:rsid w:val="00700C4E"/>
    <w:rsid w:val="0070107B"/>
    <w:rsid w:val="0070123C"/>
    <w:rsid w:val="00703DEC"/>
    <w:rsid w:val="00703F54"/>
    <w:rsid w:val="00704271"/>
    <w:rsid w:val="00704592"/>
    <w:rsid w:val="00705327"/>
    <w:rsid w:val="00705D03"/>
    <w:rsid w:val="0070648B"/>
    <w:rsid w:val="007067ED"/>
    <w:rsid w:val="00706DC2"/>
    <w:rsid w:val="00707719"/>
    <w:rsid w:val="00707992"/>
    <w:rsid w:val="007107A3"/>
    <w:rsid w:val="00710A40"/>
    <w:rsid w:val="00710C10"/>
    <w:rsid w:val="0071254F"/>
    <w:rsid w:val="00712873"/>
    <w:rsid w:val="00713088"/>
    <w:rsid w:val="0071322C"/>
    <w:rsid w:val="0071342B"/>
    <w:rsid w:val="00713CEF"/>
    <w:rsid w:val="00714354"/>
    <w:rsid w:val="00714C9E"/>
    <w:rsid w:val="00714D67"/>
    <w:rsid w:val="00714E59"/>
    <w:rsid w:val="007168A8"/>
    <w:rsid w:val="007175EA"/>
    <w:rsid w:val="007204C6"/>
    <w:rsid w:val="00720F19"/>
    <w:rsid w:val="007216C5"/>
    <w:rsid w:val="0072266E"/>
    <w:rsid w:val="007231D2"/>
    <w:rsid w:val="00723781"/>
    <w:rsid w:val="00723B32"/>
    <w:rsid w:val="00724006"/>
    <w:rsid w:val="007244A0"/>
    <w:rsid w:val="007249AF"/>
    <w:rsid w:val="00726871"/>
    <w:rsid w:val="0072737B"/>
    <w:rsid w:val="00727FBB"/>
    <w:rsid w:val="0073076E"/>
    <w:rsid w:val="00732FC5"/>
    <w:rsid w:val="00733812"/>
    <w:rsid w:val="00734339"/>
    <w:rsid w:val="007344CE"/>
    <w:rsid w:val="00734D1E"/>
    <w:rsid w:val="00736F44"/>
    <w:rsid w:val="00737662"/>
    <w:rsid w:val="007409C8"/>
    <w:rsid w:val="00741413"/>
    <w:rsid w:val="007422DF"/>
    <w:rsid w:val="007424E5"/>
    <w:rsid w:val="007438CB"/>
    <w:rsid w:val="0074526A"/>
    <w:rsid w:val="007452E5"/>
    <w:rsid w:val="00745958"/>
    <w:rsid w:val="00746B15"/>
    <w:rsid w:val="00746D46"/>
    <w:rsid w:val="00747EC4"/>
    <w:rsid w:val="0075061F"/>
    <w:rsid w:val="0075086C"/>
    <w:rsid w:val="00751076"/>
    <w:rsid w:val="007510E0"/>
    <w:rsid w:val="00752A1D"/>
    <w:rsid w:val="00753694"/>
    <w:rsid w:val="00753A90"/>
    <w:rsid w:val="0075590F"/>
    <w:rsid w:val="00755B01"/>
    <w:rsid w:val="00756226"/>
    <w:rsid w:val="00757E80"/>
    <w:rsid w:val="007603BD"/>
    <w:rsid w:val="00761EAE"/>
    <w:rsid w:val="00762083"/>
    <w:rsid w:val="00762097"/>
    <w:rsid w:val="00762515"/>
    <w:rsid w:val="00762F03"/>
    <w:rsid w:val="00765BE0"/>
    <w:rsid w:val="00765CD7"/>
    <w:rsid w:val="00766A99"/>
    <w:rsid w:val="00770BA3"/>
    <w:rsid w:val="00770D8C"/>
    <w:rsid w:val="00771CD8"/>
    <w:rsid w:val="00771E75"/>
    <w:rsid w:val="00771FF4"/>
    <w:rsid w:val="0077207C"/>
    <w:rsid w:val="00772603"/>
    <w:rsid w:val="00772F25"/>
    <w:rsid w:val="00773C2A"/>
    <w:rsid w:val="007742FC"/>
    <w:rsid w:val="00774F7E"/>
    <w:rsid w:val="007750F5"/>
    <w:rsid w:val="00775480"/>
    <w:rsid w:val="0077585E"/>
    <w:rsid w:val="00775D51"/>
    <w:rsid w:val="007802A9"/>
    <w:rsid w:val="00780306"/>
    <w:rsid w:val="00780801"/>
    <w:rsid w:val="00781CC2"/>
    <w:rsid w:val="0078282D"/>
    <w:rsid w:val="00782F5E"/>
    <w:rsid w:val="00782FB1"/>
    <w:rsid w:val="00783184"/>
    <w:rsid w:val="0078398F"/>
    <w:rsid w:val="00783B3F"/>
    <w:rsid w:val="00786BAC"/>
    <w:rsid w:val="00790A64"/>
    <w:rsid w:val="007946CD"/>
    <w:rsid w:val="00794700"/>
    <w:rsid w:val="00794AAA"/>
    <w:rsid w:val="0079657F"/>
    <w:rsid w:val="00797051"/>
    <w:rsid w:val="007976DE"/>
    <w:rsid w:val="00797CF3"/>
    <w:rsid w:val="007A049C"/>
    <w:rsid w:val="007A148A"/>
    <w:rsid w:val="007A181E"/>
    <w:rsid w:val="007A1897"/>
    <w:rsid w:val="007A18A3"/>
    <w:rsid w:val="007A29C7"/>
    <w:rsid w:val="007A2EC6"/>
    <w:rsid w:val="007A4D86"/>
    <w:rsid w:val="007A53A9"/>
    <w:rsid w:val="007A5757"/>
    <w:rsid w:val="007A5861"/>
    <w:rsid w:val="007A5E90"/>
    <w:rsid w:val="007A5F5E"/>
    <w:rsid w:val="007A6367"/>
    <w:rsid w:val="007A63D4"/>
    <w:rsid w:val="007A7163"/>
    <w:rsid w:val="007A7BCB"/>
    <w:rsid w:val="007B0187"/>
    <w:rsid w:val="007B0268"/>
    <w:rsid w:val="007B177F"/>
    <w:rsid w:val="007B2F00"/>
    <w:rsid w:val="007B33BA"/>
    <w:rsid w:val="007B514E"/>
    <w:rsid w:val="007B520D"/>
    <w:rsid w:val="007B538C"/>
    <w:rsid w:val="007B5AC9"/>
    <w:rsid w:val="007B5C66"/>
    <w:rsid w:val="007B7C7D"/>
    <w:rsid w:val="007C015A"/>
    <w:rsid w:val="007C0DCA"/>
    <w:rsid w:val="007C1509"/>
    <w:rsid w:val="007C1C5E"/>
    <w:rsid w:val="007C1FE6"/>
    <w:rsid w:val="007C25F0"/>
    <w:rsid w:val="007C4100"/>
    <w:rsid w:val="007C4A5B"/>
    <w:rsid w:val="007C4D58"/>
    <w:rsid w:val="007C5338"/>
    <w:rsid w:val="007C5CF9"/>
    <w:rsid w:val="007D1613"/>
    <w:rsid w:val="007D1B29"/>
    <w:rsid w:val="007D23D9"/>
    <w:rsid w:val="007D344A"/>
    <w:rsid w:val="007D3EEF"/>
    <w:rsid w:val="007D3FC5"/>
    <w:rsid w:val="007D47E9"/>
    <w:rsid w:val="007D4C96"/>
    <w:rsid w:val="007D5489"/>
    <w:rsid w:val="007D5576"/>
    <w:rsid w:val="007D65C7"/>
    <w:rsid w:val="007E2C29"/>
    <w:rsid w:val="007E2F1B"/>
    <w:rsid w:val="007E373E"/>
    <w:rsid w:val="007E3996"/>
    <w:rsid w:val="007E3E90"/>
    <w:rsid w:val="007E4E39"/>
    <w:rsid w:val="007E5997"/>
    <w:rsid w:val="007E609B"/>
    <w:rsid w:val="007E6FF8"/>
    <w:rsid w:val="007F03D2"/>
    <w:rsid w:val="007F170F"/>
    <w:rsid w:val="007F1737"/>
    <w:rsid w:val="007F3509"/>
    <w:rsid w:val="007F3A40"/>
    <w:rsid w:val="007F45B6"/>
    <w:rsid w:val="007F5DE8"/>
    <w:rsid w:val="007F6525"/>
    <w:rsid w:val="007F65A4"/>
    <w:rsid w:val="007F6E7E"/>
    <w:rsid w:val="007F7B71"/>
    <w:rsid w:val="008001B1"/>
    <w:rsid w:val="008006F8"/>
    <w:rsid w:val="00801083"/>
    <w:rsid w:val="0080158E"/>
    <w:rsid w:val="00801942"/>
    <w:rsid w:val="00801AEB"/>
    <w:rsid w:val="0080376E"/>
    <w:rsid w:val="00805F93"/>
    <w:rsid w:val="00806CEE"/>
    <w:rsid w:val="00806E3F"/>
    <w:rsid w:val="00807998"/>
    <w:rsid w:val="00810452"/>
    <w:rsid w:val="008105A1"/>
    <w:rsid w:val="00810B95"/>
    <w:rsid w:val="00811BBE"/>
    <w:rsid w:val="008131CE"/>
    <w:rsid w:val="008134A8"/>
    <w:rsid w:val="00814648"/>
    <w:rsid w:val="0081544D"/>
    <w:rsid w:val="00815BB0"/>
    <w:rsid w:val="00815F01"/>
    <w:rsid w:val="00816346"/>
    <w:rsid w:val="00816585"/>
    <w:rsid w:val="0081704D"/>
    <w:rsid w:val="008172D5"/>
    <w:rsid w:val="00817C79"/>
    <w:rsid w:val="0082084D"/>
    <w:rsid w:val="0082409D"/>
    <w:rsid w:val="0082516E"/>
    <w:rsid w:val="00825642"/>
    <w:rsid w:val="00825DE3"/>
    <w:rsid w:val="00826284"/>
    <w:rsid w:val="008262FA"/>
    <w:rsid w:val="008262FB"/>
    <w:rsid w:val="00826BD5"/>
    <w:rsid w:val="00826CA9"/>
    <w:rsid w:val="00826FB1"/>
    <w:rsid w:val="00827947"/>
    <w:rsid w:val="00827C44"/>
    <w:rsid w:val="00830912"/>
    <w:rsid w:val="00831248"/>
    <w:rsid w:val="00833B3C"/>
    <w:rsid w:val="00834FCD"/>
    <w:rsid w:val="00835FA2"/>
    <w:rsid w:val="008368C3"/>
    <w:rsid w:val="00841E3F"/>
    <w:rsid w:val="008422B1"/>
    <w:rsid w:val="00842C07"/>
    <w:rsid w:val="00842E56"/>
    <w:rsid w:val="00843756"/>
    <w:rsid w:val="00843904"/>
    <w:rsid w:val="008452F8"/>
    <w:rsid w:val="00846119"/>
    <w:rsid w:val="008469E2"/>
    <w:rsid w:val="00846E60"/>
    <w:rsid w:val="00850170"/>
    <w:rsid w:val="00850F09"/>
    <w:rsid w:val="008521E8"/>
    <w:rsid w:val="0085275B"/>
    <w:rsid w:val="00852A73"/>
    <w:rsid w:val="00852B24"/>
    <w:rsid w:val="00853426"/>
    <w:rsid w:val="00855140"/>
    <w:rsid w:val="008552C8"/>
    <w:rsid w:val="008558F2"/>
    <w:rsid w:val="00855E80"/>
    <w:rsid w:val="00857235"/>
    <w:rsid w:val="008572E0"/>
    <w:rsid w:val="0086008B"/>
    <w:rsid w:val="00860369"/>
    <w:rsid w:val="00860AA5"/>
    <w:rsid w:val="00861C45"/>
    <w:rsid w:val="008627F3"/>
    <w:rsid w:val="008634C2"/>
    <w:rsid w:val="00863829"/>
    <w:rsid w:val="00863F55"/>
    <w:rsid w:val="008658AB"/>
    <w:rsid w:val="00866AE8"/>
    <w:rsid w:val="00867CE8"/>
    <w:rsid w:val="008711BF"/>
    <w:rsid w:val="00871D43"/>
    <w:rsid w:val="008727E8"/>
    <w:rsid w:val="0087338E"/>
    <w:rsid w:val="00874A55"/>
    <w:rsid w:val="00875989"/>
    <w:rsid w:val="00875C4D"/>
    <w:rsid w:val="00875D90"/>
    <w:rsid w:val="00875F44"/>
    <w:rsid w:val="00882061"/>
    <w:rsid w:val="00882ACD"/>
    <w:rsid w:val="00883009"/>
    <w:rsid w:val="008830A1"/>
    <w:rsid w:val="00883660"/>
    <w:rsid w:val="008837AD"/>
    <w:rsid w:val="00884186"/>
    <w:rsid w:val="00884F69"/>
    <w:rsid w:val="00885AAF"/>
    <w:rsid w:val="008867E3"/>
    <w:rsid w:val="0088694E"/>
    <w:rsid w:val="00886D8C"/>
    <w:rsid w:val="008876C0"/>
    <w:rsid w:val="00887CBF"/>
    <w:rsid w:val="00887DC5"/>
    <w:rsid w:val="00891074"/>
    <w:rsid w:val="00891837"/>
    <w:rsid w:val="008936D2"/>
    <w:rsid w:val="0089495F"/>
    <w:rsid w:val="00894D05"/>
    <w:rsid w:val="008971B2"/>
    <w:rsid w:val="00897BC1"/>
    <w:rsid w:val="00897D85"/>
    <w:rsid w:val="008A02EF"/>
    <w:rsid w:val="008A2142"/>
    <w:rsid w:val="008A2611"/>
    <w:rsid w:val="008A27F3"/>
    <w:rsid w:val="008A43DB"/>
    <w:rsid w:val="008A5BCC"/>
    <w:rsid w:val="008A5CD5"/>
    <w:rsid w:val="008A5ED8"/>
    <w:rsid w:val="008A65B3"/>
    <w:rsid w:val="008A65E1"/>
    <w:rsid w:val="008B29A9"/>
    <w:rsid w:val="008B32C7"/>
    <w:rsid w:val="008B33EB"/>
    <w:rsid w:val="008B4A20"/>
    <w:rsid w:val="008B4C23"/>
    <w:rsid w:val="008B52CC"/>
    <w:rsid w:val="008B663A"/>
    <w:rsid w:val="008B6CF4"/>
    <w:rsid w:val="008B6E71"/>
    <w:rsid w:val="008B76AD"/>
    <w:rsid w:val="008C0534"/>
    <w:rsid w:val="008C0974"/>
    <w:rsid w:val="008C0BC0"/>
    <w:rsid w:val="008C2032"/>
    <w:rsid w:val="008C2290"/>
    <w:rsid w:val="008C3703"/>
    <w:rsid w:val="008C63FA"/>
    <w:rsid w:val="008C6B1D"/>
    <w:rsid w:val="008C72B9"/>
    <w:rsid w:val="008D0331"/>
    <w:rsid w:val="008D122D"/>
    <w:rsid w:val="008D19DE"/>
    <w:rsid w:val="008D2C67"/>
    <w:rsid w:val="008D4C9D"/>
    <w:rsid w:val="008D544B"/>
    <w:rsid w:val="008D5FA9"/>
    <w:rsid w:val="008E0089"/>
    <w:rsid w:val="008E05D2"/>
    <w:rsid w:val="008E0773"/>
    <w:rsid w:val="008E3B8F"/>
    <w:rsid w:val="008E3E2B"/>
    <w:rsid w:val="008E416C"/>
    <w:rsid w:val="008E44DF"/>
    <w:rsid w:val="008E52FE"/>
    <w:rsid w:val="008E54A6"/>
    <w:rsid w:val="008E5F55"/>
    <w:rsid w:val="008E6479"/>
    <w:rsid w:val="008E65FD"/>
    <w:rsid w:val="008E66D1"/>
    <w:rsid w:val="008E68CC"/>
    <w:rsid w:val="008E6972"/>
    <w:rsid w:val="008E6CA0"/>
    <w:rsid w:val="008E760D"/>
    <w:rsid w:val="008F03E0"/>
    <w:rsid w:val="008F146E"/>
    <w:rsid w:val="008F149F"/>
    <w:rsid w:val="008F406C"/>
    <w:rsid w:val="008F4F64"/>
    <w:rsid w:val="008F5654"/>
    <w:rsid w:val="008F56D3"/>
    <w:rsid w:val="008F7C89"/>
    <w:rsid w:val="009005C6"/>
    <w:rsid w:val="00901B80"/>
    <w:rsid w:val="00904677"/>
    <w:rsid w:val="0090617F"/>
    <w:rsid w:val="00907238"/>
    <w:rsid w:val="009074E4"/>
    <w:rsid w:val="009100DB"/>
    <w:rsid w:val="0091085B"/>
    <w:rsid w:val="00910E51"/>
    <w:rsid w:val="00910F39"/>
    <w:rsid w:val="009116A1"/>
    <w:rsid w:val="00911A37"/>
    <w:rsid w:val="00912751"/>
    <w:rsid w:val="00916E7D"/>
    <w:rsid w:val="00922741"/>
    <w:rsid w:val="00923D58"/>
    <w:rsid w:val="00926052"/>
    <w:rsid w:val="009261E9"/>
    <w:rsid w:val="00926D73"/>
    <w:rsid w:val="00927DBB"/>
    <w:rsid w:val="00932886"/>
    <w:rsid w:val="00932E7C"/>
    <w:rsid w:val="00933037"/>
    <w:rsid w:val="009330E5"/>
    <w:rsid w:val="009360A5"/>
    <w:rsid w:val="0093618B"/>
    <w:rsid w:val="0093653F"/>
    <w:rsid w:val="009367BF"/>
    <w:rsid w:val="0093785A"/>
    <w:rsid w:val="009415B0"/>
    <w:rsid w:val="00941A13"/>
    <w:rsid w:val="009436E3"/>
    <w:rsid w:val="00943AD2"/>
    <w:rsid w:val="009441AC"/>
    <w:rsid w:val="00944CCD"/>
    <w:rsid w:val="009456A0"/>
    <w:rsid w:val="009458E0"/>
    <w:rsid w:val="00945A39"/>
    <w:rsid w:val="00946E32"/>
    <w:rsid w:val="0094794C"/>
    <w:rsid w:val="009500B6"/>
    <w:rsid w:val="009504E7"/>
    <w:rsid w:val="00950AB7"/>
    <w:rsid w:val="00952A38"/>
    <w:rsid w:val="00954221"/>
    <w:rsid w:val="00955023"/>
    <w:rsid w:val="00955356"/>
    <w:rsid w:val="00955768"/>
    <w:rsid w:val="0095580B"/>
    <w:rsid w:val="00956B9C"/>
    <w:rsid w:val="00956E24"/>
    <w:rsid w:val="00956ED1"/>
    <w:rsid w:val="0095711E"/>
    <w:rsid w:val="0096166A"/>
    <w:rsid w:val="009621C5"/>
    <w:rsid w:val="009622BB"/>
    <w:rsid w:val="009626BD"/>
    <w:rsid w:val="009628A2"/>
    <w:rsid w:val="00962A39"/>
    <w:rsid w:val="0096340A"/>
    <w:rsid w:val="00963768"/>
    <w:rsid w:val="00963EF9"/>
    <w:rsid w:val="009666BC"/>
    <w:rsid w:val="00966756"/>
    <w:rsid w:val="00966F5E"/>
    <w:rsid w:val="0097051A"/>
    <w:rsid w:val="0097176D"/>
    <w:rsid w:val="00971934"/>
    <w:rsid w:val="00971B21"/>
    <w:rsid w:val="009734C8"/>
    <w:rsid w:val="00973A45"/>
    <w:rsid w:val="0097516A"/>
    <w:rsid w:val="009769FF"/>
    <w:rsid w:val="009804CD"/>
    <w:rsid w:val="0098068D"/>
    <w:rsid w:val="009813AF"/>
    <w:rsid w:val="009816AA"/>
    <w:rsid w:val="00982137"/>
    <w:rsid w:val="00982F19"/>
    <w:rsid w:val="00983A8E"/>
    <w:rsid w:val="00985621"/>
    <w:rsid w:val="00986D09"/>
    <w:rsid w:val="00987BF4"/>
    <w:rsid w:val="00987C5E"/>
    <w:rsid w:val="00990694"/>
    <w:rsid w:val="00990ACF"/>
    <w:rsid w:val="00990E16"/>
    <w:rsid w:val="00991019"/>
    <w:rsid w:val="00991B8E"/>
    <w:rsid w:val="0099212E"/>
    <w:rsid w:val="0099372D"/>
    <w:rsid w:val="00993796"/>
    <w:rsid w:val="00993E42"/>
    <w:rsid w:val="009942BB"/>
    <w:rsid w:val="009951BD"/>
    <w:rsid w:val="00996DBD"/>
    <w:rsid w:val="009A0281"/>
    <w:rsid w:val="009A0C0A"/>
    <w:rsid w:val="009A0CAD"/>
    <w:rsid w:val="009A0D5E"/>
    <w:rsid w:val="009A14E6"/>
    <w:rsid w:val="009A1CEA"/>
    <w:rsid w:val="009A2561"/>
    <w:rsid w:val="009A2FC7"/>
    <w:rsid w:val="009A3105"/>
    <w:rsid w:val="009A449F"/>
    <w:rsid w:val="009A5546"/>
    <w:rsid w:val="009A5C78"/>
    <w:rsid w:val="009A67FA"/>
    <w:rsid w:val="009A6C50"/>
    <w:rsid w:val="009A792A"/>
    <w:rsid w:val="009B007A"/>
    <w:rsid w:val="009B05B1"/>
    <w:rsid w:val="009B083E"/>
    <w:rsid w:val="009B0847"/>
    <w:rsid w:val="009B0D05"/>
    <w:rsid w:val="009B1544"/>
    <w:rsid w:val="009B1602"/>
    <w:rsid w:val="009B2704"/>
    <w:rsid w:val="009B2D4B"/>
    <w:rsid w:val="009B3344"/>
    <w:rsid w:val="009B386B"/>
    <w:rsid w:val="009B668C"/>
    <w:rsid w:val="009C16AA"/>
    <w:rsid w:val="009C2997"/>
    <w:rsid w:val="009C30E8"/>
    <w:rsid w:val="009C4290"/>
    <w:rsid w:val="009C49E8"/>
    <w:rsid w:val="009C564C"/>
    <w:rsid w:val="009C5B2D"/>
    <w:rsid w:val="009C5E8A"/>
    <w:rsid w:val="009C5EBE"/>
    <w:rsid w:val="009C70A9"/>
    <w:rsid w:val="009D0225"/>
    <w:rsid w:val="009D0863"/>
    <w:rsid w:val="009D198A"/>
    <w:rsid w:val="009D1C6F"/>
    <w:rsid w:val="009D3273"/>
    <w:rsid w:val="009D36D8"/>
    <w:rsid w:val="009D38A0"/>
    <w:rsid w:val="009D4FFE"/>
    <w:rsid w:val="009D51D1"/>
    <w:rsid w:val="009D56C9"/>
    <w:rsid w:val="009D5A53"/>
    <w:rsid w:val="009D5EF4"/>
    <w:rsid w:val="009D6DB0"/>
    <w:rsid w:val="009D7999"/>
    <w:rsid w:val="009E03FD"/>
    <w:rsid w:val="009E0431"/>
    <w:rsid w:val="009E0EEC"/>
    <w:rsid w:val="009E1E20"/>
    <w:rsid w:val="009E321C"/>
    <w:rsid w:val="009E4C14"/>
    <w:rsid w:val="009E4D65"/>
    <w:rsid w:val="009E549A"/>
    <w:rsid w:val="009E683A"/>
    <w:rsid w:val="009E692C"/>
    <w:rsid w:val="009E6D26"/>
    <w:rsid w:val="009E6F98"/>
    <w:rsid w:val="009E7564"/>
    <w:rsid w:val="009E7959"/>
    <w:rsid w:val="009F27E1"/>
    <w:rsid w:val="009F3EA5"/>
    <w:rsid w:val="009F4E00"/>
    <w:rsid w:val="009F5286"/>
    <w:rsid w:val="009F5D0E"/>
    <w:rsid w:val="009F6415"/>
    <w:rsid w:val="009F6498"/>
    <w:rsid w:val="009F690B"/>
    <w:rsid w:val="009F7234"/>
    <w:rsid w:val="009F7E16"/>
    <w:rsid w:val="00A01041"/>
    <w:rsid w:val="00A0181E"/>
    <w:rsid w:val="00A01A26"/>
    <w:rsid w:val="00A0248E"/>
    <w:rsid w:val="00A03EB0"/>
    <w:rsid w:val="00A0407C"/>
    <w:rsid w:val="00A057A7"/>
    <w:rsid w:val="00A06418"/>
    <w:rsid w:val="00A079F0"/>
    <w:rsid w:val="00A07E01"/>
    <w:rsid w:val="00A104BE"/>
    <w:rsid w:val="00A1182C"/>
    <w:rsid w:val="00A11CEA"/>
    <w:rsid w:val="00A1389F"/>
    <w:rsid w:val="00A15939"/>
    <w:rsid w:val="00A15DF7"/>
    <w:rsid w:val="00A1706C"/>
    <w:rsid w:val="00A17494"/>
    <w:rsid w:val="00A2138B"/>
    <w:rsid w:val="00A21C1D"/>
    <w:rsid w:val="00A22691"/>
    <w:rsid w:val="00A229B1"/>
    <w:rsid w:val="00A238A7"/>
    <w:rsid w:val="00A24958"/>
    <w:rsid w:val="00A24F64"/>
    <w:rsid w:val="00A25734"/>
    <w:rsid w:val="00A26089"/>
    <w:rsid w:val="00A26F32"/>
    <w:rsid w:val="00A2743E"/>
    <w:rsid w:val="00A27DF6"/>
    <w:rsid w:val="00A31154"/>
    <w:rsid w:val="00A32235"/>
    <w:rsid w:val="00A32393"/>
    <w:rsid w:val="00A329ED"/>
    <w:rsid w:val="00A354DE"/>
    <w:rsid w:val="00A3613A"/>
    <w:rsid w:val="00A36DD9"/>
    <w:rsid w:val="00A425F2"/>
    <w:rsid w:val="00A42DB1"/>
    <w:rsid w:val="00A450BD"/>
    <w:rsid w:val="00A45A89"/>
    <w:rsid w:val="00A45E16"/>
    <w:rsid w:val="00A463D0"/>
    <w:rsid w:val="00A46C01"/>
    <w:rsid w:val="00A50885"/>
    <w:rsid w:val="00A5140C"/>
    <w:rsid w:val="00A537D7"/>
    <w:rsid w:val="00A54C12"/>
    <w:rsid w:val="00A54EC9"/>
    <w:rsid w:val="00A55253"/>
    <w:rsid w:val="00A556F2"/>
    <w:rsid w:val="00A575AE"/>
    <w:rsid w:val="00A57C3D"/>
    <w:rsid w:val="00A60C44"/>
    <w:rsid w:val="00A62729"/>
    <w:rsid w:val="00A6273C"/>
    <w:rsid w:val="00A62F31"/>
    <w:rsid w:val="00A634E7"/>
    <w:rsid w:val="00A63B7F"/>
    <w:rsid w:val="00A63B80"/>
    <w:rsid w:val="00A63CA1"/>
    <w:rsid w:val="00A63EB5"/>
    <w:rsid w:val="00A641BB"/>
    <w:rsid w:val="00A658B6"/>
    <w:rsid w:val="00A662B3"/>
    <w:rsid w:val="00A66F73"/>
    <w:rsid w:val="00A70278"/>
    <w:rsid w:val="00A70A6F"/>
    <w:rsid w:val="00A71905"/>
    <w:rsid w:val="00A72902"/>
    <w:rsid w:val="00A72996"/>
    <w:rsid w:val="00A732CF"/>
    <w:rsid w:val="00A7367A"/>
    <w:rsid w:val="00A74B24"/>
    <w:rsid w:val="00A74BBE"/>
    <w:rsid w:val="00A7654F"/>
    <w:rsid w:val="00A76A85"/>
    <w:rsid w:val="00A77CEC"/>
    <w:rsid w:val="00A80F88"/>
    <w:rsid w:val="00A861B9"/>
    <w:rsid w:val="00A8706C"/>
    <w:rsid w:val="00A87740"/>
    <w:rsid w:val="00A87C10"/>
    <w:rsid w:val="00A87EC3"/>
    <w:rsid w:val="00A9106F"/>
    <w:rsid w:val="00A9119F"/>
    <w:rsid w:val="00A91C00"/>
    <w:rsid w:val="00A92B21"/>
    <w:rsid w:val="00A92C7A"/>
    <w:rsid w:val="00A92E17"/>
    <w:rsid w:val="00A94CCE"/>
    <w:rsid w:val="00A958AF"/>
    <w:rsid w:val="00A95A79"/>
    <w:rsid w:val="00A97053"/>
    <w:rsid w:val="00AA041B"/>
    <w:rsid w:val="00AA13EB"/>
    <w:rsid w:val="00AA1A19"/>
    <w:rsid w:val="00AA26C8"/>
    <w:rsid w:val="00AA275F"/>
    <w:rsid w:val="00AA3777"/>
    <w:rsid w:val="00AA3874"/>
    <w:rsid w:val="00AA3EB3"/>
    <w:rsid w:val="00AA4832"/>
    <w:rsid w:val="00AA552D"/>
    <w:rsid w:val="00AA685B"/>
    <w:rsid w:val="00AA7081"/>
    <w:rsid w:val="00AA7505"/>
    <w:rsid w:val="00AB0CC3"/>
    <w:rsid w:val="00AB1B6A"/>
    <w:rsid w:val="00AB1FE3"/>
    <w:rsid w:val="00AB3A10"/>
    <w:rsid w:val="00AB3A37"/>
    <w:rsid w:val="00AB4716"/>
    <w:rsid w:val="00AB5274"/>
    <w:rsid w:val="00AB53F2"/>
    <w:rsid w:val="00AB6DEB"/>
    <w:rsid w:val="00AB7E39"/>
    <w:rsid w:val="00AC14FB"/>
    <w:rsid w:val="00AC37F9"/>
    <w:rsid w:val="00AC45E5"/>
    <w:rsid w:val="00AC4887"/>
    <w:rsid w:val="00AC4A56"/>
    <w:rsid w:val="00AC4C70"/>
    <w:rsid w:val="00AC504C"/>
    <w:rsid w:val="00AC5714"/>
    <w:rsid w:val="00AC6326"/>
    <w:rsid w:val="00AC678D"/>
    <w:rsid w:val="00AC6EE3"/>
    <w:rsid w:val="00AC70AE"/>
    <w:rsid w:val="00AC738C"/>
    <w:rsid w:val="00AD0CC4"/>
    <w:rsid w:val="00AD18AB"/>
    <w:rsid w:val="00AD3278"/>
    <w:rsid w:val="00AD351E"/>
    <w:rsid w:val="00AD53C2"/>
    <w:rsid w:val="00AD548C"/>
    <w:rsid w:val="00AE011B"/>
    <w:rsid w:val="00AE0C56"/>
    <w:rsid w:val="00AE2123"/>
    <w:rsid w:val="00AE32BB"/>
    <w:rsid w:val="00AE35AF"/>
    <w:rsid w:val="00AE36F0"/>
    <w:rsid w:val="00AE370E"/>
    <w:rsid w:val="00AE41EC"/>
    <w:rsid w:val="00AE4421"/>
    <w:rsid w:val="00AE65BB"/>
    <w:rsid w:val="00AE67BE"/>
    <w:rsid w:val="00AE6A88"/>
    <w:rsid w:val="00AE6BC6"/>
    <w:rsid w:val="00AE7115"/>
    <w:rsid w:val="00AE73F4"/>
    <w:rsid w:val="00AE7AA3"/>
    <w:rsid w:val="00AF0A5B"/>
    <w:rsid w:val="00AF0D5D"/>
    <w:rsid w:val="00AF11CD"/>
    <w:rsid w:val="00AF21B9"/>
    <w:rsid w:val="00AF2ABF"/>
    <w:rsid w:val="00AF3616"/>
    <w:rsid w:val="00AF574C"/>
    <w:rsid w:val="00AF57A6"/>
    <w:rsid w:val="00AF6558"/>
    <w:rsid w:val="00B00195"/>
    <w:rsid w:val="00B00564"/>
    <w:rsid w:val="00B0072F"/>
    <w:rsid w:val="00B00E7C"/>
    <w:rsid w:val="00B01D92"/>
    <w:rsid w:val="00B01EFF"/>
    <w:rsid w:val="00B02167"/>
    <w:rsid w:val="00B02EEE"/>
    <w:rsid w:val="00B03006"/>
    <w:rsid w:val="00B0558B"/>
    <w:rsid w:val="00B05A02"/>
    <w:rsid w:val="00B063C7"/>
    <w:rsid w:val="00B07CC4"/>
    <w:rsid w:val="00B1143F"/>
    <w:rsid w:val="00B11C4C"/>
    <w:rsid w:val="00B12D5A"/>
    <w:rsid w:val="00B12F6F"/>
    <w:rsid w:val="00B12FA1"/>
    <w:rsid w:val="00B14564"/>
    <w:rsid w:val="00B14C3F"/>
    <w:rsid w:val="00B154AE"/>
    <w:rsid w:val="00B162B7"/>
    <w:rsid w:val="00B162CF"/>
    <w:rsid w:val="00B16339"/>
    <w:rsid w:val="00B163C8"/>
    <w:rsid w:val="00B203D4"/>
    <w:rsid w:val="00B20854"/>
    <w:rsid w:val="00B20D71"/>
    <w:rsid w:val="00B2169D"/>
    <w:rsid w:val="00B22B0A"/>
    <w:rsid w:val="00B23417"/>
    <w:rsid w:val="00B2396F"/>
    <w:rsid w:val="00B24288"/>
    <w:rsid w:val="00B248EF"/>
    <w:rsid w:val="00B24B7F"/>
    <w:rsid w:val="00B24F43"/>
    <w:rsid w:val="00B24F5F"/>
    <w:rsid w:val="00B26AF4"/>
    <w:rsid w:val="00B2728E"/>
    <w:rsid w:val="00B27686"/>
    <w:rsid w:val="00B304EA"/>
    <w:rsid w:val="00B31062"/>
    <w:rsid w:val="00B31E6A"/>
    <w:rsid w:val="00B322C0"/>
    <w:rsid w:val="00B33DB9"/>
    <w:rsid w:val="00B34C17"/>
    <w:rsid w:val="00B34EEC"/>
    <w:rsid w:val="00B35538"/>
    <w:rsid w:val="00B35E98"/>
    <w:rsid w:val="00B36573"/>
    <w:rsid w:val="00B3675C"/>
    <w:rsid w:val="00B42AC2"/>
    <w:rsid w:val="00B4428E"/>
    <w:rsid w:val="00B449BC"/>
    <w:rsid w:val="00B47607"/>
    <w:rsid w:val="00B47E77"/>
    <w:rsid w:val="00B50729"/>
    <w:rsid w:val="00B51A48"/>
    <w:rsid w:val="00B52515"/>
    <w:rsid w:val="00B53C30"/>
    <w:rsid w:val="00B54C4D"/>
    <w:rsid w:val="00B550ED"/>
    <w:rsid w:val="00B55952"/>
    <w:rsid w:val="00B55AF5"/>
    <w:rsid w:val="00B56882"/>
    <w:rsid w:val="00B56CE8"/>
    <w:rsid w:val="00B57152"/>
    <w:rsid w:val="00B57AAA"/>
    <w:rsid w:val="00B61229"/>
    <w:rsid w:val="00B62406"/>
    <w:rsid w:val="00B63557"/>
    <w:rsid w:val="00B63C4C"/>
    <w:rsid w:val="00B6495C"/>
    <w:rsid w:val="00B64986"/>
    <w:rsid w:val="00B6508B"/>
    <w:rsid w:val="00B6571D"/>
    <w:rsid w:val="00B65B16"/>
    <w:rsid w:val="00B6743D"/>
    <w:rsid w:val="00B7030E"/>
    <w:rsid w:val="00B70779"/>
    <w:rsid w:val="00B707DE"/>
    <w:rsid w:val="00B731BF"/>
    <w:rsid w:val="00B73CE8"/>
    <w:rsid w:val="00B74A79"/>
    <w:rsid w:val="00B75987"/>
    <w:rsid w:val="00B766E8"/>
    <w:rsid w:val="00B816B1"/>
    <w:rsid w:val="00B82873"/>
    <w:rsid w:val="00B82E4C"/>
    <w:rsid w:val="00B83443"/>
    <w:rsid w:val="00B83CBD"/>
    <w:rsid w:val="00B83EEF"/>
    <w:rsid w:val="00B8549F"/>
    <w:rsid w:val="00B86D0C"/>
    <w:rsid w:val="00B90754"/>
    <w:rsid w:val="00B90EE1"/>
    <w:rsid w:val="00B9238C"/>
    <w:rsid w:val="00B9298A"/>
    <w:rsid w:val="00B939C0"/>
    <w:rsid w:val="00B93EA0"/>
    <w:rsid w:val="00B94095"/>
    <w:rsid w:val="00B95BB0"/>
    <w:rsid w:val="00B96CFF"/>
    <w:rsid w:val="00B97BD4"/>
    <w:rsid w:val="00B97C9A"/>
    <w:rsid w:val="00B97EA7"/>
    <w:rsid w:val="00BA0620"/>
    <w:rsid w:val="00BA1B35"/>
    <w:rsid w:val="00BA2313"/>
    <w:rsid w:val="00BA26BD"/>
    <w:rsid w:val="00BA359D"/>
    <w:rsid w:val="00BA3B7B"/>
    <w:rsid w:val="00BA4E52"/>
    <w:rsid w:val="00BA4F3B"/>
    <w:rsid w:val="00BA4F8B"/>
    <w:rsid w:val="00BA54C0"/>
    <w:rsid w:val="00BA637C"/>
    <w:rsid w:val="00BA7C84"/>
    <w:rsid w:val="00BB04A7"/>
    <w:rsid w:val="00BB0B13"/>
    <w:rsid w:val="00BB0FFA"/>
    <w:rsid w:val="00BB2BAA"/>
    <w:rsid w:val="00BB2DBA"/>
    <w:rsid w:val="00BB2E2C"/>
    <w:rsid w:val="00BB3533"/>
    <w:rsid w:val="00BB3E7C"/>
    <w:rsid w:val="00BB4821"/>
    <w:rsid w:val="00BC080C"/>
    <w:rsid w:val="00BC130C"/>
    <w:rsid w:val="00BC2D24"/>
    <w:rsid w:val="00BC338C"/>
    <w:rsid w:val="00BC4624"/>
    <w:rsid w:val="00BC4E9B"/>
    <w:rsid w:val="00BC5C97"/>
    <w:rsid w:val="00BC693A"/>
    <w:rsid w:val="00BD03DB"/>
    <w:rsid w:val="00BD2941"/>
    <w:rsid w:val="00BD2CE3"/>
    <w:rsid w:val="00BD4C0A"/>
    <w:rsid w:val="00BD50CD"/>
    <w:rsid w:val="00BD50F0"/>
    <w:rsid w:val="00BD5FD4"/>
    <w:rsid w:val="00BD7C9F"/>
    <w:rsid w:val="00BE0175"/>
    <w:rsid w:val="00BE0C99"/>
    <w:rsid w:val="00BE1283"/>
    <w:rsid w:val="00BE135A"/>
    <w:rsid w:val="00BE1939"/>
    <w:rsid w:val="00BE2DCC"/>
    <w:rsid w:val="00BE3E00"/>
    <w:rsid w:val="00BE420B"/>
    <w:rsid w:val="00BE5AD1"/>
    <w:rsid w:val="00BE5F5A"/>
    <w:rsid w:val="00BE6836"/>
    <w:rsid w:val="00BE7757"/>
    <w:rsid w:val="00BE7942"/>
    <w:rsid w:val="00BF047C"/>
    <w:rsid w:val="00BF0AFC"/>
    <w:rsid w:val="00BF0B93"/>
    <w:rsid w:val="00BF1731"/>
    <w:rsid w:val="00BF181D"/>
    <w:rsid w:val="00BF22EA"/>
    <w:rsid w:val="00BF2C02"/>
    <w:rsid w:val="00BF6089"/>
    <w:rsid w:val="00BF60B4"/>
    <w:rsid w:val="00BF62F3"/>
    <w:rsid w:val="00BF6961"/>
    <w:rsid w:val="00BF76FE"/>
    <w:rsid w:val="00BF7792"/>
    <w:rsid w:val="00C00049"/>
    <w:rsid w:val="00C0289C"/>
    <w:rsid w:val="00C0403A"/>
    <w:rsid w:val="00C04244"/>
    <w:rsid w:val="00C04317"/>
    <w:rsid w:val="00C05200"/>
    <w:rsid w:val="00C05262"/>
    <w:rsid w:val="00C05591"/>
    <w:rsid w:val="00C05A7E"/>
    <w:rsid w:val="00C05A96"/>
    <w:rsid w:val="00C05ABE"/>
    <w:rsid w:val="00C05AF8"/>
    <w:rsid w:val="00C06508"/>
    <w:rsid w:val="00C06B65"/>
    <w:rsid w:val="00C0746E"/>
    <w:rsid w:val="00C07BCA"/>
    <w:rsid w:val="00C10421"/>
    <w:rsid w:val="00C1162C"/>
    <w:rsid w:val="00C12368"/>
    <w:rsid w:val="00C12393"/>
    <w:rsid w:val="00C1285F"/>
    <w:rsid w:val="00C13176"/>
    <w:rsid w:val="00C13369"/>
    <w:rsid w:val="00C13BC2"/>
    <w:rsid w:val="00C14EC8"/>
    <w:rsid w:val="00C1535E"/>
    <w:rsid w:val="00C15B3D"/>
    <w:rsid w:val="00C15D3A"/>
    <w:rsid w:val="00C16238"/>
    <w:rsid w:val="00C17443"/>
    <w:rsid w:val="00C174A4"/>
    <w:rsid w:val="00C17FAA"/>
    <w:rsid w:val="00C207FD"/>
    <w:rsid w:val="00C22B90"/>
    <w:rsid w:val="00C22E9F"/>
    <w:rsid w:val="00C244DD"/>
    <w:rsid w:val="00C24D17"/>
    <w:rsid w:val="00C277FC"/>
    <w:rsid w:val="00C2780E"/>
    <w:rsid w:val="00C3034F"/>
    <w:rsid w:val="00C30C6D"/>
    <w:rsid w:val="00C316E2"/>
    <w:rsid w:val="00C31D2D"/>
    <w:rsid w:val="00C323E7"/>
    <w:rsid w:val="00C3244D"/>
    <w:rsid w:val="00C33467"/>
    <w:rsid w:val="00C34440"/>
    <w:rsid w:val="00C35AFD"/>
    <w:rsid w:val="00C35C38"/>
    <w:rsid w:val="00C363A4"/>
    <w:rsid w:val="00C3715A"/>
    <w:rsid w:val="00C40826"/>
    <w:rsid w:val="00C40C0F"/>
    <w:rsid w:val="00C41B94"/>
    <w:rsid w:val="00C429B0"/>
    <w:rsid w:val="00C43B85"/>
    <w:rsid w:val="00C43ED1"/>
    <w:rsid w:val="00C44B6B"/>
    <w:rsid w:val="00C4504C"/>
    <w:rsid w:val="00C465AC"/>
    <w:rsid w:val="00C47698"/>
    <w:rsid w:val="00C47E0D"/>
    <w:rsid w:val="00C50227"/>
    <w:rsid w:val="00C50300"/>
    <w:rsid w:val="00C504D3"/>
    <w:rsid w:val="00C51917"/>
    <w:rsid w:val="00C52020"/>
    <w:rsid w:val="00C5261B"/>
    <w:rsid w:val="00C53056"/>
    <w:rsid w:val="00C53D35"/>
    <w:rsid w:val="00C5442E"/>
    <w:rsid w:val="00C55415"/>
    <w:rsid w:val="00C557D6"/>
    <w:rsid w:val="00C61C8B"/>
    <w:rsid w:val="00C61EBE"/>
    <w:rsid w:val="00C61F86"/>
    <w:rsid w:val="00C62229"/>
    <w:rsid w:val="00C640A5"/>
    <w:rsid w:val="00C6491C"/>
    <w:rsid w:val="00C652F0"/>
    <w:rsid w:val="00C65967"/>
    <w:rsid w:val="00C65BB4"/>
    <w:rsid w:val="00C6766B"/>
    <w:rsid w:val="00C67DC3"/>
    <w:rsid w:val="00C67DF6"/>
    <w:rsid w:val="00C71777"/>
    <w:rsid w:val="00C71C0A"/>
    <w:rsid w:val="00C72059"/>
    <w:rsid w:val="00C726B2"/>
    <w:rsid w:val="00C729F0"/>
    <w:rsid w:val="00C7344F"/>
    <w:rsid w:val="00C74D2B"/>
    <w:rsid w:val="00C74EFC"/>
    <w:rsid w:val="00C754EB"/>
    <w:rsid w:val="00C756DF"/>
    <w:rsid w:val="00C75DAB"/>
    <w:rsid w:val="00C7606B"/>
    <w:rsid w:val="00C77832"/>
    <w:rsid w:val="00C77F3F"/>
    <w:rsid w:val="00C80038"/>
    <w:rsid w:val="00C80C2E"/>
    <w:rsid w:val="00C81101"/>
    <w:rsid w:val="00C8117C"/>
    <w:rsid w:val="00C817A5"/>
    <w:rsid w:val="00C81861"/>
    <w:rsid w:val="00C82024"/>
    <w:rsid w:val="00C82931"/>
    <w:rsid w:val="00C836E4"/>
    <w:rsid w:val="00C8394F"/>
    <w:rsid w:val="00C84365"/>
    <w:rsid w:val="00C843EC"/>
    <w:rsid w:val="00C84490"/>
    <w:rsid w:val="00C84B24"/>
    <w:rsid w:val="00C84D3E"/>
    <w:rsid w:val="00C85906"/>
    <w:rsid w:val="00C879BC"/>
    <w:rsid w:val="00C90C02"/>
    <w:rsid w:val="00C91329"/>
    <w:rsid w:val="00C91D5C"/>
    <w:rsid w:val="00C92221"/>
    <w:rsid w:val="00C92F32"/>
    <w:rsid w:val="00C92F48"/>
    <w:rsid w:val="00C94134"/>
    <w:rsid w:val="00C94B55"/>
    <w:rsid w:val="00C97128"/>
    <w:rsid w:val="00C973AD"/>
    <w:rsid w:val="00CA0B70"/>
    <w:rsid w:val="00CA17FE"/>
    <w:rsid w:val="00CA26D9"/>
    <w:rsid w:val="00CA2A6C"/>
    <w:rsid w:val="00CA2FAC"/>
    <w:rsid w:val="00CA4860"/>
    <w:rsid w:val="00CA4BAF"/>
    <w:rsid w:val="00CA515D"/>
    <w:rsid w:val="00CA71E5"/>
    <w:rsid w:val="00CA7A19"/>
    <w:rsid w:val="00CA7B26"/>
    <w:rsid w:val="00CB0443"/>
    <w:rsid w:val="00CB0662"/>
    <w:rsid w:val="00CB128B"/>
    <w:rsid w:val="00CB18D4"/>
    <w:rsid w:val="00CB1C87"/>
    <w:rsid w:val="00CB1C96"/>
    <w:rsid w:val="00CB37A9"/>
    <w:rsid w:val="00CB648C"/>
    <w:rsid w:val="00CB6A73"/>
    <w:rsid w:val="00CB7A7C"/>
    <w:rsid w:val="00CB7BF6"/>
    <w:rsid w:val="00CC0BCE"/>
    <w:rsid w:val="00CC247D"/>
    <w:rsid w:val="00CC2B1C"/>
    <w:rsid w:val="00CC31EB"/>
    <w:rsid w:val="00CC37B6"/>
    <w:rsid w:val="00CC3A4C"/>
    <w:rsid w:val="00CC3F96"/>
    <w:rsid w:val="00CC4835"/>
    <w:rsid w:val="00CC6065"/>
    <w:rsid w:val="00CC7D3B"/>
    <w:rsid w:val="00CD00C0"/>
    <w:rsid w:val="00CD1905"/>
    <w:rsid w:val="00CD1A06"/>
    <w:rsid w:val="00CD2F40"/>
    <w:rsid w:val="00CD3982"/>
    <w:rsid w:val="00CD500E"/>
    <w:rsid w:val="00CD5871"/>
    <w:rsid w:val="00CD5B25"/>
    <w:rsid w:val="00CD77C7"/>
    <w:rsid w:val="00CD7E57"/>
    <w:rsid w:val="00CE0C5D"/>
    <w:rsid w:val="00CE1676"/>
    <w:rsid w:val="00CE170C"/>
    <w:rsid w:val="00CE2B8F"/>
    <w:rsid w:val="00CE2D8A"/>
    <w:rsid w:val="00CE3782"/>
    <w:rsid w:val="00CE40FE"/>
    <w:rsid w:val="00CE4235"/>
    <w:rsid w:val="00CE4B01"/>
    <w:rsid w:val="00CE4CC1"/>
    <w:rsid w:val="00CE6DF9"/>
    <w:rsid w:val="00CE72BE"/>
    <w:rsid w:val="00CE7756"/>
    <w:rsid w:val="00CF02E4"/>
    <w:rsid w:val="00CF2213"/>
    <w:rsid w:val="00CF272A"/>
    <w:rsid w:val="00CF2BB5"/>
    <w:rsid w:val="00CF3B88"/>
    <w:rsid w:val="00CF3D43"/>
    <w:rsid w:val="00CF50F3"/>
    <w:rsid w:val="00CF5219"/>
    <w:rsid w:val="00CF5727"/>
    <w:rsid w:val="00CF7011"/>
    <w:rsid w:val="00CF7791"/>
    <w:rsid w:val="00D02196"/>
    <w:rsid w:val="00D02EBF"/>
    <w:rsid w:val="00D03C77"/>
    <w:rsid w:val="00D043B6"/>
    <w:rsid w:val="00D05677"/>
    <w:rsid w:val="00D07275"/>
    <w:rsid w:val="00D10F57"/>
    <w:rsid w:val="00D10FA2"/>
    <w:rsid w:val="00D12059"/>
    <w:rsid w:val="00D1223A"/>
    <w:rsid w:val="00D12CF1"/>
    <w:rsid w:val="00D13959"/>
    <w:rsid w:val="00D13A29"/>
    <w:rsid w:val="00D14A4D"/>
    <w:rsid w:val="00D15600"/>
    <w:rsid w:val="00D15C55"/>
    <w:rsid w:val="00D21375"/>
    <w:rsid w:val="00D2239B"/>
    <w:rsid w:val="00D224E0"/>
    <w:rsid w:val="00D23A71"/>
    <w:rsid w:val="00D24271"/>
    <w:rsid w:val="00D2452D"/>
    <w:rsid w:val="00D24A4F"/>
    <w:rsid w:val="00D2501E"/>
    <w:rsid w:val="00D267BE"/>
    <w:rsid w:val="00D267CE"/>
    <w:rsid w:val="00D275CF"/>
    <w:rsid w:val="00D304E6"/>
    <w:rsid w:val="00D306C3"/>
    <w:rsid w:val="00D3096C"/>
    <w:rsid w:val="00D30FBD"/>
    <w:rsid w:val="00D31730"/>
    <w:rsid w:val="00D32040"/>
    <w:rsid w:val="00D320D4"/>
    <w:rsid w:val="00D34A7B"/>
    <w:rsid w:val="00D3514B"/>
    <w:rsid w:val="00D36E0D"/>
    <w:rsid w:val="00D373B5"/>
    <w:rsid w:val="00D37A7F"/>
    <w:rsid w:val="00D37AC3"/>
    <w:rsid w:val="00D403C2"/>
    <w:rsid w:val="00D42059"/>
    <w:rsid w:val="00D42542"/>
    <w:rsid w:val="00D426DD"/>
    <w:rsid w:val="00D42E86"/>
    <w:rsid w:val="00D43D0F"/>
    <w:rsid w:val="00D442A4"/>
    <w:rsid w:val="00D45726"/>
    <w:rsid w:val="00D46037"/>
    <w:rsid w:val="00D4624B"/>
    <w:rsid w:val="00D4652C"/>
    <w:rsid w:val="00D46732"/>
    <w:rsid w:val="00D4750E"/>
    <w:rsid w:val="00D478A6"/>
    <w:rsid w:val="00D5110D"/>
    <w:rsid w:val="00D51477"/>
    <w:rsid w:val="00D52301"/>
    <w:rsid w:val="00D53588"/>
    <w:rsid w:val="00D53819"/>
    <w:rsid w:val="00D5425F"/>
    <w:rsid w:val="00D545F9"/>
    <w:rsid w:val="00D54945"/>
    <w:rsid w:val="00D54EFA"/>
    <w:rsid w:val="00D55518"/>
    <w:rsid w:val="00D5597D"/>
    <w:rsid w:val="00D55A9D"/>
    <w:rsid w:val="00D575F0"/>
    <w:rsid w:val="00D57B58"/>
    <w:rsid w:val="00D57C78"/>
    <w:rsid w:val="00D57F7E"/>
    <w:rsid w:val="00D606E4"/>
    <w:rsid w:val="00D639AA"/>
    <w:rsid w:val="00D64604"/>
    <w:rsid w:val="00D64A6E"/>
    <w:rsid w:val="00D64C10"/>
    <w:rsid w:val="00D64EC4"/>
    <w:rsid w:val="00D65670"/>
    <w:rsid w:val="00D7014C"/>
    <w:rsid w:val="00D71083"/>
    <w:rsid w:val="00D71974"/>
    <w:rsid w:val="00D73164"/>
    <w:rsid w:val="00D735B1"/>
    <w:rsid w:val="00D74000"/>
    <w:rsid w:val="00D7437B"/>
    <w:rsid w:val="00D74A3D"/>
    <w:rsid w:val="00D75349"/>
    <w:rsid w:val="00D81420"/>
    <w:rsid w:val="00D8200B"/>
    <w:rsid w:val="00D82BDC"/>
    <w:rsid w:val="00D85026"/>
    <w:rsid w:val="00D851E5"/>
    <w:rsid w:val="00D8601D"/>
    <w:rsid w:val="00D90068"/>
    <w:rsid w:val="00D91500"/>
    <w:rsid w:val="00D917E3"/>
    <w:rsid w:val="00D92337"/>
    <w:rsid w:val="00D92AE0"/>
    <w:rsid w:val="00D9318E"/>
    <w:rsid w:val="00D93262"/>
    <w:rsid w:val="00D951D7"/>
    <w:rsid w:val="00D952BF"/>
    <w:rsid w:val="00D95A4B"/>
    <w:rsid w:val="00D95FB5"/>
    <w:rsid w:val="00D9640E"/>
    <w:rsid w:val="00D96B03"/>
    <w:rsid w:val="00DA007A"/>
    <w:rsid w:val="00DA0968"/>
    <w:rsid w:val="00DA1267"/>
    <w:rsid w:val="00DA1CF9"/>
    <w:rsid w:val="00DA1E04"/>
    <w:rsid w:val="00DA2786"/>
    <w:rsid w:val="00DA5355"/>
    <w:rsid w:val="00DA58B6"/>
    <w:rsid w:val="00DA5E6B"/>
    <w:rsid w:val="00DA6B70"/>
    <w:rsid w:val="00DA7C8B"/>
    <w:rsid w:val="00DB1B7D"/>
    <w:rsid w:val="00DB1C27"/>
    <w:rsid w:val="00DB3C9D"/>
    <w:rsid w:val="00DB46A1"/>
    <w:rsid w:val="00DB4E36"/>
    <w:rsid w:val="00DB5972"/>
    <w:rsid w:val="00DB6675"/>
    <w:rsid w:val="00DB6A7A"/>
    <w:rsid w:val="00DB74DD"/>
    <w:rsid w:val="00DB7BF1"/>
    <w:rsid w:val="00DB7E6A"/>
    <w:rsid w:val="00DC2CED"/>
    <w:rsid w:val="00DC396A"/>
    <w:rsid w:val="00DC3EA3"/>
    <w:rsid w:val="00DC3ED5"/>
    <w:rsid w:val="00DC5677"/>
    <w:rsid w:val="00DC5885"/>
    <w:rsid w:val="00DC62FD"/>
    <w:rsid w:val="00DC63F9"/>
    <w:rsid w:val="00DC73B6"/>
    <w:rsid w:val="00DC7499"/>
    <w:rsid w:val="00DC7C30"/>
    <w:rsid w:val="00DD152E"/>
    <w:rsid w:val="00DD18A4"/>
    <w:rsid w:val="00DD1C72"/>
    <w:rsid w:val="00DD2061"/>
    <w:rsid w:val="00DD26F3"/>
    <w:rsid w:val="00DD3377"/>
    <w:rsid w:val="00DD67BA"/>
    <w:rsid w:val="00DD7203"/>
    <w:rsid w:val="00DD7B27"/>
    <w:rsid w:val="00DE1A0B"/>
    <w:rsid w:val="00DE2637"/>
    <w:rsid w:val="00DE3410"/>
    <w:rsid w:val="00DE3C1B"/>
    <w:rsid w:val="00DE42D7"/>
    <w:rsid w:val="00DE4645"/>
    <w:rsid w:val="00DE51BA"/>
    <w:rsid w:val="00DE5662"/>
    <w:rsid w:val="00DE5FDB"/>
    <w:rsid w:val="00DE65AA"/>
    <w:rsid w:val="00DE7427"/>
    <w:rsid w:val="00DF123C"/>
    <w:rsid w:val="00DF1850"/>
    <w:rsid w:val="00DF245E"/>
    <w:rsid w:val="00DF2880"/>
    <w:rsid w:val="00DF3EBC"/>
    <w:rsid w:val="00DF41CB"/>
    <w:rsid w:val="00DF4AA9"/>
    <w:rsid w:val="00DF53D6"/>
    <w:rsid w:val="00DF7049"/>
    <w:rsid w:val="00DF76A6"/>
    <w:rsid w:val="00DF7F31"/>
    <w:rsid w:val="00E00DEA"/>
    <w:rsid w:val="00E01409"/>
    <w:rsid w:val="00E01463"/>
    <w:rsid w:val="00E02A37"/>
    <w:rsid w:val="00E035FC"/>
    <w:rsid w:val="00E03612"/>
    <w:rsid w:val="00E0369C"/>
    <w:rsid w:val="00E04BDE"/>
    <w:rsid w:val="00E05A48"/>
    <w:rsid w:val="00E10306"/>
    <w:rsid w:val="00E108CA"/>
    <w:rsid w:val="00E1148B"/>
    <w:rsid w:val="00E1188F"/>
    <w:rsid w:val="00E14099"/>
    <w:rsid w:val="00E14D94"/>
    <w:rsid w:val="00E15B73"/>
    <w:rsid w:val="00E16582"/>
    <w:rsid w:val="00E16A2A"/>
    <w:rsid w:val="00E16A42"/>
    <w:rsid w:val="00E172FD"/>
    <w:rsid w:val="00E2083F"/>
    <w:rsid w:val="00E20CC5"/>
    <w:rsid w:val="00E215CF"/>
    <w:rsid w:val="00E228A7"/>
    <w:rsid w:val="00E23576"/>
    <w:rsid w:val="00E23EA4"/>
    <w:rsid w:val="00E248AE"/>
    <w:rsid w:val="00E24AE9"/>
    <w:rsid w:val="00E24EF0"/>
    <w:rsid w:val="00E2537D"/>
    <w:rsid w:val="00E25F4C"/>
    <w:rsid w:val="00E26D26"/>
    <w:rsid w:val="00E26FB6"/>
    <w:rsid w:val="00E27049"/>
    <w:rsid w:val="00E3320C"/>
    <w:rsid w:val="00E34BF1"/>
    <w:rsid w:val="00E35557"/>
    <w:rsid w:val="00E35978"/>
    <w:rsid w:val="00E35B9F"/>
    <w:rsid w:val="00E3670C"/>
    <w:rsid w:val="00E36AE7"/>
    <w:rsid w:val="00E37F8A"/>
    <w:rsid w:val="00E401D2"/>
    <w:rsid w:val="00E408FE"/>
    <w:rsid w:val="00E409AB"/>
    <w:rsid w:val="00E41127"/>
    <w:rsid w:val="00E418E3"/>
    <w:rsid w:val="00E41A32"/>
    <w:rsid w:val="00E424B0"/>
    <w:rsid w:val="00E4293E"/>
    <w:rsid w:val="00E43CA9"/>
    <w:rsid w:val="00E4735C"/>
    <w:rsid w:val="00E502F6"/>
    <w:rsid w:val="00E50B3D"/>
    <w:rsid w:val="00E5100E"/>
    <w:rsid w:val="00E5103B"/>
    <w:rsid w:val="00E51CF1"/>
    <w:rsid w:val="00E53630"/>
    <w:rsid w:val="00E53EAA"/>
    <w:rsid w:val="00E53FD1"/>
    <w:rsid w:val="00E55641"/>
    <w:rsid w:val="00E55C77"/>
    <w:rsid w:val="00E56365"/>
    <w:rsid w:val="00E57E02"/>
    <w:rsid w:val="00E60460"/>
    <w:rsid w:val="00E604A0"/>
    <w:rsid w:val="00E60FD8"/>
    <w:rsid w:val="00E634C5"/>
    <w:rsid w:val="00E64194"/>
    <w:rsid w:val="00E6426F"/>
    <w:rsid w:val="00E64A04"/>
    <w:rsid w:val="00E64BDC"/>
    <w:rsid w:val="00E64D5A"/>
    <w:rsid w:val="00E652FC"/>
    <w:rsid w:val="00E65BF2"/>
    <w:rsid w:val="00E66084"/>
    <w:rsid w:val="00E66531"/>
    <w:rsid w:val="00E66848"/>
    <w:rsid w:val="00E66B86"/>
    <w:rsid w:val="00E67407"/>
    <w:rsid w:val="00E71207"/>
    <w:rsid w:val="00E71FA7"/>
    <w:rsid w:val="00E72502"/>
    <w:rsid w:val="00E73C26"/>
    <w:rsid w:val="00E745E1"/>
    <w:rsid w:val="00E75B43"/>
    <w:rsid w:val="00E75F5F"/>
    <w:rsid w:val="00E775DB"/>
    <w:rsid w:val="00E77CBB"/>
    <w:rsid w:val="00E8033E"/>
    <w:rsid w:val="00E80350"/>
    <w:rsid w:val="00E80D24"/>
    <w:rsid w:val="00E8142D"/>
    <w:rsid w:val="00E823E2"/>
    <w:rsid w:val="00E82D84"/>
    <w:rsid w:val="00E82FA0"/>
    <w:rsid w:val="00E84246"/>
    <w:rsid w:val="00E8463E"/>
    <w:rsid w:val="00E859F7"/>
    <w:rsid w:val="00E85E67"/>
    <w:rsid w:val="00E86535"/>
    <w:rsid w:val="00E86BDD"/>
    <w:rsid w:val="00E87202"/>
    <w:rsid w:val="00E87AA7"/>
    <w:rsid w:val="00E905C6"/>
    <w:rsid w:val="00E907C5"/>
    <w:rsid w:val="00E91C9B"/>
    <w:rsid w:val="00E92A20"/>
    <w:rsid w:val="00E92A22"/>
    <w:rsid w:val="00E930AA"/>
    <w:rsid w:val="00E93552"/>
    <w:rsid w:val="00E95AB9"/>
    <w:rsid w:val="00E95E14"/>
    <w:rsid w:val="00E97512"/>
    <w:rsid w:val="00E97B52"/>
    <w:rsid w:val="00EA0055"/>
    <w:rsid w:val="00EA110D"/>
    <w:rsid w:val="00EA1681"/>
    <w:rsid w:val="00EA2CF1"/>
    <w:rsid w:val="00EA33B3"/>
    <w:rsid w:val="00EA4E93"/>
    <w:rsid w:val="00EA5423"/>
    <w:rsid w:val="00EA5E01"/>
    <w:rsid w:val="00EA7413"/>
    <w:rsid w:val="00EB02CB"/>
    <w:rsid w:val="00EB0B5E"/>
    <w:rsid w:val="00EB28D4"/>
    <w:rsid w:val="00EB326A"/>
    <w:rsid w:val="00EB33E2"/>
    <w:rsid w:val="00EB4B20"/>
    <w:rsid w:val="00EB5DB8"/>
    <w:rsid w:val="00EB71AC"/>
    <w:rsid w:val="00EB76DF"/>
    <w:rsid w:val="00EB7AA3"/>
    <w:rsid w:val="00EC0829"/>
    <w:rsid w:val="00EC13CF"/>
    <w:rsid w:val="00EC32A0"/>
    <w:rsid w:val="00EC35C3"/>
    <w:rsid w:val="00EC4E73"/>
    <w:rsid w:val="00EC5609"/>
    <w:rsid w:val="00EC64EF"/>
    <w:rsid w:val="00EC7541"/>
    <w:rsid w:val="00EC775C"/>
    <w:rsid w:val="00EC78BD"/>
    <w:rsid w:val="00EC7C63"/>
    <w:rsid w:val="00ED0CC6"/>
    <w:rsid w:val="00ED1077"/>
    <w:rsid w:val="00ED112C"/>
    <w:rsid w:val="00ED11A0"/>
    <w:rsid w:val="00ED2E5D"/>
    <w:rsid w:val="00ED2FF1"/>
    <w:rsid w:val="00ED3753"/>
    <w:rsid w:val="00ED611B"/>
    <w:rsid w:val="00ED741F"/>
    <w:rsid w:val="00EE00C0"/>
    <w:rsid w:val="00EE04B1"/>
    <w:rsid w:val="00EE0A6B"/>
    <w:rsid w:val="00EE15B4"/>
    <w:rsid w:val="00EE1799"/>
    <w:rsid w:val="00EE2C73"/>
    <w:rsid w:val="00EE31C4"/>
    <w:rsid w:val="00EE3498"/>
    <w:rsid w:val="00EE374E"/>
    <w:rsid w:val="00EE386D"/>
    <w:rsid w:val="00EE419A"/>
    <w:rsid w:val="00EE47AE"/>
    <w:rsid w:val="00EE5204"/>
    <w:rsid w:val="00EE5332"/>
    <w:rsid w:val="00EE538F"/>
    <w:rsid w:val="00EE56A7"/>
    <w:rsid w:val="00EE5A5C"/>
    <w:rsid w:val="00EE613C"/>
    <w:rsid w:val="00EE666C"/>
    <w:rsid w:val="00EE76D2"/>
    <w:rsid w:val="00EE78FD"/>
    <w:rsid w:val="00EE7D19"/>
    <w:rsid w:val="00EE7F1E"/>
    <w:rsid w:val="00EF0103"/>
    <w:rsid w:val="00EF02A0"/>
    <w:rsid w:val="00EF1EDA"/>
    <w:rsid w:val="00EF21F7"/>
    <w:rsid w:val="00EF2FB5"/>
    <w:rsid w:val="00EF39B9"/>
    <w:rsid w:val="00EF3E27"/>
    <w:rsid w:val="00EF49A9"/>
    <w:rsid w:val="00EF59F9"/>
    <w:rsid w:val="00EF5B5E"/>
    <w:rsid w:val="00EF692C"/>
    <w:rsid w:val="00EF70CE"/>
    <w:rsid w:val="00F00364"/>
    <w:rsid w:val="00F00FC5"/>
    <w:rsid w:val="00F0212B"/>
    <w:rsid w:val="00F02955"/>
    <w:rsid w:val="00F0298F"/>
    <w:rsid w:val="00F046D7"/>
    <w:rsid w:val="00F04C9F"/>
    <w:rsid w:val="00F0568F"/>
    <w:rsid w:val="00F05EA4"/>
    <w:rsid w:val="00F065B2"/>
    <w:rsid w:val="00F07665"/>
    <w:rsid w:val="00F07E94"/>
    <w:rsid w:val="00F103F5"/>
    <w:rsid w:val="00F104F4"/>
    <w:rsid w:val="00F1066C"/>
    <w:rsid w:val="00F10E21"/>
    <w:rsid w:val="00F10F3B"/>
    <w:rsid w:val="00F15766"/>
    <w:rsid w:val="00F2054E"/>
    <w:rsid w:val="00F2058A"/>
    <w:rsid w:val="00F20ADB"/>
    <w:rsid w:val="00F20F42"/>
    <w:rsid w:val="00F210AF"/>
    <w:rsid w:val="00F212A2"/>
    <w:rsid w:val="00F2136E"/>
    <w:rsid w:val="00F2150D"/>
    <w:rsid w:val="00F21F8E"/>
    <w:rsid w:val="00F2316B"/>
    <w:rsid w:val="00F23C83"/>
    <w:rsid w:val="00F25C8E"/>
    <w:rsid w:val="00F26055"/>
    <w:rsid w:val="00F268E8"/>
    <w:rsid w:val="00F26A20"/>
    <w:rsid w:val="00F27577"/>
    <w:rsid w:val="00F30A3B"/>
    <w:rsid w:val="00F33E7E"/>
    <w:rsid w:val="00F34351"/>
    <w:rsid w:val="00F36584"/>
    <w:rsid w:val="00F3736F"/>
    <w:rsid w:val="00F406F3"/>
    <w:rsid w:val="00F40E95"/>
    <w:rsid w:val="00F4131C"/>
    <w:rsid w:val="00F42CCD"/>
    <w:rsid w:val="00F4440B"/>
    <w:rsid w:val="00F448A0"/>
    <w:rsid w:val="00F448EF"/>
    <w:rsid w:val="00F45EDC"/>
    <w:rsid w:val="00F46597"/>
    <w:rsid w:val="00F51410"/>
    <w:rsid w:val="00F52C26"/>
    <w:rsid w:val="00F53CBE"/>
    <w:rsid w:val="00F54E88"/>
    <w:rsid w:val="00F54FC5"/>
    <w:rsid w:val="00F55070"/>
    <w:rsid w:val="00F557BA"/>
    <w:rsid w:val="00F55D99"/>
    <w:rsid w:val="00F56956"/>
    <w:rsid w:val="00F56B5F"/>
    <w:rsid w:val="00F57E84"/>
    <w:rsid w:val="00F600D5"/>
    <w:rsid w:val="00F620A8"/>
    <w:rsid w:val="00F64191"/>
    <w:rsid w:val="00F645A1"/>
    <w:rsid w:val="00F6547E"/>
    <w:rsid w:val="00F65FE2"/>
    <w:rsid w:val="00F67A43"/>
    <w:rsid w:val="00F70046"/>
    <w:rsid w:val="00F70D5A"/>
    <w:rsid w:val="00F71D13"/>
    <w:rsid w:val="00F71FF0"/>
    <w:rsid w:val="00F720AD"/>
    <w:rsid w:val="00F72DFA"/>
    <w:rsid w:val="00F7593B"/>
    <w:rsid w:val="00F75A67"/>
    <w:rsid w:val="00F76740"/>
    <w:rsid w:val="00F767CD"/>
    <w:rsid w:val="00F772D5"/>
    <w:rsid w:val="00F77E96"/>
    <w:rsid w:val="00F8078B"/>
    <w:rsid w:val="00F816D1"/>
    <w:rsid w:val="00F817A2"/>
    <w:rsid w:val="00F82397"/>
    <w:rsid w:val="00F82945"/>
    <w:rsid w:val="00F8313A"/>
    <w:rsid w:val="00F833EB"/>
    <w:rsid w:val="00F83CCA"/>
    <w:rsid w:val="00F83DCA"/>
    <w:rsid w:val="00F84AE4"/>
    <w:rsid w:val="00F853BD"/>
    <w:rsid w:val="00F8585B"/>
    <w:rsid w:val="00F86DA4"/>
    <w:rsid w:val="00F87CD9"/>
    <w:rsid w:val="00F90569"/>
    <w:rsid w:val="00F91616"/>
    <w:rsid w:val="00F91A56"/>
    <w:rsid w:val="00F92CC2"/>
    <w:rsid w:val="00F93978"/>
    <w:rsid w:val="00F93FED"/>
    <w:rsid w:val="00F94428"/>
    <w:rsid w:val="00F94BB4"/>
    <w:rsid w:val="00F9634B"/>
    <w:rsid w:val="00F9717B"/>
    <w:rsid w:val="00F97F8A"/>
    <w:rsid w:val="00FA085F"/>
    <w:rsid w:val="00FA1F3F"/>
    <w:rsid w:val="00FA337D"/>
    <w:rsid w:val="00FA36A9"/>
    <w:rsid w:val="00FA3FC5"/>
    <w:rsid w:val="00FA512B"/>
    <w:rsid w:val="00FA5204"/>
    <w:rsid w:val="00FA5AB9"/>
    <w:rsid w:val="00FA6B1A"/>
    <w:rsid w:val="00FA7485"/>
    <w:rsid w:val="00FB0106"/>
    <w:rsid w:val="00FB1469"/>
    <w:rsid w:val="00FB187F"/>
    <w:rsid w:val="00FB2AC7"/>
    <w:rsid w:val="00FB4C86"/>
    <w:rsid w:val="00FB4CBE"/>
    <w:rsid w:val="00FB537D"/>
    <w:rsid w:val="00FB68BB"/>
    <w:rsid w:val="00FB6BC6"/>
    <w:rsid w:val="00FB7A52"/>
    <w:rsid w:val="00FC0420"/>
    <w:rsid w:val="00FC056B"/>
    <w:rsid w:val="00FC14B6"/>
    <w:rsid w:val="00FC1EB7"/>
    <w:rsid w:val="00FC3F8F"/>
    <w:rsid w:val="00FC40BA"/>
    <w:rsid w:val="00FC41D0"/>
    <w:rsid w:val="00FC4317"/>
    <w:rsid w:val="00FC4662"/>
    <w:rsid w:val="00FC46F4"/>
    <w:rsid w:val="00FC4855"/>
    <w:rsid w:val="00FC495A"/>
    <w:rsid w:val="00FC5892"/>
    <w:rsid w:val="00FC59E2"/>
    <w:rsid w:val="00FC61CE"/>
    <w:rsid w:val="00FC6933"/>
    <w:rsid w:val="00FD030E"/>
    <w:rsid w:val="00FD035E"/>
    <w:rsid w:val="00FD1AAA"/>
    <w:rsid w:val="00FD37FC"/>
    <w:rsid w:val="00FD3C15"/>
    <w:rsid w:val="00FD569C"/>
    <w:rsid w:val="00FD56B6"/>
    <w:rsid w:val="00FD5C0C"/>
    <w:rsid w:val="00FD60D9"/>
    <w:rsid w:val="00FD6444"/>
    <w:rsid w:val="00FD6E06"/>
    <w:rsid w:val="00FD732B"/>
    <w:rsid w:val="00FD736E"/>
    <w:rsid w:val="00FD7781"/>
    <w:rsid w:val="00FD7B59"/>
    <w:rsid w:val="00FE0022"/>
    <w:rsid w:val="00FE0584"/>
    <w:rsid w:val="00FE0E85"/>
    <w:rsid w:val="00FE20D1"/>
    <w:rsid w:val="00FE29AC"/>
    <w:rsid w:val="00FE2A0F"/>
    <w:rsid w:val="00FE3116"/>
    <w:rsid w:val="00FE3849"/>
    <w:rsid w:val="00FE3AED"/>
    <w:rsid w:val="00FE3C3D"/>
    <w:rsid w:val="00FE495A"/>
    <w:rsid w:val="00FE6CBD"/>
    <w:rsid w:val="00FE6F6C"/>
    <w:rsid w:val="00FF00B6"/>
    <w:rsid w:val="00FF00F4"/>
    <w:rsid w:val="00FF0A88"/>
    <w:rsid w:val="00FF1285"/>
    <w:rsid w:val="00FF2568"/>
    <w:rsid w:val="00FF33AD"/>
    <w:rsid w:val="00FF437C"/>
    <w:rsid w:val="00FF4B74"/>
    <w:rsid w:val="00FF5433"/>
    <w:rsid w:val="00FF62FF"/>
    <w:rsid w:val="00FF7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AD9DF0"/>
  <w15:chartTrackingRefBased/>
  <w15:docId w15:val="{07240999-FAD4-4105-8EF0-A54BDA36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F6"/>
    <w:pPr>
      <w:spacing w:after="120" w:line="240" w:lineRule="auto"/>
    </w:pPr>
    <w:rPr>
      <w:rFonts w:ascii="Calibri Light" w:hAnsi="Calibri Light"/>
    </w:rPr>
  </w:style>
  <w:style w:type="paragraph" w:styleId="Heading1">
    <w:name w:val="heading 1"/>
    <w:basedOn w:val="Normal"/>
    <w:next w:val="Normal"/>
    <w:link w:val="Heading1Char"/>
    <w:autoRedefine/>
    <w:uiPriority w:val="9"/>
    <w:qFormat/>
    <w:rsid w:val="00B86D0C"/>
    <w:pPr>
      <w:keepNext/>
      <w:keepLines/>
      <w:spacing w:line="360" w:lineRule="auto"/>
      <w:jc w:val="both"/>
      <w:outlineLvl w:val="0"/>
    </w:pPr>
    <w:rPr>
      <w:rFonts w:ascii="Times New Roman" w:eastAsiaTheme="majorEastAsia" w:hAnsi="Times New Roman" w:cs="Times New Roman"/>
      <w:b/>
      <w:sz w:val="28"/>
      <w:szCs w:val="24"/>
    </w:rPr>
  </w:style>
  <w:style w:type="paragraph" w:styleId="Heading2">
    <w:name w:val="heading 2"/>
    <w:basedOn w:val="Normal"/>
    <w:next w:val="Normal"/>
    <w:link w:val="Heading2Char"/>
    <w:autoRedefine/>
    <w:uiPriority w:val="9"/>
    <w:unhideWhenUsed/>
    <w:qFormat/>
    <w:rsid w:val="00003E08"/>
    <w:pPr>
      <w:keepNext/>
      <w:keepLines/>
      <w:spacing w:before="120" w:line="480" w:lineRule="auto"/>
      <w:outlineLvl w:val="1"/>
    </w:pPr>
    <w:rPr>
      <w:rFonts w:ascii="Times New Roman" w:eastAsiaTheme="majorEastAsia" w:hAnsi="Times New Roman" w:cstheme="majorBidi"/>
      <w:b/>
      <w:color w:val="000000" w:themeColor="text1"/>
      <w:sz w:val="24"/>
      <w:szCs w:val="26"/>
    </w:rPr>
  </w:style>
  <w:style w:type="paragraph" w:styleId="Heading3">
    <w:name w:val="heading 3"/>
    <w:basedOn w:val="Normal"/>
    <w:next w:val="Normal"/>
    <w:link w:val="Heading3Char"/>
    <w:autoRedefine/>
    <w:uiPriority w:val="9"/>
    <w:unhideWhenUsed/>
    <w:qFormat/>
    <w:rsid w:val="00003E08"/>
    <w:pPr>
      <w:keepNext/>
      <w:keepLines/>
      <w:spacing w:before="120" w:line="360" w:lineRule="auto"/>
      <w:outlineLvl w:val="2"/>
    </w:pPr>
    <w:rPr>
      <w:rFonts w:ascii="Times New Roman" w:eastAsiaTheme="majorEastAsia" w:hAnsi="Times New Roman"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e de liste PBLH,Numbered List Paragraph,LIST OF TABLES.,List Paragraph1,Heading3,Bullets,List Paragraph (numbered (a)),MCHIP_list paragraph,Recommendation,Bullet List,FooterText,List numbered,References,123 List Paragraph,Celula"/>
    <w:basedOn w:val="Normal"/>
    <w:link w:val="ListParagraphChar"/>
    <w:uiPriority w:val="34"/>
    <w:qFormat/>
    <w:rsid w:val="00E418E3"/>
    <w:pPr>
      <w:ind w:left="720"/>
      <w:contextualSpacing/>
    </w:pPr>
  </w:style>
  <w:style w:type="character" w:customStyle="1" w:styleId="Heading1Char">
    <w:name w:val="Heading 1 Char"/>
    <w:basedOn w:val="DefaultParagraphFont"/>
    <w:link w:val="Heading1"/>
    <w:uiPriority w:val="9"/>
    <w:rsid w:val="00B86D0C"/>
    <w:rPr>
      <w:rFonts w:ascii="Times New Roman" w:eastAsiaTheme="majorEastAsia" w:hAnsi="Times New Roman" w:cs="Times New Roman"/>
      <w:b/>
      <w:sz w:val="28"/>
      <w:szCs w:val="24"/>
    </w:rPr>
  </w:style>
  <w:style w:type="paragraph" w:styleId="NoSpacing">
    <w:name w:val="No Spacing"/>
    <w:link w:val="NoSpacingChar"/>
    <w:uiPriority w:val="1"/>
    <w:qFormat/>
    <w:rsid w:val="00BC693A"/>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BC693A"/>
    <w:rPr>
      <w:rFonts w:eastAsiaTheme="minorEastAsia"/>
      <w:lang w:val="en-US" w:eastAsia="ja-JP"/>
    </w:rPr>
  </w:style>
  <w:style w:type="paragraph" w:styleId="TOCHeading">
    <w:name w:val="TOC Heading"/>
    <w:basedOn w:val="Heading1"/>
    <w:next w:val="Normal"/>
    <w:uiPriority w:val="39"/>
    <w:unhideWhenUsed/>
    <w:qFormat/>
    <w:rsid w:val="002057CA"/>
    <w:pPr>
      <w:spacing w:before="240" w:after="0" w:line="259" w:lineRule="auto"/>
      <w:outlineLvl w:val="9"/>
    </w:pPr>
    <w:rPr>
      <w:b w:val="0"/>
      <w:color w:val="2F5496" w:themeColor="accent1" w:themeShade="BF"/>
      <w:sz w:val="32"/>
      <w:lang w:val="en-US"/>
    </w:rPr>
  </w:style>
  <w:style w:type="paragraph" w:styleId="TOC1">
    <w:name w:val="toc 1"/>
    <w:basedOn w:val="Normal"/>
    <w:next w:val="Normal"/>
    <w:autoRedefine/>
    <w:uiPriority w:val="39"/>
    <w:unhideWhenUsed/>
    <w:rsid w:val="00003E08"/>
    <w:pPr>
      <w:spacing w:before="120" w:line="360" w:lineRule="auto"/>
    </w:pPr>
    <w:rPr>
      <w:rFonts w:ascii="Times New Roman" w:hAnsi="Times New Roman" w:cstheme="minorHAnsi"/>
      <w:b/>
      <w:bCs/>
      <w:sz w:val="24"/>
      <w:szCs w:val="20"/>
    </w:rPr>
  </w:style>
  <w:style w:type="character" w:styleId="Hyperlink">
    <w:name w:val="Hyperlink"/>
    <w:basedOn w:val="DefaultParagraphFont"/>
    <w:uiPriority w:val="99"/>
    <w:unhideWhenUsed/>
    <w:rsid w:val="002057CA"/>
    <w:rPr>
      <w:color w:val="0563C1" w:themeColor="hyperlink"/>
      <w:u w:val="single"/>
    </w:rPr>
  </w:style>
  <w:style w:type="paragraph" w:styleId="Header">
    <w:name w:val="header"/>
    <w:basedOn w:val="Normal"/>
    <w:link w:val="HeaderChar"/>
    <w:uiPriority w:val="99"/>
    <w:unhideWhenUsed/>
    <w:rsid w:val="009504E7"/>
    <w:pPr>
      <w:tabs>
        <w:tab w:val="center" w:pos="4513"/>
        <w:tab w:val="right" w:pos="9026"/>
      </w:tabs>
      <w:spacing w:after="0"/>
    </w:pPr>
  </w:style>
  <w:style w:type="character" w:customStyle="1" w:styleId="HeaderChar">
    <w:name w:val="Header Char"/>
    <w:basedOn w:val="DefaultParagraphFont"/>
    <w:link w:val="Header"/>
    <w:uiPriority w:val="99"/>
    <w:rsid w:val="009504E7"/>
  </w:style>
  <w:style w:type="paragraph" w:styleId="Footer">
    <w:name w:val="footer"/>
    <w:basedOn w:val="Normal"/>
    <w:link w:val="FooterChar"/>
    <w:uiPriority w:val="99"/>
    <w:unhideWhenUsed/>
    <w:rsid w:val="009504E7"/>
    <w:pPr>
      <w:tabs>
        <w:tab w:val="center" w:pos="4513"/>
        <w:tab w:val="right" w:pos="9026"/>
      </w:tabs>
      <w:spacing w:after="0"/>
    </w:pPr>
  </w:style>
  <w:style w:type="character" w:customStyle="1" w:styleId="FooterChar">
    <w:name w:val="Footer Char"/>
    <w:basedOn w:val="DefaultParagraphFont"/>
    <w:link w:val="Footer"/>
    <w:uiPriority w:val="99"/>
    <w:rsid w:val="009504E7"/>
  </w:style>
  <w:style w:type="table" w:styleId="TableGrid">
    <w:name w:val="Table Grid"/>
    <w:basedOn w:val="TableNormal"/>
    <w:uiPriority w:val="39"/>
    <w:rsid w:val="00FD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E416C"/>
    <w:rPr>
      <w:b/>
      <w:i/>
      <w:iCs/>
      <w:sz w:val="20"/>
      <w:szCs w:val="18"/>
    </w:rPr>
  </w:style>
  <w:style w:type="character" w:customStyle="1" w:styleId="Heading2Char">
    <w:name w:val="Heading 2 Char"/>
    <w:basedOn w:val="DefaultParagraphFont"/>
    <w:link w:val="Heading2"/>
    <w:uiPriority w:val="9"/>
    <w:rsid w:val="00003E08"/>
    <w:rPr>
      <w:rFonts w:ascii="Times New Roman" w:eastAsiaTheme="majorEastAsia" w:hAnsi="Times New Roman" w:cstheme="majorBidi"/>
      <w:b/>
      <w:color w:val="000000" w:themeColor="text1"/>
      <w:sz w:val="24"/>
      <w:szCs w:val="26"/>
    </w:rPr>
  </w:style>
  <w:style w:type="paragraph" w:styleId="TOC2">
    <w:name w:val="toc 2"/>
    <w:basedOn w:val="Normal"/>
    <w:next w:val="Normal"/>
    <w:autoRedefine/>
    <w:uiPriority w:val="39"/>
    <w:unhideWhenUsed/>
    <w:rsid w:val="00003E08"/>
    <w:pPr>
      <w:spacing w:line="360" w:lineRule="auto"/>
      <w:ind w:left="221"/>
    </w:pPr>
    <w:rPr>
      <w:rFonts w:ascii="Times New Roman" w:hAnsi="Times New Roman" w:cstheme="minorHAnsi"/>
      <w:sz w:val="24"/>
      <w:szCs w:val="20"/>
    </w:rPr>
  </w:style>
  <w:style w:type="paragraph" w:customStyle="1" w:styleId="Default">
    <w:name w:val="Default"/>
    <w:link w:val="DefaultChar"/>
    <w:rsid w:val="007438CB"/>
    <w:pPr>
      <w:autoSpaceDE w:val="0"/>
      <w:autoSpaceDN w:val="0"/>
      <w:adjustRightInd w:val="0"/>
      <w:spacing w:after="0" w:line="240" w:lineRule="auto"/>
    </w:pPr>
    <w:rPr>
      <w:rFonts w:ascii="Gill Sans MT" w:eastAsia="Times New Roman" w:hAnsi="Gill Sans MT" w:cs="Gill Sans MT"/>
      <w:color w:val="000000"/>
      <w:sz w:val="24"/>
      <w:szCs w:val="24"/>
      <w:lang w:eastAsia="en-GB"/>
    </w:rPr>
  </w:style>
  <w:style w:type="character" w:customStyle="1" w:styleId="DefaultChar">
    <w:name w:val="Default Char"/>
    <w:basedOn w:val="DefaultParagraphFont"/>
    <w:link w:val="Default"/>
    <w:locked/>
    <w:rsid w:val="007438CB"/>
    <w:rPr>
      <w:rFonts w:ascii="Gill Sans MT" w:eastAsia="Times New Roman" w:hAnsi="Gill Sans MT" w:cs="Gill Sans MT"/>
      <w:color w:val="000000"/>
      <w:sz w:val="24"/>
      <w:szCs w:val="24"/>
      <w:lang w:eastAsia="en-GB"/>
    </w:rPr>
  </w:style>
  <w:style w:type="paragraph" w:styleId="FootnoteText">
    <w:name w:val="footnote text"/>
    <w:aliases w:val="ft,single space,FOOTNOTES,fn,footnote text,f,Footnote Text Char1,Footnote Text Char2 Char,Footnote Text Char1 Char Char,Footnote Text Char2 Char Char Char,Footnote Text Char1 Char Char Char Char,Footnote Text Char1 Char,ADB"/>
    <w:basedOn w:val="Normal"/>
    <w:link w:val="FootnoteTextChar"/>
    <w:uiPriority w:val="99"/>
    <w:rsid w:val="00C754EB"/>
    <w:pPr>
      <w:spacing w:after="200" w:line="276" w:lineRule="auto"/>
      <w:jc w:val="both"/>
    </w:pPr>
    <w:rPr>
      <w:rFonts w:ascii="Times New Roman" w:eastAsia="Calibri" w:hAnsi="Times New Roman" w:cs="Times New Roman"/>
      <w:sz w:val="20"/>
      <w:szCs w:val="20"/>
    </w:rPr>
  </w:style>
  <w:style w:type="character" w:customStyle="1" w:styleId="FootnoteTextChar">
    <w:name w:val="Footnote Text Char"/>
    <w:aliases w:val="ft Char,single space Char,FOOTNOTES Char,fn Char,footnote text Char,f Char,Footnote Text Char1 Char1,Footnote Text Char2 Char Char,Footnote Text Char1 Char Char Char,Footnote Text Char2 Char Char Char Char,ADB Char"/>
    <w:basedOn w:val="DefaultParagraphFont"/>
    <w:link w:val="FootnoteText"/>
    <w:uiPriority w:val="99"/>
    <w:rsid w:val="00C754EB"/>
    <w:rPr>
      <w:rFonts w:ascii="Times New Roman" w:eastAsia="Calibri" w:hAnsi="Times New Roman" w:cs="Times New Roman"/>
      <w:sz w:val="20"/>
      <w:szCs w:val="20"/>
    </w:rPr>
  </w:style>
  <w:style w:type="character" w:styleId="FootnoteReference">
    <w:name w:val="footnote reference"/>
    <w:aliases w:val="ftref,16 Point,Superscript 6 Point,BVI fnr,Footnote,Знак сноски 1,Normal + Font:9 Point,Superscript 3 Point Times, BVI fnr"/>
    <w:basedOn w:val="DefaultParagraphFont"/>
    <w:uiPriority w:val="99"/>
    <w:rsid w:val="00C754EB"/>
    <w:rPr>
      <w:vertAlign w:val="superscript"/>
    </w:rPr>
  </w:style>
  <w:style w:type="character" w:customStyle="1" w:styleId="ListParagraphChar">
    <w:name w:val="List Paragraph Char"/>
    <w:aliases w:val="Paragraphe de liste PBLH Char,Numbered List Paragraph Char,LIST OF TABLES. Char,List Paragraph1 Char,Heading3 Char,Bullets Char,List Paragraph (numbered (a)) Char,MCHIP_list paragraph Char,Recommendation Char,Bullet List Char"/>
    <w:basedOn w:val="DefaultParagraphFont"/>
    <w:link w:val="ListParagraph"/>
    <w:uiPriority w:val="34"/>
    <w:locked/>
    <w:rsid w:val="00C754EB"/>
    <w:rPr>
      <w:rFonts w:ascii="Calibri Light" w:hAnsi="Calibri Light"/>
    </w:rPr>
  </w:style>
  <w:style w:type="table" w:customStyle="1" w:styleId="LightGrid2">
    <w:name w:val="Light Grid2"/>
    <w:basedOn w:val="TableNormal"/>
    <w:uiPriority w:val="62"/>
    <w:rsid w:val="00C754EB"/>
    <w:pPr>
      <w:spacing w:after="0" w:line="240" w:lineRule="auto"/>
    </w:pPr>
    <w:rPr>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
    <w:name w:val="Light Shading1"/>
    <w:basedOn w:val="TableNormal"/>
    <w:uiPriority w:val="60"/>
    <w:rsid w:val="00926D73"/>
    <w:pPr>
      <w:spacing w:after="0" w:line="240" w:lineRule="auto"/>
    </w:pPr>
    <w:rPr>
      <w:rFonts w:ascii="Times New Roman" w:eastAsia="Times New Roman" w:hAnsi="Times New Roman" w:cs="Times New Roman"/>
      <w:color w:val="000000" w:themeColor="text1" w:themeShade="BF"/>
      <w:sz w:val="20"/>
      <w:szCs w:val="20"/>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6110AA"/>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UnresolvedMention1">
    <w:name w:val="Unresolved Mention1"/>
    <w:basedOn w:val="DefaultParagraphFont"/>
    <w:uiPriority w:val="99"/>
    <w:semiHidden/>
    <w:unhideWhenUsed/>
    <w:rsid w:val="00E424B0"/>
    <w:rPr>
      <w:color w:val="605E5C"/>
      <w:shd w:val="clear" w:color="auto" w:fill="E1DFDD"/>
    </w:rPr>
  </w:style>
  <w:style w:type="paragraph" w:styleId="TableofFigures">
    <w:name w:val="table of figures"/>
    <w:basedOn w:val="Normal"/>
    <w:next w:val="Normal"/>
    <w:autoRedefine/>
    <w:uiPriority w:val="99"/>
    <w:unhideWhenUsed/>
    <w:rsid w:val="00003E08"/>
    <w:pPr>
      <w:spacing w:line="360" w:lineRule="auto"/>
    </w:pPr>
    <w:rPr>
      <w:rFonts w:ascii="Times New Roman" w:hAnsi="Times New Roman"/>
      <w:sz w:val="24"/>
    </w:rPr>
  </w:style>
  <w:style w:type="character" w:styleId="Strong">
    <w:name w:val="Strong"/>
    <w:basedOn w:val="DefaultParagraphFont"/>
    <w:uiPriority w:val="22"/>
    <w:qFormat/>
    <w:rsid w:val="007204C6"/>
    <w:rPr>
      <w:b/>
      <w:bCs/>
    </w:rPr>
  </w:style>
  <w:style w:type="paragraph" w:styleId="NormalWeb">
    <w:name w:val="Normal (Web)"/>
    <w:basedOn w:val="Normal"/>
    <w:uiPriority w:val="99"/>
    <w:semiHidden/>
    <w:unhideWhenUsed/>
    <w:rsid w:val="007204C6"/>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003E08"/>
    <w:rPr>
      <w:rFonts w:ascii="Times New Roman" w:eastAsiaTheme="majorEastAsia" w:hAnsi="Times New Roman" w:cstheme="majorBidi"/>
      <w:b/>
      <w:sz w:val="24"/>
      <w:szCs w:val="24"/>
    </w:rPr>
  </w:style>
  <w:style w:type="paragraph" w:styleId="PlainText">
    <w:name w:val="Plain Text"/>
    <w:basedOn w:val="Normal"/>
    <w:link w:val="PlainTextChar"/>
    <w:uiPriority w:val="99"/>
    <w:unhideWhenUsed/>
    <w:rsid w:val="0007413D"/>
    <w:pPr>
      <w:spacing w:after="0"/>
    </w:pPr>
    <w:rPr>
      <w:rFonts w:ascii="Calibri" w:eastAsia="Calibri" w:hAnsi="Calibri" w:cs="Times New Roman"/>
      <w:szCs w:val="21"/>
    </w:rPr>
  </w:style>
  <w:style w:type="character" w:customStyle="1" w:styleId="PlainTextChar">
    <w:name w:val="Plain Text Char"/>
    <w:basedOn w:val="DefaultParagraphFont"/>
    <w:link w:val="PlainText"/>
    <w:uiPriority w:val="99"/>
    <w:rsid w:val="0007413D"/>
    <w:rPr>
      <w:rFonts w:ascii="Calibri" w:eastAsia="Calibri" w:hAnsi="Calibri" w:cs="Times New Roman"/>
      <w:szCs w:val="21"/>
    </w:rPr>
  </w:style>
  <w:style w:type="paragraph" w:styleId="TOC3">
    <w:name w:val="toc 3"/>
    <w:basedOn w:val="Normal"/>
    <w:next w:val="Normal"/>
    <w:autoRedefine/>
    <w:uiPriority w:val="39"/>
    <w:unhideWhenUsed/>
    <w:rsid w:val="00833B3C"/>
    <w:pPr>
      <w:spacing w:after="0"/>
      <w:ind w:left="440"/>
    </w:pPr>
    <w:rPr>
      <w:rFonts w:asciiTheme="minorHAnsi" w:hAnsiTheme="minorHAnsi" w:cstheme="minorHAnsi"/>
      <w:i/>
      <w:iCs/>
      <w:sz w:val="20"/>
      <w:szCs w:val="20"/>
    </w:rPr>
  </w:style>
  <w:style w:type="paragraph" w:styleId="Title">
    <w:name w:val="Title"/>
    <w:basedOn w:val="Normal"/>
    <w:next w:val="Normal"/>
    <w:link w:val="TitleChar"/>
    <w:uiPriority w:val="10"/>
    <w:qFormat/>
    <w:rsid w:val="00E634C5"/>
    <w:pPr>
      <w:spacing w:after="0"/>
      <w:contextualSpacing/>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E634C5"/>
    <w:rPr>
      <w:rFonts w:asciiTheme="majorHAnsi" w:eastAsiaTheme="majorEastAsia" w:hAnsiTheme="majorHAnsi" w:cstheme="majorBidi"/>
      <w:spacing w:val="-10"/>
      <w:kern w:val="28"/>
      <w:sz w:val="56"/>
      <w:szCs w:val="56"/>
      <w:lang w:val="en-US"/>
    </w:rPr>
  </w:style>
  <w:style w:type="paragraph" w:styleId="TOC4">
    <w:name w:val="toc 4"/>
    <w:basedOn w:val="Normal"/>
    <w:next w:val="Normal"/>
    <w:autoRedefine/>
    <w:uiPriority w:val="39"/>
    <w:unhideWhenUsed/>
    <w:rsid w:val="00FD6444"/>
    <w:pPr>
      <w:spacing w:after="0"/>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FD6444"/>
    <w:pPr>
      <w:spacing w:after="0"/>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FD6444"/>
    <w:pPr>
      <w:spacing w:after="0"/>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FD6444"/>
    <w:pPr>
      <w:spacing w:after="0"/>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FD6444"/>
    <w:pPr>
      <w:spacing w:after="0"/>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FD6444"/>
    <w:pPr>
      <w:spacing w:after="0"/>
      <w:ind w:left="1760"/>
    </w:pPr>
    <w:rPr>
      <w:rFonts w:asciiTheme="minorHAnsi" w:hAnsiTheme="minorHAnsi" w:cstheme="minorHAnsi"/>
      <w:sz w:val="18"/>
      <w:szCs w:val="18"/>
    </w:rPr>
  </w:style>
  <w:style w:type="paragraph" w:styleId="BalloonText">
    <w:name w:val="Balloon Text"/>
    <w:basedOn w:val="Normal"/>
    <w:link w:val="BalloonTextChar"/>
    <w:uiPriority w:val="99"/>
    <w:semiHidden/>
    <w:unhideWhenUsed/>
    <w:rsid w:val="003C06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6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74938">
      <w:bodyDiv w:val="1"/>
      <w:marLeft w:val="0"/>
      <w:marRight w:val="0"/>
      <w:marTop w:val="0"/>
      <w:marBottom w:val="0"/>
      <w:divBdr>
        <w:top w:val="none" w:sz="0" w:space="0" w:color="auto"/>
        <w:left w:val="none" w:sz="0" w:space="0" w:color="auto"/>
        <w:bottom w:val="none" w:sz="0" w:space="0" w:color="auto"/>
        <w:right w:val="none" w:sz="0" w:space="0" w:color="auto"/>
      </w:divBdr>
    </w:div>
    <w:div w:id="970864294">
      <w:bodyDiv w:val="1"/>
      <w:marLeft w:val="0"/>
      <w:marRight w:val="0"/>
      <w:marTop w:val="0"/>
      <w:marBottom w:val="0"/>
      <w:divBdr>
        <w:top w:val="none" w:sz="0" w:space="0" w:color="auto"/>
        <w:left w:val="none" w:sz="0" w:space="0" w:color="auto"/>
        <w:bottom w:val="none" w:sz="0" w:space="0" w:color="auto"/>
        <w:right w:val="none" w:sz="0" w:space="0" w:color="auto"/>
      </w:divBdr>
    </w:div>
    <w:div w:id="1321618099">
      <w:bodyDiv w:val="1"/>
      <w:marLeft w:val="0"/>
      <w:marRight w:val="0"/>
      <w:marTop w:val="0"/>
      <w:marBottom w:val="0"/>
      <w:divBdr>
        <w:top w:val="none" w:sz="0" w:space="0" w:color="auto"/>
        <w:left w:val="none" w:sz="0" w:space="0" w:color="auto"/>
        <w:bottom w:val="none" w:sz="0" w:space="0" w:color="auto"/>
        <w:right w:val="none" w:sz="0" w:space="0" w:color="auto"/>
      </w:divBdr>
    </w:div>
    <w:div w:id="1929578735">
      <w:bodyDiv w:val="1"/>
      <w:marLeft w:val="0"/>
      <w:marRight w:val="0"/>
      <w:marTop w:val="0"/>
      <w:marBottom w:val="0"/>
      <w:divBdr>
        <w:top w:val="none" w:sz="0" w:space="0" w:color="auto"/>
        <w:left w:val="none" w:sz="0" w:space="0" w:color="auto"/>
        <w:bottom w:val="none" w:sz="0" w:space="0" w:color="auto"/>
        <w:right w:val="none" w:sz="0" w:space="0" w:color="auto"/>
      </w:divBdr>
    </w:div>
    <w:div w:id="1981686675">
      <w:bodyDiv w:val="1"/>
      <w:marLeft w:val="0"/>
      <w:marRight w:val="0"/>
      <w:marTop w:val="0"/>
      <w:marBottom w:val="0"/>
      <w:divBdr>
        <w:top w:val="none" w:sz="0" w:space="0" w:color="auto"/>
        <w:left w:val="none" w:sz="0" w:space="0" w:color="auto"/>
        <w:bottom w:val="none" w:sz="0" w:space="0" w:color="auto"/>
        <w:right w:val="none" w:sz="0" w:space="0" w:color="auto"/>
      </w:divBdr>
    </w:div>
    <w:div w:id="2027487558">
      <w:bodyDiv w:val="1"/>
      <w:marLeft w:val="0"/>
      <w:marRight w:val="0"/>
      <w:marTop w:val="0"/>
      <w:marBottom w:val="0"/>
      <w:divBdr>
        <w:top w:val="none" w:sz="0" w:space="0" w:color="auto"/>
        <w:left w:val="none" w:sz="0" w:space="0" w:color="auto"/>
        <w:bottom w:val="none" w:sz="0" w:space="0" w:color="auto"/>
        <w:right w:val="none" w:sz="0" w:space="0" w:color="auto"/>
      </w:divBdr>
    </w:div>
    <w:div w:id="2052998887">
      <w:bodyDiv w:val="1"/>
      <w:marLeft w:val="0"/>
      <w:marRight w:val="0"/>
      <w:marTop w:val="0"/>
      <w:marBottom w:val="0"/>
      <w:divBdr>
        <w:top w:val="none" w:sz="0" w:space="0" w:color="auto"/>
        <w:left w:val="none" w:sz="0" w:space="0" w:color="auto"/>
        <w:bottom w:val="none" w:sz="0" w:space="0" w:color="auto"/>
        <w:right w:val="none" w:sz="0" w:space="0" w:color="auto"/>
      </w:divBdr>
    </w:div>
    <w:div w:id="205836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7.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hyperlink" Target="https://datahelpdesk.worldbank.org/knowledgebase/articles/906519-world-bank-country-and-lending-group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ata.worldbank.org/indicator/NY.GNP.PCAP.CD?locations=U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atlas.media.mit.edu/en/profile/country/u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DED6-2BE5-4D0D-811E-88E340AB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81</Pages>
  <Words>25242</Words>
  <Characters>143885</Characters>
  <Application>Microsoft Office Word</Application>
  <DocSecurity>0</DocSecurity>
  <Lines>1199</Lines>
  <Paragraphs>337</Paragraphs>
  <ScaleCrop>false</ScaleCrop>
  <HeadingPairs>
    <vt:vector size="2" baseType="variant">
      <vt:variant>
        <vt:lpstr>Title</vt:lpstr>
      </vt:variant>
      <vt:variant>
        <vt:i4>1</vt:i4>
      </vt:variant>
    </vt:vector>
  </HeadingPairs>
  <TitlesOfParts>
    <vt:vector size="1" baseType="lpstr">
      <vt:lpstr>Policy and Strategic Direction Thematic Report</vt:lpstr>
    </vt:vector>
  </TitlesOfParts>
  <Company/>
  <LinksUpToDate>false</LinksUpToDate>
  <CharactersWithSpaces>168790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Strategic Direction Thematic Report</dc:title>
  <dc:subject/>
  <dc:creator>Mid-term review of the National Development Plan II</dc:creator>
  <cp:keywords/>
  <dc:description/>
  <cp:lastModifiedBy>Epiaka</cp:lastModifiedBy>
  <cp:revision>2</cp:revision>
  <cp:lastPrinted>2019-05-21T10:41:00Z</cp:lastPrinted>
  <dcterms:created xsi:type="dcterms:W3CDTF">2020-01-21T11:26:00Z</dcterms:created>
  <dcterms:modified xsi:type="dcterms:W3CDTF">2020-01-21T11:26:00Z</dcterms:modified>
</cp:coreProperties>
</file>