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66082948"/>
        <w:docPartObj>
          <w:docPartGallery w:val="Cover Pages"/>
          <w:docPartUnique/>
        </w:docPartObj>
      </w:sdtPr>
      <w:sdtEndPr/>
      <w:sdtContent>
        <w:p w14:paraId="721A20B7" w14:textId="77777777" w:rsidR="00DC1DF0" w:rsidRPr="000E1B7E" w:rsidRDefault="00316915" w:rsidP="005959B5">
          <w:pPr>
            <w:jc w:val="both"/>
          </w:pPr>
          <w:r>
            <w:rPr>
              <w:noProof/>
              <w:lang w:eastAsia="en-GB"/>
            </w:rPr>
            <mc:AlternateContent>
              <mc:Choice Requires="wpg">
                <w:drawing>
                  <wp:anchor distT="0" distB="0" distL="114300" distR="114300" simplePos="0" relativeHeight="251684864" behindDoc="0" locked="0" layoutInCell="1" allowOverlap="1" wp14:anchorId="7C7599E0" wp14:editId="469D0E00">
                    <wp:simplePos x="0" y="0"/>
                    <wp:positionH relativeFrom="column">
                      <wp:posOffset>-495300</wp:posOffset>
                    </wp:positionH>
                    <wp:positionV relativeFrom="paragraph">
                      <wp:posOffset>-933450</wp:posOffset>
                    </wp:positionV>
                    <wp:extent cx="7125970" cy="10692130"/>
                    <wp:effectExtent l="0" t="0" r="36830" b="0"/>
                    <wp:wrapNone/>
                    <wp:docPr id="32"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5970" cy="10692130"/>
                              <a:chOff x="1004" y="-390"/>
                              <a:chExt cx="11222" cy="16838"/>
                            </a:xfrm>
                          </wpg:grpSpPr>
                          <wps:wsp>
                            <wps:cNvPr id="30" name="Freeform 154"/>
                            <wps:cNvSpPr>
                              <a:spLocks/>
                            </wps:cNvSpPr>
                            <wps:spPr bwMode="auto">
                              <a:xfrm>
                                <a:off x="7188" y="-390"/>
                                <a:ext cx="5038" cy="16838"/>
                              </a:xfrm>
                              <a:custGeom>
                                <a:avLst/>
                                <a:gdLst>
                                  <a:gd name="T0" fmla="+- 0 680 680"/>
                                  <a:gd name="T1" fmla="*/ T0 w 4701"/>
                                  <a:gd name="T2" fmla="*/ 16838 h 16838"/>
                                  <a:gd name="T3" fmla="+- 0 5381 680"/>
                                  <a:gd name="T4" fmla="*/ T3 w 4701"/>
                                  <a:gd name="T5" fmla="*/ 16838 h 16838"/>
                                  <a:gd name="T6" fmla="+- 0 5381 680"/>
                                  <a:gd name="T7" fmla="*/ T6 w 4701"/>
                                  <a:gd name="T8" fmla="*/ 0 h 16838"/>
                                  <a:gd name="T9" fmla="+- 0 680 680"/>
                                  <a:gd name="T10" fmla="*/ T9 w 4701"/>
                                  <a:gd name="T11" fmla="*/ 0 h 16838"/>
                                  <a:gd name="T12" fmla="+- 0 680 680"/>
                                  <a:gd name="T13" fmla="*/ T12 w 4701"/>
                                  <a:gd name="T14" fmla="*/ 16838 h 16838"/>
                                </a:gdLst>
                                <a:ahLst/>
                                <a:cxnLst>
                                  <a:cxn ang="0">
                                    <a:pos x="T1" y="T2"/>
                                  </a:cxn>
                                  <a:cxn ang="0">
                                    <a:pos x="T4" y="T5"/>
                                  </a:cxn>
                                  <a:cxn ang="0">
                                    <a:pos x="T7" y="T8"/>
                                  </a:cxn>
                                  <a:cxn ang="0">
                                    <a:pos x="T10" y="T11"/>
                                  </a:cxn>
                                  <a:cxn ang="0">
                                    <a:pos x="T13" y="T14"/>
                                  </a:cxn>
                                </a:cxnLst>
                                <a:rect l="0" t="0" r="r" b="b"/>
                                <a:pathLst>
                                  <a:path w="4701" h="16838">
                                    <a:moveTo>
                                      <a:pt x="0" y="16838"/>
                                    </a:moveTo>
                                    <a:lnTo>
                                      <a:pt x="4701" y="16838"/>
                                    </a:lnTo>
                                    <a:lnTo>
                                      <a:pt x="4701" y="0"/>
                                    </a:lnTo>
                                    <a:lnTo>
                                      <a:pt x="0" y="0"/>
                                    </a:lnTo>
                                    <a:lnTo>
                                      <a:pt x="0" y="16838"/>
                                    </a:lnTo>
                                  </a:path>
                                </a:pathLst>
                              </a:custGeom>
                              <a:solidFill>
                                <a:srgbClr val="E9F8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4" name="Group 227"/>
                            <wpg:cNvGrpSpPr>
                              <a:grpSpLocks/>
                            </wpg:cNvGrpSpPr>
                            <wpg:grpSpPr bwMode="auto">
                              <a:xfrm>
                                <a:off x="1349" y="815"/>
                                <a:ext cx="9828" cy="1710"/>
                                <a:chOff x="1349" y="815"/>
                                <a:chExt cx="9828" cy="1710"/>
                              </a:xfrm>
                            </wpg:grpSpPr>
                            <wps:wsp>
                              <wps:cNvPr id="35" name="Text Box 161"/>
                              <wps:cNvSpPr txBox="1">
                                <a:spLocks noChangeArrowheads="1"/>
                              </wps:cNvSpPr>
                              <wps:spPr bwMode="auto">
                                <a:xfrm>
                                  <a:off x="8849" y="860"/>
                                  <a:ext cx="232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20BD07A1" w14:textId="77777777" w:rsidR="00FD5BA9" w:rsidRDefault="00FD5BA9">
                                    <w:r w:rsidRPr="00D31687">
                                      <w:rPr>
                                        <w:rFonts w:ascii="Arial Unicode MS" w:eastAsia="Arial Unicode MS" w:hAnsi="Arial Unicode MS" w:cs="Arial Unicode MS"/>
                                        <w:noProof/>
                                        <w:sz w:val="32"/>
                                        <w:lang w:eastAsia="en-GB"/>
                                      </w:rPr>
                                      <w:drawing>
                                        <wp:inline distT="0" distB="0" distL="0" distR="0" wp14:anchorId="52F1A646" wp14:editId="1B84A7AB">
                                          <wp:extent cx="1304925" cy="8763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6" name="Text Box 162"/>
                              <wps:cNvSpPr txBox="1">
                                <a:spLocks noChangeArrowheads="1"/>
                              </wps:cNvSpPr>
                              <wps:spPr bwMode="auto">
                                <a:xfrm>
                                  <a:off x="1349" y="815"/>
                                  <a:ext cx="1881"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A771B88" w14:textId="77777777" w:rsidR="00FD5BA9" w:rsidRDefault="00FD5BA9" w:rsidP="005959B5">
                                    <w:r w:rsidRPr="00D31687">
                                      <w:rPr>
                                        <w:rFonts w:ascii="Arial Unicode MS" w:eastAsia="Arial Unicode MS" w:hAnsi="Arial Unicode MS" w:cs="Arial Unicode MS"/>
                                        <w:noProof/>
                                        <w:sz w:val="32"/>
                                        <w:lang w:eastAsia="en-GB"/>
                                      </w:rPr>
                                      <w:drawing>
                                        <wp:inline distT="0" distB="0" distL="0" distR="0" wp14:anchorId="4B211599" wp14:editId="4F467D8D">
                                          <wp:extent cx="1038225" cy="1038225"/>
                                          <wp:effectExtent l="0" t="0" r="9525" b="9525"/>
                                          <wp:docPr id="70" name="Picture 70"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37" name="Group 234"/>
                            <wpg:cNvGrpSpPr>
                              <a:grpSpLocks/>
                            </wpg:cNvGrpSpPr>
                            <wpg:grpSpPr bwMode="auto">
                              <a:xfrm>
                                <a:off x="1004" y="5876"/>
                                <a:ext cx="11222" cy="7969"/>
                                <a:chOff x="1004" y="5876"/>
                                <a:chExt cx="11222" cy="7969"/>
                              </a:xfrm>
                            </wpg:grpSpPr>
                            <wpg:grpSp>
                              <wpg:cNvPr id="50" name="Group 229"/>
                              <wpg:cNvGrpSpPr>
                                <a:grpSpLocks/>
                              </wpg:cNvGrpSpPr>
                              <wpg:grpSpPr bwMode="auto">
                                <a:xfrm>
                                  <a:off x="1004" y="5876"/>
                                  <a:ext cx="11222" cy="2844"/>
                                  <a:chOff x="1004" y="5876"/>
                                  <a:chExt cx="11222" cy="2844"/>
                                </a:xfrm>
                              </wpg:grpSpPr>
                              <wps:wsp>
                                <wps:cNvPr id="51" name="Text Box 163"/>
                                <wps:cNvSpPr txBox="1">
                                  <a:spLocks noChangeArrowheads="1"/>
                                </wps:cNvSpPr>
                                <wps:spPr bwMode="auto">
                                  <a:xfrm>
                                    <a:off x="7188" y="6285"/>
                                    <a:ext cx="5038" cy="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ABE3A" w14:textId="77777777" w:rsidR="00FD5BA9" w:rsidRPr="00DC1DF0" w:rsidRDefault="00FD5BA9" w:rsidP="005959B5">
                                      <w:pPr>
                                        <w:spacing w:before="59"/>
                                        <w:ind w:left="142" w:right="-20"/>
                                        <w:jc w:val="center"/>
                                        <w:rPr>
                                          <w:b/>
                                          <w:sz w:val="18"/>
                                        </w:rPr>
                                      </w:pPr>
                                      <w:r w:rsidRPr="00DC1DF0">
                                        <w:rPr>
                                          <w:rFonts w:eastAsia="Arial"/>
                                          <w:b/>
                                          <w:color w:val="000000" w:themeColor="text1"/>
                                          <w:position w:val="-1"/>
                                          <w:sz w:val="46"/>
                                          <w:szCs w:val="34"/>
                                        </w:rPr>
                                        <w:t>Economic Management Thematic Report</w:t>
                                      </w:r>
                                    </w:p>
                                  </w:txbxContent>
                                </wps:txbx>
                                <wps:bodyPr rot="0" vert="horz" wrap="square" lIns="91440" tIns="45720" rIns="91440" bIns="45720" anchor="t" anchorCtr="0" upright="1">
                                  <a:noAutofit/>
                                </wps:bodyPr>
                              </wps:wsp>
                              <wps:wsp>
                                <wps:cNvPr id="52" name="Text Box 215"/>
                                <wps:cNvSpPr txBox="1">
                                  <a:spLocks noChangeArrowheads="1"/>
                                </wps:cNvSpPr>
                                <wps:spPr bwMode="auto">
                                  <a:xfrm>
                                    <a:off x="1004" y="5876"/>
                                    <a:ext cx="589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E0A2" w14:textId="77777777" w:rsidR="00FD5BA9" w:rsidRPr="00FC3BD2" w:rsidRDefault="00FD5BA9" w:rsidP="005959B5">
                                      <w:pPr>
                                        <w:jc w:val="center"/>
                                        <w:rPr>
                                          <w:color w:val="000000" w:themeColor="text1"/>
                                          <w:spacing w:val="-9"/>
                                          <w:sz w:val="52"/>
                                          <w:szCs w:val="52"/>
                                        </w:rPr>
                                      </w:pPr>
                                      <w:r w:rsidRPr="00FC3BD2">
                                        <w:rPr>
                                          <w:color w:val="000000" w:themeColor="text1"/>
                                          <w:spacing w:val="-9"/>
                                          <w:sz w:val="52"/>
                                          <w:szCs w:val="52"/>
                                        </w:rPr>
                                        <w:t>Mid-Term Review of the Second National Development Plan</w:t>
                                      </w:r>
                                      <w:r>
                                        <w:rPr>
                                          <w:color w:val="000000" w:themeColor="text1"/>
                                          <w:spacing w:val="-9"/>
                                          <w:sz w:val="52"/>
                                          <w:szCs w:val="52"/>
                                        </w:rPr>
                                        <w:t xml:space="preserve"> (NDPII)</w:t>
                                      </w:r>
                                    </w:p>
                                    <w:p w14:paraId="29D3A81B" w14:textId="77777777" w:rsidR="00FD5BA9" w:rsidRPr="00FC3BD2" w:rsidRDefault="00FD5BA9" w:rsidP="005959B5">
                                      <w:pPr>
                                        <w:jc w:val="center"/>
                                        <w:rPr>
                                          <w:sz w:val="28"/>
                                        </w:rPr>
                                      </w:pPr>
                                      <w:r w:rsidRPr="00FC3BD2">
                                        <w:rPr>
                                          <w:color w:val="000000" w:themeColor="text1"/>
                                          <w:spacing w:val="-9"/>
                                          <w:sz w:val="52"/>
                                          <w:szCs w:val="52"/>
                                        </w:rPr>
                                        <w:t>2015/16-2019/20</w:t>
                                      </w:r>
                                    </w:p>
                                  </w:txbxContent>
                                </wps:txbx>
                                <wps:bodyPr rot="0" vert="horz" wrap="square" lIns="91440" tIns="45720" rIns="91440" bIns="45720" anchor="t" anchorCtr="0" upright="1">
                                  <a:noAutofit/>
                                </wps:bodyPr>
                              </wps:wsp>
                            </wpg:grpSp>
                            <wps:wsp>
                              <wps:cNvPr id="56" name="Text Box 216"/>
                              <wps:cNvSpPr txBox="1">
                                <a:spLocks noChangeArrowheads="1"/>
                              </wps:cNvSpPr>
                              <wps:spPr bwMode="auto">
                                <a:xfrm>
                                  <a:off x="1304" y="11765"/>
                                  <a:ext cx="4538"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6B734" w14:textId="7DD16292" w:rsidR="00FD5BA9" w:rsidRPr="00DC1DF0" w:rsidRDefault="00354896" w:rsidP="005959B5">
                                    <w:pPr>
                                      <w:spacing w:before="59"/>
                                      <w:ind w:left="142" w:right="-20"/>
                                      <w:jc w:val="center"/>
                                      <w:rPr>
                                        <w:b/>
                                        <w:sz w:val="28"/>
                                        <w:szCs w:val="28"/>
                                      </w:rPr>
                                    </w:pPr>
                                    <w:r>
                                      <w:rPr>
                                        <w:rFonts w:eastAsia="Arial"/>
                                        <w:b/>
                                        <w:color w:val="000000" w:themeColor="text1"/>
                                        <w:position w:val="-1"/>
                                        <w:sz w:val="28"/>
                                        <w:szCs w:val="28"/>
                                      </w:rPr>
                                      <w:t>March</w:t>
                                    </w:r>
                                    <w:r w:rsidR="00FD5BA9" w:rsidRPr="00DC1DF0">
                                      <w:rPr>
                                        <w:rFonts w:eastAsia="Arial"/>
                                        <w:b/>
                                        <w:color w:val="000000" w:themeColor="text1"/>
                                        <w:position w:val="-1"/>
                                        <w:sz w:val="28"/>
                                        <w:szCs w:val="28"/>
                                      </w:rPr>
                                      <w:t xml:space="preserve"> 2019</w:t>
                                    </w:r>
                                  </w:p>
                                </w:txbxContent>
                              </wps:txbx>
                              <wps:bodyPr rot="0" vert="horz" wrap="square" lIns="91440" tIns="45720" rIns="91440" bIns="45720" anchor="t" anchorCtr="0" upright="1">
                                <a:noAutofit/>
                              </wps:bodyPr>
                            </wps:wsp>
                            <wpg:grpSp>
                              <wpg:cNvPr id="60" name="Group 233"/>
                              <wpg:cNvGrpSpPr>
                                <a:grpSpLocks/>
                              </wpg:cNvGrpSpPr>
                              <wpg:grpSpPr bwMode="auto">
                                <a:xfrm>
                                  <a:off x="7173" y="10630"/>
                                  <a:ext cx="4703" cy="3215"/>
                                  <a:chOff x="7173" y="10630"/>
                                  <a:chExt cx="4703" cy="3215"/>
                                </a:xfrm>
                              </wpg:grpSpPr>
                              <wpg:grpSp>
                                <wpg:cNvPr id="61" name="Group 232"/>
                                <wpg:cNvGrpSpPr>
                                  <a:grpSpLocks/>
                                </wpg:cNvGrpSpPr>
                                <wpg:grpSpPr bwMode="auto">
                                  <a:xfrm>
                                    <a:off x="7248" y="12010"/>
                                    <a:ext cx="4628" cy="1344"/>
                                    <a:chOff x="7248" y="12010"/>
                                    <a:chExt cx="4628" cy="1344"/>
                                  </a:xfrm>
                                </wpg:grpSpPr>
                                <wps:wsp>
                                  <wps:cNvPr id="62" name="Text Box 223"/>
                                  <wps:cNvSpPr txBox="1">
                                    <a:spLocks noChangeArrowheads="1"/>
                                  </wps:cNvSpPr>
                                  <wps:spPr bwMode="auto">
                                    <a:xfrm>
                                      <a:off x="7248" y="12415"/>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E6A80" w14:textId="77777777" w:rsidR="00FD5BA9" w:rsidRPr="00D51DFF" w:rsidRDefault="00FD5BA9" w:rsidP="005959B5">
                                        <w:pPr>
                                          <w:spacing w:before="59"/>
                                          <w:ind w:left="142" w:right="-20"/>
                                          <w:jc w:val="center"/>
                                          <w:rPr>
                                            <w:rFonts w:eastAsia="Arial"/>
                                            <w:color w:val="000000" w:themeColor="text1"/>
                                            <w:position w:val="-1"/>
                                            <w:sz w:val="36"/>
                                            <w:szCs w:val="34"/>
                                          </w:rPr>
                                        </w:pPr>
                                        <w:r w:rsidRPr="00027FB2">
                                          <w:rPr>
                                            <w:rFonts w:eastAsia="Arial"/>
                                            <w:color w:val="000000" w:themeColor="text1"/>
                                            <w:position w:val="-1"/>
                                            <w:sz w:val="28"/>
                                            <w:szCs w:val="34"/>
                                          </w:rPr>
                                          <w:t>In Association with</w:t>
                                        </w:r>
                                      </w:p>
                                    </w:txbxContent>
                                  </wps:txbx>
                                  <wps:bodyPr rot="0" vert="horz" wrap="square" lIns="91440" tIns="45720" rIns="91440" bIns="45720" anchor="t" anchorCtr="0" upright="1">
                                    <a:noAutofit/>
                                  </wps:bodyPr>
                                </wps:wsp>
                                <wps:wsp>
                                  <wps:cNvPr id="63" name="Text Box 224"/>
                                  <wps:cNvSpPr txBox="1">
                                    <a:spLocks noChangeArrowheads="1"/>
                                  </wps:cNvSpPr>
                                  <wps:spPr bwMode="auto">
                                    <a:xfrm>
                                      <a:off x="9731" y="12010"/>
                                      <a:ext cx="2145"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3D6D" w14:textId="77777777" w:rsidR="00FD5BA9" w:rsidRDefault="00FD5BA9" w:rsidP="005959B5">
                                        <w:pPr>
                                          <w:spacing w:before="59"/>
                                          <w:ind w:left="142" w:right="-20"/>
                                          <w:rPr>
                                            <w:rFonts w:eastAsia="Arial"/>
                                            <w:color w:val="000000" w:themeColor="text1"/>
                                            <w:position w:val="-1"/>
                                            <w:sz w:val="36"/>
                                            <w:szCs w:val="34"/>
                                          </w:rPr>
                                        </w:pPr>
                                        <w:r w:rsidRPr="008A105A">
                                          <w:rPr>
                                            <w:noProof/>
                                            <w:lang w:eastAsia="en-GB"/>
                                          </w:rPr>
                                          <w:drawing>
                                            <wp:inline distT="0" distB="0" distL="0" distR="0" wp14:anchorId="5E4B646F" wp14:editId="0D58EAD7">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50573C6A" w14:textId="77777777" w:rsidR="00FD5BA9" w:rsidRPr="00D51DFF" w:rsidRDefault="00FD5BA9" w:rsidP="005959B5">
                                        <w:pPr>
                                          <w:spacing w:before="59"/>
                                          <w:ind w:left="142" w:right="-20"/>
                                          <w:jc w:val="center"/>
                                          <w:rPr>
                                            <w:rFonts w:eastAsia="Arial"/>
                                            <w:color w:val="000000" w:themeColor="text1"/>
                                            <w:position w:val="-1"/>
                                            <w:sz w:val="36"/>
                                            <w:szCs w:val="34"/>
                                          </w:rPr>
                                        </w:pPr>
                                      </w:p>
                                    </w:txbxContent>
                                  </wps:txbx>
                                  <wps:bodyPr rot="0" vert="horz" wrap="square" lIns="91440" tIns="45720" rIns="91440" bIns="45720" anchor="t" anchorCtr="0" upright="1">
                                    <a:noAutofit/>
                                  </wps:bodyPr>
                                </wps:wsp>
                              </wpg:grpSp>
                              <wpg:grpSp>
                                <wpg:cNvPr id="64" name="Group 231"/>
                                <wpg:cNvGrpSpPr>
                                  <a:grpSpLocks/>
                                </wpg:cNvGrpSpPr>
                                <wpg:grpSpPr bwMode="auto">
                                  <a:xfrm>
                                    <a:off x="7233" y="10630"/>
                                    <a:ext cx="4283" cy="1554"/>
                                    <a:chOff x="7233" y="10630"/>
                                    <a:chExt cx="4283" cy="1554"/>
                                  </a:xfrm>
                                </wpg:grpSpPr>
                                <wps:wsp>
                                  <wps:cNvPr id="65" name="Text Box 218"/>
                                  <wps:cNvSpPr txBox="1">
                                    <a:spLocks noChangeArrowheads="1"/>
                                  </wps:cNvSpPr>
                                  <wps:spPr bwMode="auto">
                                    <a:xfrm>
                                      <a:off x="7233" y="11080"/>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4F9B3" w14:textId="77777777" w:rsidR="00FD5BA9" w:rsidRPr="00027FB2" w:rsidRDefault="00FD5BA9" w:rsidP="005959B5">
                                        <w:pPr>
                                          <w:spacing w:before="59"/>
                                          <w:ind w:left="142" w:right="-20"/>
                                          <w:rPr>
                                            <w:rFonts w:eastAsia="Arial"/>
                                            <w:color w:val="000000" w:themeColor="text1"/>
                                            <w:position w:val="-1"/>
                                            <w:sz w:val="28"/>
                                            <w:szCs w:val="34"/>
                                          </w:rPr>
                                        </w:pPr>
                                        <w:r w:rsidRPr="00027FB2">
                                          <w:rPr>
                                            <w:rFonts w:eastAsia="Arial"/>
                                            <w:color w:val="000000" w:themeColor="text1"/>
                                            <w:position w:val="-1"/>
                                            <w:sz w:val="28"/>
                                            <w:szCs w:val="34"/>
                                          </w:rPr>
                                          <w:t>Prepared by</w:t>
                                        </w:r>
                                      </w:p>
                                      <w:p w14:paraId="77CC49F3" w14:textId="77777777" w:rsidR="00FD5BA9" w:rsidRPr="00D51DFF" w:rsidRDefault="00FD5BA9" w:rsidP="005959B5">
                                        <w:pPr>
                                          <w:spacing w:before="59"/>
                                          <w:ind w:left="142" w:right="-20"/>
                                          <w:jc w:val="center"/>
                                          <w:rPr>
                                            <w:rFonts w:eastAsia="Arial"/>
                                            <w:color w:val="000000" w:themeColor="text1"/>
                                            <w:position w:val="-1"/>
                                            <w:sz w:val="36"/>
                                            <w:szCs w:val="34"/>
                                          </w:rPr>
                                        </w:pPr>
                                      </w:p>
                                    </w:txbxContent>
                                  </wps:txbx>
                                  <wps:bodyPr rot="0" vert="horz" wrap="square" lIns="91440" tIns="45720" rIns="91440" bIns="45720" anchor="t" anchorCtr="0" upright="1">
                                    <a:noAutofit/>
                                  </wps:bodyPr>
                                </wps:wsp>
                                <wps:wsp>
                                  <wps:cNvPr id="66" name="Text Box 219"/>
                                  <wps:cNvSpPr txBox="1">
                                    <a:spLocks noChangeArrowheads="1"/>
                                  </wps:cNvSpPr>
                                  <wps:spPr bwMode="auto">
                                    <a:xfrm>
                                      <a:off x="9716" y="10630"/>
                                      <a:ext cx="1800" cy="1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1580" w14:textId="77777777" w:rsidR="00FD5BA9" w:rsidRDefault="00FD5BA9" w:rsidP="005959B5">
                                        <w:pPr>
                                          <w:spacing w:before="59"/>
                                          <w:ind w:left="142" w:right="-20"/>
                                          <w:rPr>
                                            <w:rFonts w:eastAsia="Arial"/>
                                            <w:color w:val="000000" w:themeColor="text1"/>
                                            <w:position w:val="-1"/>
                                            <w:sz w:val="36"/>
                                            <w:szCs w:val="34"/>
                                          </w:rPr>
                                        </w:pPr>
                                        <w:r w:rsidRPr="008A105A">
                                          <w:rPr>
                                            <w:noProof/>
                                            <w:lang w:eastAsia="en-GB"/>
                                          </w:rPr>
                                          <w:drawing>
                                            <wp:inline distT="0" distB="0" distL="0" distR="0" wp14:anchorId="2735FEE4" wp14:editId="5D8040ED">
                                              <wp:extent cx="885257" cy="857250"/>
                                              <wp:effectExtent l="0" t="0" r="0" b="0"/>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3AA4A525" w14:textId="77777777" w:rsidR="00FD5BA9" w:rsidRPr="00D51DFF" w:rsidRDefault="00FD5BA9" w:rsidP="005959B5">
                                        <w:pPr>
                                          <w:spacing w:before="59"/>
                                          <w:ind w:left="142" w:right="-20"/>
                                          <w:jc w:val="center"/>
                                          <w:rPr>
                                            <w:rFonts w:eastAsia="Arial"/>
                                            <w:color w:val="000000" w:themeColor="text1"/>
                                            <w:position w:val="-1"/>
                                            <w:sz w:val="36"/>
                                            <w:szCs w:val="34"/>
                                          </w:rPr>
                                        </w:pPr>
                                      </w:p>
                                    </w:txbxContent>
                                  </wps:txbx>
                                  <wps:bodyPr rot="0" vert="horz" wrap="square" lIns="91440" tIns="45720" rIns="91440" bIns="45720" anchor="t" anchorCtr="0" upright="1">
                                    <a:noAutofit/>
                                  </wps:bodyPr>
                                </wps:wsp>
                              </wpg:grpSp>
                              <wps:wsp>
                                <wps:cNvPr id="67" name="Text Box 225"/>
                                <wps:cNvSpPr txBox="1">
                                  <a:spLocks noChangeArrowheads="1"/>
                                </wps:cNvSpPr>
                                <wps:spPr bwMode="auto">
                                  <a:xfrm>
                                    <a:off x="7173" y="13225"/>
                                    <a:ext cx="460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4934E" w14:textId="77777777" w:rsidR="00FD5BA9" w:rsidRPr="00D51DFF" w:rsidRDefault="00FD5BA9" w:rsidP="005959B5">
                                      <w:pPr>
                                        <w:spacing w:before="59"/>
                                        <w:ind w:left="142" w:right="-20"/>
                                        <w:jc w:val="center"/>
                                        <w:rPr>
                                          <w:rFonts w:eastAsia="Arial"/>
                                          <w:color w:val="000000" w:themeColor="text1"/>
                                          <w:position w:val="-1"/>
                                          <w:sz w:val="36"/>
                                          <w:szCs w:val="34"/>
                                        </w:rPr>
                                      </w:pPr>
                                      <w:r>
                                        <w:rPr>
                                          <w:rFonts w:eastAsia="Arial"/>
                                          <w:color w:val="000000" w:themeColor="text1"/>
                                          <w:position w:val="-1"/>
                                          <w:sz w:val="28"/>
                                          <w:szCs w:val="34"/>
                                        </w:rPr>
                                        <w:t xml:space="preserve">For </w:t>
                                      </w:r>
                                      <w:r w:rsidRPr="00027FB2">
                                        <w:rPr>
                                          <w:rFonts w:eastAsia="Arial"/>
                                          <w:color w:val="000000" w:themeColor="text1"/>
                                          <w:position w:val="-1"/>
                                          <w:sz w:val="28"/>
                                          <w:szCs w:val="34"/>
                                        </w:rPr>
                                        <w:t>the National Planning Authority</w:t>
                                      </w:r>
                                    </w:p>
                                  </w:txbxContent>
                                </wps:txbx>
                                <wps:bodyPr rot="0" vert="horz" wrap="square" lIns="91440" tIns="45720" rIns="91440" bIns="45720" anchor="t" anchorCtr="0" upright="1">
                                  <a:noAutofit/>
                                </wps:bodyPr>
                              </wps:wsp>
                            </wpg:grpSp>
                            <wps:wsp>
                              <wps:cNvPr id="68" name="AutoShape 226"/>
                              <wps:cNvCnPr>
                                <a:cxnSpLocks noChangeShapeType="1"/>
                              </wps:cNvCnPr>
                              <wps:spPr bwMode="auto">
                                <a:xfrm flipV="1">
                                  <a:off x="7173" y="9691"/>
                                  <a:ext cx="5053" cy="14"/>
                                </a:xfrm>
                                <a:prstGeom prst="straightConnector1">
                                  <a:avLst/>
                                </a:prstGeom>
                                <a:noFill/>
                                <a:ln w="57150"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C7599E0" id="Group 235" o:spid="_x0000_s1026" style="position:absolute;left:0;text-align:left;margin-left:-39pt;margin-top:-73.5pt;width:561.1pt;height:841.9pt;z-index:251684864" coordorigin="1004,-390" coordsize="11222,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">
                    <v:shape id="Freeform 154" o:spid="_x0000_s1027" style="position:absolute;left:7188;top:-390;width:5038;height:16838;visibility:visible;mso-wrap-style:square;v-text-anchor:top" coordsize="4701,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" path="m,16838r4701,l4701,,,,,16838e" fillcolor="#e9f892" stroked="f">
                      <v:path arrowok="t" o:connecttype="custom" o:connectlocs="0,16838;5038,16838;5038,0;0,0;0,16838" o:connectangles="0,0,0,0,0"/>
                    </v:shape>
                    <v:group id="Group 227" o:spid="_x0000_s1028" style="position:absolute;left:1349;top:815;width:9828;height:1710" coordorigin="1349,815" coordsize="982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type id="_x0000_t202" coordsize="21600,21600" o:spt="202" path="m,l,21600r21600,l21600,xe">
                        <v:stroke joinstyle="miter"/>
                        <v:path gradientshapeok="t" o:connecttype="rect"/>
                      </v:shapetype>
                      <v:shape id="Text Box 161" o:spid="_x0000_s1029" type="#_x0000_t202" style="position:absolute;left:8849;top:860;width:23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" filled="f" stroked="f" strokecolor="white [3212]">
                        <v:textbox>
                          <w:txbxContent>
                            <w:p w14:paraId="20BD07A1" w14:textId="77777777" w:rsidR="00FD5BA9" w:rsidRDefault="00FD5BA9">
                              <w:r w:rsidRPr="00D31687">
                                <w:rPr>
                                  <w:rFonts w:ascii="Arial Unicode MS" w:eastAsia="Arial Unicode MS" w:hAnsi="Arial Unicode MS" w:cs="Arial Unicode MS"/>
                                  <w:noProof/>
                                  <w:sz w:val="32"/>
                                  <w:lang w:eastAsia="en-GB"/>
                                </w:rPr>
                                <w:drawing>
                                  <wp:inline distT="0" distB="0" distL="0" distR="0" wp14:anchorId="52F1A646" wp14:editId="1B84A7AB">
                                    <wp:extent cx="1304925" cy="8763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v:textbox>
                      </v:shape>
                      <v:shape id="Text Box 162" o:spid="_x0000_s1030" type="#_x0000_t202" style="position:absolute;left:1349;top:815;width:188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" filled="f" stroked="f" strokecolor="black [3213]">
                        <v:textbox>
                          <w:txbxContent>
                            <w:p w14:paraId="6A771B88" w14:textId="77777777" w:rsidR="00FD5BA9" w:rsidRDefault="00FD5BA9" w:rsidP="005959B5">
                              <w:r w:rsidRPr="00D31687">
                                <w:rPr>
                                  <w:rFonts w:ascii="Arial Unicode MS" w:eastAsia="Arial Unicode MS" w:hAnsi="Arial Unicode MS" w:cs="Arial Unicode MS"/>
                                  <w:noProof/>
                                  <w:sz w:val="32"/>
                                  <w:lang w:eastAsia="en-GB"/>
                                </w:rPr>
                                <w:drawing>
                                  <wp:inline distT="0" distB="0" distL="0" distR="0" wp14:anchorId="4B211599" wp14:editId="4F467D8D">
                                    <wp:extent cx="1038225" cy="1038225"/>
                                    <wp:effectExtent l="0" t="0" r="9525" b="9525"/>
                                    <wp:docPr id="70" name="Picture 70"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v:textbox>
                      </v:shape>
                    </v:group>
                    <v:group id="Group 234" o:spid="_x0000_s1031" style="position:absolute;left:1004;top:5876;width:11222;height:7969" coordorigin="1004,5876" coordsize="11222,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229" o:spid="_x0000_s1032" style="position:absolute;left:1004;top:5876;width:11222;height:2844" coordorigin="1004,5876" coordsize="11222,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163" o:spid="_x0000_s1033" type="#_x0000_t202" style="position:absolute;left:7188;top:6285;width:503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10EABE3A" w14:textId="77777777" w:rsidR="00FD5BA9" w:rsidRPr="00DC1DF0" w:rsidRDefault="00FD5BA9" w:rsidP="005959B5">
                                <w:pPr>
                                  <w:spacing w:before="59"/>
                                  <w:ind w:left="142" w:right="-20"/>
                                  <w:jc w:val="center"/>
                                  <w:rPr>
                                    <w:b/>
                                    <w:sz w:val="18"/>
                                  </w:rPr>
                                </w:pPr>
                                <w:r w:rsidRPr="00DC1DF0">
                                  <w:rPr>
                                    <w:rFonts w:eastAsia="Arial"/>
                                    <w:b/>
                                    <w:color w:val="000000" w:themeColor="text1"/>
                                    <w:position w:val="-1"/>
                                    <w:sz w:val="46"/>
                                    <w:szCs w:val="34"/>
                                  </w:rPr>
                                  <w:t>Economic Management Thematic Report</w:t>
                                </w:r>
                              </w:p>
                            </w:txbxContent>
                          </v:textbox>
                        </v:shape>
                        <v:shape id="Text Box 215" o:spid="_x0000_s1034" type="#_x0000_t202" style="position:absolute;left:1004;top:5876;width:589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5C1E0A2" w14:textId="77777777" w:rsidR="00FD5BA9" w:rsidRPr="00FC3BD2" w:rsidRDefault="00FD5BA9" w:rsidP="005959B5">
                                <w:pPr>
                                  <w:jc w:val="center"/>
                                  <w:rPr>
                                    <w:color w:val="000000" w:themeColor="text1"/>
                                    <w:spacing w:val="-9"/>
                                    <w:sz w:val="52"/>
                                    <w:szCs w:val="52"/>
                                  </w:rPr>
                                </w:pPr>
                                <w:r w:rsidRPr="00FC3BD2">
                                  <w:rPr>
                                    <w:color w:val="000000" w:themeColor="text1"/>
                                    <w:spacing w:val="-9"/>
                                    <w:sz w:val="52"/>
                                    <w:szCs w:val="52"/>
                                  </w:rPr>
                                  <w:t>Mid-Term Review of the Second National Development Plan</w:t>
                                </w:r>
                                <w:r>
                                  <w:rPr>
                                    <w:color w:val="000000" w:themeColor="text1"/>
                                    <w:spacing w:val="-9"/>
                                    <w:sz w:val="52"/>
                                    <w:szCs w:val="52"/>
                                  </w:rPr>
                                  <w:t xml:space="preserve"> (NDPII)</w:t>
                                </w:r>
                              </w:p>
                              <w:p w14:paraId="29D3A81B" w14:textId="77777777" w:rsidR="00FD5BA9" w:rsidRPr="00FC3BD2" w:rsidRDefault="00FD5BA9" w:rsidP="005959B5">
                                <w:pPr>
                                  <w:jc w:val="center"/>
                                  <w:rPr>
                                    <w:sz w:val="28"/>
                                  </w:rPr>
                                </w:pPr>
                                <w:r w:rsidRPr="00FC3BD2">
                                  <w:rPr>
                                    <w:color w:val="000000" w:themeColor="text1"/>
                                    <w:spacing w:val="-9"/>
                                    <w:sz w:val="52"/>
                                    <w:szCs w:val="52"/>
                                  </w:rPr>
                                  <w:t>2015/16-2019/20</w:t>
                                </w:r>
                              </w:p>
                            </w:txbxContent>
                          </v:textbox>
                        </v:shape>
                      </v:group>
                      <v:shape id="Text Box 216" o:spid="_x0000_s1035" type="#_x0000_t202" style="position:absolute;left:1304;top:11765;width:453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60A6B734" w14:textId="7DD16292" w:rsidR="00FD5BA9" w:rsidRPr="00DC1DF0" w:rsidRDefault="00354896" w:rsidP="005959B5">
                              <w:pPr>
                                <w:spacing w:before="59"/>
                                <w:ind w:left="142" w:right="-20"/>
                                <w:jc w:val="center"/>
                                <w:rPr>
                                  <w:b/>
                                  <w:sz w:val="28"/>
                                  <w:szCs w:val="28"/>
                                </w:rPr>
                              </w:pPr>
                              <w:r>
                                <w:rPr>
                                  <w:rFonts w:eastAsia="Arial"/>
                                  <w:b/>
                                  <w:color w:val="000000" w:themeColor="text1"/>
                                  <w:position w:val="-1"/>
                                  <w:sz w:val="28"/>
                                  <w:szCs w:val="28"/>
                                </w:rPr>
                                <w:t>March</w:t>
                              </w:r>
                              <w:r w:rsidR="00FD5BA9" w:rsidRPr="00DC1DF0">
                                <w:rPr>
                                  <w:rFonts w:eastAsia="Arial"/>
                                  <w:b/>
                                  <w:color w:val="000000" w:themeColor="text1"/>
                                  <w:position w:val="-1"/>
                                  <w:sz w:val="28"/>
                                  <w:szCs w:val="28"/>
                                </w:rPr>
                                <w:t xml:space="preserve"> 2019</w:t>
                              </w:r>
                            </w:p>
                          </w:txbxContent>
                        </v:textbox>
                      </v:shape>
                      <v:group id="Group 233" o:spid="_x0000_s1036" style="position:absolute;left:7173;top:10630;width:4703;height:3215" coordorigin="7173,10630" coordsize="4703,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232" o:spid="_x0000_s1037" style="position:absolute;left:7248;top:12010;width:4628;height:1344" coordorigin="7248,12010" coordsize="4628,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Text Box 223" o:spid="_x0000_s1038" type="#_x0000_t202" style="position:absolute;left:7248;top:12415;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72E6A80" w14:textId="77777777" w:rsidR="00FD5BA9" w:rsidRPr="00D51DFF" w:rsidRDefault="00FD5BA9" w:rsidP="005959B5">
                                  <w:pPr>
                                    <w:spacing w:before="59"/>
                                    <w:ind w:left="142" w:right="-20"/>
                                    <w:jc w:val="center"/>
                                    <w:rPr>
                                      <w:rFonts w:eastAsia="Arial"/>
                                      <w:color w:val="000000" w:themeColor="text1"/>
                                      <w:position w:val="-1"/>
                                      <w:sz w:val="36"/>
                                      <w:szCs w:val="34"/>
                                    </w:rPr>
                                  </w:pPr>
                                  <w:r w:rsidRPr="00027FB2">
                                    <w:rPr>
                                      <w:rFonts w:eastAsia="Arial"/>
                                      <w:color w:val="000000" w:themeColor="text1"/>
                                      <w:position w:val="-1"/>
                                      <w:sz w:val="28"/>
                                      <w:szCs w:val="34"/>
                                    </w:rPr>
                                    <w:t>In Association with</w:t>
                                  </w:r>
                                </w:p>
                              </w:txbxContent>
                            </v:textbox>
                          </v:shape>
                          <v:shape id="Text Box 224" o:spid="_x0000_s1039" type="#_x0000_t202" style="position:absolute;left:9731;top:12010;width:2145;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2F0E3D6D" w14:textId="77777777" w:rsidR="00FD5BA9" w:rsidRDefault="00FD5BA9" w:rsidP="005959B5">
                                  <w:pPr>
                                    <w:spacing w:before="59"/>
                                    <w:ind w:left="142" w:right="-20"/>
                                    <w:rPr>
                                      <w:rFonts w:eastAsia="Arial"/>
                                      <w:color w:val="000000" w:themeColor="text1"/>
                                      <w:position w:val="-1"/>
                                      <w:sz w:val="36"/>
                                      <w:szCs w:val="34"/>
                                    </w:rPr>
                                  </w:pPr>
                                  <w:r w:rsidRPr="008A105A">
                                    <w:rPr>
                                      <w:noProof/>
                                      <w:lang w:eastAsia="en-GB"/>
                                    </w:rPr>
                                    <w:drawing>
                                      <wp:inline distT="0" distB="0" distL="0" distR="0" wp14:anchorId="5E4B646F" wp14:editId="0D58EAD7">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50573C6A" w14:textId="77777777" w:rsidR="00FD5BA9" w:rsidRPr="00D51DFF" w:rsidRDefault="00FD5BA9" w:rsidP="005959B5">
                                  <w:pPr>
                                    <w:spacing w:before="59"/>
                                    <w:ind w:left="142" w:right="-20"/>
                                    <w:jc w:val="center"/>
                                    <w:rPr>
                                      <w:rFonts w:eastAsia="Arial"/>
                                      <w:color w:val="000000" w:themeColor="text1"/>
                                      <w:position w:val="-1"/>
                                      <w:sz w:val="36"/>
                                      <w:szCs w:val="34"/>
                                    </w:rPr>
                                  </w:pPr>
                                </w:p>
                              </w:txbxContent>
                            </v:textbox>
                          </v:shape>
                        </v:group>
                        <v:group id="Group 231" o:spid="_x0000_s1040" style="position:absolute;left:7233;top:10630;width:4283;height:1554" coordorigin="7233,10630" coordsize="4283,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218" o:spid="_x0000_s1041" type="#_x0000_t202" style="position:absolute;left:7233;top:11080;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7764F9B3" w14:textId="77777777" w:rsidR="00FD5BA9" w:rsidRPr="00027FB2" w:rsidRDefault="00FD5BA9" w:rsidP="005959B5">
                                  <w:pPr>
                                    <w:spacing w:before="59"/>
                                    <w:ind w:left="142" w:right="-20"/>
                                    <w:rPr>
                                      <w:rFonts w:eastAsia="Arial"/>
                                      <w:color w:val="000000" w:themeColor="text1"/>
                                      <w:position w:val="-1"/>
                                      <w:sz w:val="28"/>
                                      <w:szCs w:val="34"/>
                                    </w:rPr>
                                  </w:pPr>
                                  <w:r w:rsidRPr="00027FB2">
                                    <w:rPr>
                                      <w:rFonts w:eastAsia="Arial"/>
                                      <w:color w:val="000000" w:themeColor="text1"/>
                                      <w:position w:val="-1"/>
                                      <w:sz w:val="28"/>
                                      <w:szCs w:val="34"/>
                                    </w:rPr>
                                    <w:t>Prepared by</w:t>
                                  </w:r>
                                </w:p>
                                <w:p w14:paraId="77CC49F3" w14:textId="77777777" w:rsidR="00FD5BA9" w:rsidRPr="00D51DFF" w:rsidRDefault="00FD5BA9" w:rsidP="005959B5">
                                  <w:pPr>
                                    <w:spacing w:before="59"/>
                                    <w:ind w:left="142" w:right="-20"/>
                                    <w:jc w:val="center"/>
                                    <w:rPr>
                                      <w:rFonts w:eastAsia="Arial"/>
                                      <w:color w:val="000000" w:themeColor="text1"/>
                                      <w:position w:val="-1"/>
                                      <w:sz w:val="36"/>
                                      <w:szCs w:val="34"/>
                                    </w:rPr>
                                  </w:pPr>
                                </w:p>
                              </w:txbxContent>
                            </v:textbox>
                          </v:shape>
                          <v:shape id="Text Box 219" o:spid="_x0000_s1042" type="#_x0000_t202" style="position:absolute;left:9716;top:10630;width:1800;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29EB1580" w14:textId="77777777" w:rsidR="00FD5BA9" w:rsidRDefault="00FD5BA9" w:rsidP="005959B5">
                                  <w:pPr>
                                    <w:spacing w:before="59"/>
                                    <w:ind w:left="142" w:right="-20"/>
                                    <w:rPr>
                                      <w:rFonts w:eastAsia="Arial"/>
                                      <w:color w:val="000000" w:themeColor="text1"/>
                                      <w:position w:val="-1"/>
                                      <w:sz w:val="36"/>
                                      <w:szCs w:val="34"/>
                                    </w:rPr>
                                  </w:pPr>
                                  <w:r w:rsidRPr="008A105A">
                                    <w:rPr>
                                      <w:noProof/>
                                      <w:lang w:eastAsia="en-GB"/>
                                    </w:rPr>
                                    <w:drawing>
                                      <wp:inline distT="0" distB="0" distL="0" distR="0" wp14:anchorId="2735FEE4" wp14:editId="5D8040ED">
                                        <wp:extent cx="885257" cy="857250"/>
                                        <wp:effectExtent l="0" t="0" r="0" b="0"/>
                                        <wp:docPr id="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3AA4A525" w14:textId="77777777" w:rsidR="00FD5BA9" w:rsidRPr="00D51DFF" w:rsidRDefault="00FD5BA9" w:rsidP="005959B5">
                                  <w:pPr>
                                    <w:spacing w:before="59"/>
                                    <w:ind w:left="142" w:right="-20"/>
                                    <w:jc w:val="center"/>
                                    <w:rPr>
                                      <w:rFonts w:eastAsia="Arial"/>
                                      <w:color w:val="000000" w:themeColor="text1"/>
                                      <w:position w:val="-1"/>
                                      <w:sz w:val="36"/>
                                      <w:szCs w:val="34"/>
                                    </w:rPr>
                                  </w:pPr>
                                </w:p>
                              </w:txbxContent>
                            </v:textbox>
                          </v:shape>
                        </v:group>
                        <v:shape id="Text Box 225" o:spid="_x0000_s1043" type="#_x0000_t202" style="position:absolute;left:7173;top:13225;width:460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5DA4934E" w14:textId="77777777" w:rsidR="00FD5BA9" w:rsidRPr="00D51DFF" w:rsidRDefault="00FD5BA9" w:rsidP="005959B5">
                                <w:pPr>
                                  <w:spacing w:before="59"/>
                                  <w:ind w:left="142" w:right="-20"/>
                                  <w:jc w:val="center"/>
                                  <w:rPr>
                                    <w:rFonts w:eastAsia="Arial"/>
                                    <w:color w:val="000000" w:themeColor="text1"/>
                                    <w:position w:val="-1"/>
                                    <w:sz w:val="36"/>
                                    <w:szCs w:val="34"/>
                                  </w:rPr>
                                </w:pPr>
                                <w:r>
                                  <w:rPr>
                                    <w:rFonts w:eastAsia="Arial"/>
                                    <w:color w:val="000000" w:themeColor="text1"/>
                                    <w:position w:val="-1"/>
                                    <w:sz w:val="28"/>
                                    <w:szCs w:val="34"/>
                                  </w:rPr>
                                  <w:t xml:space="preserve">For </w:t>
                                </w:r>
                                <w:r w:rsidRPr="00027FB2">
                                  <w:rPr>
                                    <w:rFonts w:eastAsia="Arial"/>
                                    <w:color w:val="000000" w:themeColor="text1"/>
                                    <w:position w:val="-1"/>
                                    <w:sz w:val="28"/>
                                    <w:szCs w:val="34"/>
                                  </w:rPr>
                                  <w:t>the National Planning Authority</w:t>
                                </w:r>
                              </w:p>
                            </w:txbxContent>
                          </v:textbox>
                        </v:shape>
                      </v:group>
                      <v:shapetype id="_x0000_t32" coordsize="21600,21600" o:spt="32" o:oned="t" path="m,l21600,21600e" filled="f">
                        <v:path arrowok="t" fillok="f" o:connecttype="none"/>
                        <o:lock v:ext="edit" shapetype="t"/>
                      </v:shapetype>
                      <v:shape id="AutoShape 226" o:spid="_x0000_s1044" type="#_x0000_t32" style="position:absolute;left:7173;top:9691;width:505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" strokecolor="#0070c0" strokeweight="4.5pt"/>
                    </v:group>
                  </v:group>
                </w:pict>
              </mc:Fallback>
            </mc:AlternateContent>
          </w:r>
          <w:r w:rsidR="00DC1DF0" w:rsidRPr="000E1B7E">
            <w:br w:type="page"/>
          </w:r>
        </w:p>
        <w:bookmarkStart w:id="0" w:name="_GoBack" w:displacedByCustomXml="next"/>
        <w:bookmarkEnd w:id="0" w:displacedByCustomXml="next"/>
      </w:sdtContent>
    </w:sdt>
    <w:p w14:paraId="6F660BA2" w14:textId="77777777" w:rsidR="00EE55E7" w:rsidRPr="000E1B7E" w:rsidRDefault="00EE55E7" w:rsidP="00582844">
      <w:pPr>
        <w:pStyle w:val="Heading1"/>
      </w:pPr>
      <w:bookmarkStart w:id="1" w:name="_Toc3478361"/>
      <w:bookmarkStart w:id="2" w:name="_Toc11956243"/>
      <w:bookmarkStart w:id="3" w:name="_Toc358391031"/>
      <w:bookmarkStart w:id="4" w:name="_Toc361577034"/>
      <w:bookmarkStart w:id="5" w:name="_Toc355642226"/>
      <w:bookmarkStart w:id="6" w:name="_Toc357608133"/>
      <w:r w:rsidRPr="000E1B7E">
        <w:lastRenderedPageBreak/>
        <w:t>Contents</w:t>
      </w:r>
      <w:bookmarkEnd w:id="1"/>
      <w:bookmarkEnd w:id="2"/>
    </w:p>
    <w:p w14:paraId="38D92922" w14:textId="77777777" w:rsidR="000E1B7E" w:rsidRPr="000E1B7E" w:rsidRDefault="001232BF" w:rsidP="000E1B7E">
      <w:pPr>
        <w:pStyle w:val="TOC1"/>
        <w:tabs>
          <w:tab w:val="right" w:leader="dot" w:pos="9016"/>
        </w:tabs>
        <w:spacing w:line="360" w:lineRule="auto"/>
        <w:rPr>
          <w:rFonts w:ascii="Times New Roman" w:eastAsiaTheme="minorEastAsia" w:hAnsi="Times New Roman" w:cs="Times New Roman"/>
          <w:b w:val="0"/>
          <w:bCs w:val="0"/>
          <w:caps w:val="0"/>
          <w:noProof/>
          <w:lang w:val="en-US"/>
        </w:rPr>
      </w:pPr>
      <w:r w:rsidRPr="000E1B7E">
        <w:rPr>
          <w:rFonts w:ascii="Times New Roman" w:hAnsi="Times New Roman" w:cs="Times New Roman"/>
          <w:b w:val="0"/>
        </w:rPr>
        <w:fldChar w:fldCharType="begin"/>
      </w:r>
      <w:r w:rsidR="00061159" w:rsidRPr="000E1B7E">
        <w:rPr>
          <w:rFonts w:ascii="Times New Roman" w:hAnsi="Times New Roman" w:cs="Times New Roman"/>
          <w:b w:val="0"/>
        </w:rPr>
        <w:instrText xml:space="preserve"> TOC \o "1-2" \h \z \u </w:instrText>
      </w:r>
      <w:r w:rsidRPr="000E1B7E">
        <w:rPr>
          <w:rFonts w:ascii="Times New Roman" w:hAnsi="Times New Roman" w:cs="Times New Roman"/>
          <w:b w:val="0"/>
        </w:rPr>
        <w:fldChar w:fldCharType="separate"/>
      </w:r>
      <w:hyperlink w:anchor="_Toc11956243" w:history="1">
        <w:r w:rsidR="000E1B7E" w:rsidRPr="000E1B7E">
          <w:rPr>
            <w:rStyle w:val="Hyperlink"/>
            <w:rFonts w:ascii="Times New Roman" w:hAnsi="Times New Roman" w:cs="Times New Roman"/>
            <w:noProof/>
          </w:rPr>
          <w:t>Contents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_Toc11956243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i</w:t>
        </w:r>
        <w:r w:rsidR="000E1B7E" w:rsidRPr="000E1B7E">
          <w:rPr>
            <w:rFonts w:ascii="Times New Roman" w:hAnsi="Times New Roman" w:cs="Times New Roman"/>
            <w:noProof/>
            <w:webHidden/>
          </w:rPr>
          <w:fldChar w:fldCharType="end"/>
        </w:r>
      </w:hyperlink>
    </w:p>
    <w:p w14:paraId="7E0BCAC0" w14:textId="77777777" w:rsidR="000E1B7E" w:rsidRPr="000E1B7E" w:rsidRDefault="00687502" w:rsidP="000E1B7E">
      <w:pPr>
        <w:pStyle w:val="TOC1"/>
        <w:tabs>
          <w:tab w:val="right" w:leader="dot" w:pos="9016"/>
        </w:tabs>
        <w:spacing w:line="360" w:lineRule="auto"/>
        <w:rPr>
          <w:rFonts w:ascii="Times New Roman" w:eastAsiaTheme="minorEastAsia" w:hAnsi="Times New Roman" w:cs="Times New Roman"/>
          <w:b w:val="0"/>
          <w:bCs w:val="0"/>
          <w:caps w:val="0"/>
          <w:noProof/>
          <w:lang w:val="en-US"/>
        </w:rPr>
      </w:pPr>
      <w:hyperlink w:anchor="_Toc11956244" w:history="1">
        <w:r w:rsidR="000E1B7E" w:rsidRPr="000E1B7E">
          <w:rPr>
            <w:rStyle w:val="Hyperlink"/>
            <w:rFonts w:ascii="Times New Roman" w:hAnsi="Times New Roman" w:cs="Times New Roman"/>
            <w:noProof/>
          </w:rPr>
          <w:t>List of Tables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_Toc11956244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iii</w:t>
        </w:r>
        <w:r w:rsidR="000E1B7E" w:rsidRPr="000E1B7E">
          <w:rPr>
            <w:rFonts w:ascii="Times New Roman" w:hAnsi="Times New Roman" w:cs="Times New Roman"/>
            <w:noProof/>
            <w:webHidden/>
          </w:rPr>
          <w:fldChar w:fldCharType="end"/>
        </w:r>
      </w:hyperlink>
    </w:p>
    <w:p w14:paraId="256E19F1" w14:textId="77777777" w:rsidR="000E1B7E" w:rsidRPr="000E1B7E" w:rsidRDefault="00687502" w:rsidP="000E1B7E">
      <w:pPr>
        <w:pStyle w:val="TOC1"/>
        <w:tabs>
          <w:tab w:val="right" w:leader="dot" w:pos="9016"/>
        </w:tabs>
        <w:spacing w:line="360" w:lineRule="auto"/>
        <w:rPr>
          <w:rFonts w:ascii="Times New Roman" w:eastAsiaTheme="minorEastAsia" w:hAnsi="Times New Roman" w:cs="Times New Roman"/>
          <w:b w:val="0"/>
          <w:bCs w:val="0"/>
          <w:caps w:val="0"/>
          <w:noProof/>
          <w:lang w:val="en-US"/>
        </w:rPr>
      </w:pPr>
      <w:hyperlink w:anchor="_Toc11956245" w:history="1">
        <w:r w:rsidR="000E1B7E" w:rsidRPr="000E1B7E">
          <w:rPr>
            <w:rStyle w:val="Hyperlink"/>
            <w:rFonts w:ascii="Times New Roman" w:hAnsi="Times New Roman" w:cs="Times New Roman"/>
            <w:noProof/>
          </w:rPr>
          <w:t>List of Figures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_Toc11956245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iv</w:t>
        </w:r>
        <w:r w:rsidR="000E1B7E" w:rsidRPr="000E1B7E">
          <w:rPr>
            <w:rFonts w:ascii="Times New Roman" w:hAnsi="Times New Roman" w:cs="Times New Roman"/>
            <w:noProof/>
            <w:webHidden/>
          </w:rPr>
          <w:fldChar w:fldCharType="end"/>
        </w:r>
      </w:hyperlink>
    </w:p>
    <w:p w14:paraId="0BE60580" w14:textId="77777777" w:rsidR="000E1B7E" w:rsidRPr="000E1B7E" w:rsidRDefault="00687502" w:rsidP="000E1B7E">
      <w:pPr>
        <w:pStyle w:val="TOC1"/>
        <w:tabs>
          <w:tab w:val="right" w:leader="dot" w:pos="9016"/>
        </w:tabs>
        <w:spacing w:line="360" w:lineRule="auto"/>
        <w:rPr>
          <w:rFonts w:ascii="Times New Roman" w:eastAsiaTheme="minorEastAsia" w:hAnsi="Times New Roman" w:cs="Times New Roman"/>
          <w:b w:val="0"/>
          <w:bCs w:val="0"/>
          <w:caps w:val="0"/>
          <w:noProof/>
          <w:lang w:val="en-US"/>
        </w:rPr>
      </w:pPr>
      <w:hyperlink w:anchor="_Toc11956246" w:history="1">
        <w:r w:rsidR="000E1B7E" w:rsidRPr="000E1B7E">
          <w:rPr>
            <w:rStyle w:val="Hyperlink"/>
            <w:rFonts w:ascii="Times New Roman" w:hAnsi="Times New Roman" w:cs="Times New Roman"/>
            <w:noProof/>
          </w:rPr>
          <w:t>Acronyms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_Toc11956246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v</w:t>
        </w:r>
        <w:r w:rsidR="000E1B7E" w:rsidRPr="000E1B7E">
          <w:rPr>
            <w:rFonts w:ascii="Times New Roman" w:hAnsi="Times New Roman" w:cs="Times New Roman"/>
            <w:noProof/>
            <w:webHidden/>
          </w:rPr>
          <w:fldChar w:fldCharType="end"/>
        </w:r>
      </w:hyperlink>
    </w:p>
    <w:p w14:paraId="126DB5E7" w14:textId="77777777" w:rsidR="000E1B7E" w:rsidRPr="000E1B7E" w:rsidRDefault="00687502" w:rsidP="000E1B7E">
      <w:pPr>
        <w:pStyle w:val="TOC1"/>
        <w:tabs>
          <w:tab w:val="right" w:leader="dot" w:pos="9016"/>
        </w:tabs>
        <w:spacing w:line="360" w:lineRule="auto"/>
        <w:rPr>
          <w:rFonts w:ascii="Times New Roman" w:eastAsiaTheme="minorEastAsia" w:hAnsi="Times New Roman" w:cs="Times New Roman"/>
          <w:b w:val="0"/>
          <w:bCs w:val="0"/>
          <w:caps w:val="0"/>
          <w:noProof/>
          <w:lang w:val="en-US"/>
        </w:rPr>
      </w:pPr>
      <w:hyperlink w:anchor="_Toc11956247" w:history="1">
        <w:r w:rsidR="000E1B7E" w:rsidRPr="000E1B7E">
          <w:rPr>
            <w:rStyle w:val="Hyperlink"/>
            <w:rFonts w:ascii="Times New Roman" w:hAnsi="Times New Roman" w:cs="Times New Roman"/>
            <w:noProof/>
          </w:rPr>
          <w:t>Acknowledgement</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_Toc11956247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vii</w:t>
        </w:r>
        <w:r w:rsidR="000E1B7E" w:rsidRPr="000E1B7E">
          <w:rPr>
            <w:rFonts w:ascii="Times New Roman" w:hAnsi="Times New Roman" w:cs="Times New Roman"/>
            <w:noProof/>
            <w:webHidden/>
          </w:rPr>
          <w:fldChar w:fldCharType="end"/>
        </w:r>
      </w:hyperlink>
    </w:p>
    <w:p w14:paraId="15E80D74" w14:textId="77777777" w:rsidR="000E1B7E" w:rsidRPr="000E1B7E" w:rsidRDefault="00687502" w:rsidP="000E1B7E">
      <w:pPr>
        <w:pStyle w:val="TOC1"/>
        <w:tabs>
          <w:tab w:val="right" w:leader="dot" w:pos="9016"/>
        </w:tabs>
        <w:spacing w:line="360" w:lineRule="auto"/>
        <w:rPr>
          <w:rFonts w:ascii="Times New Roman" w:eastAsiaTheme="minorEastAsia" w:hAnsi="Times New Roman" w:cs="Times New Roman"/>
          <w:b w:val="0"/>
          <w:bCs w:val="0"/>
          <w:caps w:val="0"/>
          <w:noProof/>
          <w:lang w:val="en-US"/>
        </w:rPr>
      </w:pPr>
      <w:hyperlink w:anchor="_Toc11956248" w:history="1">
        <w:r w:rsidR="000E1B7E" w:rsidRPr="000E1B7E">
          <w:rPr>
            <w:rStyle w:val="Hyperlink"/>
            <w:rFonts w:ascii="Times New Roman" w:eastAsia="Calibri" w:hAnsi="Times New Roman" w:cs="Times New Roman"/>
            <w:noProof/>
            <w:kern w:val="32"/>
          </w:rPr>
          <w:t>Executive Summary</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_Toc11956248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viii</w:t>
        </w:r>
        <w:r w:rsidR="000E1B7E" w:rsidRPr="000E1B7E">
          <w:rPr>
            <w:rFonts w:ascii="Times New Roman" w:hAnsi="Times New Roman" w:cs="Times New Roman"/>
            <w:noProof/>
            <w:webHidden/>
          </w:rPr>
          <w:fldChar w:fldCharType="end"/>
        </w:r>
      </w:hyperlink>
    </w:p>
    <w:p w14:paraId="0258C6E7" w14:textId="77777777" w:rsidR="000E1B7E" w:rsidRPr="000E1B7E" w:rsidRDefault="00687502" w:rsidP="000E1B7E">
      <w:pPr>
        <w:pStyle w:val="TOC1"/>
        <w:tabs>
          <w:tab w:val="left" w:pos="480"/>
          <w:tab w:val="right" w:leader="dot" w:pos="9016"/>
        </w:tabs>
        <w:spacing w:line="360" w:lineRule="auto"/>
        <w:rPr>
          <w:rFonts w:ascii="Times New Roman" w:eastAsiaTheme="minorEastAsia" w:hAnsi="Times New Roman" w:cs="Times New Roman"/>
          <w:b w:val="0"/>
          <w:bCs w:val="0"/>
          <w:caps w:val="0"/>
          <w:noProof/>
          <w:lang w:val="en-US"/>
        </w:rPr>
      </w:pPr>
      <w:hyperlink w:anchor="_Toc11956249" w:history="1">
        <w:r w:rsidR="000E1B7E" w:rsidRPr="000E1B7E">
          <w:rPr>
            <w:rStyle w:val="Hyperlink"/>
            <w:rFonts w:ascii="Times New Roman" w:hAnsi="Times New Roman" w:cs="Times New Roman"/>
            <w:noProof/>
          </w:rPr>
          <w:t>1.0</w:t>
        </w:r>
        <w:r w:rsidR="000E1B7E" w:rsidRPr="000E1B7E">
          <w:rPr>
            <w:rFonts w:ascii="Times New Roman" w:eastAsiaTheme="minorEastAsia" w:hAnsi="Times New Roman" w:cs="Times New Roman"/>
            <w:b w:val="0"/>
            <w:bCs w:val="0"/>
            <w:caps w:val="0"/>
            <w:noProof/>
            <w:lang w:val="en-US"/>
          </w:rPr>
          <w:tab/>
        </w:r>
        <w:r w:rsidR="000E1B7E" w:rsidRPr="000E1B7E">
          <w:rPr>
            <w:rStyle w:val="Hyperlink"/>
            <w:rFonts w:ascii="Times New Roman" w:hAnsi="Times New Roman" w:cs="Times New Roman"/>
            <w:noProof/>
          </w:rPr>
          <w:t>Introduction</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_Toc11956249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1</w:t>
        </w:r>
        <w:r w:rsidR="000E1B7E" w:rsidRPr="000E1B7E">
          <w:rPr>
            <w:rFonts w:ascii="Times New Roman" w:hAnsi="Times New Roman" w:cs="Times New Roman"/>
            <w:noProof/>
            <w:webHidden/>
          </w:rPr>
          <w:fldChar w:fldCharType="end"/>
        </w:r>
      </w:hyperlink>
    </w:p>
    <w:p w14:paraId="22D34265"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0" w:history="1">
        <w:r w:rsidR="000E1B7E" w:rsidRPr="000E1B7E">
          <w:rPr>
            <w:rStyle w:val="Hyperlink"/>
            <w:rFonts w:ascii="Times New Roman" w:eastAsiaTheme="majorEastAsia" w:hAnsi="Times New Roman" w:cs="Times New Roman"/>
            <w:noProof/>
          </w:rPr>
          <w:t>1.1</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eastAsiaTheme="majorEastAsia" w:hAnsi="Times New Roman" w:cs="Times New Roman"/>
            <w:noProof/>
          </w:rPr>
          <w:t>Background</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_Toc11956250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1</w:t>
        </w:r>
        <w:r w:rsidR="000E1B7E" w:rsidRPr="000E1B7E">
          <w:rPr>
            <w:rFonts w:ascii="Times New Roman" w:hAnsi="Times New Roman" w:cs="Times New Roman"/>
            <w:noProof/>
            <w:webHidden/>
          </w:rPr>
          <w:fldChar w:fldCharType="end"/>
        </w:r>
      </w:hyperlink>
    </w:p>
    <w:p w14:paraId="1DA6D232"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1" w:history="1">
        <w:r w:rsidR="000E1B7E" w:rsidRPr="000E1B7E">
          <w:rPr>
            <w:rStyle w:val="Hyperlink"/>
            <w:rFonts w:ascii="Times New Roman" w:eastAsiaTheme="majorEastAsia" w:hAnsi="Times New Roman" w:cs="Times New Roman"/>
            <w:noProof/>
          </w:rPr>
          <w:t>1.2</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eastAsiaTheme="majorEastAsia" w:hAnsi="Times New Roman" w:cs="Times New Roman"/>
            <w:noProof/>
          </w:rPr>
          <w:t>Uganda’s Macroeconomic Policy/Vision</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_Toc11956251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1</w:t>
        </w:r>
        <w:r w:rsidR="000E1B7E" w:rsidRPr="000E1B7E">
          <w:rPr>
            <w:rFonts w:ascii="Times New Roman" w:hAnsi="Times New Roman" w:cs="Times New Roman"/>
            <w:noProof/>
            <w:webHidden/>
          </w:rPr>
          <w:fldChar w:fldCharType="end"/>
        </w:r>
      </w:hyperlink>
    </w:p>
    <w:p w14:paraId="23DA86CE"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2" w:history="1">
        <w:r w:rsidR="000E1B7E" w:rsidRPr="000E1B7E">
          <w:rPr>
            <w:rStyle w:val="Hyperlink"/>
            <w:rFonts w:ascii="Times New Roman" w:eastAsiaTheme="majorEastAsia" w:hAnsi="Times New Roman" w:cs="Times New Roman"/>
            <w:noProof/>
          </w:rPr>
          <w:t>1.3</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eastAsiaTheme="majorEastAsia" w:hAnsi="Times New Roman" w:cs="Times New Roman"/>
            <w:noProof/>
          </w:rPr>
          <w:t>Purpose and Scope of the Economic Management Thematic Area MTR</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_Toc11956252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3</w:t>
        </w:r>
        <w:r w:rsidR="000E1B7E" w:rsidRPr="000E1B7E">
          <w:rPr>
            <w:rFonts w:ascii="Times New Roman" w:hAnsi="Times New Roman" w:cs="Times New Roman"/>
            <w:noProof/>
            <w:webHidden/>
          </w:rPr>
          <w:fldChar w:fldCharType="end"/>
        </w:r>
      </w:hyperlink>
    </w:p>
    <w:p w14:paraId="117260FC"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3" w:history="1">
        <w:r w:rsidR="000E1B7E" w:rsidRPr="000E1B7E">
          <w:rPr>
            <w:rStyle w:val="Hyperlink"/>
            <w:rFonts w:ascii="Times New Roman" w:eastAsiaTheme="majorEastAsia" w:hAnsi="Times New Roman" w:cs="Times New Roman"/>
            <w:noProof/>
          </w:rPr>
          <w:t>1.4</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eastAsiaTheme="majorEastAsia" w:hAnsi="Times New Roman" w:cs="Times New Roman"/>
            <w:noProof/>
          </w:rPr>
          <w:t>Approach to the Economic Management MTR</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_Toc11956253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4</w:t>
        </w:r>
        <w:r w:rsidR="000E1B7E" w:rsidRPr="000E1B7E">
          <w:rPr>
            <w:rFonts w:ascii="Times New Roman" w:hAnsi="Times New Roman" w:cs="Times New Roman"/>
            <w:noProof/>
            <w:webHidden/>
          </w:rPr>
          <w:fldChar w:fldCharType="end"/>
        </w:r>
      </w:hyperlink>
    </w:p>
    <w:p w14:paraId="6BFF5659"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4" w:history="1">
        <w:r w:rsidR="000E1B7E" w:rsidRPr="000E1B7E">
          <w:rPr>
            <w:rStyle w:val="Hyperlink"/>
            <w:rFonts w:ascii="Times New Roman" w:eastAsiaTheme="majorEastAsia" w:hAnsi="Times New Roman" w:cs="Times New Roman"/>
            <w:noProof/>
          </w:rPr>
          <w:t>1.5</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eastAsiaTheme="majorEastAsia" w:hAnsi="Times New Roman" w:cs="Times New Roman"/>
            <w:noProof/>
          </w:rPr>
          <w:t>Organisation of the report</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_Toc11956254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7</w:t>
        </w:r>
        <w:r w:rsidR="000E1B7E" w:rsidRPr="000E1B7E">
          <w:rPr>
            <w:rFonts w:ascii="Times New Roman" w:hAnsi="Times New Roman" w:cs="Times New Roman"/>
            <w:noProof/>
            <w:webHidden/>
          </w:rPr>
          <w:fldChar w:fldCharType="end"/>
        </w:r>
      </w:hyperlink>
    </w:p>
    <w:p w14:paraId="3DA07404" w14:textId="77777777" w:rsidR="000E1B7E" w:rsidRPr="000E1B7E" w:rsidRDefault="00687502" w:rsidP="000E1B7E">
      <w:pPr>
        <w:pStyle w:val="TOC1"/>
        <w:tabs>
          <w:tab w:val="left" w:pos="480"/>
          <w:tab w:val="right" w:leader="dot" w:pos="9016"/>
        </w:tabs>
        <w:spacing w:line="360" w:lineRule="auto"/>
        <w:rPr>
          <w:rFonts w:ascii="Times New Roman" w:eastAsiaTheme="minorEastAsia" w:hAnsi="Times New Roman" w:cs="Times New Roman"/>
          <w:b w:val="0"/>
          <w:bCs w:val="0"/>
          <w:caps w:val="0"/>
          <w:noProof/>
          <w:lang w:val="en-US"/>
        </w:rPr>
      </w:pPr>
      <w:hyperlink w:anchor="_Toc11956255" w:history="1">
        <w:r w:rsidR="000E1B7E" w:rsidRPr="000E1B7E">
          <w:rPr>
            <w:rStyle w:val="Hyperlink"/>
            <w:rFonts w:ascii="Times New Roman" w:hAnsi="Times New Roman" w:cs="Times New Roman"/>
            <w:noProof/>
          </w:rPr>
          <w:t>2.0</w:t>
        </w:r>
        <w:r w:rsidR="000E1B7E" w:rsidRPr="000E1B7E">
          <w:rPr>
            <w:rFonts w:ascii="Times New Roman" w:eastAsiaTheme="minorEastAsia" w:hAnsi="Times New Roman" w:cs="Times New Roman"/>
            <w:b w:val="0"/>
            <w:bCs w:val="0"/>
            <w:caps w:val="0"/>
            <w:noProof/>
            <w:lang w:val="en-US"/>
          </w:rPr>
          <w:tab/>
        </w:r>
        <w:r w:rsidR="000E1B7E" w:rsidRPr="000E1B7E">
          <w:rPr>
            <w:rStyle w:val="Hyperlink"/>
            <w:rFonts w:ascii="Times New Roman" w:hAnsi="Times New Roman" w:cs="Times New Roman"/>
            <w:noProof/>
          </w:rPr>
          <w:t>Performance of the Real Economy</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_Toc11956255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8</w:t>
        </w:r>
        <w:r w:rsidR="000E1B7E" w:rsidRPr="000E1B7E">
          <w:rPr>
            <w:rFonts w:ascii="Times New Roman" w:hAnsi="Times New Roman" w:cs="Times New Roman"/>
            <w:noProof/>
            <w:webHidden/>
          </w:rPr>
          <w:fldChar w:fldCharType="end"/>
        </w:r>
      </w:hyperlink>
    </w:p>
    <w:p w14:paraId="4F8F95A5"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6" w:history="1">
        <w:r w:rsidR="000E1B7E" w:rsidRPr="000E1B7E">
          <w:rPr>
            <w:rStyle w:val="Hyperlink"/>
            <w:rFonts w:ascii="Times New Roman" w:hAnsi="Times New Roman" w:cs="Times New Roman"/>
            <w:noProof/>
          </w:rPr>
          <w:t>2.1</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Real Gross Domestic Product Growth</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_Toc11956256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8</w:t>
        </w:r>
        <w:r w:rsidR="000E1B7E" w:rsidRPr="000E1B7E">
          <w:rPr>
            <w:rFonts w:ascii="Times New Roman" w:hAnsi="Times New Roman" w:cs="Times New Roman"/>
            <w:noProof/>
            <w:webHidden/>
          </w:rPr>
          <w:fldChar w:fldCharType="end"/>
        </w:r>
      </w:hyperlink>
    </w:p>
    <w:p w14:paraId="526CACC3"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7" w:history="1">
        <w:r w:rsidR="000E1B7E" w:rsidRPr="000E1B7E">
          <w:rPr>
            <w:rStyle w:val="Hyperlink"/>
            <w:rFonts w:ascii="Times New Roman" w:hAnsi="Times New Roman" w:cs="Times New Roman"/>
            <w:noProof/>
          </w:rPr>
          <w:t>2.2</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Real Gross Domestic Product and Sector Contribution</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_Toc11956257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9</w:t>
        </w:r>
        <w:r w:rsidR="000E1B7E" w:rsidRPr="000E1B7E">
          <w:rPr>
            <w:rFonts w:ascii="Times New Roman" w:hAnsi="Times New Roman" w:cs="Times New Roman"/>
            <w:noProof/>
            <w:webHidden/>
          </w:rPr>
          <w:fldChar w:fldCharType="end"/>
        </w:r>
      </w:hyperlink>
    </w:p>
    <w:p w14:paraId="2E2C9C2B"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8" w:history="1">
        <w:r w:rsidR="000E1B7E" w:rsidRPr="000E1B7E">
          <w:rPr>
            <w:rStyle w:val="Hyperlink"/>
            <w:rFonts w:ascii="Times New Roman" w:hAnsi="Times New Roman" w:cs="Times New Roman"/>
            <w:noProof/>
          </w:rPr>
          <w:t>2.3</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Sources of Growth</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_Toc11956258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13</w:t>
        </w:r>
        <w:r w:rsidR="000E1B7E" w:rsidRPr="000E1B7E">
          <w:rPr>
            <w:rFonts w:ascii="Times New Roman" w:hAnsi="Times New Roman" w:cs="Times New Roman"/>
            <w:noProof/>
            <w:webHidden/>
          </w:rPr>
          <w:fldChar w:fldCharType="end"/>
        </w:r>
      </w:hyperlink>
    </w:p>
    <w:p w14:paraId="006FE39C"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59" w:history="1">
        <w:r w:rsidR="000E1B7E" w:rsidRPr="000E1B7E">
          <w:rPr>
            <w:rStyle w:val="Hyperlink"/>
            <w:rFonts w:ascii="Times New Roman" w:hAnsi="Times New Roman" w:cs="Times New Roman"/>
            <w:noProof/>
          </w:rPr>
          <w:t>2.4</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GDP per Capita</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_Toc11956259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17</w:t>
        </w:r>
        <w:r w:rsidR="000E1B7E" w:rsidRPr="000E1B7E">
          <w:rPr>
            <w:rFonts w:ascii="Times New Roman" w:hAnsi="Times New Roman" w:cs="Times New Roman"/>
            <w:noProof/>
            <w:webHidden/>
          </w:rPr>
          <w:fldChar w:fldCharType="end"/>
        </w:r>
      </w:hyperlink>
    </w:p>
    <w:p w14:paraId="5F7B7DCF"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0" w:history="1">
        <w:r w:rsidR="000E1B7E" w:rsidRPr="000E1B7E">
          <w:rPr>
            <w:rStyle w:val="Hyperlink"/>
            <w:rFonts w:ascii="Times New Roman" w:hAnsi="Times New Roman" w:cs="Times New Roman"/>
            <w:noProof/>
          </w:rPr>
          <w:t>2.5</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Improvement in Competitiveness of the Ugandan Economy</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_Toc11956260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18</w:t>
        </w:r>
        <w:r w:rsidR="000E1B7E" w:rsidRPr="000E1B7E">
          <w:rPr>
            <w:rFonts w:ascii="Times New Roman" w:hAnsi="Times New Roman" w:cs="Times New Roman"/>
            <w:noProof/>
            <w:webHidden/>
          </w:rPr>
          <w:fldChar w:fldCharType="end"/>
        </w:r>
      </w:hyperlink>
    </w:p>
    <w:p w14:paraId="1F965980"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1" w:history="1">
        <w:r w:rsidR="000E1B7E" w:rsidRPr="000E1B7E">
          <w:rPr>
            <w:rStyle w:val="Hyperlink"/>
            <w:rFonts w:ascii="Times New Roman" w:hAnsi="Times New Roman" w:cs="Times New Roman"/>
            <w:noProof/>
          </w:rPr>
          <w:t>2.6</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Competitiveness Ranking of Uganda’s Logistics Sector</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_Toc11956261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23</w:t>
        </w:r>
        <w:r w:rsidR="000E1B7E" w:rsidRPr="000E1B7E">
          <w:rPr>
            <w:rFonts w:ascii="Times New Roman" w:hAnsi="Times New Roman" w:cs="Times New Roman"/>
            <w:noProof/>
            <w:webHidden/>
          </w:rPr>
          <w:fldChar w:fldCharType="end"/>
        </w:r>
      </w:hyperlink>
    </w:p>
    <w:p w14:paraId="65F446A2"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2" w:history="1">
        <w:r w:rsidR="000E1B7E" w:rsidRPr="000E1B7E">
          <w:rPr>
            <w:rStyle w:val="Hyperlink"/>
            <w:rFonts w:ascii="Times New Roman" w:hAnsi="Times New Roman" w:cs="Times New Roman"/>
            <w:noProof/>
          </w:rPr>
          <w:t>2.7</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Government Efforts to Leverage Private Sector Investment in productive sectors of the Economy</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_Toc11956262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25</w:t>
        </w:r>
        <w:r w:rsidR="000E1B7E" w:rsidRPr="000E1B7E">
          <w:rPr>
            <w:rFonts w:ascii="Times New Roman" w:hAnsi="Times New Roman" w:cs="Times New Roman"/>
            <w:noProof/>
            <w:webHidden/>
          </w:rPr>
          <w:fldChar w:fldCharType="end"/>
        </w:r>
      </w:hyperlink>
    </w:p>
    <w:p w14:paraId="6746AB76"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3" w:history="1">
        <w:r w:rsidR="000E1B7E" w:rsidRPr="000E1B7E">
          <w:rPr>
            <w:rStyle w:val="Hyperlink"/>
            <w:rFonts w:ascii="Times New Roman" w:hAnsi="Times New Roman" w:cs="Times New Roman"/>
            <w:noProof/>
          </w:rPr>
          <w:t>2.8</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Conclusions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_Toc11956263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31</w:t>
        </w:r>
        <w:r w:rsidR="000E1B7E" w:rsidRPr="000E1B7E">
          <w:rPr>
            <w:rFonts w:ascii="Times New Roman" w:hAnsi="Times New Roman" w:cs="Times New Roman"/>
            <w:noProof/>
            <w:webHidden/>
          </w:rPr>
          <w:fldChar w:fldCharType="end"/>
        </w:r>
      </w:hyperlink>
    </w:p>
    <w:p w14:paraId="1D2CBC50" w14:textId="77777777" w:rsidR="000E1B7E" w:rsidRPr="000E1B7E" w:rsidRDefault="00687502" w:rsidP="000E1B7E">
      <w:pPr>
        <w:pStyle w:val="TOC1"/>
        <w:tabs>
          <w:tab w:val="left" w:pos="480"/>
          <w:tab w:val="right" w:leader="dot" w:pos="9016"/>
        </w:tabs>
        <w:spacing w:line="360" w:lineRule="auto"/>
        <w:rPr>
          <w:rFonts w:ascii="Times New Roman" w:eastAsiaTheme="minorEastAsia" w:hAnsi="Times New Roman" w:cs="Times New Roman"/>
          <w:b w:val="0"/>
          <w:bCs w:val="0"/>
          <w:caps w:val="0"/>
          <w:noProof/>
          <w:lang w:val="en-US"/>
        </w:rPr>
      </w:pPr>
      <w:hyperlink w:anchor="_Toc11956264" w:history="1">
        <w:r w:rsidR="000E1B7E" w:rsidRPr="000E1B7E">
          <w:rPr>
            <w:rStyle w:val="Hyperlink"/>
            <w:rFonts w:ascii="Times New Roman" w:hAnsi="Times New Roman" w:cs="Times New Roman"/>
            <w:noProof/>
          </w:rPr>
          <w:t>3.0</w:t>
        </w:r>
        <w:r w:rsidR="000E1B7E" w:rsidRPr="000E1B7E">
          <w:rPr>
            <w:rFonts w:ascii="Times New Roman" w:eastAsiaTheme="minorEastAsia" w:hAnsi="Times New Roman" w:cs="Times New Roman"/>
            <w:b w:val="0"/>
            <w:bCs w:val="0"/>
            <w:caps w:val="0"/>
            <w:noProof/>
            <w:lang w:val="en-US"/>
          </w:rPr>
          <w:tab/>
        </w:r>
        <w:r w:rsidR="000E1B7E" w:rsidRPr="000E1B7E">
          <w:rPr>
            <w:rStyle w:val="Hyperlink"/>
            <w:rFonts w:ascii="Times New Roman" w:hAnsi="Times New Roman" w:cs="Times New Roman"/>
            <w:noProof/>
          </w:rPr>
          <w:t>Fiscal Strategy</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_Toc11956264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32</w:t>
        </w:r>
        <w:r w:rsidR="000E1B7E" w:rsidRPr="000E1B7E">
          <w:rPr>
            <w:rFonts w:ascii="Times New Roman" w:hAnsi="Times New Roman" w:cs="Times New Roman"/>
            <w:noProof/>
            <w:webHidden/>
          </w:rPr>
          <w:fldChar w:fldCharType="end"/>
        </w:r>
      </w:hyperlink>
    </w:p>
    <w:p w14:paraId="584118DC"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5" w:history="1">
        <w:r w:rsidR="000E1B7E" w:rsidRPr="000E1B7E">
          <w:rPr>
            <w:rStyle w:val="Hyperlink"/>
            <w:rFonts w:ascii="Times New Roman" w:hAnsi="Times New Roman" w:cs="Times New Roman"/>
            <w:noProof/>
          </w:rPr>
          <w:t>3.1</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Fiscal Performance</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_Toc11956265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32</w:t>
        </w:r>
        <w:r w:rsidR="000E1B7E" w:rsidRPr="000E1B7E">
          <w:rPr>
            <w:rFonts w:ascii="Times New Roman" w:hAnsi="Times New Roman" w:cs="Times New Roman"/>
            <w:noProof/>
            <w:webHidden/>
          </w:rPr>
          <w:fldChar w:fldCharType="end"/>
        </w:r>
      </w:hyperlink>
    </w:p>
    <w:p w14:paraId="54639AEB"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6" w:history="1">
        <w:r w:rsidR="000E1B7E" w:rsidRPr="000E1B7E">
          <w:rPr>
            <w:rStyle w:val="Hyperlink"/>
            <w:rFonts w:ascii="Times New Roman" w:hAnsi="Times New Roman" w:cs="Times New Roman"/>
            <w:noProof/>
          </w:rPr>
          <w:t>3.2</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Domestic Revenue Mobilisation</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_Toc11956266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35</w:t>
        </w:r>
        <w:r w:rsidR="000E1B7E" w:rsidRPr="000E1B7E">
          <w:rPr>
            <w:rFonts w:ascii="Times New Roman" w:hAnsi="Times New Roman" w:cs="Times New Roman"/>
            <w:noProof/>
            <w:webHidden/>
          </w:rPr>
          <w:fldChar w:fldCharType="end"/>
        </w:r>
      </w:hyperlink>
    </w:p>
    <w:p w14:paraId="0C3B11E6"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7" w:history="1">
        <w:r w:rsidR="000E1B7E" w:rsidRPr="000E1B7E">
          <w:rPr>
            <w:rStyle w:val="Hyperlink"/>
            <w:rFonts w:ascii="Times New Roman" w:hAnsi="Times New Roman" w:cs="Times New Roman"/>
            <w:noProof/>
          </w:rPr>
          <w:t>3.3</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Composition of expenditure</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_Toc11956267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40</w:t>
        </w:r>
        <w:r w:rsidR="000E1B7E" w:rsidRPr="000E1B7E">
          <w:rPr>
            <w:rFonts w:ascii="Times New Roman" w:hAnsi="Times New Roman" w:cs="Times New Roman"/>
            <w:noProof/>
            <w:webHidden/>
          </w:rPr>
          <w:fldChar w:fldCharType="end"/>
        </w:r>
      </w:hyperlink>
    </w:p>
    <w:p w14:paraId="512A66F1"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8" w:history="1">
        <w:r w:rsidR="000E1B7E" w:rsidRPr="000E1B7E">
          <w:rPr>
            <w:rStyle w:val="Hyperlink"/>
            <w:rFonts w:ascii="Times New Roman" w:hAnsi="Times New Roman" w:cs="Times New Roman"/>
            <w:noProof/>
          </w:rPr>
          <w:t>3.4</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Public Debt</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_Toc11956268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43</w:t>
        </w:r>
        <w:r w:rsidR="000E1B7E" w:rsidRPr="000E1B7E">
          <w:rPr>
            <w:rFonts w:ascii="Times New Roman" w:hAnsi="Times New Roman" w:cs="Times New Roman"/>
            <w:noProof/>
            <w:webHidden/>
          </w:rPr>
          <w:fldChar w:fldCharType="end"/>
        </w:r>
      </w:hyperlink>
    </w:p>
    <w:p w14:paraId="62BC02D7"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69" w:history="1">
        <w:r w:rsidR="000E1B7E" w:rsidRPr="000E1B7E">
          <w:rPr>
            <w:rStyle w:val="Hyperlink"/>
            <w:rFonts w:ascii="Times New Roman" w:hAnsi="Times New Roman" w:cs="Times New Roman"/>
            <w:noProof/>
          </w:rPr>
          <w:t>3.5</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NDP II Funding</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_Toc11956269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49</w:t>
        </w:r>
        <w:r w:rsidR="000E1B7E" w:rsidRPr="000E1B7E">
          <w:rPr>
            <w:rFonts w:ascii="Times New Roman" w:hAnsi="Times New Roman" w:cs="Times New Roman"/>
            <w:noProof/>
            <w:webHidden/>
          </w:rPr>
          <w:fldChar w:fldCharType="end"/>
        </w:r>
      </w:hyperlink>
    </w:p>
    <w:p w14:paraId="61C5E365"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70" w:history="1">
        <w:r w:rsidR="000E1B7E" w:rsidRPr="000E1B7E">
          <w:rPr>
            <w:rStyle w:val="Hyperlink"/>
            <w:rFonts w:ascii="Times New Roman" w:hAnsi="Times New Roman" w:cs="Times New Roman"/>
            <w:noProof/>
          </w:rPr>
          <w:t>3.6</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Financing of NDP3</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_Toc11956270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53</w:t>
        </w:r>
        <w:r w:rsidR="000E1B7E" w:rsidRPr="000E1B7E">
          <w:rPr>
            <w:rFonts w:ascii="Times New Roman" w:hAnsi="Times New Roman" w:cs="Times New Roman"/>
            <w:noProof/>
            <w:webHidden/>
          </w:rPr>
          <w:fldChar w:fldCharType="end"/>
        </w:r>
      </w:hyperlink>
    </w:p>
    <w:p w14:paraId="7FB18C1A" w14:textId="77777777" w:rsidR="000E1B7E" w:rsidRPr="000E1B7E" w:rsidRDefault="00687502" w:rsidP="000E1B7E">
      <w:pPr>
        <w:pStyle w:val="TOC1"/>
        <w:tabs>
          <w:tab w:val="left" w:pos="480"/>
          <w:tab w:val="right" w:leader="dot" w:pos="9016"/>
        </w:tabs>
        <w:spacing w:line="360" w:lineRule="auto"/>
        <w:rPr>
          <w:rFonts w:ascii="Times New Roman" w:eastAsiaTheme="minorEastAsia" w:hAnsi="Times New Roman" w:cs="Times New Roman"/>
          <w:b w:val="0"/>
          <w:bCs w:val="0"/>
          <w:caps w:val="0"/>
          <w:noProof/>
          <w:lang w:val="en-US"/>
        </w:rPr>
      </w:pPr>
      <w:hyperlink w:anchor="_Toc11956271" w:history="1">
        <w:r w:rsidR="000E1B7E" w:rsidRPr="000E1B7E">
          <w:rPr>
            <w:rStyle w:val="Hyperlink"/>
            <w:rFonts w:ascii="Times New Roman" w:hAnsi="Times New Roman" w:cs="Times New Roman"/>
            <w:noProof/>
          </w:rPr>
          <w:t>4.0</w:t>
        </w:r>
        <w:r w:rsidR="000E1B7E" w:rsidRPr="000E1B7E">
          <w:rPr>
            <w:rFonts w:ascii="Times New Roman" w:eastAsiaTheme="minorEastAsia" w:hAnsi="Times New Roman" w:cs="Times New Roman"/>
            <w:b w:val="0"/>
            <w:bCs w:val="0"/>
            <w:caps w:val="0"/>
            <w:noProof/>
            <w:lang w:val="en-US"/>
          </w:rPr>
          <w:tab/>
        </w:r>
        <w:r w:rsidR="000E1B7E" w:rsidRPr="000E1B7E">
          <w:rPr>
            <w:rStyle w:val="Hyperlink"/>
            <w:rFonts w:ascii="Times New Roman" w:hAnsi="Times New Roman" w:cs="Times New Roman"/>
            <w:noProof/>
          </w:rPr>
          <w:t>Price and Monetary Developments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_Toc11956271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58</w:t>
        </w:r>
        <w:r w:rsidR="000E1B7E" w:rsidRPr="000E1B7E">
          <w:rPr>
            <w:rFonts w:ascii="Times New Roman" w:hAnsi="Times New Roman" w:cs="Times New Roman"/>
            <w:noProof/>
            <w:webHidden/>
          </w:rPr>
          <w:fldChar w:fldCharType="end"/>
        </w:r>
      </w:hyperlink>
    </w:p>
    <w:p w14:paraId="5958CFA8"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72" w:history="1">
        <w:r w:rsidR="000E1B7E" w:rsidRPr="000E1B7E">
          <w:rPr>
            <w:rStyle w:val="Hyperlink"/>
            <w:rFonts w:ascii="Times New Roman" w:hAnsi="Times New Roman" w:cs="Times New Roman"/>
            <w:noProof/>
          </w:rPr>
          <w:t>4.1</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Monetary Policy Stance and Inflation</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_Toc11956272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58</w:t>
        </w:r>
        <w:r w:rsidR="000E1B7E" w:rsidRPr="000E1B7E">
          <w:rPr>
            <w:rFonts w:ascii="Times New Roman" w:hAnsi="Times New Roman" w:cs="Times New Roman"/>
            <w:noProof/>
            <w:webHidden/>
          </w:rPr>
          <w:fldChar w:fldCharType="end"/>
        </w:r>
      </w:hyperlink>
    </w:p>
    <w:p w14:paraId="3F2356F1"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73" w:history="1">
        <w:r w:rsidR="000E1B7E" w:rsidRPr="000E1B7E">
          <w:rPr>
            <w:rStyle w:val="Hyperlink"/>
            <w:rFonts w:ascii="Times New Roman" w:hAnsi="Times New Roman" w:cs="Times New Roman"/>
            <w:noProof/>
          </w:rPr>
          <w:t>4.2</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The Foreign Exchange Market</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_Toc11956273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59</w:t>
        </w:r>
        <w:r w:rsidR="000E1B7E" w:rsidRPr="000E1B7E">
          <w:rPr>
            <w:rFonts w:ascii="Times New Roman" w:hAnsi="Times New Roman" w:cs="Times New Roman"/>
            <w:noProof/>
            <w:webHidden/>
          </w:rPr>
          <w:fldChar w:fldCharType="end"/>
        </w:r>
      </w:hyperlink>
    </w:p>
    <w:p w14:paraId="49CB3F81"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74" w:history="1">
        <w:r w:rsidR="000E1B7E" w:rsidRPr="000E1B7E">
          <w:rPr>
            <w:rStyle w:val="Hyperlink"/>
            <w:rFonts w:ascii="Times New Roman" w:hAnsi="Times New Roman" w:cs="Times New Roman"/>
            <w:noProof/>
          </w:rPr>
          <w:t>4.3</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Credit Financing to the Private Sector</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_Toc11956274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60</w:t>
        </w:r>
        <w:r w:rsidR="000E1B7E" w:rsidRPr="000E1B7E">
          <w:rPr>
            <w:rFonts w:ascii="Times New Roman" w:hAnsi="Times New Roman" w:cs="Times New Roman"/>
            <w:noProof/>
            <w:webHidden/>
          </w:rPr>
          <w:fldChar w:fldCharType="end"/>
        </w:r>
      </w:hyperlink>
    </w:p>
    <w:p w14:paraId="15501D8B"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75" w:history="1">
        <w:r w:rsidR="000E1B7E" w:rsidRPr="000E1B7E">
          <w:rPr>
            <w:rStyle w:val="Hyperlink"/>
            <w:rFonts w:ascii="Times New Roman" w:hAnsi="Times New Roman" w:cs="Times New Roman"/>
            <w:noProof/>
          </w:rPr>
          <w:t>4.4</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Lending Interest Rates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_Toc11956275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62</w:t>
        </w:r>
        <w:r w:rsidR="000E1B7E" w:rsidRPr="000E1B7E">
          <w:rPr>
            <w:rFonts w:ascii="Times New Roman" w:hAnsi="Times New Roman" w:cs="Times New Roman"/>
            <w:noProof/>
            <w:webHidden/>
          </w:rPr>
          <w:fldChar w:fldCharType="end"/>
        </w:r>
      </w:hyperlink>
    </w:p>
    <w:p w14:paraId="3D8A23A1" w14:textId="77777777" w:rsidR="000E1B7E" w:rsidRPr="000E1B7E" w:rsidRDefault="00687502" w:rsidP="000E1B7E">
      <w:pPr>
        <w:pStyle w:val="TOC1"/>
        <w:tabs>
          <w:tab w:val="left" w:pos="480"/>
          <w:tab w:val="right" w:leader="dot" w:pos="9016"/>
        </w:tabs>
        <w:spacing w:line="360" w:lineRule="auto"/>
        <w:rPr>
          <w:rFonts w:ascii="Times New Roman" w:eastAsiaTheme="minorEastAsia" w:hAnsi="Times New Roman" w:cs="Times New Roman"/>
          <w:b w:val="0"/>
          <w:bCs w:val="0"/>
          <w:caps w:val="0"/>
          <w:noProof/>
          <w:lang w:val="en-US"/>
        </w:rPr>
      </w:pPr>
      <w:hyperlink w:anchor="_Toc11956276" w:history="1">
        <w:r w:rsidR="000E1B7E" w:rsidRPr="000E1B7E">
          <w:rPr>
            <w:rStyle w:val="Hyperlink"/>
            <w:rFonts w:ascii="Times New Roman" w:hAnsi="Times New Roman" w:cs="Times New Roman"/>
            <w:noProof/>
          </w:rPr>
          <w:t>5.0</w:t>
        </w:r>
        <w:r w:rsidR="000E1B7E" w:rsidRPr="000E1B7E">
          <w:rPr>
            <w:rFonts w:ascii="Times New Roman" w:eastAsiaTheme="minorEastAsia" w:hAnsi="Times New Roman" w:cs="Times New Roman"/>
            <w:b w:val="0"/>
            <w:bCs w:val="0"/>
            <w:caps w:val="0"/>
            <w:noProof/>
            <w:lang w:val="en-US"/>
          </w:rPr>
          <w:tab/>
        </w:r>
        <w:r w:rsidR="000E1B7E" w:rsidRPr="000E1B7E">
          <w:rPr>
            <w:rStyle w:val="Hyperlink"/>
            <w:rFonts w:ascii="Times New Roman" w:hAnsi="Times New Roman" w:cs="Times New Roman"/>
            <w:noProof/>
          </w:rPr>
          <w:t>External Sector Performance</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_Toc11956276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65</w:t>
        </w:r>
        <w:r w:rsidR="000E1B7E" w:rsidRPr="000E1B7E">
          <w:rPr>
            <w:rFonts w:ascii="Times New Roman" w:hAnsi="Times New Roman" w:cs="Times New Roman"/>
            <w:noProof/>
            <w:webHidden/>
          </w:rPr>
          <w:fldChar w:fldCharType="end"/>
        </w:r>
      </w:hyperlink>
    </w:p>
    <w:p w14:paraId="7785B1EC"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77" w:history="1">
        <w:r w:rsidR="000E1B7E" w:rsidRPr="000E1B7E">
          <w:rPr>
            <w:rStyle w:val="Hyperlink"/>
            <w:rFonts w:ascii="Times New Roman" w:hAnsi="Times New Roman" w:cs="Times New Roman"/>
            <w:noProof/>
          </w:rPr>
          <w:t>5.1</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External trade growth and Performance</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_Toc11956277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65</w:t>
        </w:r>
        <w:r w:rsidR="000E1B7E" w:rsidRPr="000E1B7E">
          <w:rPr>
            <w:rFonts w:ascii="Times New Roman" w:hAnsi="Times New Roman" w:cs="Times New Roman"/>
            <w:noProof/>
            <w:webHidden/>
          </w:rPr>
          <w:fldChar w:fldCharType="end"/>
        </w:r>
      </w:hyperlink>
    </w:p>
    <w:p w14:paraId="5F07B427"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78" w:history="1">
        <w:r w:rsidR="000E1B7E" w:rsidRPr="000E1B7E">
          <w:rPr>
            <w:rStyle w:val="Hyperlink"/>
            <w:rFonts w:ascii="Times New Roman" w:hAnsi="Times New Roman" w:cs="Times New Roman"/>
            <w:noProof/>
          </w:rPr>
          <w:t>5.2</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Balance of Payments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_Toc11956278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71</w:t>
        </w:r>
        <w:r w:rsidR="000E1B7E" w:rsidRPr="000E1B7E">
          <w:rPr>
            <w:rFonts w:ascii="Times New Roman" w:hAnsi="Times New Roman" w:cs="Times New Roman"/>
            <w:noProof/>
            <w:webHidden/>
          </w:rPr>
          <w:fldChar w:fldCharType="end"/>
        </w:r>
      </w:hyperlink>
    </w:p>
    <w:p w14:paraId="45971B1A" w14:textId="77777777" w:rsidR="000E1B7E" w:rsidRPr="000E1B7E" w:rsidRDefault="00687502" w:rsidP="000E1B7E">
      <w:pPr>
        <w:pStyle w:val="TOC1"/>
        <w:tabs>
          <w:tab w:val="left" w:pos="480"/>
          <w:tab w:val="right" w:leader="dot" w:pos="9016"/>
        </w:tabs>
        <w:spacing w:line="360" w:lineRule="auto"/>
        <w:rPr>
          <w:rFonts w:ascii="Times New Roman" w:eastAsiaTheme="minorEastAsia" w:hAnsi="Times New Roman" w:cs="Times New Roman"/>
          <w:b w:val="0"/>
          <w:bCs w:val="0"/>
          <w:caps w:val="0"/>
          <w:noProof/>
          <w:lang w:val="en-US"/>
        </w:rPr>
      </w:pPr>
      <w:hyperlink w:anchor="_Toc11956279" w:history="1">
        <w:r w:rsidR="000E1B7E" w:rsidRPr="000E1B7E">
          <w:rPr>
            <w:rStyle w:val="Hyperlink"/>
            <w:rFonts w:ascii="Times New Roman" w:hAnsi="Times New Roman" w:cs="Times New Roman"/>
            <w:noProof/>
          </w:rPr>
          <w:t>6.0</w:t>
        </w:r>
        <w:r w:rsidR="000E1B7E" w:rsidRPr="000E1B7E">
          <w:rPr>
            <w:rFonts w:ascii="Times New Roman" w:eastAsiaTheme="minorEastAsia" w:hAnsi="Times New Roman" w:cs="Times New Roman"/>
            <w:b w:val="0"/>
            <w:bCs w:val="0"/>
            <w:caps w:val="0"/>
            <w:noProof/>
            <w:lang w:val="en-US"/>
          </w:rPr>
          <w:tab/>
        </w:r>
        <w:r w:rsidR="000E1B7E" w:rsidRPr="000E1B7E">
          <w:rPr>
            <w:rStyle w:val="Hyperlink"/>
            <w:rFonts w:ascii="Times New Roman" w:hAnsi="Times New Roman" w:cs="Times New Roman"/>
            <w:noProof/>
          </w:rPr>
          <w:t>Recommendations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_Toc11956279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73</w:t>
        </w:r>
        <w:r w:rsidR="000E1B7E" w:rsidRPr="000E1B7E">
          <w:rPr>
            <w:rFonts w:ascii="Times New Roman" w:hAnsi="Times New Roman" w:cs="Times New Roman"/>
            <w:noProof/>
            <w:webHidden/>
          </w:rPr>
          <w:fldChar w:fldCharType="end"/>
        </w:r>
      </w:hyperlink>
    </w:p>
    <w:p w14:paraId="50F7939B"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80" w:history="1">
        <w:r w:rsidR="000E1B7E" w:rsidRPr="000E1B7E">
          <w:rPr>
            <w:rStyle w:val="Hyperlink"/>
            <w:rFonts w:ascii="Times New Roman" w:hAnsi="Times New Roman" w:cs="Times New Roman"/>
            <w:noProof/>
          </w:rPr>
          <w:t>6.1</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Performance of the Real Economy</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_Toc11956280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73</w:t>
        </w:r>
        <w:r w:rsidR="000E1B7E" w:rsidRPr="000E1B7E">
          <w:rPr>
            <w:rFonts w:ascii="Times New Roman" w:hAnsi="Times New Roman" w:cs="Times New Roman"/>
            <w:noProof/>
            <w:webHidden/>
          </w:rPr>
          <w:fldChar w:fldCharType="end"/>
        </w:r>
      </w:hyperlink>
    </w:p>
    <w:p w14:paraId="44E66F02"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81" w:history="1">
        <w:r w:rsidR="000E1B7E" w:rsidRPr="000E1B7E">
          <w:rPr>
            <w:rStyle w:val="Hyperlink"/>
            <w:rFonts w:ascii="Times New Roman" w:hAnsi="Times New Roman" w:cs="Times New Roman"/>
            <w:noProof/>
          </w:rPr>
          <w:t>6.2</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Fiscal Performance</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_Toc11956281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76</w:t>
        </w:r>
        <w:r w:rsidR="000E1B7E" w:rsidRPr="000E1B7E">
          <w:rPr>
            <w:rFonts w:ascii="Times New Roman" w:hAnsi="Times New Roman" w:cs="Times New Roman"/>
            <w:noProof/>
            <w:webHidden/>
          </w:rPr>
          <w:fldChar w:fldCharType="end"/>
        </w:r>
      </w:hyperlink>
    </w:p>
    <w:p w14:paraId="573D876D" w14:textId="77777777" w:rsidR="000E1B7E" w:rsidRPr="000E1B7E" w:rsidRDefault="00687502" w:rsidP="000E1B7E">
      <w:pPr>
        <w:pStyle w:val="TOC2"/>
        <w:tabs>
          <w:tab w:val="left" w:pos="720"/>
          <w:tab w:val="right" w:leader="dot" w:pos="9016"/>
        </w:tabs>
        <w:spacing w:line="360" w:lineRule="auto"/>
        <w:rPr>
          <w:rFonts w:ascii="Times New Roman" w:eastAsiaTheme="minorEastAsia" w:hAnsi="Times New Roman" w:cs="Times New Roman"/>
          <w:smallCaps w:val="0"/>
          <w:noProof/>
          <w:lang w:val="en-US"/>
        </w:rPr>
      </w:pPr>
      <w:hyperlink w:anchor="_Toc11956282" w:history="1">
        <w:r w:rsidR="000E1B7E" w:rsidRPr="000E1B7E">
          <w:rPr>
            <w:rStyle w:val="Hyperlink"/>
            <w:rFonts w:ascii="Times New Roman" w:hAnsi="Times New Roman" w:cs="Times New Roman"/>
            <w:noProof/>
          </w:rPr>
          <w:t>6.3</w:t>
        </w:r>
        <w:r w:rsidR="000E1B7E" w:rsidRPr="000E1B7E">
          <w:rPr>
            <w:rFonts w:ascii="Times New Roman" w:eastAsiaTheme="minorEastAsia" w:hAnsi="Times New Roman" w:cs="Times New Roman"/>
            <w:smallCaps w:val="0"/>
            <w:noProof/>
            <w:lang w:val="en-US"/>
          </w:rPr>
          <w:tab/>
        </w:r>
        <w:r w:rsidR="000E1B7E" w:rsidRPr="000E1B7E">
          <w:rPr>
            <w:rStyle w:val="Hyperlink"/>
            <w:rFonts w:ascii="Times New Roman" w:hAnsi="Times New Roman" w:cs="Times New Roman"/>
            <w:noProof/>
          </w:rPr>
          <w:t>Price and Monetary Developments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_Toc11956282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79</w:t>
        </w:r>
        <w:r w:rsidR="000E1B7E" w:rsidRPr="000E1B7E">
          <w:rPr>
            <w:rFonts w:ascii="Times New Roman" w:hAnsi="Times New Roman" w:cs="Times New Roman"/>
            <w:noProof/>
            <w:webHidden/>
          </w:rPr>
          <w:fldChar w:fldCharType="end"/>
        </w:r>
      </w:hyperlink>
    </w:p>
    <w:p w14:paraId="6E81496B" w14:textId="77777777" w:rsidR="000E1B7E" w:rsidRPr="000E1B7E" w:rsidRDefault="00687502" w:rsidP="000E1B7E">
      <w:pPr>
        <w:pStyle w:val="TOC1"/>
        <w:tabs>
          <w:tab w:val="right" w:leader="dot" w:pos="9016"/>
        </w:tabs>
        <w:spacing w:line="360" w:lineRule="auto"/>
        <w:rPr>
          <w:rFonts w:ascii="Times New Roman" w:eastAsiaTheme="minorEastAsia" w:hAnsi="Times New Roman" w:cs="Times New Roman"/>
          <w:b w:val="0"/>
          <w:bCs w:val="0"/>
          <w:caps w:val="0"/>
          <w:noProof/>
          <w:lang w:val="en-US"/>
        </w:rPr>
      </w:pPr>
      <w:hyperlink w:anchor="_Toc11956283" w:history="1">
        <w:r w:rsidR="000E1B7E" w:rsidRPr="000E1B7E">
          <w:rPr>
            <w:rStyle w:val="Hyperlink"/>
            <w:rFonts w:ascii="Times New Roman" w:hAnsi="Times New Roman" w:cs="Times New Roman"/>
            <w:noProof/>
          </w:rPr>
          <w:t>Appendix</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_Toc11956283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80</w:t>
        </w:r>
        <w:r w:rsidR="000E1B7E" w:rsidRPr="000E1B7E">
          <w:rPr>
            <w:rFonts w:ascii="Times New Roman" w:hAnsi="Times New Roman" w:cs="Times New Roman"/>
            <w:noProof/>
            <w:webHidden/>
          </w:rPr>
          <w:fldChar w:fldCharType="end"/>
        </w:r>
      </w:hyperlink>
    </w:p>
    <w:p w14:paraId="70EA927E"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84" w:history="1">
        <w:r w:rsidR="000E1B7E" w:rsidRPr="000E1B7E">
          <w:rPr>
            <w:rStyle w:val="Hyperlink"/>
            <w:rFonts w:ascii="Times New Roman" w:hAnsi="Times New Roman" w:cs="Times New Roman"/>
            <w:noProof/>
          </w:rPr>
          <w:t>Appendix 1: Selected BoP memorandum indicators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_Toc11956284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80</w:t>
        </w:r>
        <w:r w:rsidR="000E1B7E" w:rsidRPr="000E1B7E">
          <w:rPr>
            <w:rFonts w:ascii="Times New Roman" w:hAnsi="Times New Roman" w:cs="Times New Roman"/>
            <w:noProof/>
            <w:webHidden/>
          </w:rPr>
          <w:fldChar w:fldCharType="end"/>
        </w:r>
      </w:hyperlink>
    </w:p>
    <w:p w14:paraId="7202D917"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85" w:history="1">
        <w:r w:rsidR="000E1B7E" w:rsidRPr="000E1B7E">
          <w:rPr>
            <w:rStyle w:val="Hyperlink"/>
            <w:rFonts w:ascii="Times New Roman" w:hAnsi="Times New Roman" w:cs="Times New Roman"/>
            <w:noProof/>
          </w:rPr>
          <w:t>Appendix 2: Implementation progress of Flagship Infrastructure Projects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_Toc11956285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81</w:t>
        </w:r>
        <w:r w:rsidR="000E1B7E" w:rsidRPr="000E1B7E">
          <w:rPr>
            <w:rFonts w:ascii="Times New Roman" w:hAnsi="Times New Roman" w:cs="Times New Roman"/>
            <w:noProof/>
            <w:webHidden/>
          </w:rPr>
          <w:fldChar w:fldCharType="end"/>
        </w:r>
      </w:hyperlink>
    </w:p>
    <w:p w14:paraId="724F4828"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86" w:history="1">
        <w:r w:rsidR="000E1B7E" w:rsidRPr="000E1B7E">
          <w:rPr>
            <w:rStyle w:val="Hyperlink"/>
            <w:rFonts w:ascii="Times New Roman" w:hAnsi="Times New Roman" w:cs="Times New Roman"/>
            <w:noProof/>
          </w:rPr>
          <w:t>Appendix 3: Implementation progress of National roads under rehabilitation/meintanence</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_Toc11956286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88</w:t>
        </w:r>
        <w:r w:rsidR="000E1B7E" w:rsidRPr="000E1B7E">
          <w:rPr>
            <w:rFonts w:ascii="Times New Roman" w:hAnsi="Times New Roman" w:cs="Times New Roman"/>
            <w:noProof/>
            <w:webHidden/>
          </w:rPr>
          <w:fldChar w:fldCharType="end"/>
        </w:r>
      </w:hyperlink>
    </w:p>
    <w:p w14:paraId="669009A9"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87" w:history="1">
        <w:r w:rsidR="000E1B7E" w:rsidRPr="000E1B7E">
          <w:rPr>
            <w:rStyle w:val="Hyperlink"/>
            <w:rFonts w:ascii="Times New Roman" w:hAnsi="Times New Roman" w:cs="Times New Roman"/>
            <w:noProof/>
          </w:rPr>
          <w:t xml:space="preserve">Appendix 4: Implementation status </w:t>
        </w:r>
        <w:r w:rsidR="000E1B7E" w:rsidRPr="000E1B7E">
          <w:rPr>
            <w:rStyle w:val="Hyperlink"/>
            <w:rFonts w:ascii="Times New Roman" w:hAnsi="Times New Roman" w:cs="Times New Roman"/>
            <w:noProof/>
            <w:lang w:val="en-US"/>
          </w:rPr>
          <w:t>of Works on Bridges, March, 2018</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_Toc11956287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91</w:t>
        </w:r>
        <w:r w:rsidR="000E1B7E" w:rsidRPr="000E1B7E">
          <w:rPr>
            <w:rFonts w:ascii="Times New Roman" w:hAnsi="Times New Roman" w:cs="Times New Roman"/>
            <w:noProof/>
            <w:webHidden/>
          </w:rPr>
          <w:fldChar w:fldCharType="end"/>
        </w:r>
      </w:hyperlink>
    </w:p>
    <w:p w14:paraId="3ECF7E39"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88" w:history="1">
        <w:r w:rsidR="000E1B7E" w:rsidRPr="000E1B7E">
          <w:rPr>
            <w:rStyle w:val="Hyperlink"/>
            <w:rFonts w:ascii="Times New Roman" w:hAnsi="Times New Roman" w:cs="Times New Roman"/>
            <w:noProof/>
          </w:rPr>
          <w:t xml:space="preserve">Appendix 5: </w:t>
        </w:r>
        <w:r w:rsidR="000E1B7E" w:rsidRPr="000E1B7E">
          <w:rPr>
            <w:rStyle w:val="Hyperlink"/>
            <w:rFonts w:ascii="Times New Roman" w:hAnsi="Times New Roman" w:cs="Times New Roman"/>
            <w:noProof/>
            <w:lang w:val="en-US"/>
          </w:rPr>
          <w:t>Implementation Status of Expressways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_Toc11956288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93</w:t>
        </w:r>
        <w:r w:rsidR="000E1B7E" w:rsidRPr="000E1B7E">
          <w:rPr>
            <w:rFonts w:ascii="Times New Roman" w:hAnsi="Times New Roman" w:cs="Times New Roman"/>
            <w:noProof/>
            <w:webHidden/>
          </w:rPr>
          <w:fldChar w:fldCharType="end"/>
        </w:r>
      </w:hyperlink>
    </w:p>
    <w:p w14:paraId="392A24C7"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89" w:history="1">
        <w:r w:rsidR="000E1B7E" w:rsidRPr="000E1B7E">
          <w:rPr>
            <w:rStyle w:val="Hyperlink"/>
            <w:rFonts w:ascii="Times New Roman" w:hAnsi="Times New Roman" w:cs="Times New Roman"/>
            <w:noProof/>
          </w:rPr>
          <w:t>Appendix 6:</w:t>
        </w:r>
        <w:r w:rsidR="000E1B7E" w:rsidRPr="000E1B7E">
          <w:rPr>
            <w:rStyle w:val="Hyperlink"/>
            <w:rFonts w:ascii="Times New Roman" w:hAnsi="Times New Roman" w:cs="Times New Roman"/>
            <w:noProof/>
            <w:lang w:val="en-US"/>
          </w:rPr>
          <w:t xml:space="preserve"> Planned and on-going Energy Projects</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_Toc11956289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94</w:t>
        </w:r>
        <w:r w:rsidR="000E1B7E" w:rsidRPr="000E1B7E">
          <w:rPr>
            <w:rFonts w:ascii="Times New Roman" w:hAnsi="Times New Roman" w:cs="Times New Roman"/>
            <w:noProof/>
            <w:webHidden/>
          </w:rPr>
          <w:fldChar w:fldCharType="end"/>
        </w:r>
      </w:hyperlink>
    </w:p>
    <w:p w14:paraId="20D1B87E"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90" w:history="1">
        <w:r w:rsidR="000E1B7E" w:rsidRPr="000E1B7E">
          <w:rPr>
            <w:rStyle w:val="Hyperlink"/>
            <w:rFonts w:ascii="Times New Roman" w:hAnsi="Times New Roman" w:cs="Times New Roman"/>
            <w:noProof/>
            <w:lang w:val="en-US"/>
          </w:rPr>
          <w:t>Appendix 7: Energy Projects for Industrialization and Commercial Centres in FY 2018/19</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_Toc11956290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95</w:t>
        </w:r>
        <w:r w:rsidR="000E1B7E" w:rsidRPr="000E1B7E">
          <w:rPr>
            <w:rFonts w:ascii="Times New Roman" w:hAnsi="Times New Roman" w:cs="Times New Roman"/>
            <w:noProof/>
            <w:webHidden/>
          </w:rPr>
          <w:fldChar w:fldCharType="end"/>
        </w:r>
      </w:hyperlink>
    </w:p>
    <w:p w14:paraId="289F7737" w14:textId="77777777" w:rsidR="000E1B7E" w:rsidRPr="000E1B7E" w:rsidRDefault="00687502" w:rsidP="000E1B7E">
      <w:pPr>
        <w:pStyle w:val="TOC2"/>
        <w:tabs>
          <w:tab w:val="right" w:leader="dot" w:pos="9016"/>
        </w:tabs>
        <w:spacing w:line="360" w:lineRule="auto"/>
        <w:rPr>
          <w:rFonts w:ascii="Times New Roman" w:eastAsiaTheme="minorEastAsia" w:hAnsi="Times New Roman" w:cs="Times New Roman"/>
          <w:smallCaps w:val="0"/>
          <w:noProof/>
          <w:lang w:val="en-US"/>
        </w:rPr>
      </w:pPr>
      <w:hyperlink w:anchor="_Toc11956291" w:history="1">
        <w:r w:rsidR="000E1B7E" w:rsidRPr="000E1B7E">
          <w:rPr>
            <w:rStyle w:val="Hyperlink"/>
            <w:rFonts w:ascii="Times New Roman" w:hAnsi="Times New Roman" w:cs="Times New Roman"/>
            <w:noProof/>
            <w:lang w:val="en-US"/>
          </w:rPr>
          <w:t>Appendix 8: Formal Private Sector Import (Million US$) by HS Cpode</w:t>
        </w:r>
        <w:r w:rsidR="000E1B7E" w:rsidRPr="000E1B7E">
          <w:rPr>
            <w:rFonts w:ascii="Times New Roman" w:hAnsi="Times New Roman" w:cs="Times New Roman"/>
            <w:noProof/>
            <w:webHidden/>
          </w:rPr>
          <w:tab/>
        </w:r>
        <w:r w:rsidR="000E1B7E" w:rsidRPr="000E1B7E">
          <w:rPr>
            <w:rFonts w:ascii="Times New Roman" w:hAnsi="Times New Roman" w:cs="Times New Roman"/>
            <w:noProof/>
            <w:webHidden/>
          </w:rPr>
          <w:fldChar w:fldCharType="begin"/>
        </w:r>
        <w:r w:rsidR="000E1B7E" w:rsidRPr="000E1B7E">
          <w:rPr>
            <w:rFonts w:ascii="Times New Roman" w:hAnsi="Times New Roman" w:cs="Times New Roman"/>
            <w:noProof/>
            <w:webHidden/>
          </w:rPr>
          <w:instrText xml:space="preserve"> PAGEREF _Toc11956291 \h </w:instrText>
        </w:r>
        <w:r w:rsidR="000E1B7E" w:rsidRPr="000E1B7E">
          <w:rPr>
            <w:rFonts w:ascii="Times New Roman" w:hAnsi="Times New Roman" w:cs="Times New Roman"/>
            <w:noProof/>
            <w:webHidden/>
          </w:rPr>
        </w:r>
        <w:r w:rsidR="000E1B7E" w:rsidRPr="000E1B7E">
          <w:rPr>
            <w:rFonts w:ascii="Times New Roman" w:hAnsi="Times New Roman" w:cs="Times New Roman"/>
            <w:noProof/>
            <w:webHidden/>
          </w:rPr>
          <w:fldChar w:fldCharType="separate"/>
        </w:r>
        <w:r w:rsidR="000B7A9D">
          <w:rPr>
            <w:rFonts w:ascii="Times New Roman" w:hAnsi="Times New Roman" w:cs="Times New Roman"/>
            <w:noProof/>
            <w:webHidden/>
          </w:rPr>
          <w:t>96</w:t>
        </w:r>
        <w:r w:rsidR="000E1B7E" w:rsidRPr="000E1B7E">
          <w:rPr>
            <w:rFonts w:ascii="Times New Roman" w:hAnsi="Times New Roman" w:cs="Times New Roman"/>
            <w:noProof/>
            <w:webHidden/>
          </w:rPr>
          <w:fldChar w:fldCharType="end"/>
        </w:r>
      </w:hyperlink>
    </w:p>
    <w:p w14:paraId="08AD50BA" w14:textId="77777777" w:rsidR="00EE55E7" w:rsidRPr="000E1B7E" w:rsidRDefault="001232BF" w:rsidP="000E1B7E">
      <w:pPr>
        <w:spacing w:line="360" w:lineRule="auto"/>
        <w:jc w:val="both"/>
      </w:pPr>
      <w:r w:rsidRPr="000E1B7E">
        <w:rPr>
          <w:sz w:val="20"/>
          <w:szCs w:val="20"/>
        </w:rPr>
        <w:fldChar w:fldCharType="end"/>
      </w:r>
    </w:p>
    <w:p w14:paraId="7BFE9794" w14:textId="77777777" w:rsidR="004A5CB7" w:rsidRPr="000E1B7E" w:rsidRDefault="004A5CB7" w:rsidP="005959B5">
      <w:pPr>
        <w:contextualSpacing/>
        <w:jc w:val="both"/>
        <w:rPr>
          <w:b/>
          <w:color w:val="0070C0"/>
        </w:rPr>
      </w:pPr>
    </w:p>
    <w:p w14:paraId="710A08D1" w14:textId="77777777" w:rsidR="004A5CB7" w:rsidRPr="000E1B7E" w:rsidRDefault="004A5CB7" w:rsidP="005959B5">
      <w:pPr>
        <w:contextualSpacing/>
        <w:jc w:val="both"/>
        <w:rPr>
          <w:b/>
          <w:color w:val="0070C0"/>
        </w:rPr>
      </w:pPr>
    </w:p>
    <w:p w14:paraId="2901241A" w14:textId="77777777" w:rsidR="004A5CB7" w:rsidRPr="000E1B7E" w:rsidRDefault="004A5CB7" w:rsidP="005959B5">
      <w:pPr>
        <w:contextualSpacing/>
        <w:jc w:val="both"/>
        <w:rPr>
          <w:b/>
          <w:color w:val="0070C0"/>
        </w:rPr>
      </w:pPr>
    </w:p>
    <w:p w14:paraId="2BD2BBC2" w14:textId="77777777" w:rsidR="004A5CB7" w:rsidRPr="000E1B7E" w:rsidRDefault="004A5CB7" w:rsidP="005959B5">
      <w:pPr>
        <w:contextualSpacing/>
        <w:jc w:val="both"/>
        <w:rPr>
          <w:b/>
          <w:color w:val="0070C0"/>
        </w:rPr>
      </w:pPr>
    </w:p>
    <w:p w14:paraId="4E79D1CD" w14:textId="77777777" w:rsidR="004A5CB7" w:rsidRPr="000E1B7E" w:rsidRDefault="004A5CB7" w:rsidP="005959B5">
      <w:pPr>
        <w:contextualSpacing/>
        <w:jc w:val="both"/>
        <w:rPr>
          <w:b/>
          <w:color w:val="0070C0"/>
        </w:rPr>
      </w:pPr>
    </w:p>
    <w:p w14:paraId="32727486" w14:textId="77777777" w:rsidR="004A5CB7" w:rsidRPr="000E1B7E" w:rsidRDefault="004A5CB7" w:rsidP="005959B5">
      <w:pPr>
        <w:contextualSpacing/>
        <w:jc w:val="both"/>
        <w:rPr>
          <w:b/>
          <w:color w:val="0070C0"/>
        </w:rPr>
      </w:pPr>
    </w:p>
    <w:p w14:paraId="6BED045B" w14:textId="77777777" w:rsidR="004A5CB7" w:rsidRPr="000E1B7E" w:rsidRDefault="004A5CB7" w:rsidP="005959B5">
      <w:pPr>
        <w:contextualSpacing/>
        <w:jc w:val="both"/>
        <w:rPr>
          <w:b/>
          <w:color w:val="0070C0"/>
        </w:rPr>
      </w:pPr>
    </w:p>
    <w:p w14:paraId="7ECD026D" w14:textId="77777777" w:rsidR="004A5CB7" w:rsidRPr="000E1B7E" w:rsidRDefault="004A5CB7" w:rsidP="005959B5">
      <w:pPr>
        <w:contextualSpacing/>
        <w:jc w:val="both"/>
        <w:rPr>
          <w:b/>
          <w:color w:val="0070C0"/>
        </w:rPr>
      </w:pPr>
    </w:p>
    <w:p w14:paraId="19E31B0B" w14:textId="77777777" w:rsidR="00AD3C33" w:rsidRPr="000E1B7E" w:rsidRDefault="00AD3C33" w:rsidP="005959B5">
      <w:pPr>
        <w:contextualSpacing/>
        <w:jc w:val="both"/>
        <w:rPr>
          <w:b/>
          <w:color w:val="0070C0"/>
        </w:rPr>
        <w:sectPr w:rsidR="00AD3C33" w:rsidRPr="000E1B7E" w:rsidSect="00C11847">
          <w:footerReference w:type="default" r:id="rId13"/>
          <w:footerReference w:type="first" r:id="rId14"/>
          <w:pgSz w:w="11906" w:h="16838"/>
          <w:pgMar w:top="1440" w:right="1440" w:bottom="1440" w:left="1440" w:header="708" w:footer="8" w:gutter="0"/>
          <w:pgNumType w:fmt="lowerRoman" w:start="0"/>
          <w:cols w:space="708"/>
          <w:docGrid w:linePitch="360"/>
        </w:sectPr>
      </w:pPr>
    </w:p>
    <w:p w14:paraId="389129D2" w14:textId="77777777" w:rsidR="00061159" w:rsidRPr="000E1B7E" w:rsidRDefault="00061159" w:rsidP="00582844">
      <w:pPr>
        <w:pStyle w:val="Heading1"/>
      </w:pPr>
      <w:bookmarkStart w:id="7" w:name="_Toc11956244"/>
      <w:bookmarkStart w:id="8" w:name="_Toc367960131"/>
      <w:bookmarkStart w:id="9" w:name="_Toc3478362"/>
      <w:r w:rsidRPr="000E1B7E">
        <w:lastRenderedPageBreak/>
        <w:t>List of Tables</w:t>
      </w:r>
      <w:bookmarkEnd w:id="7"/>
    </w:p>
    <w:p w14:paraId="33FE394D" w14:textId="77777777" w:rsidR="00061159" w:rsidRPr="000E1B7E" w:rsidRDefault="001232BF"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r w:rsidRPr="000E1B7E">
        <w:rPr>
          <w:rFonts w:ascii="Times New Roman" w:hAnsi="Times New Roman" w:cs="Times New Roman"/>
        </w:rPr>
        <w:fldChar w:fldCharType="begin"/>
      </w:r>
      <w:r w:rsidR="00061159" w:rsidRPr="000E1B7E">
        <w:rPr>
          <w:rFonts w:ascii="Times New Roman" w:hAnsi="Times New Roman" w:cs="Times New Roman"/>
        </w:rPr>
        <w:instrText xml:space="preserve"> TOC \h \z \c "Table" </w:instrText>
      </w:r>
      <w:r w:rsidRPr="000E1B7E">
        <w:rPr>
          <w:rFonts w:ascii="Times New Roman" w:hAnsi="Times New Roman" w:cs="Times New Roman"/>
        </w:rPr>
        <w:fldChar w:fldCharType="separate"/>
      </w:r>
      <w:hyperlink w:anchor="_Toc3483111" w:history="1">
        <w:r w:rsidR="00061159" w:rsidRPr="000E1B7E">
          <w:rPr>
            <w:rStyle w:val="Hyperlink"/>
            <w:rFonts w:ascii="Times New Roman" w:eastAsia="Calibri" w:hAnsi="Times New Roman" w:cs="Times New Roman"/>
            <w:noProof/>
          </w:rPr>
          <w:t>Table 1: OECD evaluation criteria</w:t>
        </w:r>
        <w:r w:rsidR="00061159" w:rsidRPr="000E1B7E">
          <w:rPr>
            <w:rFonts w:ascii="Times New Roman" w:hAnsi="Times New Roman" w:cs="Times New Roman"/>
            <w:noProof/>
            <w:webHidden/>
          </w:rPr>
          <w:tab/>
        </w:r>
        <w:r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_Toc3483111 \h </w:instrText>
        </w:r>
        <w:r w:rsidRPr="000E1B7E">
          <w:rPr>
            <w:rFonts w:ascii="Times New Roman" w:hAnsi="Times New Roman" w:cs="Times New Roman"/>
            <w:noProof/>
            <w:webHidden/>
          </w:rPr>
        </w:r>
        <w:r w:rsidRPr="000E1B7E">
          <w:rPr>
            <w:rFonts w:ascii="Times New Roman" w:hAnsi="Times New Roman" w:cs="Times New Roman"/>
            <w:noProof/>
            <w:webHidden/>
          </w:rPr>
          <w:fldChar w:fldCharType="separate"/>
        </w:r>
        <w:r w:rsidR="000B7A9D">
          <w:rPr>
            <w:rFonts w:ascii="Times New Roman" w:hAnsi="Times New Roman" w:cs="Times New Roman"/>
            <w:noProof/>
            <w:webHidden/>
          </w:rPr>
          <w:t>6</w:t>
        </w:r>
        <w:r w:rsidRPr="000E1B7E">
          <w:rPr>
            <w:rFonts w:ascii="Times New Roman" w:hAnsi="Times New Roman" w:cs="Times New Roman"/>
            <w:noProof/>
            <w:webHidden/>
          </w:rPr>
          <w:fldChar w:fldCharType="end"/>
        </w:r>
      </w:hyperlink>
    </w:p>
    <w:p w14:paraId="3AE91AE9"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2" w:history="1">
        <w:r w:rsidR="00061159" w:rsidRPr="000E1B7E">
          <w:rPr>
            <w:rStyle w:val="Hyperlink"/>
            <w:rFonts w:ascii="Times New Roman" w:eastAsia="Calibri" w:hAnsi="Times New Roman" w:cs="Times New Roman"/>
            <w:noProof/>
          </w:rPr>
          <w:t>Table 2: NDP II Real GDP Growth Projections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_Toc3483112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9</w:t>
        </w:r>
        <w:r w:rsidR="001232BF" w:rsidRPr="000E1B7E">
          <w:rPr>
            <w:rFonts w:ascii="Times New Roman" w:hAnsi="Times New Roman" w:cs="Times New Roman"/>
            <w:noProof/>
            <w:webHidden/>
          </w:rPr>
          <w:fldChar w:fldCharType="end"/>
        </w:r>
      </w:hyperlink>
    </w:p>
    <w:p w14:paraId="1BBA319E"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3" w:history="1">
        <w:r w:rsidR="00061159" w:rsidRPr="000E1B7E">
          <w:rPr>
            <w:rStyle w:val="Hyperlink"/>
            <w:rFonts w:ascii="Times New Roman" w:eastAsia="Calibri" w:hAnsi="Times New Roman" w:cs="Times New Roman"/>
            <w:noProof/>
          </w:rPr>
          <w:t>Table 3: NDP II Sectoral Shares and Implied Growth Projections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_Toc3483113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11</w:t>
        </w:r>
        <w:r w:rsidR="001232BF" w:rsidRPr="000E1B7E">
          <w:rPr>
            <w:rFonts w:ascii="Times New Roman" w:hAnsi="Times New Roman" w:cs="Times New Roman"/>
            <w:noProof/>
            <w:webHidden/>
          </w:rPr>
          <w:fldChar w:fldCharType="end"/>
        </w:r>
      </w:hyperlink>
    </w:p>
    <w:p w14:paraId="510E2D20"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4" w:history="1">
        <w:r w:rsidR="00061159" w:rsidRPr="000E1B7E">
          <w:rPr>
            <w:rStyle w:val="Hyperlink"/>
            <w:rFonts w:ascii="Times New Roman" w:hAnsi="Times New Roman" w:cs="Times New Roman"/>
            <w:noProof/>
          </w:rPr>
          <w:t>Table 4: Real GDP by economic activity (% contribution to GDP at basic prices (= value added))</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_Toc3483114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12</w:t>
        </w:r>
        <w:r w:rsidR="001232BF" w:rsidRPr="000E1B7E">
          <w:rPr>
            <w:rFonts w:ascii="Times New Roman" w:hAnsi="Times New Roman" w:cs="Times New Roman"/>
            <w:noProof/>
            <w:webHidden/>
          </w:rPr>
          <w:fldChar w:fldCharType="end"/>
        </w:r>
      </w:hyperlink>
    </w:p>
    <w:p w14:paraId="27E5FD58"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5" w:history="1">
        <w:r w:rsidR="00061159" w:rsidRPr="000E1B7E">
          <w:rPr>
            <w:rStyle w:val="Hyperlink"/>
            <w:rFonts w:ascii="Times New Roman" w:eastAsia="Calibri" w:hAnsi="Times New Roman" w:cs="Times New Roman"/>
            <w:noProof/>
          </w:rPr>
          <w:t>Table 5: Real GDP growth by main economic activity</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_Toc3483115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13</w:t>
        </w:r>
        <w:r w:rsidR="001232BF" w:rsidRPr="000E1B7E">
          <w:rPr>
            <w:rFonts w:ascii="Times New Roman" w:hAnsi="Times New Roman" w:cs="Times New Roman"/>
            <w:noProof/>
            <w:webHidden/>
          </w:rPr>
          <w:fldChar w:fldCharType="end"/>
        </w:r>
      </w:hyperlink>
    </w:p>
    <w:p w14:paraId="3D34CED8"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6" w:history="1">
        <w:r w:rsidR="00061159" w:rsidRPr="000E1B7E">
          <w:rPr>
            <w:rStyle w:val="Hyperlink"/>
            <w:rFonts w:ascii="Times New Roman" w:eastAsia="Calibri" w:hAnsi="Times New Roman" w:cs="Times New Roman"/>
            <w:noProof/>
          </w:rPr>
          <w:t>Table 6: GDP per capita at constant 2009/10 prices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_Toc3483116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17</w:t>
        </w:r>
        <w:r w:rsidR="001232BF" w:rsidRPr="000E1B7E">
          <w:rPr>
            <w:rFonts w:ascii="Times New Roman" w:hAnsi="Times New Roman" w:cs="Times New Roman"/>
            <w:noProof/>
            <w:webHidden/>
          </w:rPr>
          <w:fldChar w:fldCharType="end"/>
        </w:r>
      </w:hyperlink>
    </w:p>
    <w:p w14:paraId="2DEFFEF3"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7" w:history="1">
        <w:r w:rsidR="00061159" w:rsidRPr="000E1B7E">
          <w:rPr>
            <w:rStyle w:val="Hyperlink"/>
            <w:rFonts w:ascii="Times New Roman" w:eastAsia="Calibri" w:hAnsi="Times New Roman" w:cs="Times New Roman"/>
            <w:noProof/>
          </w:rPr>
          <w:t>Table 7: Uganda’s Doing Business Ranking Across the Ten Topics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_Toc3483117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19</w:t>
        </w:r>
        <w:r w:rsidR="001232BF" w:rsidRPr="000E1B7E">
          <w:rPr>
            <w:rFonts w:ascii="Times New Roman" w:hAnsi="Times New Roman" w:cs="Times New Roman"/>
            <w:noProof/>
            <w:webHidden/>
          </w:rPr>
          <w:fldChar w:fldCharType="end"/>
        </w:r>
      </w:hyperlink>
    </w:p>
    <w:p w14:paraId="6B1478E1"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8" w:history="1">
        <w:r w:rsidR="00061159" w:rsidRPr="000E1B7E">
          <w:rPr>
            <w:rStyle w:val="Hyperlink"/>
            <w:rFonts w:ascii="Times New Roman" w:eastAsia="Calibri" w:hAnsi="Times New Roman" w:cs="Times New Roman"/>
            <w:noProof/>
          </w:rPr>
          <w:t>Table 8: Uganda Global Competitiveness Index Ranking Index</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_Toc3483118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21</w:t>
        </w:r>
        <w:r w:rsidR="001232BF" w:rsidRPr="000E1B7E">
          <w:rPr>
            <w:rFonts w:ascii="Times New Roman" w:hAnsi="Times New Roman" w:cs="Times New Roman"/>
            <w:noProof/>
            <w:webHidden/>
          </w:rPr>
          <w:fldChar w:fldCharType="end"/>
        </w:r>
      </w:hyperlink>
    </w:p>
    <w:p w14:paraId="0B6E5052"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19" w:history="1">
        <w:r w:rsidR="00061159" w:rsidRPr="000E1B7E">
          <w:rPr>
            <w:rStyle w:val="Hyperlink"/>
            <w:rFonts w:ascii="Times New Roman" w:eastAsia="Calibri" w:hAnsi="Times New Roman" w:cs="Times New Roman"/>
            <w:noProof/>
          </w:rPr>
          <w:t>Table 9: LPI ranking of Uganda and other regional countries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_Toc3483119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23</w:t>
        </w:r>
        <w:r w:rsidR="001232BF" w:rsidRPr="000E1B7E">
          <w:rPr>
            <w:rFonts w:ascii="Times New Roman" w:hAnsi="Times New Roman" w:cs="Times New Roman"/>
            <w:noProof/>
            <w:webHidden/>
          </w:rPr>
          <w:fldChar w:fldCharType="end"/>
        </w:r>
      </w:hyperlink>
    </w:p>
    <w:p w14:paraId="220C0194"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0" w:history="1">
        <w:r w:rsidR="00061159" w:rsidRPr="000E1B7E">
          <w:rPr>
            <w:rStyle w:val="Hyperlink"/>
            <w:rFonts w:ascii="Times New Roman" w:eastAsia="Calibri" w:hAnsi="Times New Roman" w:cs="Times New Roman"/>
            <w:noProof/>
          </w:rPr>
          <w:t>Table 10: Medium-Term Fiscal Framework (Shsbn)</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_Toc3483120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34</w:t>
        </w:r>
        <w:r w:rsidR="001232BF" w:rsidRPr="000E1B7E">
          <w:rPr>
            <w:rFonts w:ascii="Times New Roman" w:hAnsi="Times New Roman" w:cs="Times New Roman"/>
            <w:noProof/>
            <w:webHidden/>
          </w:rPr>
          <w:fldChar w:fldCharType="end"/>
        </w:r>
      </w:hyperlink>
    </w:p>
    <w:p w14:paraId="41A54F8D"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1" w:history="1">
        <w:r w:rsidR="00061159" w:rsidRPr="000E1B7E">
          <w:rPr>
            <w:rStyle w:val="Hyperlink"/>
            <w:rFonts w:ascii="Times New Roman" w:eastAsia="Calibri" w:hAnsi="Times New Roman" w:cs="Times New Roman"/>
            <w:noProof/>
          </w:rPr>
          <w:t>Table 11: Trends in URA tax collections 2010/11 to 2017/18</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_Toc3483121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39</w:t>
        </w:r>
        <w:r w:rsidR="001232BF" w:rsidRPr="000E1B7E">
          <w:rPr>
            <w:rFonts w:ascii="Times New Roman" w:hAnsi="Times New Roman" w:cs="Times New Roman"/>
            <w:noProof/>
            <w:webHidden/>
          </w:rPr>
          <w:fldChar w:fldCharType="end"/>
        </w:r>
      </w:hyperlink>
    </w:p>
    <w:p w14:paraId="7DE9A451"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2" w:history="1">
        <w:r w:rsidR="00061159" w:rsidRPr="000E1B7E">
          <w:rPr>
            <w:rStyle w:val="Hyperlink"/>
            <w:rFonts w:ascii="Times New Roman" w:hAnsi="Times New Roman" w:cs="Times New Roman"/>
            <w:bCs/>
            <w:noProof/>
          </w:rPr>
          <w:t>Table 12: Tax and Non-Tax Revenue collection as a Percent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_Toc3483122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40</w:t>
        </w:r>
        <w:r w:rsidR="001232BF" w:rsidRPr="000E1B7E">
          <w:rPr>
            <w:rFonts w:ascii="Times New Roman" w:hAnsi="Times New Roman" w:cs="Times New Roman"/>
            <w:noProof/>
            <w:webHidden/>
          </w:rPr>
          <w:fldChar w:fldCharType="end"/>
        </w:r>
      </w:hyperlink>
    </w:p>
    <w:p w14:paraId="0751BE4D"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3" w:history="1">
        <w:r w:rsidR="00061159" w:rsidRPr="000E1B7E">
          <w:rPr>
            <w:rStyle w:val="Hyperlink"/>
            <w:rFonts w:ascii="Times New Roman" w:eastAsia="Calibri" w:hAnsi="Times New Roman" w:cs="Times New Roman"/>
            <w:noProof/>
          </w:rPr>
          <w:t>Table 13: Allocation of spending for the first three years of NDP II</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_Toc3483123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50</w:t>
        </w:r>
        <w:r w:rsidR="001232BF" w:rsidRPr="000E1B7E">
          <w:rPr>
            <w:rFonts w:ascii="Times New Roman" w:hAnsi="Times New Roman" w:cs="Times New Roman"/>
            <w:noProof/>
            <w:webHidden/>
          </w:rPr>
          <w:fldChar w:fldCharType="end"/>
        </w:r>
      </w:hyperlink>
    </w:p>
    <w:p w14:paraId="65FE41A6"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4" w:history="1">
        <w:r w:rsidR="00061159" w:rsidRPr="000E1B7E">
          <w:rPr>
            <w:rStyle w:val="Hyperlink"/>
            <w:rFonts w:ascii="Times New Roman" w:eastAsia="Calibri" w:hAnsi="Times New Roman" w:cs="Times New Roman"/>
            <w:noProof/>
          </w:rPr>
          <w:t>Table 14: Government Actual Expenditure and NDP IISector Allocation Alignment (Percentages)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_Toc3483124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52</w:t>
        </w:r>
        <w:r w:rsidR="001232BF" w:rsidRPr="000E1B7E">
          <w:rPr>
            <w:rFonts w:ascii="Times New Roman" w:hAnsi="Times New Roman" w:cs="Times New Roman"/>
            <w:noProof/>
            <w:webHidden/>
          </w:rPr>
          <w:fldChar w:fldCharType="end"/>
        </w:r>
      </w:hyperlink>
    </w:p>
    <w:p w14:paraId="6629678D"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5" w:history="1">
        <w:r w:rsidR="00061159" w:rsidRPr="000E1B7E">
          <w:rPr>
            <w:rStyle w:val="Hyperlink"/>
            <w:rFonts w:ascii="Times New Roman" w:eastAsia="Calibri" w:hAnsi="Times New Roman" w:cs="Times New Roman"/>
            <w:noProof/>
          </w:rPr>
          <w:t>Table 15: Selected indicators of central Government Operations (FY2013/14-2017/18)</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_Toc3483125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53</w:t>
        </w:r>
        <w:r w:rsidR="001232BF" w:rsidRPr="000E1B7E">
          <w:rPr>
            <w:rFonts w:ascii="Times New Roman" w:hAnsi="Times New Roman" w:cs="Times New Roman"/>
            <w:noProof/>
            <w:webHidden/>
          </w:rPr>
          <w:fldChar w:fldCharType="end"/>
        </w:r>
      </w:hyperlink>
    </w:p>
    <w:p w14:paraId="5D767BCA"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6" w:history="1">
        <w:r w:rsidR="00061159" w:rsidRPr="000E1B7E">
          <w:rPr>
            <w:rStyle w:val="Hyperlink"/>
            <w:rFonts w:ascii="Times New Roman" w:eastAsia="Calibri" w:hAnsi="Times New Roman" w:cs="Times New Roman"/>
            <w:noProof/>
          </w:rPr>
          <w:t>Table 16: Sector Distribution of Outstanding Credit to the Private Sector (%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_Toc3483126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61</w:t>
        </w:r>
        <w:r w:rsidR="001232BF" w:rsidRPr="000E1B7E">
          <w:rPr>
            <w:rFonts w:ascii="Times New Roman" w:hAnsi="Times New Roman" w:cs="Times New Roman"/>
            <w:noProof/>
            <w:webHidden/>
          </w:rPr>
          <w:fldChar w:fldCharType="end"/>
        </w:r>
      </w:hyperlink>
    </w:p>
    <w:p w14:paraId="2577DFFB"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7" w:history="1">
        <w:r w:rsidR="00061159" w:rsidRPr="000E1B7E">
          <w:rPr>
            <w:rStyle w:val="Hyperlink"/>
            <w:rFonts w:ascii="Times New Roman" w:eastAsia="Calibri" w:hAnsi="Times New Roman" w:cs="Times New Roman"/>
            <w:noProof/>
          </w:rPr>
          <w:t>Table 17: Percentage annual growth of the main export commodities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_Toc3483127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66</w:t>
        </w:r>
        <w:r w:rsidR="001232BF" w:rsidRPr="000E1B7E">
          <w:rPr>
            <w:rFonts w:ascii="Times New Roman" w:hAnsi="Times New Roman" w:cs="Times New Roman"/>
            <w:noProof/>
            <w:webHidden/>
          </w:rPr>
          <w:fldChar w:fldCharType="end"/>
        </w:r>
      </w:hyperlink>
    </w:p>
    <w:p w14:paraId="02D873BC"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8" w:history="1">
        <w:r w:rsidR="00061159" w:rsidRPr="000E1B7E">
          <w:rPr>
            <w:rStyle w:val="Hyperlink"/>
            <w:rFonts w:ascii="Times New Roman" w:eastAsia="Calibri" w:hAnsi="Times New Roman" w:cs="Times New Roman"/>
            <w:bCs/>
            <w:noProof/>
          </w:rPr>
          <w:t>Table 18: Exports as a Percentage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_Toc3483128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67</w:t>
        </w:r>
        <w:r w:rsidR="001232BF" w:rsidRPr="000E1B7E">
          <w:rPr>
            <w:rFonts w:ascii="Times New Roman" w:hAnsi="Times New Roman" w:cs="Times New Roman"/>
            <w:noProof/>
            <w:webHidden/>
          </w:rPr>
          <w:fldChar w:fldCharType="end"/>
        </w:r>
      </w:hyperlink>
    </w:p>
    <w:p w14:paraId="44DC94B7"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29" w:history="1">
        <w:r w:rsidR="00061159" w:rsidRPr="000E1B7E">
          <w:rPr>
            <w:rStyle w:val="Hyperlink"/>
            <w:rFonts w:ascii="Times New Roman" w:eastAsia="Calibri" w:hAnsi="Times New Roman" w:cs="Times New Roman"/>
            <w:noProof/>
          </w:rPr>
          <w:t>Table 19: Balance of payments (USD million)</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_Toc3483129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71</w:t>
        </w:r>
        <w:r w:rsidR="001232BF" w:rsidRPr="000E1B7E">
          <w:rPr>
            <w:rFonts w:ascii="Times New Roman" w:hAnsi="Times New Roman" w:cs="Times New Roman"/>
            <w:noProof/>
            <w:webHidden/>
          </w:rPr>
          <w:fldChar w:fldCharType="end"/>
        </w:r>
      </w:hyperlink>
    </w:p>
    <w:p w14:paraId="5D420AC5"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30" w:history="1">
        <w:r w:rsidR="00061159" w:rsidRPr="000E1B7E">
          <w:rPr>
            <w:rStyle w:val="Hyperlink"/>
            <w:rFonts w:ascii="Times New Roman" w:eastAsia="Calibri" w:hAnsi="Times New Roman" w:cs="Times New Roman"/>
            <w:noProof/>
          </w:rPr>
          <w:t>Table 20: Current account – NDP II targets and Outturns (percent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_Toc3483130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71</w:t>
        </w:r>
        <w:r w:rsidR="001232BF" w:rsidRPr="000E1B7E">
          <w:rPr>
            <w:rFonts w:ascii="Times New Roman" w:hAnsi="Times New Roman" w:cs="Times New Roman"/>
            <w:noProof/>
            <w:webHidden/>
          </w:rPr>
          <w:fldChar w:fldCharType="end"/>
        </w:r>
      </w:hyperlink>
    </w:p>
    <w:p w14:paraId="49A413B0" w14:textId="77777777" w:rsidR="00061159" w:rsidRPr="000E1B7E" w:rsidRDefault="00687502" w:rsidP="001708D6">
      <w:pPr>
        <w:pStyle w:val="TableofFigures"/>
        <w:tabs>
          <w:tab w:val="right" w:leader="dot" w:pos="9016"/>
        </w:tabs>
        <w:spacing w:line="360" w:lineRule="auto"/>
        <w:jc w:val="both"/>
        <w:rPr>
          <w:rFonts w:ascii="Times New Roman" w:eastAsiaTheme="minorEastAsia" w:hAnsi="Times New Roman" w:cs="Times New Roman"/>
          <w:smallCaps w:val="0"/>
          <w:noProof/>
          <w:lang w:eastAsia="en-GB"/>
        </w:rPr>
      </w:pPr>
      <w:hyperlink w:anchor="_Toc3483131" w:history="1">
        <w:r w:rsidR="00061159" w:rsidRPr="000E1B7E">
          <w:rPr>
            <w:rStyle w:val="Hyperlink"/>
            <w:rFonts w:ascii="Times New Roman" w:hAnsi="Times New Roman" w:cs="Times New Roman"/>
            <w:noProof/>
          </w:rPr>
          <w:t>Table 21: Gross International Reserves – NDP II targets and Outturns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_Toc3483131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71</w:t>
        </w:r>
        <w:r w:rsidR="001232BF" w:rsidRPr="000E1B7E">
          <w:rPr>
            <w:rFonts w:ascii="Times New Roman" w:hAnsi="Times New Roman" w:cs="Times New Roman"/>
            <w:noProof/>
            <w:webHidden/>
          </w:rPr>
          <w:fldChar w:fldCharType="end"/>
        </w:r>
      </w:hyperlink>
    </w:p>
    <w:p w14:paraId="369424E6" w14:textId="77777777" w:rsidR="00061159" w:rsidRPr="000E1B7E" w:rsidRDefault="001232BF" w:rsidP="001708D6">
      <w:pPr>
        <w:spacing w:line="360" w:lineRule="auto"/>
        <w:jc w:val="both"/>
        <w:rPr>
          <w:rFonts w:eastAsia="Calibri"/>
          <w:b/>
          <w:bCs/>
          <w:color w:val="000000" w:themeColor="text1"/>
          <w:kern w:val="32"/>
          <w:sz w:val="28"/>
        </w:rPr>
      </w:pPr>
      <w:r w:rsidRPr="000E1B7E">
        <w:rPr>
          <w:sz w:val="20"/>
          <w:szCs w:val="20"/>
        </w:rPr>
        <w:fldChar w:fldCharType="end"/>
      </w:r>
      <w:r w:rsidR="00061159" w:rsidRPr="000E1B7E">
        <w:br w:type="page"/>
      </w:r>
    </w:p>
    <w:p w14:paraId="6C585CD9" w14:textId="77777777" w:rsidR="00061159" w:rsidRPr="000E1B7E" w:rsidRDefault="00061159" w:rsidP="00582844">
      <w:pPr>
        <w:pStyle w:val="Heading1"/>
      </w:pPr>
      <w:bookmarkStart w:id="10" w:name="_Toc11956245"/>
      <w:r w:rsidRPr="000E1B7E">
        <w:lastRenderedPageBreak/>
        <w:t>List of Figures</w:t>
      </w:r>
      <w:bookmarkEnd w:id="10"/>
    </w:p>
    <w:p w14:paraId="14EEF41C" w14:textId="77777777" w:rsidR="00061159" w:rsidRPr="000E1B7E" w:rsidRDefault="001232BF"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r w:rsidRPr="000E1B7E">
        <w:rPr>
          <w:rFonts w:ascii="Times New Roman" w:hAnsi="Times New Roman" w:cs="Times New Roman"/>
        </w:rPr>
        <w:fldChar w:fldCharType="begin"/>
      </w:r>
      <w:r w:rsidR="00061159" w:rsidRPr="000E1B7E">
        <w:rPr>
          <w:rFonts w:ascii="Times New Roman" w:hAnsi="Times New Roman" w:cs="Times New Roman"/>
        </w:rPr>
        <w:instrText xml:space="preserve"> TOC \h \z \c "Figure" </w:instrText>
      </w:r>
      <w:r w:rsidRPr="000E1B7E">
        <w:rPr>
          <w:rFonts w:ascii="Times New Roman" w:hAnsi="Times New Roman" w:cs="Times New Roman"/>
        </w:rPr>
        <w:fldChar w:fldCharType="separate"/>
      </w:r>
      <w:hyperlink w:anchor="_Toc3483145" w:history="1">
        <w:r w:rsidR="00061159" w:rsidRPr="000E1B7E">
          <w:rPr>
            <w:rStyle w:val="Hyperlink"/>
            <w:rFonts w:ascii="Times New Roman" w:eastAsia="Calibri" w:hAnsi="Times New Roman" w:cs="Times New Roman"/>
            <w:bCs/>
            <w:noProof/>
          </w:rPr>
          <w:t>Figure 1: Real GDP Growth (y-o-y percent change)</w:t>
        </w:r>
        <w:r w:rsidR="00061159" w:rsidRPr="000E1B7E">
          <w:rPr>
            <w:rFonts w:ascii="Times New Roman" w:hAnsi="Times New Roman" w:cs="Times New Roman"/>
            <w:noProof/>
            <w:webHidden/>
          </w:rPr>
          <w:tab/>
        </w:r>
        <w:r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_Toc3483145 \h </w:instrText>
        </w:r>
        <w:r w:rsidRPr="000E1B7E">
          <w:rPr>
            <w:rFonts w:ascii="Times New Roman" w:hAnsi="Times New Roman" w:cs="Times New Roman"/>
            <w:noProof/>
            <w:webHidden/>
          </w:rPr>
        </w:r>
        <w:r w:rsidRPr="000E1B7E">
          <w:rPr>
            <w:rFonts w:ascii="Times New Roman" w:hAnsi="Times New Roman" w:cs="Times New Roman"/>
            <w:noProof/>
            <w:webHidden/>
          </w:rPr>
          <w:fldChar w:fldCharType="separate"/>
        </w:r>
        <w:r w:rsidR="000B7A9D">
          <w:rPr>
            <w:rFonts w:ascii="Times New Roman" w:hAnsi="Times New Roman" w:cs="Times New Roman"/>
            <w:noProof/>
            <w:webHidden/>
          </w:rPr>
          <w:t>9</w:t>
        </w:r>
        <w:r w:rsidRPr="000E1B7E">
          <w:rPr>
            <w:rFonts w:ascii="Times New Roman" w:hAnsi="Times New Roman" w:cs="Times New Roman"/>
            <w:noProof/>
            <w:webHidden/>
          </w:rPr>
          <w:fldChar w:fldCharType="end"/>
        </w:r>
      </w:hyperlink>
    </w:p>
    <w:p w14:paraId="2E1792A4"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46" w:history="1">
        <w:r w:rsidR="00061159" w:rsidRPr="000E1B7E">
          <w:rPr>
            <w:rStyle w:val="Hyperlink"/>
            <w:rFonts w:ascii="Times New Roman" w:eastAsia="Calibri" w:hAnsi="Times New Roman" w:cs="Times New Roman"/>
            <w:noProof/>
          </w:rPr>
          <w:t>Figure 2: Sectoral share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_Toc3483146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10</w:t>
        </w:r>
        <w:r w:rsidR="001232BF" w:rsidRPr="000E1B7E">
          <w:rPr>
            <w:rFonts w:ascii="Times New Roman" w:hAnsi="Times New Roman" w:cs="Times New Roman"/>
            <w:noProof/>
            <w:webHidden/>
          </w:rPr>
          <w:fldChar w:fldCharType="end"/>
        </w:r>
      </w:hyperlink>
    </w:p>
    <w:p w14:paraId="59616775"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47" w:history="1">
        <w:r w:rsidR="00061159" w:rsidRPr="000E1B7E">
          <w:rPr>
            <w:rStyle w:val="Hyperlink"/>
            <w:rFonts w:ascii="Times New Roman" w:eastAsia="Calibri" w:hAnsi="Times New Roman" w:cs="Times New Roman"/>
            <w:noProof/>
          </w:rPr>
          <w:t>Figure 3: Annual GDP growth rates by Sector 2010-2017/18</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_Toc3483147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13</w:t>
        </w:r>
        <w:r w:rsidR="001232BF" w:rsidRPr="000E1B7E">
          <w:rPr>
            <w:rFonts w:ascii="Times New Roman" w:hAnsi="Times New Roman" w:cs="Times New Roman"/>
            <w:noProof/>
            <w:webHidden/>
          </w:rPr>
          <w:fldChar w:fldCharType="end"/>
        </w:r>
      </w:hyperlink>
    </w:p>
    <w:p w14:paraId="08CAD118"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48" w:history="1">
        <w:r w:rsidR="00061159" w:rsidRPr="000E1B7E">
          <w:rPr>
            <w:rStyle w:val="Hyperlink"/>
            <w:rFonts w:ascii="Times New Roman" w:hAnsi="Times New Roman" w:cs="Times New Roman"/>
            <w:noProof/>
          </w:rPr>
          <w:t>Figure 4: Fiscal deficit (%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_Toc3483148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32</w:t>
        </w:r>
        <w:r w:rsidR="001232BF" w:rsidRPr="000E1B7E">
          <w:rPr>
            <w:rFonts w:ascii="Times New Roman" w:hAnsi="Times New Roman" w:cs="Times New Roman"/>
            <w:noProof/>
            <w:webHidden/>
          </w:rPr>
          <w:fldChar w:fldCharType="end"/>
        </w:r>
      </w:hyperlink>
    </w:p>
    <w:p w14:paraId="67C4342C"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49" w:history="1">
        <w:r w:rsidR="00061159" w:rsidRPr="000E1B7E">
          <w:rPr>
            <w:rStyle w:val="Hyperlink"/>
            <w:rFonts w:ascii="Times New Roman" w:eastAsia="Calibri" w:hAnsi="Times New Roman" w:cs="Times New Roman"/>
            <w:noProof/>
          </w:rPr>
          <w:t>Figure 5: Expenditure(%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_Toc3483149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33</w:t>
        </w:r>
        <w:r w:rsidR="001232BF" w:rsidRPr="000E1B7E">
          <w:rPr>
            <w:rFonts w:ascii="Times New Roman" w:hAnsi="Times New Roman" w:cs="Times New Roman"/>
            <w:noProof/>
            <w:webHidden/>
          </w:rPr>
          <w:fldChar w:fldCharType="end"/>
        </w:r>
      </w:hyperlink>
    </w:p>
    <w:p w14:paraId="6D126D80"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0" w:history="1">
        <w:r w:rsidR="00061159" w:rsidRPr="000E1B7E">
          <w:rPr>
            <w:rStyle w:val="Hyperlink"/>
            <w:rFonts w:ascii="Times New Roman" w:eastAsia="Calibri" w:hAnsi="Times New Roman" w:cs="Times New Roman"/>
            <w:noProof/>
          </w:rPr>
          <w:t>Figure 6: Sources of financing for Deficit</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_Toc3483150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43</w:t>
        </w:r>
        <w:r w:rsidR="001232BF" w:rsidRPr="000E1B7E">
          <w:rPr>
            <w:rFonts w:ascii="Times New Roman" w:hAnsi="Times New Roman" w:cs="Times New Roman"/>
            <w:noProof/>
            <w:webHidden/>
          </w:rPr>
          <w:fldChar w:fldCharType="end"/>
        </w:r>
      </w:hyperlink>
    </w:p>
    <w:p w14:paraId="76FFA874"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1" w:history="1">
        <w:r w:rsidR="00061159" w:rsidRPr="000E1B7E">
          <w:rPr>
            <w:rStyle w:val="Hyperlink"/>
            <w:rFonts w:ascii="Times New Roman" w:eastAsia="Calibri" w:hAnsi="Times New Roman" w:cs="Times New Roman"/>
            <w:noProof/>
          </w:rPr>
          <w:t>Figure 7: Financing instruments-NDP II (Billion Uganda shillings)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_Toc3483151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44</w:t>
        </w:r>
        <w:r w:rsidR="001232BF" w:rsidRPr="000E1B7E">
          <w:rPr>
            <w:rFonts w:ascii="Times New Roman" w:hAnsi="Times New Roman" w:cs="Times New Roman"/>
            <w:noProof/>
            <w:webHidden/>
          </w:rPr>
          <w:fldChar w:fldCharType="end"/>
        </w:r>
      </w:hyperlink>
    </w:p>
    <w:p w14:paraId="48EE6C24"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2" w:history="1">
        <w:r w:rsidR="00061159" w:rsidRPr="000E1B7E">
          <w:rPr>
            <w:rStyle w:val="Hyperlink"/>
            <w:rFonts w:ascii="Times New Roman" w:eastAsia="Calibri" w:hAnsi="Times New Roman" w:cs="Times New Roman"/>
            <w:noProof/>
          </w:rPr>
          <w:t>Figure 8: Public Debt (%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_Toc3483152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45</w:t>
        </w:r>
        <w:r w:rsidR="001232BF" w:rsidRPr="000E1B7E">
          <w:rPr>
            <w:rFonts w:ascii="Times New Roman" w:hAnsi="Times New Roman" w:cs="Times New Roman"/>
            <w:noProof/>
            <w:webHidden/>
          </w:rPr>
          <w:fldChar w:fldCharType="end"/>
        </w:r>
      </w:hyperlink>
    </w:p>
    <w:p w14:paraId="7DB7809C"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3" w:history="1">
        <w:r w:rsidR="00061159" w:rsidRPr="000E1B7E">
          <w:rPr>
            <w:rStyle w:val="Hyperlink"/>
            <w:rFonts w:ascii="Times New Roman" w:hAnsi="Times New Roman" w:cs="Times New Roman"/>
            <w:noProof/>
          </w:rPr>
          <w:t>Figure 9: Trend and distribution of interest payments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_Toc3483153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47</w:t>
        </w:r>
        <w:r w:rsidR="001232BF" w:rsidRPr="000E1B7E">
          <w:rPr>
            <w:rFonts w:ascii="Times New Roman" w:hAnsi="Times New Roman" w:cs="Times New Roman"/>
            <w:noProof/>
            <w:webHidden/>
          </w:rPr>
          <w:fldChar w:fldCharType="end"/>
        </w:r>
      </w:hyperlink>
    </w:p>
    <w:p w14:paraId="03CDD138"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4" w:history="1">
        <w:r w:rsidR="00061159" w:rsidRPr="000E1B7E">
          <w:rPr>
            <w:rStyle w:val="Hyperlink"/>
            <w:rFonts w:ascii="Times New Roman" w:eastAsia="Calibri" w:hAnsi="Times New Roman" w:cs="Times New Roman"/>
            <w:noProof/>
          </w:rPr>
          <w:t>Figure 10: Domestic Debt  Distribution by holding</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_Toc3483154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48</w:t>
        </w:r>
        <w:r w:rsidR="001232BF" w:rsidRPr="000E1B7E">
          <w:rPr>
            <w:rFonts w:ascii="Times New Roman" w:hAnsi="Times New Roman" w:cs="Times New Roman"/>
            <w:noProof/>
            <w:webHidden/>
          </w:rPr>
          <w:fldChar w:fldCharType="end"/>
        </w:r>
      </w:hyperlink>
    </w:p>
    <w:p w14:paraId="09DFFE3B"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5" w:history="1">
        <w:r w:rsidR="00061159" w:rsidRPr="000E1B7E">
          <w:rPr>
            <w:rStyle w:val="Hyperlink"/>
            <w:rFonts w:ascii="Times New Roman" w:eastAsia="Calibri" w:hAnsi="Times New Roman" w:cs="Times New Roman"/>
            <w:noProof/>
          </w:rPr>
          <w:t>Figure 11: Distribution of Domestic debt holding by Category</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_Toc3483155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48</w:t>
        </w:r>
        <w:r w:rsidR="001232BF" w:rsidRPr="000E1B7E">
          <w:rPr>
            <w:rFonts w:ascii="Times New Roman" w:hAnsi="Times New Roman" w:cs="Times New Roman"/>
            <w:noProof/>
            <w:webHidden/>
          </w:rPr>
          <w:fldChar w:fldCharType="end"/>
        </w:r>
      </w:hyperlink>
    </w:p>
    <w:p w14:paraId="7128C957"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6" w:history="1">
        <w:r w:rsidR="00061159" w:rsidRPr="000E1B7E">
          <w:rPr>
            <w:rStyle w:val="Hyperlink"/>
            <w:rFonts w:ascii="Times New Roman" w:eastAsia="Calibri" w:hAnsi="Times New Roman" w:cs="Times New Roman"/>
            <w:noProof/>
          </w:rPr>
          <w:t>Figure 12: Development and recurrent spending</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_Toc3483156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41</w:t>
        </w:r>
        <w:r w:rsidR="001232BF" w:rsidRPr="000E1B7E">
          <w:rPr>
            <w:rFonts w:ascii="Times New Roman" w:hAnsi="Times New Roman" w:cs="Times New Roman"/>
            <w:noProof/>
            <w:webHidden/>
          </w:rPr>
          <w:fldChar w:fldCharType="end"/>
        </w:r>
      </w:hyperlink>
    </w:p>
    <w:p w14:paraId="44C0F961"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7" w:history="1">
        <w:r w:rsidR="00061159" w:rsidRPr="000E1B7E">
          <w:rPr>
            <w:rStyle w:val="Hyperlink"/>
            <w:rFonts w:ascii="Times New Roman" w:eastAsia="Calibri" w:hAnsi="Times New Roman" w:cs="Times New Roman"/>
            <w:noProof/>
          </w:rPr>
          <w:t>Figure 13: Budget outturn over the review period</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_Toc3483157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49</w:t>
        </w:r>
        <w:r w:rsidR="001232BF" w:rsidRPr="000E1B7E">
          <w:rPr>
            <w:rFonts w:ascii="Times New Roman" w:hAnsi="Times New Roman" w:cs="Times New Roman"/>
            <w:noProof/>
            <w:webHidden/>
          </w:rPr>
          <w:fldChar w:fldCharType="end"/>
        </w:r>
      </w:hyperlink>
    </w:p>
    <w:p w14:paraId="3A2BD1EF"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8" w:history="1">
        <w:r w:rsidR="00061159" w:rsidRPr="000E1B7E">
          <w:rPr>
            <w:rStyle w:val="Hyperlink"/>
            <w:rFonts w:ascii="Times New Roman" w:eastAsia="Calibri" w:hAnsi="Times New Roman" w:cs="Times New Roman"/>
            <w:noProof/>
          </w:rPr>
          <w:t>Figure 14: Uganda Fund of funds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_Toc3483158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56</w:t>
        </w:r>
        <w:r w:rsidR="001232BF" w:rsidRPr="000E1B7E">
          <w:rPr>
            <w:rFonts w:ascii="Times New Roman" w:hAnsi="Times New Roman" w:cs="Times New Roman"/>
            <w:noProof/>
            <w:webHidden/>
          </w:rPr>
          <w:fldChar w:fldCharType="end"/>
        </w:r>
      </w:hyperlink>
    </w:p>
    <w:p w14:paraId="3E21938B"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59" w:history="1">
        <w:r w:rsidR="00061159" w:rsidRPr="000E1B7E">
          <w:rPr>
            <w:rStyle w:val="Hyperlink"/>
            <w:rFonts w:ascii="Times New Roman" w:eastAsia="Calibri" w:hAnsi="Times New Roman" w:cs="Times New Roman"/>
            <w:noProof/>
          </w:rPr>
          <w:t>Figure 15: Trends in Annual Inflation</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_Toc3483159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58</w:t>
        </w:r>
        <w:r w:rsidR="001232BF" w:rsidRPr="000E1B7E">
          <w:rPr>
            <w:rFonts w:ascii="Times New Roman" w:hAnsi="Times New Roman" w:cs="Times New Roman"/>
            <w:noProof/>
            <w:webHidden/>
          </w:rPr>
          <w:fldChar w:fldCharType="end"/>
        </w:r>
      </w:hyperlink>
    </w:p>
    <w:p w14:paraId="29260D8B"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60" w:history="1">
        <w:r w:rsidR="00061159" w:rsidRPr="000E1B7E">
          <w:rPr>
            <w:rStyle w:val="Hyperlink"/>
            <w:rFonts w:ascii="Times New Roman" w:eastAsia="Calibri" w:hAnsi="Times New Roman" w:cs="Times New Roman"/>
            <w:noProof/>
          </w:rPr>
          <w:t>Figure 16: Average exchange rate (UShs per 1 US$)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_Toc3483160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60</w:t>
        </w:r>
        <w:r w:rsidR="001232BF" w:rsidRPr="000E1B7E">
          <w:rPr>
            <w:rFonts w:ascii="Times New Roman" w:hAnsi="Times New Roman" w:cs="Times New Roman"/>
            <w:noProof/>
            <w:webHidden/>
          </w:rPr>
          <w:fldChar w:fldCharType="end"/>
        </w:r>
      </w:hyperlink>
    </w:p>
    <w:p w14:paraId="33E2635D"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61" w:history="1">
        <w:r w:rsidR="00061159" w:rsidRPr="000E1B7E">
          <w:rPr>
            <w:rStyle w:val="Hyperlink"/>
            <w:rFonts w:ascii="Times New Roman" w:eastAsia="Calibri" w:hAnsi="Times New Roman" w:cs="Times New Roman"/>
            <w:noProof/>
          </w:rPr>
          <w:t>Figure 17: Outstanding credit to private sector (percent of GDP)</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_Toc3483161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60</w:t>
        </w:r>
        <w:r w:rsidR="001232BF" w:rsidRPr="000E1B7E">
          <w:rPr>
            <w:rFonts w:ascii="Times New Roman" w:hAnsi="Times New Roman" w:cs="Times New Roman"/>
            <w:noProof/>
            <w:webHidden/>
          </w:rPr>
          <w:fldChar w:fldCharType="end"/>
        </w:r>
      </w:hyperlink>
    </w:p>
    <w:p w14:paraId="0F0AC6C6"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62" w:history="1">
        <w:r w:rsidR="00061159" w:rsidRPr="000E1B7E">
          <w:rPr>
            <w:rStyle w:val="Hyperlink"/>
            <w:rFonts w:ascii="Times New Roman" w:eastAsia="Calibri" w:hAnsi="Times New Roman" w:cs="Times New Roman"/>
            <w:noProof/>
          </w:rPr>
          <w:t>Figure 18: Sectoral shares of credit to the private sectoras of June 2018</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_Toc3483162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62</w:t>
        </w:r>
        <w:r w:rsidR="001232BF" w:rsidRPr="000E1B7E">
          <w:rPr>
            <w:rFonts w:ascii="Times New Roman" w:hAnsi="Times New Roman" w:cs="Times New Roman"/>
            <w:noProof/>
            <w:webHidden/>
          </w:rPr>
          <w:fldChar w:fldCharType="end"/>
        </w:r>
      </w:hyperlink>
    </w:p>
    <w:p w14:paraId="2B784132"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63" w:history="1">
        <w:r w:rsidR="00061159" w:rsidRPr="000E1B7E">
          <w:rPr>
            <w:rStyle w:val="Hyperlink"/>
            <w:rFonts w:ascii="Times New Roman" w:eastAsia="Calibri" w:hAnsi="Times New Roman" w:cs="Times New Roman"/>
            <w:noProof/>
          </w:rPr>
          <w:t>Figure 19: Lending Interests rates among EAC countries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_Toc3483163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63</w:t>
        </w:r>
        <w:r w:rsidR="001232BF" w:rsidRPr="000E1B7E">
          <w:rPr>
            <w:rFonts w:ascii="Times New Roman" w:hAnsi="Times New Roman" w:cs="Times New Roman"/>
            <w:noProof/>
            <w:webHidden/>
          </w:rPr>
          <w:fldChar w:fldCharType="end"/>
        </w:r>
      </w:hyperlink>
    </w:p>
    <w:p w14:paraId="3F69D589"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64" w:history="1">
        <w:r w:rsidR="00061159" w:rsidRPr="000E1B7E">
          <w:rPr>
            <w:rStyle w:val="Hyperlink"/>
            <w:rFonts w:ascii="Times New Roman" w:eastAsia="Calibri" w:hAnsi="Times New Roman" w:cs="Times New Roman"/>
            <w:noProof/>
          </w:rPr>
          <w:t>Figure 20: Trends in CBR, Core Inflation and lending interest rates</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_Toc3483164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63</w:t>
        </w:r>
        <w:r w:rsidR="001232BF" w:rsidRPr="000E1B7E">
          <w:rPr>
            <w:rFonts w:ascii="Times New Roman" w:hAnsi="Times New Roman" w:cs="Times New Roman"/>
            <w:noProof/>
            <w:webHidden/>
          </w:rPr>
          <w:fldChar w:fldCharType="end"/>
        </w:r>
      </w:hyperlink>
    </w:p>
    <w:p w14:paraId="5A31AF5A" w14:textId="77777777" w:rsidR="00061159" w:rsidRPr="000E1B7E" w:rsidRDefault="00687502" w:rsidP="00061159">
      <w:pPr>
        <w:pStyle w:val="TableofFigures"/>
        <w:tabs>
          <w:tab w:val="right" w:leader="dot" w:pos="9016"/>
        </w:tabs>
        <w:spacing w:line="360" w:lineRule="auto"/>
        <w:rPr>
          <w:rFonts w:ascii="Times New Roman" w:eastAsiaTheme="minorEastAsia" w:hAnsi="Times New Roman" w:cs="Times New Roman"/>
          <w:smallCaps w:val="0"/>
          <w:noProof/>
          <w:lang w:eastAsia="en-GB"/>
        </w:rPr>
      </w:pPr>
      <w:hyperlink w:anchor="_Toc3483165" w:history="1">
        <w:r w:rsidR="00061159" w:rsidRPr="000E1B7E">
          <w:rPr>
            <w:rStyle w:val="Hyperlink"/>
            <w:rFonts w:ascii="Times New Roman" w:eastAsia="Calibri" w:hAnsi="Times New Roman" w:cs="Times New Roman"/>
            <w:noProof/>
          </w:rPr>
          <w:t>Figure 21: Value of Uganda’s External Trade ($ Million)</w:t>
        </w:r>
        <w:r w:rsidR="00061159" w:rsidRPr="000E1B7E">
          <w:rPr>
            <w:rFonts w:ascii="Times New Roman" w:hAnsi="Times New Roman" w:cs="Times New Roman"/>
            <w:noProof/>
            <w:webHidden/>
          </w:rPr>
          <w:tab/>
        </w:r>
        <w:r w:rsidR="001232BF" w:rsidRPr="000E1B7E">
          <w:rPr>
            <w:rFonts w:ascii="Times New Roman" w:hAnsi="Times New Roman" w:cs="Times New Roman"/>
            <w:noProof/>
            <w:webHidden/>
          </w:rPr>
          <w:fldChar w:fldCharType="begin"/>
        </w:r>
        <w:r w:rsidR="00061159" w:rsidRPr="000E1B7E">
          <w:rPr>
            <w:rFonts w:ascii="Times New Roman" w:hAnsi="Times New Roman" w:cs="Times New Roman"/>
            <w:noProof/>
            <w:webHidden/>
          </w:rPr>
          <w:instrText xml:space="preserve"> PAGEREF _Toc3483165 \h </w:instrText>
        </w:r>
        <w:r w:rsidR="001232BF" w:rsidRPr="000E1B7E">
          <w:rPr>
            <w:rFonts w:ascii="Times New Roman" w:hAnsi="Times New Roman" w:cs="Times New Roman"/>
            <w:noProof/>
            <w:webHidden/>
          </w:rPr>
        </w:r>
        <w:r w:rsidR="001232BF" w:rsidRPr="000E1B7E">
          <w:rPr>
            <w:rFonts w:ascii="Times New Roman" w:hAnsi="Times New Roman" w:cs="Times New Roman"/>
            <w:noProof/>
            <w:webHidden/>
          </w:rPr>
          <w:fldChar w:fldCharType="separate"/>
        </w:r>
        <w:r w:rsidR="000B7A9D">
          <w:rPr>
            <w:rFonts w:ascii="Times New Roman" w:hAnsi="Times New Roman" w:cs="Times New Roman"/>
            <w:noProof/>
            <w:webHidden/>
          </w:rPr>
          <w:t>65</w:t>
        </w:r>
        <w:r w:rsidR="001232BF" w:rsidRPr="000E1B7E">
          <w:rPr>
            <w:rFonts w:ascii="Times New Roman" w:hAnsi="Times New Roman" w:cs="Times New Roman"/>
            <w:noProof/>
            <w:webHidden/>
          </w:rPr>
          <w:fldChar w:fldCharType="end"/>
        </w:r>
      </w:hyperlink>
    </w:p>
    <w:p w14:paraId="3F20ED95" w14:textId="77777777" w:rsidR="00061159" w:rsidRPr="000E1B7E" w:rsidRDefault="001232BF" w:rsidP="00061159">
      <w:pPr>
        <w:spacing w:line="360" w:lineRule="auto"/>
        <w:rPr>
          <w:rFonts w:eastAsia="Calibri"/>
          <w:bCs/>
          <w:color w:val="000000" w:themeColor="text1"/>
          <w:kern w:val="32"/>
          <w:sz w:val="20"/>
          <w:szCs w:val="20"/>
        </w:rPr>
      </w:pPr>
      <w:r w:rsidRPr="000E1B7E">
        <w:rPr>
          <w:sz w:val="20"/>
          <w:szCs w:val="20"/>
        </w:rPr>
        <w:fldChar w:fldCharType="end"/>
      </w:r>
      <w:r w:rsidR="00061159" w:rsidRPr="000E1B7E">
        <w:rPr>
          <w:sz w:val="20"/>
          <w:szCs w:val="20"/>
        </w:rPr>
        <w:br w:type="page"/>
      </w:r>
    </w:p>
    <w:p w14:paraId="6D473775" w14:textId="77777777" w:rsidR="00E0440D" w:rsidRPr="000E1B7E" w:rsidRDefault="00E0440D" w:rsidP="00582844">
      <w:pPr>
        <w:pStyle w:val="Heading1"/>
      </w:pPr>
      <w:bookmarkStart w:id="11" w:name="_Toc11956246"/>
      <w:r w:rsidRPr="000E1B7E">
        <w:lastRenderedPageBreak/>
        <w:t>Acronyms</w:t>
      </w:r>
      <w:bookmarkEnd w:id="8"/>
      <w:bookmarkEnd w:id="9"/>
      <w:bookmarkEnd w:id="11"/>
    </w:p>
    <w:p w14:paraId="60276489" w14:textId="77777777" w:rsidR="00B257F2" w:rsidRPr="000E1B7E" w:rsidRDefault="00B257F2" w:rsidP="005959B5">
      <w:pPr>
        <w:spacing w:line="360" w:lineRule="auto"/>
        <w:jc w:val="both"/>
      </w:pPr>
      <w:r w:rsidRPr="000E1B7E">
        <w:t xml:space="preserve">AEO </w:t>
      </w:r>
      <w:r w:rsidRPr="000E1B7E">
        <w:tab/>
      </w:r>
      <w:r w:rsidRPr="000E1B7E">
        <w:tab/>
        <w:t>Authorized Economic Operator</w:t>
      </w:r>
    </w:p>
    <w:p w14:paraId="6248BE4C" w14:textId="77777777" w:rsidR="00B257F2" w:rsidRPr="000E1B7E" w:rsidRDefault="00B257F2" w:rsidP="005959B5">
      <w:pPr>
        <w:spacing w:line="360" w:lineRule="auto"/>
        <w:contextualSpacing/>
        <w:jc w:val="both"/>
      </w:pPr>
      <w:r w:rsidRPr="000E1B7E">
        <w:t>BFP</w:t>
      </w:r>
      <w:r w:rsidRPr="000E1B7E">
        <w:tab/>
      </w:r>
      <w:r w:rsidRPr="000E1B7E">
        <w:tab/>
        <w:t>Budget Framework Paper</w:t>
      </w:r>
    </w:p>
    <w:p w14:paraId="1BB96458" w14:textId="77777777" w:rsidR="00B257F2" w:rsidRPr="000E1B7E" w:rsidRDefault="00B257F2" w:rsidP="005959B5">
      <w:pPr>
        <w:spacing w:line="360" w:lineRule="auto"/>
        <w:jc w:val="both"/>
      </w:pPr>
      <w:r w:rsidRPr="000E1B7E">
        <w:t>BoU</w:t>
      </w:r>
      <w:r w:rsidRPr="000E1B7E">
        <w:tab/>
      </w:r>
      <w:r w:rsidRPr="000E1B7E">
        <w:tab/>
        <w:t xml:space="preserve">Bank of Uganda </w:t>
      </w:r>
    </w:p>
    <w:p w14:paraId="324B4BAD" w14:textId="77777777" w:rsidR="00B257F2" w:rsidRPr="000E1B7E" w:rsidRDefault="00B257F2" w:rsidP="005959B5">
      <w:pPr>
        <w:spacing w:line="360" w:lineRule="auto"/>
        <w:contextualSpacing/>
        <w:jc w:val="both"/>
      </w:pPr>
      <w:r w:rsidRPr="000E1B7E">
        <w:t>CSO</w:t>
      </w:r>
      <w:r w:rsidRPr="000E1B7E">
        <w:tab/>
      </w:r>
      <w:r w:rsidRPr="000E1B7E">
        <w:tab/>
        <w:t>Civil Society Organisation</w:t>
      </w:r>
    </w:p>
    <w:p w14:paraId="0DA2FF2C" w14:textId="77777777" w:rsidR="00B257F2" w:rsidRPr="000E1B7E" w:rsidRDefault="00B257F2" w:rsidP="005959B5">
      <w:pPr>
        <w:spacing w:line="360" w:lineRule="auto"/>
        <w:jc w:val="both"/>
      </w:pPr>
      <w:r w:rsidRPr="000E1B7E">
        <w:t>DPC</w:t>
      </w:r>
      <w:r w:rsidRPr="000E1B7E">
        <w:tab/>
      </w:r>
      <w:r w:rsidRPr="000E1B7E">
        <w:tab/>
        <w:t>Document Processing Center</w:t>
      </w:r>
    </w:p>
    <w:p w14:paraId="4123EDDC" w14:textId="77777777" w:rsidR="00B257F2" w:rsidRPr="000E1B7E" w:rsidRDefault="00B257F2" w:rsidP="005959B5">
      <w:pPr>
        <w:spacing w:line="360" w:lineRule="auto"/>
        <w:jc w:val="both"/>
      </w:pPr>
      <w:r w:rsidRPr="000E1B7E">
        <w:rPr>
          <w:bCs/>
          <w:color w:val="000000"/>
          <w:lang w:val="en-US"/>
        </w:rPr>
        <w:t>EAC</w:t>
      </w:r>
      <w:r w:rsidRPr="000E1B7E">
        <w:rPr>
          <w:bCs/>
          <w:color w:val="000000"/>
          <w:lang w:val="en-US"/>
        </w:rPr>
        <w:tab/>
      </w:r>
      <w:r w:rsidRPr="000E1B7E">
        <w:rPr>
          <w:bCs/>
          <w:color w:val="000000"/>
          <w:lang w:val="en-US"/>
        </w:rPr>
        <w:tab/>
        <w:t>East African Community</w:t>
      </w:r>
    </w:p>
    <w:p w14:paraId="1A68F794" w14:textId="77777777" w:rsidR="00B257F2" w:rsidRPr="000E1B7E" w:rsidRDefault="00B257F2" w:rsidP="005959B5">
      <w:pPr>
        <w:spacing w:line="360" w:lineRule="auto"/>
        <w:contextualSpacing/>
        <w:jc w:val="both"/>
      </w:pPr>
      <w:r w:rsidRPr="000E1B7E">
        <w:t>EPRC</w:t>
      </w:r>
      <w:r w:rsidRPr="000E1B7E">
        <w:tab/>
      </w:r>
      <w:r w:rsidRPr="000E1B7E">
        <w:tab/>
        <w:t>Economic Policy Research Centre</w:t>
      </w:r>
    </w:p>
    <w:p w14:paraId="47EE9666" w14:textId="77777777" w:rsidR="00B257F2" w:rsidRPr="000E1B7E" w:rsidRDefault="00B257F2" w:rsidP="005959B5">
      <w:pPr>
        <w:spacing w:line="360" w:lineRule="auto"/>
        <w:jc w:val="both"/>
      </w:pPr>
      <w:r w:rsidRPr="000E1B7E">
        <w:t xml:space="preserve">ESW </w:t>
      </w:r>
      <w:r w:rsidRPr="000E1B7E">
        <w:tab/>
      </w:r>
      <w:r w:rsidRPr="000E1B7E">
        <w:tab/>
        <w:t>Electronic Single Window</w:t>
      </w:r>
    </w:p>
    <w:p w14:paraId="270C9249" w14:textId="77777777" w:rsidR="00B257F2" w:rsidRPr="000E1B7E" w:rsidRDefault="00B257F2" w:rsidP="005959B5">
      <w:pPr>
        <w:spacing w:line="360" w:lineRule="auto"/>
        <w:jc w:val="both"/>
      </w:pPr>
      <w:r w:rsidRPr="000E1B7E">
        <w:t>FDI</w:t>
      </w:r>
      <w:r w:rsidRPr="000E1B7E">
        <w:tab/>
      </w:r>
      <w:r w:rsidRPr="000E1B7E">
        <w:tab/>
        <w:t>Foreign Direct Investment</w:t>
      </w:r>
    </w:p>
    <w:p w14:paraId="2854BC15" w14:textId="77777777" w:rsidR="00B257F2" w:rsidRPr="000E1B7E" w:rsidRDefault="00B257F2" w:rsidP="005959B5">
      <w:pPr>
        <w:spacing w:line="360" w:lineRule="auto"/>
        <w:contextualSpacing/>
        <w:jc w:val="both"/>
      </w:pPr>
      <w:r w:rsidRPr="000E1B7E">
        <w:t>GAPR</w:t>
      </w:r>
      <w:r w:rsidRPr="000E1B7E">
        <w:tab/>
      </w:r>
      <w:r w:rsidRPr="000E1B7E">
        <w:tab/>
        <w:t>Government Annual Performance Report</w:t>
      </w:r>
    </w:p>
    <w:p w14:paraId="55C048FF" w14:textId="77777777" w:rsidR="00B257F2" w:rsidRPr="000E1B7E" w:rsidRDefault="00B257F2" w:rsidP="005959B5">
      <w:pPr>
        <w:spacing w:line="360" w:lineRule="auto"/>
        <w:jc w:val="both"/>
      </w:pPr>
      <w:r w:rsidRPr="000E1B7E">
        <w:t>GCI</w:t>
      </w:r>
      <w:r w:rsidRPr="000E1B7E">
        <w:tab/>
      </w:r>
      <w:r w:rsidRPr="000E1B7E">
        <w:tab/>
        <w:t xml:space="preserve">Global Competitiveness Index </w:t>
      </w:r>
    </w:p>
    <w:p w14:paraId="4CBD3088" w14:textId="77777777" w:rsidR="00B257F2" w:rsidRPr="000E1B7E" w:rsidRDefault="00B257F2" w:rsidP="005959B5">
      <w:pPr>
        <w:spacing w:line="360" w:lineRule="auto"/>
        <w:contextualSpacing/>
        <w:jc w:val="both"/>
      </w:pPr>
      <w:r w:rsidRPr="000E1B7E">
        <w:t>GDP</w:t>
      </w:r>
      <w:r w:rsidRPr="000E1B7E">
        <w:tab/>
      </w:r>
      <w:r w:rsidRPr="000E1B7E">
        <w:tab/>
        <w:t>Gross Domestic Product</w:t>
      </w:r>
    </w:p>
    <w:p w14:paraId="10FBBFB4" w14:textId="77777777" w:rsidR="00B257F2" w:rsidRPr="000E1B7E" w:rsidRDefault="00B257F2" w:rsidP="005959B5">
      <w:pPr>
        <w:spacing w:line="360" w:lineRule="auto"/>
        <w:contextualSpacing/>
        <w:jc w:val="both"/>
      </w:pPr>
      <w:r w:rsidRPr="000E1B7E">
        <w:t>GoU</w:t>
      </w:r>
      <w:r w:rsidRPr="000E1B7E">
        <w:tab/>
      </w:r>
      <w:r w:rsidRPr="000E1B7E">
        <w:tab/>
        <w:t>Government of Uganda</w:t>
      </w:r>
    </w:p>
    <w:p w14:paraId="24F61E41" w14:textId="77777777" w:rsidR="00B257F2" w:rsidRPr="000E1B7E" w:rsidRDefault="00B257F2" w:rsidP="005959B5">
      <w:pPr>
        <w:spacing w:line="360" w:lineRule="auto"/>
        <w:jc w:val="both"/>
      </w:pPr>
      <w:r w:rsidRPr="000E1B7E">
        <w:rPr>
          <w:rFonts w:eastAsia="Arial Unicode MS"/>
        </w:rPr>
        <w:t>ICT</w:t>
      </w:r>
      <w:r w:rsidRPr="000E1B7E">
        <w:rPr>
          <w:rFonts w:eastAsia="Arial Unicode MS"/>
        </w:rPr>
        <w:tab/>
      </w:r>
      <w:r w:rsidRPr="000E1B7E">
        <w:rPr>
          <w:rFonts w:eastAsia="Arial Unicode MS"/>
        </w:rPr>
        <w:tab/>
        <w:t>Information Communication Technology</w:t>
      </w:r>
    </w:p>
    <w:p w14:paraId="10F3707E" w14:textId="77777777" w:rsidR="00B257F2" w:rsidRPr="000E1B7E" w:rsidRDefault="0045398D" w:rsidP="005959B5">
      <w:pPr>
        <w:spacing w:line="360" w:lineRule="auto"/>
        <w:jc w:val="both"/>
      </w:pPr>
      <w:r w:rsidRPr="000E1B7E">
        <w:t xml:space="preserve">KCCA </w:t>
      </w:r>
      <w:r w:rsidRPr="000E1B7E">
        <w:tab/>
      </w:r>
      <w:r w:rsidR="00B257F2" w:rsidRPr="000E1B7E">
        <w:t>Kampala Capital City Authority</w:t>
      </w:r>
    </w:p>
    <w:p w14:paraId="662F532F" w14:textId="77777777" w:rsidR="00B257F2" w:rsidRPr="000E1B7E" w:rsidRDefault="00B257F2" w:rsidP="005959B5">
      <w:pPr>
        <w:spacing w:line="360" w:lineRule="auto"/>
        <w:jc w:val="both"/>
      </w:pPr>
      <w:r w:rsidRPr="000E1B7E">
        <w:t>LDC</w:t>
      </w:r>
      <w:r w:rsidRPr="000E1B7E">
        <w:tab/>
      </w:r>
      <w:r w:rsidRPr="000E1B7E">
        <w:tab/>
        <w:t xml:space="preserve">Least Developed Country </w:t>
      </w:r>
    </w:p>
    <w:p w14:paraId="409721DE" w14:textId="77777777" w:rsidR="00B257F2" w:rsidRPr="000E1B7E" w:rsidRDefault="00B257F2" w:rsidP="005959B5">
      <w:pPr>
        <w:spacing w:line="360" w:lineRule="auto"/>
        <w:jc w:val="both"/>
      </w:pPr>
      <w:r w:rsidRPr="000E1B7E">
        <w:t xml:space="preserve">LPI </w:t>
      </w:r>
      <w:r w:rsidRPr="000E1B7E">
        <w:tab/>
      </w:r>
      <w:r w:rsidRPr="000E1B7E">
        <w:tab/>
        <w:t xml:space="preserve">Logistics Performance Index </w:t>
      </w:r>
    </w:p>
    <w:p w14:paraId="00FB1BCB" w14:textId="77777777" w:rsidR="00B257F2" w:rsidRPr="000E1B7E" w:rsidRDefault="0045398D" w:rsidP="005959B5">
      <w:pPr>
        <w:spacing w:line="360" w:lineRule="auto"/>
        <w:contextualSpacing/>
        <w:jc w:val="both"/>
      </w:pPr>
      <w:r w:rsidRPr="000E1B7E">
        <w:t>MAAIF</w:t>
      </w:r>
      <w:r w:rsidRPr="000E1B7E">
        <w:tab/>
      </w:r>
      <w:r w:rsidR="00B257F2" w:rsidRPr="000E1B7E">
        <w:t>Ministry of Agriculture, Animal Industries and Fisheries</w:t>
      </w:r>
    </w:p>
    <w:p w14:paraId="3C65DB91" w14:textId="77777777" w:rsidR="00B257F2" w:rsidRPr="000E1B7E" w:rsidRDefault="00B257F2" w:rsidP="005959B5">
      <w:pPr>
        <w:spacing w:line="360" w:lineRule="auto"/>
        <w:contextualSpacing/>
        <w:jc w:val="both"/>
      </w:pPr>
      <w:r w:rsidRPr="000E1B7E">
        <w:t>MDAs</w:t>
      </w:r>
      <w:r w:rsidRPr="000E1B7E">
        <w:tab/>
      </w:r>
      <w:r w:rsidRPr="000E1B7E">
        <w:tab/>
        <w:t>Ministries, Departments and Agencies</w:t>
      </w:r>
    </w:p>
    <w:p w14:paraId="2AA51295" w14:textId="77777777" w:rsidR="00B257F2" w:rsidRPr="000E1B7E" w:rsidRDefault="0045398D" w:rsidP="005959B5">
      <w:pPr>
        <w:spacing w:line="360" w:lineRule="auto"/>
        <w:contextualSpacing/>
        <w:jc w:val="both"/>
      </w:pPr>
      <w:r w:rsidRPr="000E1B7E">
        <w:t>MEACA</w:t>
      </w:r>
      <w:r w:rsidRPr="000E1B7E">
        <w:tab/>
      </w:r>
      <w:r w:rsidR="00B257F2" w:rsidRPr="000E1B7E">
        <w:t>Ministry of East African Community Affairs</w:t>
      </w:r>
    </w:p>
    <w:p w14:paraId="19C6B952" w14:textId="77777777" w:rsidR="00B257F2" w:rsidRPr="000E1B7E" w:rsidRDefault="0045398D" w:rsidP="005959B5">
      <w:pPr>
        <w:spacing w:line="360" w:lineRule="auto"/>
        <w:contextualSpacing/>
        <w:jc w:val="both"/>
      </w:pPr>
      <w:r w:rsidRPr="000E1B7E">
        <w:t>MEMD</w:t>
      </w:r>
      <w:r w:rsidRPr="000E1B7E">
        <w:tab/>
      </w:r>
      <w:r w:rsidR="00B257F2" w:rsidRPr="000E1B7E">
        <w:t>Ministry of Energy and Minerals Development</w:t>
      </w:r>
    </w:p>
    <w:p w14:paraId="77C0346F" w14:textId="77777777" w:rsidR="00B257F2" w:rsidRPr="000E1B7E" w:rsidRDefault="00B257F2" w:rsidP="005959B5">
      <w:pPr>
        <w:spacing w:line="360" w:lineRule="auto"/>
        <w:jc w:val="both"/>
      </w:pPr>
      <w:r w:rsidRPr="000E1B7E">
        <w:t>MfPED</w:t>
      </w:r>
      <w:r w:rsidR="0045398D" w:rsidRPr="000E1B7E">
        <w:tab/>
      </w:r>
      <w:r w:rsidRPr="000E1B7E">
        <w:t xml:space="preserve">Ministry of Finance Planning and Economic Development </w:t>
      </w:r>
    </w:p>
    <w:p w14:paraId="23A888A0" w14:textId="77777777" w:rsidR="00B257F2" w:rsidRPr="000E1B7E" w:rsidRDefault="0045398D" w:rsidP="005959B5">
      <w:pPr>
        <w:spacing w:line="360" w:lineRule="auto"/>
        <w:contextualSpacing/>
        <w:jc w:val="both"/>
      </w:pPr>
      <w:r w:rsidRPr="000E1B7E">
        <w:t>MGLSD</w:t>
      </w:r>
      <w:r w:rsidRPr="000E1B7E">
        <w:tab/>
      </w:r>
      <w:r w:rsidR="00B257F2" w:rsidRPr="000E1B7E">
        <w:t>Ministry of Gender, Labour and Social Development</w:t>
      </w:r>
    </w:p>
    <w:p w14:paraId="138E372C" w14:textId="77777777" w:rsidR="00B257F2" w:rsidRPr="000E1B7E" w:rsidRDefault="00B257F2" w:rsidP="005959B5">
      <w:pPr>
        <w:spacing w:line="360" w:lineRule="auto"/>
        <w:contextualSpacing/>
        <w:jc w:val="both"/>
      </w:pPr>
      <w:r w:rsidRPr="000E1B7E">
        <w:t>MIA</w:t>
      </w:r>
      <w:r w:rsidRPr="000E1B7E">
        <w:tab/>
      </w:r>
      <w:r w:rsidRPr="000E1B7E">
        <w:tab/>
        <w:t>Ministry of Internal Affairs</w:t>
      </w:r>
    </w:p>
    <w:p w14:paraId="51E74CAE" w14:textId="77777777" w:rsidR="00B257F2" w:rsidRPr="000E1B7E" w:rsidRDefault="00B257F2" w:rsidP="005959B5">
      <w:pPr>
        <w:spacing w:line="360" w:lineRule="auto"/>
        <w:contextualSpacing/>
        <w:jc w:val="both"/>
      </w:pPr>
      <w:r w:rsidRPr="000E1B7E">
        <w:t>MICT</w:t>
      </w:r>
      <w:r w:rsidRPr="000E1B7E">
        <w:tab/>
      </w:r>
      <w:r w:rsidRPr="000E1B7E">
        <w:tab/>
        <w:t>Ministry of Information and Communications Technology</w:t>
      </w:r>
    </w:p>
    <w:p w14:paraId="317583CE" w14:textId="77777777" w:rsidR="00B257F2" w:rsidRPr="000E1B7E" w:rsidRDefault="0045398D" w:rsidP="005959B5">
      <w:pPr>
        <w:spacing w:line="360" w:lineRule="auto"/>
        <w:contextualSpacing/>
        <w:jc w:val="both"/>
      </w:pPr>
      <w:r w:rsidRPr="000E1B7E">
        <w:t>MLHUD</w:t>
      </w:r>
      <w:r w:rsidRPr="000E1B7E">
        <w:tab/>
      </w:r>
      <w:r w:rsidR="00B257F2" w:rsidRPr="000E1B7E">
        <w:t>Ministry of Lands, Housing and Urban Development</w:t>
      </w:r>
    </w:p>
    <w:p w14:paraId="044E5274" w14:textId="77777777" w:rsidR="00B257F2" w:rsidRPr="000E1B7E" w:rsidRDefault="00B257F2" w:rsidP="005959B5">
      <w:pPr>
        <w:spacing w:line="360" w:lineRule="auto"/>
        <w:contextualSpacing/>
        <w:jc w:val="both"/>
      </w:pPr>
      <w:r w:rsidRPr="000E1B7E">
        <w:t>MoD</w:t>
      </w:r>
      <w:r w:rsidRPr="000E1B7E">
        <w:tab/>
      </w:r>
      <w:r w:rsidRPr="000E1B7E">
        <w:tab/>
        <w:t>Ministry of Defence</w:t>
      </w:r>
    </w:p>
    <w:p w14:paraId="4BBDCCBC" w14:textId="77777777" w:rsidR="00B257F2" w:rsidRPr="000E1B7E" w:rsidRDefault="00B257F2" w:rsidP="005959B5">
      <w:pPr>
        <w:spacing w:line="360" w:lineRule="auto"/>
        <w:contextualSpacing/>
        <w:jc w:val="both"/>
      </w:pPr>
      <w:r w:rsidRPr="000E1B7E">
        <w:t>MoES</w:t>
      </w:r>
      <w:r w:rsidRPr="000E1B7E">
        <w:tab/>
      </w:r>
      <w:r w:rsidRPr="000E1B7E">
        <w:tab/>
        <w:t>Ministry of Education &amp; Science</w:t>
      </w:r>
    </w:p>
    <w:p w14:paraId="4B6422A9" w14:textId="77777777" w:rsidR="00B257F2" w:rsidRPr="000E1B7E" w:rsidRDefault="00B257F2" w:rsidP="005959B5">
      <w:pPr>
        <w:spacing w:line="360" w:lineRule="auto"/>
        <w:contextualSpacing/>
        <w:jc w:val="both"/>
      </w:pPr>
      <w:r w:rsidRPr="000E1B7E">
        <w:t>MoFPED</w:t>
      </w:r>
      <w:r w:rsidRPr="000E1B7E">
        <w:tab/>
        <w:t>Ministry of Finance, Planning and Economic Development</w:t>
      </w:r>
    </w:p>
    <w:p w14:paraId="5B92897B" w14:textId="77777777" w:rsidR="00B257F2" w:rsidRPr="000E1B7E" w:rsidRDefault="00B257F2" w:rsidP="005959B5">
      <w:pPr>
        <w:spacing w:line="360" w:lineRule="auto"/>
        <w:contextualSpacing/>
        <w:jc w:val="both"/>
      </w:pPr>
      <w:r w:rsidRPr="000E1B7E">
        <w:t>MoH</w:t>
      </w:r>
      <w:r w:rsidRPr="000E1B7E">
        <w:tab/>
      </w:r>
      <w:r w:rsidRPr="000E1B7E">
        <w:tab/>
        <w:t>Ministry of Health</w:t>
      </w:r>
    </w:p>
    <w:p w14:paraId="1FB11697" w14:textId="77777777" w:rsidR="00B257F2" w:rsidRPr="000E1B7E" w:rsidRDefault="0045398D" w:rsidP="005959B5">
      <w:pPr>
        <w:spacing w:line="360" w:lineRule="auto"/>
        <w:contextualSpacing/>
        <w:jc w:val="both"/>
      </w:pPr>
      <w:r w:rsidRPr="000E1B7E">
        <w:t>MoJCA</w:t>
      </w:r>
      <w:r w:rsidRPr="000E1B7E">
        <w:tab/>
      </w:r>
      <w:r w:rsidR="00B257F2" w:rsidRPr="000E1B7E">
        <w:t>Ministry of Justice and Constitutional Affairs</w:t>
      </w:r>
    </w:p>
    <w:p w14:paraId="67BC6FB3" w14:textId="77777777" w:rsidR="00B257F2" w:rsidRPr="000E1B7E" w:rsidRDefault="00B257F2" w:rsidP="005959B5">
      <w:pPr>
        <w:spacing w:line="360" w:lineRule="auto"/>
        <w:contextualSpacing/>
        <w:jc w:val="both"/>
      </w:pPr>
      <w:r w:rsidRPr="000E1B7E">
        <w:t>MoWE</w:t>
      </w:r>
      <w:r w:rsidRPr="000E1B7E">
        <w:tab/>
      </w:r>
      <w:r w:rsidRPr="000E1B7E">
        <w:tab/>
        <w:t>Ministry of Water and Environment</w:t>
      </w:r>
    </w:p>
    <w:p w14:paraId="431625DB" w14:textId="77777777" w:rsidR="00B257F2" w:rsidRPr="000E1B7E" w:rsidRDefault="00B257F2" w:rsidP="005959B5">
      <w:pPr>
        <w:spacing w:line="360" w:lineRule="auto"/>
        <w:contextualSpacing/>
        <w:jc w:val="both"/>
      </w:pPr>
      <w:r w:rsidRPr="000E1B7E">
        <w:lastRenderedPageBreak/>
        <w:t>MoWT</w:t>
      </w:r>
      <w:r w:rsidRPr="000E1B7E">
        <w:tab/>
      </w:r>
      <w:r w:rsidRPr="000E1B7E">
        <w:tab/>
        <w:t>Ministry of Works and Transport</w:t>
      </w:r>
    </w:p>
    <w:p w14:paraId="43B717C1" w14:textId="77777777" w:rsidR="00B257F2" w:rsidRPr="000E1B7E" w:rsidRDefault="00B257F2" w:rsidP="005959B5">
      <w:pPr>
        <w:spacing w:line="360" w:lineRule="auto"/>
        <w:contextualSpacing/>
        <w:jc w:val="both"/>
      </w:pPr>
      <w:r w:rsidRPr="000E1B7E">
        <w:t>MPS</w:t>
      </w:r>
      <w:r w:rsidRPr="000E1B7E">
        <w:tab/>
      </w:r>
      <w:r w:rsidRPr="000E1B7E">
        <w:tab/>
        <w:t>Ministerial Policy Statement</w:t>
      </w:r>
    </w:p>
    <w:p w14:paraId="62170EBE" w14:textId="77777777" w:rsidR="00B257F2" w:rsidRPr="000E1B7E" w:rsidRDefault="00B257F2" w:rsidP="005959B5">
      <w:pPr>
        <w:spacing w:line="360" w:lineRule="auto"/>
        <w:contextualSpacing/>
        <w:jc w:val="both"/>
      </w:pPr>
      <w:r w:rsidRPr="000E1B7E">
        <w:t>MTEF</w:t>
      </w:r>
      <w:r w:rsidRPr="000E1B7E">
        <w:tab/>
      </w:r>
      <w:r w:rsidRPr="000E1B7E">
        <w:tab/>
        <w:t>Medium Term Expenditure Framework</w:t>
      </w:r>
    </w:p>
    <w:p w14:paraId="299D81BE" w14:textId="77777777" w:rsidR="00B257F2" w:rsidRPr="000E1B7E" w:rsidRDefault="00B257F2" w:rsidP="005959B5">
      <w:pPr>
        <w:spacing w:line="360" w:lineRule="auto"/>
        <w:jc w:val="both"/>
      </w:pPr>
      <w:r w:rsidRPr="000E1B7E">
        <w:t>MTIC</w:t>
      </w:r>
      <w:r w:rsidRPr="000E1B7E">
        <w:tab/>
      </w:r>
      <w:r w:rsidRPr="000E1B7E">
        <w:tab/>
        <w:t>Ministry of Trade Industry and Cooperatives</w:t>
      </w:r>
    </w:p>
    <w:p w14:paraId="1A870D06" w14:textId="77777777" w:rsidR="00B257F2" w:rsidRPr="000E1B7E" w:rsidRDefault="00B257F2" w:rsidP="005959B5">
      <w:pPr>
        <w:spacing w:line="360" w:lineRule="auto"/>
        <w:jc w:val="both"/>
      </w:pPr>
      <w:r w:rsidRPr="000E1B7E">
        <w:t xml:space="preserve">MTR </w:t>
      </w:r>
      <w:r w:rsidRPr="000E1B7E">
        <w:tab/>
      </w:r>
      <w:r w:rsidRPr="000E1B7E">
        <w:tab/>
        <w:t xml:space="preserve">Mid-Term Review </w:t>
      </w:r>
    </w:p>
    <w:p w14:paraId="4A0B5F18" w14:textId="77777777" w:rsidR="00B257F2" w:rsidRPr="000E1B7E" w:rsidRDefault="0045398D" w:rsidP="005959B5">
      <w:pPr>
        <w:spacing w:line="360" w:lineRule="auto"/>
        <w:contextualSpacing/>
        <w:jc w:val="both"/>
      </w:pPr>
      <w:r w:rsidRPr="000E1B7E">
        <w:t>MTWH</w:t>
      </w:r>
      <w:r w:rsidRPr="000E1B7E">
        <w:tab/>
      </w:r>
      <w:r w:rsidR="00B257F2" w:rsidRPr="000E1B7E">
        <w:t>Ministry of Tourism, Wildlife and Heritage</w:t>
      </w:r>
    </w:p>
    <w:p w14:paraId="314BF33C" w14:textId="77777777" w:rsidR="00B257F2" w:rsidRPr="000E1B7E" w:rsidRDefault="00B257F2" w:rsidP="005959B5">
      <w:pPr>
        <w:spacing w:line="360" w:lineRule="auto"/>
        <w:contextualSpacing/>
        <w:jc w:val="both"/>
      </w:pPr>
      <w:r w:rsidRPr="000E1B7E">
        <w:t>NDP</w:t>
      </w:r>
      <w:r w:rsidRPr="000E1B7E">
        <w:tab/>
      </w:r>
      <w:r w:rsidRPr="000E1B7E">
        <w:tab/>
        <w:t>National Development Plan</w:t>
      </w:r>
    </w:p>
    <w:p w14:paraId="49BF24A1" w14:textId="77777777" w:rsidR="00B257F2" w:rsidRPr="000E1B7E" w:rsidRDefault="00B257F2" w:rsidP="005959B5">
      <w:pPr>
        <w:spacing w:line="360" w:lineRule="auto"/>
        <w:jc w:val="both"/>
      </w:pPr>
      <w:r w:rsidRPr="000E1B7E">
        <w:t xml:space="preserve">NPA </w:t>
      </w:r>
      <w:r w:rsidRPr="000E1B7E">
        <w:tab/>
      </w:r>
      <w:r w:rsidRPr="000E1B7E">
        <w:tab/>
        <w:t xml:space="preserve">National Planning Authority </w:t>
      </w:r>
    </w:p>
    <w:p w14:paraId="44ED1A8A" w14:textId="77777777" w:rsidR="00B257F2" w:rsidRPr="000E1B7E" w:rsidRDefault="00B257F2" w:rsidP="005959B5">
      <w:pPr>
        <w:spacing w:line="360" w:lineRule="auto"/>
        <w:contextualSpacing/>
        <w:jc w:val="both"/>
      </w:pPr>
      <w:r w:rsidRPr="000E1B7E">
        <w:t>OBT</w:t>
      </w:r>
      <w:r w:rsidRPr="000E1B7E">
        <w:tab/>
      </w:r>
      <w:r w:rsidRPr="000E1B7E">
        <w:tab/>
        <w:t>Output Based Tool</w:t>
      </w:r>
    </w:p>
    <w:p w14:paraId="5720091B" w14:textId="77777777" w:rsidR="00B257F2" w:rsidRPr="000E1B7E" w:rsidRDefault="00B257F2" w:rsidP="005959B5">
      <w:pPr>
        <w:spacing w:line="360" w:lineRule="auto"/>
        <w:contextualSpacing/>
        <w:jc w:val="both"/>
      </w:pPr>
      <w:r w:rsidRPr="000E1B7E">
        <w:t>OPM</w:t>
      </w:r>
      <w:r w:rsidRPr="000E1B7E">
        <w:tab/>
      </w:r>
      <w:r w:rsidRPr="000E1B7E">
        <w:tab/>
        <w:t>Office of the Prime Minister</w:t>
      </w:r>
    </w:p>
    <w:p w14:paraId="030A3D02" w14:textId="77777777" w:rsidR="00B257F2" w:rsidRPr="000E1B7E" w:rsidRDefault="00B257F2" w:rsidP="005959B5">
      <w:pPr>
        <w:spacing w:line="360" w:lineRule="auto"/>
        <w:contextualSpacing/>
        <w:jc w:val="both"/>
      </w:pPr>
      <w:r w:rsidRPr="000E1B7E">
        <w:t>PIP</w:t>
      </w:r>
      <w:r w:rsidRPr="000E1B7E">
        <w:tab/>
      </w:r>
      <w:r w:rsidRPr="000E1B7E">
        <w:tab/>
        <w:t>Public Investment Plan</w:t>
      </w:r>
    </w:p>
    <w:p w14:paraId="3AD3344B" w14:textId="77777777" w:rsidR="00B257F2" w:rsidRPr="000E1B7E" w:rsidRDefault="00B257F2" w:rsidP="005959B5">
      <w:pPr>
        <w:spacing w:line="360" w:lineRule="auto"/>
        <w:jc w:val="both"/>
      </w:pPr>
      <w:r w:rsidRPr="000E1B7E">
        <w:rPr>
          <w:rFonts w:eastAsia="Arial Unicode MS"/>
        </w:rPr>
        <w:t>PPPs</w:t>
      </w:r>
      <w:r w:rsidRPr="000E1B7E">
        <w:rPr>
          <w:rFonts w:eastAsia="Arial Unicode MS"/>
        </w:rPr>
        <w:tab/>
      </w:r>
      <w:r w:rsidRPr="000E1B7E">
        <w:rPr>
          <w:rFonts w:eastAsia="Arial Unicode MS"/>
        </w:rPr>
        <w:tab/>
        <w:t>Public Private Partnerships</w:t>
      </w:r>
    </w:p>
    <w:p w14:paraId="5389EE6C" w14:textId="77777777" w:rsidR="00B257F2" w:rsidRPr="000E1B7E" w:rsidRDefault="00B257F2" w:rsidP="005959B5">
      <w:pPr>
        <w:spacing w:line="360" w:lineRule="auto"/>
        <w:contextualSpacing/>
        <w:jc w:val="both"/>
      </w:pPr>
      <w:r w:rsidRPr="000E1B7E">
        <w:t>PSFU</w:t>
      </w:r>
      <w:r w:rsidRPr="000E1B7E">
        <w:tab/>
      </w:r>
      <w:r w:rsidRPr="000E1B7E">
        <w:tab/>
        <w:t>Private Sector Foundation of Uganda</w:t>
      </w:r>
    </w:p>
    <w:p w14:paraId="6D8C9985" w14:textId="77777777" w:rsidR="00B257F2" w:rsidRPr="000E1B7E" w:rsidRDefault="0045398D" w:rsidP="005959B5">
      <w:pPr>
        <w:spacing w:line="360" w:lineRule="auto"/>
        <w:contextualSpacing/>
        <w:jc w:val="both"/>
      </w:pPr>
      <w:r w:rsidRPr="000E1B7E">
        <w:t>SACCO</w:t>
      </w:r>
      <w:r w:rsidRPr="000E1B7E">
        <w:tab/>
      </w:r>
      <w:r w:rsidR="00B257F2" w:rsidRPr="000E1B7E">
        <w:t>Savings and Credit Cooperative</w:t>
      </w:r>
    </w:p>
    <w:p w14:paraId="45EA7FEC" w14:textId="77777777" w:rsidR="00B257F2" w:rsidRPr="000E1B7E" w:rsidRDefault="00B257F2" w:rsidP="005959B5">
      <w:pPr>
        <w:spacing w:line="360" w:lineRule="auto"/>
        <w:contextualSpacing/>
        <w:jc w:val="both"/>
      </w:pPr>
      <w:r w:rsidRPr="000E1B7E">
        <w:t>SDP</w:t>
      </w:r>
      <w:r w:rsidRPr="000E1B7E">
        <w:tab/>
      </w:r>
      <w:r w:rsidRPr="000E1B7E">
        <w:tab/>
        <w:t>Sector Development Plan</w:t>
      </w:r>
    </w:p>
    <w:p w14:paraId="503A5D45" w14:textId="77777777" w:rsidR="00B257F2" w:rsidRPr="000E1B7E" w:rsidRDefault="00B257F2" w:rsidP="005959B5">
      <w:pPr>
        <w:spacing w:line="360" w:lineRule="auto"/>
        <w:contextualSpacing/>
        <w:jc w:val="both"/>
      </w:pPr>
      <w:r w:rsidRPr="000E1B7E">
        <w:t>SMEs</w:t>
      </w:r>
      <w:r w:rsidRPr="000E1B7E">
        <w:tab/>
      </w:r>
      <w:r w:rsidRPr="000E1B7E">
        <w:tab/>
        <w:t>Small and Medium Enterprises</w:t>
      </w:r>
    </w:p>
    <w:p w14:paraId="6A19066B" w14:textId="77777777" w:rsidR="00B257F2" w:rsidRPr="000E1B7E" w:rsidRDefault="00B257F2" w:rsidP="005959B5">
      <w:pPr>
        <w:spacing w:line="360" w:lineRule="auto"/>
        <w:contextualSpacing/>
        <w:jc w:val="both"/>
      </w:pPr>
      <w:r w:rsidRPr="000E1B7E">
        <w:t>SWG</w:t>
      </w:r>
      <w:r w:rsidRPr="000E1B7E">
        <w:tab/>
      </w:r>
      <w:r w:rsidRPr="000E1B7E">
        <w:tab/>
        <w:t>Sector Working Group</w:t>
      </w:r>
    </w:p>
    <w:p w14:paraId="5D18155B" w14:textId="77777777" w:rsidR="00B257F2" w:rsidRPr="000E1B7E" w:rsidRDefault="00B257F2" w:rsidP="005959B5">
      <w:pPr>
        <w:spacing w:line="360" w:lineRule="auto"/>
        <w:contextualSpacing/>
        <w:jc w:val="both"/>
      </w:pPr>
      <w:r w:rsidRPr="000E1B7E">
        <w:t>ToR</w:t>
      </w:r>
      <w:r w:rsidRPr="000E1B7E">
        <w:tab/>
      </w:r>
      <w:r w:rsidRPr="000E1B7E">
        <w:tab/>
        <w:t>Terms of Reference</w:t>
      </w:r>
    </w:p>
    <w:p w14:paraId="7FF81FC4" w14:textId="77777777" w:rsidR="00B257F2" w:rsidRPr="000E1B7E" w:rsidRDefault="00B257F2" w:rsidP="005959B5">
      <w:pPr>
        <w:spacing w:line="360" w:lineRule="auto"/>
        <w:jc w:val="both"/>
      </w:pPr>
      <w:r w:rsidRPr="000E1B7E">
        <w:t xml:space="preserve">TPEP </w:t>
      </w:r>
      <w:r w:rsidRPr="000E1B7E">
        <w:tab/>
      </w:r>
      <w:r w:rsidRPr="000E1B7E">
        <w:tab/>
        <w:t xml:space="preserve">Tax Payer Expansion Program </w:t>
      </w:r>
    </w:p>
    <w:p w14:paraId="6CE7AEFE" w14:textId="77777777" w:rsidR="00B257F2" w:rsidRPr="000E1B7E" w:rsidRDefault="00B257F2" w:rsidP="005959B5">
      <w:pPr>
        <w:spacing w:line="360" w:lineRule="auto"/>
        <w:jc w:val="both"/>
      </w:pPr>
      <w:r w:rsidRPr="000E1B7E">
        <w:t xml:space="preserve">UBOS </w:t>
      </w:r>
      <w:r w:rsidRPr="000E1B7E">
        <w:tab/>
      </w:r>
      <w:r w:rsidRPr="000E1B7E">
        <w:tab/>
        <w:t>Uganda Bureau of Statistics</w:t>
      </w:r>
    </w:p>
    <w:p w14:paraId="0F312BCE" w14:textId="77777777" w:rsidR="00B257F2" w:rsidRPr="000E1B7E" w:rsidRDefault="00B257F2" w:rsidP="005959B5">
      <w:pPr>
        <w:spacing w:line="360" w:lineRule="auto"/>
        <w:jc w:val="both"/>
      </w:pPr>
      <w:r w:rsidRPr="000E1B7E">
        <w:t>UCDA</w:t>
      </w:r>
      <w:r w:rsidRPr="000E1B7E">
        <w:tab/>
      </w:r>
      <w:r w:rsidRPr="000E1B7E">
        <w:tab/>
        <w:t>Uganda Coffee Development Authority</w:t>
      </w:r>
    </w:p>
    <w:p w14:paraId="6C6A361B" w14:textId="77777777" w:rsidR="00B257F2" w:rsidRPr="000E1B7E" w:rsidRDefault="00B257F2" w:rsidP="005959B5">
      <w:pPr>
        <w:spacing w:line="360" w:lineRule="auto"/>
        <w:jc w:val="both"/>
      </w:pPr>
      <w:r w:rsidRPr="000E1B7E">
        <w:t xml:space="preserve">UDB </w:t>
      </w:r>
      <w:r w:rsidRPr="000E1B7E">
        <w:tab/>
      </w:r>
      <w:r w:rsidRPr="000E1B7E">
        <w:tab/>
        <w:t xml:space="preserve">Uganda Development Bank </w:t>
      </w:r>
    </w:p>
    <w:p w14:paraId="41AA9375" w14:textId="77777777" w:rsidR="00B257F2" w:rsidRPr="000E1B7E" w:rsidRDefault="00B257F2" w:rsidP="005959B5">
      <w:pPr>
        <w:spacing w:line="360" w:lineRule="auto"/>
        <w:jc w:val="both"/>
      </w:pPr>
      <w:r w:rsidRPr="000E1B7E">
        <w:t>UDC</w:t>
      </w:r>
      <w:r w:rsidRPr="000E1B7E">
        <w:tab/>
      </w:r>
      <w:r w:rsidRPr="000E1B7E">
        <w:tab/>
        <w:t xml:space="preserve">Uganda Development Corporation </w:t>
      </w:r>
    </w:p>
    <w:p w14:paraId="47E7CDD7" w14:textId="77777777" w:rsidR="00B257F2" w:rsidRPr="000E1B7E" w:rsidRDefault="00B257F2" w:rsidP="005959B5">
      <w:pPr>
        <w:spacing w:line="360" w:lineRule="auto"/>
        <w:jc w:val="both"/>
      </w:pPr>
      <w:r w:rsidRPr="000E1B7E">
        <w:t>UEPB</w:t>
      </w:r>
      <w:r w:rsidRPr="000E1B7E">
        <w:tab/>
      </w:r>
      <w:r w:rsidRPr="000E1B7E">
        <w:tab/>
        <w:t xml:space="preserve">Uganda Export Promotions Board </w:t>
      </w:r>
    </w:p>
    <w:p w14:paraId="22D07EE2" w14:textId="77777777" w:rsidR="00B257F2" w:rsidRPr="000E1B7E" w:rsidRDefault="00B257F2" w:rsidP="005959B5">
      <w:pPr>
        <w:spacing w:line="360" w:lineRule="auto"/>
        <w:jc w:val="both"/>
      </w:pPr>
      <w:r w:rsidRPr="000E1B7E">
        <w:t>UFZA</w:t>
      </w:r>
      <w:r w:rsidRPr="000E1B7E">
        <w:tab/>
      </w:r>
      <w:r w:rsidRPr="000E1B7E">
        <w:tab/>
        <w:t xml:space="preserve">Uganda Free Zone Authority </w:t>
      </w:r>
    </w:p>
    <w:p w14:paraId="33A06C69" w14:textId="77777777" w:rsidR="00B257F2" w:rsidRPr="000E1B7E" w:rsidRDefault="00B257F2" w:rsidP="005959B5">
      <w:pPr>
        <w:spacing w:line="360" w:lineRule="auto"/>
        <w:jc w:val="both"/>
      </w:pPr>
      <w:r w:rsidRPr="000E1B7E">
        <w:t>UNBS</w:t>
      </w:r>
      <w:r w:rsidRPr="000E1B7E">
        <w:tab/>
      </w:r>
      <w:r w:rsidRPr="000E1B7E">
        <w:tab/>
        <w:t>Uganda National Bureau of Standards</w:t>
      </w:r>
    </w:p>
    <w:p w14:paraId="2C6BB67D" w14:textId="77777777" w:rsidR="00B257F2" w:rsidRPr="000E1B7E" w:rsidRDefault="00B257F2" w:rsidP="005959B5">
      <w:pPr>
        <w:spacing w:line="360" w:lineRule="auto"/>
        <w:contextualSpacing/>
        <w:jc w:val="both"/>
      </w:pPr>
      <w:r w:rsidRPr="000E1B7E">
        <w:t>URA</w:t>
      </w:r>
      <w:r w:rsidRPr="000E1B7E">
        <w:tab/>
      </w:r>
      <w:r w:rsidRPr="000E1B7E">
        <w:tab/>
        <w:t>Uganda Revenue Authority</w:t>
      </w:r>
    </w:p>
    <w:p w14:paraId="3B4491AF" w14:textId="77777777" w:rsidR="00B257F2" w:rsidRPr="000E1B7E" w:rsidRDefault="00B257F2" w:rsidP="005959B5">
      <w:pPr>
        <w:spacing w:line="360" w:lineRule="auto"/>
        <w:jc w:val="both"/>
      </w:pPr>
      <w:r w:rsidRPr="000E1B7E">
        <w:t>URSB</w:t>
      </w:r>
      <w:r w:rsidRPr="000E1B7E">
        <w:tab/>
      </w:r>
      <w:r w:rsidRPr="000E1B7E">
        <w:tab/>
        <w:t>Uganda Registration Services Bureau</w:t>
      </w:r>
    </w:p>
    <w:p w14:paraId="5095A9DC" w14:textId="77777777" w:rsidR="00B257F2" w:rsidRPr="000E1B7E" w:rsidRDefault="00B257F2" w:rsidP="005959B5">
      <w:pPr>
        <w:spacing w:line="360" w:lineRule="auto"/>
        <w:jc w:val="both"/>
      </w:pPr>
      <w:r w:rsidRPr="000E1B7E">
        <w:t>VAT</w:t>
      </w:r>
      <w:r w:rsidRPr="000E1B7E">
        <w:tab/>
      </w:r>
      <w:r w:rsidRPr="000E1B7E">
        <w:tab/>
        <w:t>Value Added Tax</w:t>
      </w:r>
    </w:p>
    <w:p w14:paraId="18A23B1C" w14:textId="77777777" w:rsidR="00AD3C33" w:rsidRPr="000E1B7E" w:rsidRDefault="00B257F2" w:rsidP="005959B5">
      <w:pPr>
        <w:spacing w:line="360" w:lineRule="auto"/>
        <w:jc w:val="both"/>
      </w:pPr>
      <w:r w:rsidRPr="000E1B7E">
        <w:t xml:space="preserve">WEF </w:t>
      </w:r>
      <w:r w:rsidRPr="000E1B7E">
        <w:tab/>
      </w:r>
      <w:r w:rsidRPr="000E1B7E">
        <w:tab/>
        <w:t>World Economic Forum</w:t>
      </w:r>
    </w:p>
    <w:p w14:paraId="22C26103" w14:textId="77777777" w:rsidR="009818BB" w:rsidRPr="000E1B7E" w:rsidRDefault="009818BB" w:rsidP="005959B5">
      <w:pPr>
        <w:contextualSpacing/>
        <w:jc w:val="both"/>
      </w:pPr>
    </w:p>
    <w:p w14:paraId="161080A4" w14:textId="77777777" w:rsidR="005959B5" w:rsidRPr="000E1B7E" w:rsidRDefault="005959B5">
      <w:r w:rsidRPr="000E1B7E">
        <w:br w:type="page"/>
      </w:r>
    </w:p>
    <w:p w14:paraId="1223D12C" w14:textId="77777777" w:rsidR="005959B5" w:rsidRPr="000E1B7E" w:rsidRDefault="005959B5" w:rsidP="00582844">
      <w:pPr>
        <w:pStyle w:val="Heading1"/>
      </w:pPr>
      <w:bookmarkStart w:id="12" w:name="_Toc3478363"/>
      <w:bookmarkStart w:id="13" w:name="_Toc11956247"/>
      <w:r w:rsidRPr="000E1B7E">
        <w:lastRenderedPageBreak/>
        <w:t>Acknowledgement</w:t>
      </w:r>
      <w:bookmarkEnd w:id="12"/>
      <w:bookmarkEnd w:id="13"/>
    </w:p>
    <w:p w14:paraId="031C444E" w14:textId="77777777" w:rsidR="005959B5" w:rsidRPr="000E1B7E" w:rsidRDefault="005959B5" w:rsidP="005959B5">
      <w:pPr>
        <w:widowControl w:val="0"/>
        <w:autoSpaceDE w:val="0"/>
        <w:autoSpaceDN w:val="0"/>
        <w:adjustRightInd w:val="0"/>
        <w:spacing w:line="360" w:lineRule="auto"/>
        <w:jc w:val="both"/>
        <w:rPr>
          <w:color w:val="000000" w:themeColor="text1"/>
          <w:lang w:val="en-US"/>
        </w:rPr>
      </w:pPr>
      <w:r w:rsidRPr="000E1B7E">
        <w:rPr>
          <w:color w:val="000000" w:themeColor="text1"/>
        </w:rPr>
        <w:t xml:space="preserve">This Economic Management Thematic Report of NDP II Midterm Review was prepared by the Consortium of Research for Transformation and Development and REEV Consult International. Preparation of this report benefitted from consultation and validation meetings with Government Ministries, Departments and Agencies, and Local Governments.  The Consortium extends their appreciation to all stakeholders consulted for their support, </w:t>
      </w:r>
      <w:r w:rsidRPr="000E1B7E">
        <w:rPr>
          <w:color w:val="000000" w:themeColor="text1"/>
          <w:lang w:val="en-US"/>
        </w:rPr>
        <w:t xml:space="preserve">patience, knowledgeand unwavering good spirit during our work. </w:t>
      </w:r>
    </w:p>
    <w:p w14:paraId="6E75041A" w14:textId="77777777" w:rsidR="005959B5" w:rsidRPr="000E1B7E" w:rsidRDefault="005959B5" w:rsidP="005959B5">
      <w:pPr>
        <w:pStyle w:val="Default"/>
        <w:jc w:val="both"/>
        <w:rPr>
          <w:rFonts w:ascii="Times New Roman" w:hAnsi="Times New Roman" w:cs="Times New Roman"/>
          <w:color w:val="000000" w:themeColor="text1"/>
        </w:rPr>
      </w:pPr>
    </w:p>
    <w:p w14:paraId="1A2B5A41" w14:textId="77777777" w:rsidR="005959B5" w:rsidRPr="000E1B7E" w:rsidRDefault="005959B5" w:rsidP="005959B5">
      <w:pPr>
        <w:pStyle w:val="Default"/>
        <w:jc w:val="both"/>
        <w:rPr>
          <w:rFonts w:ascii="Times New Roman" w:hAnsi="Times New Roman" w:cs="Times New Roman"/>
          <w:color w:val="000000" w:themeColor="text1"/>
        </w:rPr>
      </w:pPr>
      <w:r w:rsidRPr="000E1B7E">
        <w:rPr>
          <w:rFonts w:ascii="Times New Roman" w:hAnsi="Times New Roman" w:cs="Times New Roman"/>
          <w:b/>
          <w:bCs/>
          <w:color w:val="000000" w:themeColor="text1"/>
        </w:rPr>
        <w:t xml:space="preserve">Disclaimer </w:t>
      </w:r>
    </w:p>
    <w:p w14:paraId="0C321CF3" w14:textId="77777777" w:rsidR="005959B5" w:rsidRPr="000E1B7E" w:rsidRDefault="005959B5" w:rsidP="00582844">
      <w:pPr>
        <w:spacing w:line="360" w:lineRule="auto"/>
        <w:jc w:val="both"/>
        <w:rPr>
          <w:color w:val="000000" w:themeColor="text1"/>
        </w:rPr>
      </w:pPr>
      <w:r w:rsidRPr="000E1B7E">
        <w:rPr>
          <w:color w:val="000000" w:themeColor="text1"/>
        </w:rPr>
        <w:t>The contents of this Thematic Report are the sol</w:t>
      </w:r>
      <w:r w:rsidR="00582844" w:rsidRPr="000E1B7E">
        <w:rPr>
          <w:color w:val="000000" w:themeColor="text1"/>
        </w:rPr>
        <w:t>e responsibility of the author.</w:t>
      </w:r>
    </w:p>
    <w:p w14:paraId="798D45A1" w14:textId="77777777" w:rsidR="009D49BF" w:rsidRPr="000E1B7E" w:rsidRDefault="009D49BF" w:rsidP="00582844">
      <w:pPr>
        <w:spacing w:line="360" w:lineRule="auto"/>
        <w:jc w:val="both"/>
        <w:rPr>
          <w:color w:val="000000" w:themeColor="text1"/>
        </w:rPr>
      </w:pPr>
    </w:p>
    <w:p w14:paraId="3BB529E6" w14:textId="77777777" w:rsidR="009D49BF" w:rsidRPr="000E1B7E" w:rsidRDefault="009D49BF">
      <w:pPr>
        <w:rPr>
          <w:rFonts w:eastAsia="Calibri"/>
          <w:b/>
          <w:bCs/>
          <w:color w:val="000000" w:themeColor="text1"/>
          <w:kern w:val="32"/>
          <w:sz w:val="28"/>
        </w:rPr>
      </w:pPr>
      <w:r w:rsidRPr="000E1B7E">
        <w:rPr>
          <w:rFonts w:eastAsia="Calibri"/>
          <w:b/>
          <w:bCs/>
          <w:color w:val="000000" w:themeColor="text1"/>
          <w:kern w:val="32"/>
          <w:sz w:val="28"/>
        </w:rPr>
        <w:br w:type="page"/>
      </w:r>
    </w:p>
    <w:p w14:paraId="30153280" w14:textId="77777777" w:rsidR="009D49BF" w:rsidRPr="000E1B7E" w:rsidRDefault="009D49BF" w:rsidP="009D49BF">
      <w:pPr>
        <w:keepNext/>
        <w:spacing w:after="240" w:line="360" w:lineRule="auto"/>
        <w:jc w:val="both"/>
        <w:outlineLvl w:val="0"/>
        <w:rPr>
          <w:rFonts w:eastAsia="Calibri"/>
          <w:color w:val="000000" w:themeColor="text1"/>
          <w:kern w:val="32"/>
        </w:rPr>
      </w:pPr>
      <w:bookmarkStart w:id="14" w:name="_Toc11956248"/>
      <w:r w:rsidRPr="000E1B7E">
        <w:rPr>
          <w:rFonts w:eastAsia="Calibri"/>
          <w:b/>
          <w:bCs/>
          <w:color w:val="000000" w:themeColor="text1"/>
          <w:kern w:val="32"/>
          <w:sz w:val="28"/>
        </w:rPr>
        <w:lastRenderedPageBreak/>
        <w:t>Executive Summary</w:t>
      </w:r>
      <w:bookmarkEnd w:id="14"/>
      <w:r w:rsidRPr="000E1B7E">
        <w:rPr>
          <w:rFonts w:eastAsia="Calibri"/>
          <w:b/>
          <w:bCs/>
          <w:color w:val="000000" w:themeColor="text1"/>
          <w:kern w:val="32"/>
          <w:sz w:val="28"/>
        </w:rPr>
        <w:tab/>
      </w:r>
      <w:r w:rsidRPr="000E1B7E">
        <w:rPr>
          <w:rFonts w:eastAsia="Calibri"/>
          <w:b/>
          <w:bCs/>
          <w:color w:val="000000" w:themeColor="text1"/>
          <w:kern w:val="32"/>
          <w:sz w:val="28"/>
        </w:rPr>
        <w:tab/>
      </w:r>
      <w:r w:rsidRPr="000E1B7E">
        <w:rPr>
          <w:rFonts w:eastAsia="Calibri"/>
          <w:b/>
          <w:bCs/>
          <w:color w:val="000000" w:themeColor="text1"/>
          <w:kern w:val="32"/>
        </w:rPr>
        <w:tab/>
      </w:r>
      <w:r w:rsidRPr="000E1B7E">
        <w:rPr>
          <w:rFonts w:eastAsia="Calibri"/>
          <w:b/>
          <w:bCs/>
          <w:color w:val="000000" w:themeColor="text1"/>
          <w:kern w:val="32"/>
        </w:rPr>
        <w:tab/>
      </w:r>
      <w:r w:rsidRPr="000E1B7E">
        <w:rPr>
          <w:rFonts w:eastAsia="Calibri"/>
          <w:b/>
          <w:bCs/>
          <w:color w:val="000000" w:themeColor="text1"/>
          <w:kern w:val="32"/>
        </w:rPr>
        <w:tab/>
      </w:r>
      <w:r w:rsidRPr="000E1B7E">
        <w:rPr>
          <w:rFonts w:eastAsia="Calibri"/>
          <w:b/>
          <w:bCs/>
          <w:color w:val="000000" w:themeColor="text1"/>
          <w:kern w:val="32"/>
        </w:rPr>
        <w:tab/>
      </w:r>
    </w:p>
    <w:p w14:paraId="383F1917" w14:textId="77777777" w:rsidR="009D49BF" w:rsidRPr="000E1B7E" w:rsidRDefault="009D49BF" w:rsidP="009D49BF">
      <w:pPr>
        <w:spacing w:after="240" w:line="360" w:lineRule="auto"/>
        <w:jc w:val="both"/>
        <w:rPr>
          <w:rFonts w:eastAsia="Calibri"/>
          <w:bCs/>
        </w:rPr>
      </w:pPr>
      <w:r w:rsidRPr="000E1B7E">
        <w:rPr>
          <w:rFonts w:eastAsia="Calibri"/>
          <w:bCs/>
        </w:rPr>
        <w:t xml:space="preserve">This report presents the findings of the midterm review (MTR) of the second National Development Plan (NDP II) 2015/16 to 2019/20, on the economic management thematic area. This economic management thematic report covers four broad performance areas, namely, real economy, fiscal policy, monetary policy and external sector. The thematic report looks broadly at the extent to which the economy has performed, the case for the current rate of performance, and if current rates of growth is sufficient to meet the NDP II targets. The assessment also interrogates the extent, to which the economic management reforms were implemented, the results of these reforms and the impact they had on public expenditure management and accountability in the first three years of NDP II. </w:t>
      </w:r>
    </w:p>
    <w:p w14:paraId="67B250DC" w14:textId="77777777" w:rsidR="009D49BF" w:rsidRPr="000E1B7E" w:rsidRDefault="009D49BF" w:rsidP="009D49BF">
      <w:pPr>
        <w:spacing w:after="240" w:line="360" w:lineRule="auto"/>
        <w:jc w:val="both"/>
        <w:rPr>
          <w:rFonts w:eastAsia="Calibri"/>
          <w:bCs/>
        </w:rPr>
      </w:pPr>
      <w:r w:rsidRPr="000E1B7E">
        <w:rPr>
          <w:rFonts w:eastAsia="Calibri"/>
          <w:bCs/>
        </w:rPr>
        <w:t>Over the first three years of NDP II, Uganda has registered average annual real GDP growth of 4.9%, below the NDP II projection of 6.</w:t>
      </w:r>
      <w:r w:rsidR="00C40AD6" w:rsidRPr="000E1B7E">
        <w:rPr>
          <w:rFonts w:eastAsia="Calibri"/>
          <w:bCs/>
        </w:rPr>
        <w:t>3</w:t>
      </w:r>
      <w:r w:rsidRPr="000E1B7E">
        <w:rPr>
          <w:rFonts w:eastAsia="Calibri"/>
          <w:bCs/>
        </w:rPr>
        <w:t xml:space="preserve">% average growth over this period. The slow growth rates were partly attributed to drought that affected the agricultural sector, the poor performance of the manufacturing sector, and slow implementation of the prioritised infrastructure projects.  Equally, NDP II implementation has not led to changes in the structure of GDP. Services continued to dominate contribution to GDP over the review period.  From the base year (2014/15), the contribution of the Services sector to GDP increased by 2.0 percentage points, while the contribution of agriculture, forestry and fishing and industry declined by 1.7 and 0.3 percentage points respectively. The increase in services sector contribution has mainly been driven by increase in the contribution of information and communication services. </w:t>
      </w:r>
    </w:p>
    <w:p w14:paraId="3ED4E908" w14:textId="77777777" w:rsidR="009D49BF" w:rsidRPr="000E1B7E" w:rsidRDefault="009D49BF" w:rsidP="009D49BF">
      <w:pPr>
        <w:spacing w:after="240" w:line="360" w:lineRule="auto"/>
        <w:jc w:val="both"/>
        <w:rPr>
          <w:rFonts w:eastAsia="Calibri"/>
          <w:bCs/>
        </w:rPr>
      </w:pPr>
      <w:r w:rsidRPr="000E1B7E">
        <w:rPr>
          <w:rFonts w:eastAsia="Calibri"/>
          <w:bCs/>
        </w:rPr>
        <w:t xml:space="preserve">Over the first three years of NDP II, the Agriculture sector continued to register the lowest annual growth, averaging 2.7%, driven by a rebound in growth of cash crops output, sluggish but improving growth of food crops output but with a weak growth of livestock, forestry and fisheries output. The Industry sector growth averaged 4.7%, reflecting a decline compared to the average annual growth rate of 6.1% during NDP I, driven by </w:t>
      </w:r>
      <w:r w:rsidR="001A0126" w:rsidRPr="000E1B7E">
        <w:rPr>
          <w:rFonts w:eastAsia="Calibri"/>
          <w:bCs/>
        </w:rPr>
        <w:t>h</w:t>
      </w:r>
      <w:r w:rsidRPr="000E1B7E">
        <w:rPr>
          <w:rFonts w:eastAsia="Calibri"/>
          <w:bCs/>
        </w:rPr>
        <w:t xml:space="preserve">igh growth of mining and quarrying output, sluggish and disappointing growth of manufacturing output, and a moderate growth of electricity, water and construction sub-sector outputs. The service sector GDP growth averaged 6.4%, driven by strong growth of information and communications output. As a result, GDP per capita for 2017/18 was only $799, which is significantly behind the NDP II target of $ 1,033 by 2019/20. The first three years of NDP II have not delivered the rapid </w:t>
      </w:r>
      <w:r w:rsidRPr="000E1B7E">
        <w:rPr>
          <w:rFonts w:eastAsia="Calibri"/>
          <w:bCs/>
        </w:rPr>
        <w:lastRenderedPageBreak/>
        <w:t xml:space="preserve">growth in GDP per capita required to enable the country to achieve middle income status, and the likelihood of achieving the lower middle income status by 2020 is very low. </w:t>
      </w:r>
    </w:p>
    <w:p w14:paraId="08FC9AF9" w14:textId="77777777" w:rsidR="009D49BF" w:rsidRPr="000E1B7E" w:rsidRDefault="009D49BF" w:rsidP="009D49BF">
      <w:pPr>
        <w:spacing w:after="240" w:line="360" w:lineRule="auto"/>
        <w:jc w:val="both"/>
        <w:rPr>
          <w:rFonts w:eastAsia="Calibri"/>
          <w:bCs/>
        </w:rPr>
      </w:pPr>
      <w:r w:rsidRPr="000E1B7E">
        <w:rPr>
          <w:rFonts w:eastAsia="Calibri"/>
          <w:bCs/>
        </w:rPr>
        <w:t>Uganda’s competitiveness improvement has been assessed based on two global business competitiveness indices, namely the Doing Business ranking/index, the global Competitiveness Index and the Logistics Performance Index.  Over the first three years of NDP II, Uganda has improved her ranking in the global doing business rakings by 8 positions but is nevertheless lagging behind the NDP II target rank of 120</w:t>
      </w:r>
      <w:r w:rsidRPr="000E1B7E">
        <w:rPr>
          <w:rFonts w:eastAsia="Calibri"/>
          <w:bCs/>
          <w:vertAlign w:val="superscript"/>
        </w:rPr>
        <w:t>th</w:t>
      </w:r>
      <w:r w:rsidRPr="000E1B7E">
        <w:rPr>
          <w:rFonts w:eastAsia="Calibri"/>
          <w:bCs/>
        </w:rPr>
        <w:t xml:space="preserve"> out of 189 countries by 2017/18 by 7 positions. In other words, the quality of the business environment has improved (in relative terms), but not by as much as hoped – perhaps because other countries have improved faster. On the other hand, Uganda’s ranking in the Global Competitiveness Index (GCI) has declined. The NDP II target was for Uganda to attain the rank of 110 out of 148 countries by 2017/18, but according to the 2018 GCI report, Uganda was ranked 117</w:t>
      </w:r>
      <w:r w:rsidRPr="000E1B7E">
        <w:rPr>
          <w:rFonts w:eastAsia="Calibri"/>
          <w:bCs/>
          <w:vertAlign w:val="superscript"/>
        </w:rPr>
        <w:t>th</w:t>
      </w:r>
      <w:r w:rsidRPr="000E1B7E">
        <w:rPr>
          <w:rFonts w:eastAsia="Calibri"/>
          <w:bCs/>
        </w:rPr>
        <w:t xml:space="preserve"> of 140 countries, showing that the country is lagging behind target by 7 positions. Uganda’s competitiveness ranking has deteriorated over the review period with four out of the 12 pillars registering a decline in the scores, indicating reduced competitiveness.</w:t>
      </w:r>
    </w:p>
    <w:p w14:paraId="5DD1E55F" w14:textId="77777777" w:rsidR="009D49BF" w:rsidRPr="000E1B7E" w:rsidRDefault="009D49BF" w:rsidP="009D49BF">
      <w:pPr>
        <w:spacing w:after="240" w:line="360" w:lineRule="auto"/>
        <w:jc w:val="both"/>
        <w:rPr>
          <w:rFonts w:eastAsia="Calibri"/>
          <w:bCs/>
        </w:rPr>
      </w:pPr>
      <w:r w:rsidRPr="000E1B7E">
        <w:rPr>
          <w:rFonts w:eastAsia="Calibri"/>
          <w:bCs/>
        </w:rPr>
        <w:t>As projected under NDP II, Uganda has pursued an expansionary fiscal policy, characterized by a widening primary deficit. In fact, the actual deficits have been smaller than projected in NDP II. In 2017/18 financial year, the actual deficit (including grants) was 4.8% of GDP, lower than the projected deficit of about 7.5% in NDP II. This seems to be due to a slower than expected expansion of spending on frontloading of investment in prioritized infrastructure projects. However, both the actual and projected fiscal deficit are in excess of the EAC Monetary Union macro-economic convergence criteria, which require the fiscal deficit including grants, to be less than 3% of GDP.  Equally, this fiscal expansion has seen aggregate spending increasing over the four years of NDP II, reaching 20.4% in 2017/18 and is projected to reach 21.7% in 2018/19. Nevertheless, this level of expenditure is lower than projected in NDP II, at 22.5% in 2017/18. Throughout NDP II to date, actual expenditures have come in consistently below budget, although expenditure has increased as a share of GDP.Overall, the actual level of expenditure and the size of the budget deficit has been smaller (less expansionary) than projected in NDP II.</w:t>
      </w:r>
    </w:p>
    <w:p w14:paraId="58596013" w14:textId="77777777" w:rsidR="009D49BF" w:rsidRPr="000E1B7E" w:rsidRDefault="009D49BF" w:rsidP="009D49BF">
      <w:pPr>
        <w:spacing w:after="240" w:line="360" w:lineRule="auto"/>
        <w:jc w:val="both"/>
        <w:rPr>
          <w:rFonts w:eastAsia="Calibri"/>
          <w:bCs/>
        </w:rPr>
      </w:pPr>
      <w:r w:rsidRPr="000E1B7E">
        <w:rPr>
          <w:rFonts w:eastAsia="Calibri"/>
          <w:bCs/>
        </w:rPr>
        <w:t xml:space="preserve">The fiscal deficit has been financed through a combination of domestic and external borrowing. Over the first three years of NDP II, Government has relied more on external funding sources than domestic financing of the deficit. External borrowing has been dominated by concessional </w:t>
      </w:r>
      <w:r w:rsidRPr="000E1B7E">
        <w:rPr>
          <w:rFonts w:eastAsia="Calibri"/>
          <w:bCs/>
        </w:rPr>
        <w:lastRenderedPageBreak/>
        <w:t>and non-concessional project loans. Government’s continued reliance on public debt to finance the budget deficit has increased public debt to unprecedented levels. Public debt as a percentage of GDP has incre</w:t>
      </w:r>
      <w:r w:rsidR="003F7980" w:rsidRPr="000E1B7E">
        <w:rPr>
          <w:rFonts w:eastAsia="Calibri"/>
          <w:bCs/>
        </w:rPr>
        <w:t>ased from 31.2% in 2014/15 to 41</w:t>
      </w:r>
      <w:r w:rsidRPr="000E1B7E">
        <w:rPr>
          <w:rFonts w:eastAsia="Calibri"/>
          <w:bCs/>
        </w:rPr>
        <w:t>.</w:t>
      </w:r>
      <w:r w:rsidR="003F7980" w:rsidRPr="000E1B7E">
        <w:rPr>
          <w:rFonts w:eastAsia="Calibri"/>
          <w:bCs/>
        </w:rPr>
        <w:t>5</w:t>
      </w:r>
      <w:r w:rsidRPr="000E1B7E">
        <w:rPr>
          <w:rFonts w:eastAsia="Calibri"/>
          <w:bCs/>
        </w:rPr>
        <w:t>% in 2017/18. Domestic debt peaked at 13.1% of GDP in 2015/16 before falling to 12.9% of GDP in 2017/18. On the other hand, external debt has continued to increase over the review period from 18.9% in 2014/15 reaching 27.3% of GDP in 2017/18. Notwithstanding higher public debt, the increase is lower than projected in NDP II. In 2017/18 the ac</w:t>
      </w:r>
      <w:r w:rsidR="003F7980" w:rsidRPr="000E1B7E">
        <w:rPr>
          <w:rFonts w:eastAsia="Calibri"/>
          <w:bCs/>
        </w:rPr>
        <w:t>tual level of public debt was 41</w:t>
      </w:r>
      <w:r w:rsidRPr="000E1B7E">
        <w:rPr>
          <w:rFonts w:eastAsia="Calibri"/>
          <w:bCs/>
        </w:rPr>
        <w:t xml:space="preserve">.% of GDP, compared to the NDP II projection of 42.0%. This reflects lower than projected expenditure and deficits. Even though the increase in debt is well within sustainability limits, it is nevertheless causing actual or potential problems. Domestic debt is leading to crowding out of lending to the private sector, and it is not yet clear that investments financed by external debt will generate the returns necessary to service the debt. This raises questions as to whether the (higher) projected increase in debt in NDP II would have had an adverse impact, given the implications for domestic borrowing and on crowding out. </w:t>
      </w:r>
    </w:p>
    <w:p w14:paraId="77C7AEB0" w14:textId="77777777" w:rsidR="009D49BF" w:rsidRPr="000E1B7E" w:rsidRDefault="009D49BF" w:rsidP="009D49BF">
      <w:pPr>
        <w:spacing w:after="240" w:line="360" w:lineRule="auto"/>
        <w:jc w:val="both"/>
        <w:rPr>
          <w:rFonts w:eastAsia="Calibri"/>
          <w:bCs/>
        </w:rPr>
      </w:pPr>
      <w:r w:rsidRPr="000E1B7E">
        <w:rPr>
          <w:rFonts w:eastAsia="Calibri"/>
          <w:bCs/>
        </w:rPr>
        <w:t xml:space="preserve">In line with Government’s increasing deficit financing, interest payments have increased to 2.65% of GDP in 2017/18. In terms of Government expenditure, interest payments accounted for 12.9% in 2017/18. Interest payments are projected to increase further in the medium term on account of increased borrowing. The increase in interest payments is largely attributed to increased use of short term domestic financing to finance government spending. Indeed, over the period FY2015/16 to FY2018/19 (projected), domestic interest payments accounts for 81.7% of the total interest payments while external interest payments accounted for only 18.3%, reflecting the burden of using short-term domestic borrowing instruments to finance the budget deficit.  </w:t>
      </w:r>
    </w:p>
    <w:p w14:paraId="42858475" w14:textId="77777777" w:rsidR="009D49BF" w:rsidRPr="000E1B7E" w:rsidRDefault="009D49BF" w:rsidP="009D49BF">
      <w:pPr>
        <w:spacing w:after="240" w:line="360" w:lineRule="auto"/>
        <w:jc w:val="both"/>
        <w:rPr>
          <w:rFonts w:eastAsia="Calibri"/>
          <w:bCs/>
        </w:rPr>
      </w:pPr>
      <w:r w:rsidRPr="000E1B7E">
        <w:rPr>
          <w:rFonts w:eastAsia="Calibri"/>
          <w:bCs/>
        </w:rPr>
        <w:t xml:space="preserve">The NDP II financing strategy emphasises increased domestic revenue mobilisation to finance NDP II implementation. Within the first three years of NDP II implementation, the tax to GDP ratio increased from 12.7% in 2014/15 to 14.4% in 2017/18. This improvement in the tax to GDP ratio is in line with NDP II projections, which envisaged revenue to GDP ratio of 14.4% in 2017/18 (excluding grants). The increase was driven by a 15.8% increase in the domestic tax collection to GDP ratio and a 9% increase in the taxes on international trade to GDP ratio. Despite this performance, in line with NDP II, revenue mobilisation has faced challenges. The government and URA have faced difficulties in reining on tax concessions, despite this being </w:t>
      </w:r>
      <w:r w:rsidRPr="000E1B7E">
        <w:rPr>
          <w:rFonts w:eastAsia="Calibri"/>
          <w:bCs/>
        </w:rPr>
        <w:lastRenderedPageBreak/>
        <w:t xml:space="preserve">a commitment in NDP II – hence the poor performance of corporate tax revenues. Collections and compliance are also considered to remain weak in some areas. </w:t>
      </w:r>
    </w:p>
    <w:p w14:paraId="17375359" w14:textId="77777777" w:rsidR="009D49BF" w:rsidRPr="000E1B7E" w:rsidRDefault="009D49BF" w:rsidP="009D49BF">
      <w:pPr>
        <w:spacing w:after="240" w:line="360" w:lineRule="auto"/>
        <w:jc w:val="both"/>
        <w:rPr>
          <w:rFonts w:eastAsia="Calibri"/>
          <w:bCs/>
        </w:rPr>
      </w:pPr>
      <w:r w:rsidRPr="000E1B7E">
        <w:rPr>
          <w:rFonts w:eastAsia="Calibri"/>
          <w:bCs/>
        </w:rPr>
        <w:t>Average spending over the first three years of NDP II has averaged 19.9% of GDP, which is lower than the 23.0% of GDP projected NDP II by 2016/17. Lower overall spending is partly attributed to the slow implementation of some infrastructure projects. It is also quite unlikely that such a large and growing development budget can be implemented efficiently. First, there is an absorptive capacity issue, and whether the economy can absorb such an increase in spending without running into capacity problems leading to inflation. Second, robust process for selecting development projects for inclusion in the national development plan, i.e. focusing on high return projects with proper appraisal before inclusion in the National Development Plan. Third, low efficiency in implementing development projects on account of wastage and leakages.</w:t>
      </w:r>
    </w:p>
    <w:p w14:paraId="408544D0" w14:textId="77777777" w:rsidR="009D49BF" w:rsidRPr="000E1B7E" w:rsidRDefault="009D49BF" w:rsidP="009D49BF">
      <w:pPr>
        <w:spacing w:after="240" w:line="360" w:lineRule="auto"/>
        <w:jc w:val="both"/>
        <w:rPr>
          <w:rFonts w:eastAsia="Calibri"/>
          <w:bCs/>
        </w:rPr>
      </w:pPr>
      <w:r w:rsidRPr="000E1B7E">
        <w:rPr>
          <w:rFonts w:eastAsia="Calibri"/>
          <w:bCs/>
        </w:rPr>
        <w:t>A review of the annual budgets for the three years under NDP II revealed that the total approved budgets for the three years was 79.3 trillion, representing 69.8% of the total NDP II budget of 113.6 trillion. However, total expenditure over the three years was 54.6 trillion, equivalent to 48.1% of the NDP II budget. Therefore, for the first three years (60% of the NDP period), 48.1% of the NDP II budget has been spent. A review of budget expenditures revealed a 69.8% outturn in 2015/16 (i.e. the percentage of the approved budget that was actually spent), 66.2% in 2016/17 and 70.5% in 2017/18. Accordingly, the budget outturn over the review period is estimated at 68.8% of the total budget.</w:t>
      </w:r>
    </w:p>
    <w:p w14:paraId="53ADC457" w14:textId="77777777" w:rsidR="009D49BF" w:rsidRPr="000E1B7E" w:rsidRDefault="009D49BF" w:rsidP="009D49BF">
      <w:pPr>
        <w:spacing w:after="240" w:line="360" w:lineRule="auto"/>
        <w:jc w:val="both"/>
        <w:rPr>
          <w:rFonts w:eastAsia="Calibri"/>
          <w:bCs/>
        </w:rPr>
      </w:pPr>
      <w:r w:rsidRPr="000E1B7E">
        <w:rPr>
          <w:rFonts w:eastAsia="Calibri"/>
          <w:bCs/>
        </w:rPr>
        <w:t xml:space="preserve">Of the 54.6 trillion spend over the first three years of NDP II, 30.4 trillion (55.6%) was recurrent expenditures. This is higher that the projected allocation of 47.5% of NDP II budget going to recurrent expenditures.  On the other hand, 20.2 trillion (37%) of spending was towards development expenditure, which is lower than the NDP II target of 52.4% of the budget. Overall, whereas the thrust of the NDP II funding strategy is to frontload infrastructure investment, by allocating more budgetary resources under the development budget, the development budget expenditure has been less than projected under NDP II. The reason for the under spending on the development budget could be mainly because of delays in project implementation as most of the development expenditure was to be funded through external loans. The effectiveness of public spending in boosting growth could be improved through establishment of a project bank. This would mean that projects are subject to sufficient preparatory work to (i) establish a reliable costing figure and (ii) undertake a pre-feasibility </w:t>
      </w:r>
      <w:r w:rsidRPr="000E1B7E">
        <w:rPr>
          <w:rFonts w:eastAsia="Calibri"/>
          <w:bCs/>
        </w:rPr>
        <w:lastRenderedPageBreak/>
        <w:t xml:space="preserve">assessment including a cost-benefit appraisal. This would enable the implementation period to be shortened, due to the preparatory work undertaken, as well as ensure that projects are not constrained by inadequate funding due to poor initial costing. It would also enable the prioritisation of projects to have the greatest development impact. </w:t>
      </w:r>
      <w:bookmarkStart w:id="15" w:name="_Toc731952"/>
    </w:p>
    <w:bookmarkEnd w:id="15"/>
    <w:p w14:paraId="4C522335" w14:textId="77777777" w:rsidR="009D49BF" w:rsidRPr="000E1B7E" w:rsidRDefault="009D49BF" w:rsidP="009D49BF">
      <w:pPr>
        <w:spacing w:after="240" w:line="360" w:lineRule="auto"/>
        <w:jc w:val="both"/>
        <w:rPr>
          <w:rFonts w:eastAsia="Calibri"/>
          <w:bCs/>
        </w:rPr>
      </w:pPr>
      <w:r w:rsidRPr="000E1B7E">
        <w:rPr>
          <w:rFonts w:eastAsia="Calibri"/>
          <w:bCs/>
        </w:rPr>
        <w:t xml:space="preserve">The NDP II target is to maintain core inflation within a band centered on 5 percent. The band is currently +/- 2%, resulting in a target range of 3% - 7%. Annual inflation peaked at 6.6% 2015/16 before reducing to 5.7% in 2016/17. The monetary policy stance has been effective in containing inflation over the review period, despite some volatility in food and energy / fuel prices. </w:t>
      </w:r>
    </w:p>
    <w:p w14:paraId="061D8DC9" w14:textId="77777777" w:rsidR="009D49BF" w:rsidRPr="000E1B7E" w:rsidRDefault="009D49BF" w:rsidP="009D49BF">
      <w:pPr>
        <w:spacing w:after="240" w:line="360" w:lineRule="auto"/>
        <w:jc w:val="both"/>
        <w:rPr>
          <w:rFonts w:eastAsia="Calibri"/>
          <w:bCs/>
        </w:rPr>
      </w:pPr>
      <w:r w:rsidRPr="000E1B7E">
        <w:rPr>
          <w:rFonts w:eastAsia="Calibri"/>
          <w:bCs/>
        </w:rPr>
        <w:t>Over the first three years of NDP, the exchange rate depreciated by only 6.3%, compared to the 17.7% depreciation experienced over the five years of NDP I. In recent years, therefore, the exchange rate has been more stable, and this may be in part due to the success of monetary policy in stabilising and reducing inflation, as well as the impact of interest rates.</w:t>
      </w:r>
    </w:p>
    <w:p w14:paraId="36D51037" w14:textId="77777777" w:rsidR="009D49BF" w:rsidRPr="000E1B7E" w:rsidRDefault="009D49BF" w:rsidP="009D49BF">
      <w:pPr>
        <w:spacing w:after="240" w:line="360" w:lineRule="auto"/>
        <w:jc w:val="both"/>
        <w:rPr>
          <w:rFonts w:eastAsia="Calibri"/>
          <w:bCs/>
        </w:rPr>
      </w:pPr>
      <w:r w:rsidRPr="000E1B7E">
        <w:rPr>
          <w:rFonts w:eastAsia="Calibri"/>
          <w:bCs/>
        </w:rPr>
        <w:t xml:space="preserve">The average lending rate in Uganda in 2017 of 21.3% was the highest in the region compared to 16% in Tanzania, 17.2% in Rwanda, 13.7% in Kenya and 14.8% in Burundi. Lending interest rates in Uganda have consistently been higher compared to other competing regional markets over the last five years. Furthermore, Uganda has the highest interest rate spread (lending rate minus deposit rate) in the region. For the period 2013-2017,the average interest rate spread in Uganda was 10.6% compared to 6% in Tanzania, 9% in Rwanda and 7.6% in Kenya. The high interest rate spread in Uganda may be attributable to a variety of different factors: the SME nature of Ugandan companies that are associated with higher risks and higher loan losses; high overhead costs reflecting the large number of banks and duplication of infrastructure; and the high levels of capital held by Ugandan banks. In addition, the high interest rates on treasury bills and government bonds provide a lower bound for the risk-free lending rate and continue to crowd out lending to the private sector. Real GoU bond yields are exceptionally high, which has an impact on spreads and lending rates. The high interest rate increases the cost of financing by business community, making Ugandan products uncompetitive in the regional market. Accordingly, high levels of government spending and deficit financing have a wider, negative impact on the economy that may counteract the beneficial impact of government spending on infrastructure. </w:t>
      </w:r>
    </w:p>
    <w:p w14:paraId="26DBF0AA" w14:textId="77777777" w:rsidR="009D49BF" w:rsidRPr="000E1B7E" w:rsidRDefault="009D49BF" w:rsidP="009D49BF">
      <w:pPr>
        <w:spacing w:after="240" w:line="360" w:lineRule="auto"/>
        <w:jc w:val="both"/>
        <w:rPr>
          <w:rFonts w:eastAsia="Calibri"/>
          <w:bCs/>
        </w:rPr>
      </w:pPr>
      <w:r w:rsidRPr="000E1B7E">
        <w:rPr>
          <w:rFonts w:eastAsia="Calibri"/>
          <w:bCs/>
        </w:rPr>
        <w:lastRenderedPageBreak/>
        <w:t>Uganda’s external trade performance has improved over the last five years. According to Bank of Uganda external trade statistics, Uganda’s exports have registered a 31.6% growth in norminal value over the first three years of NDP II compared to a 19.2% growth registered during the NDP I period. On the other hand, imports have growth by 19.8% compared to 6.3% registered during NDP I. Over the first three years of NDP II, Uganda has continued to experience a negative trade balance, which deteriorated by 9.4% compared to an improvement of 2.2% registered during NDP I.</w:t>
      </w:r>
    </w:p>
    <w:p w14:paraId="5EAC65B3" w14:textId="77777777" w:rsidR="009D49BF" w:rsidRPr="000E1B7E" w:rsidRDefault="009D49BF" w:rsidP="009D49BF">
      <w:pPr>
        <w:spacing w:after="240" w:line="360" w:lineRule="auto"/>
        <w:jc w:val="both"/>
        <w:rPr>
          <w:rFonts w:eastAsia="Calibri"/>
          <w:bCs/>
        </w:rPr>
      </w:pPr>
      <w:r w:rsidRPr="000E1B7E">
        <w:rPr>
          <w:rFonts w:eastAsia="Calibri"/>
          <w:bCs/>
        </w:rPr>
        <w:t>The growth of the economy under</w:t>
      </w:r>
      <w:r w:rsidR="00CF1C87" w:rsidRPr="000E1B7E">
        <w:rPr>
          <w:rFonts w:eastAsia="Calibri"/>
          <w:bCs/>
        </w:rPr>
        <w:t xml:space="preserve"> </w:t>
      </w:r>
      <w:r w:rsidRPr="000E1B7E">
        <w:rPr>
          <w:rFonts w:eastAsia="Calibri"/>
          <w:bCs/>
        </w:rPr>
        <w:t xml:space="preserve">NDP II was projected to be partly driven by growth in exports. Available export data shows increase in average annual growth of exports. During the first three years of NDP II, </w:t>
      </w:r>
      <w:r w:rsidR="00E95F9D" w:rsidRPr="000E1B7E">
        <w:rPr>
          <w:rFonts w:eastAsia="Calibri"/>
          <w:bCs/>
        </w:rPr>
        <w:t>merchandise</w:t>
      </w:r>
      <w:r w:rsidRPr="000E1B7E">
        <w:rPr>
          <w:rFonts w:eastAsia="Calibri"/>
          <w:bCs/>
        </w:rPr>
        <w:t xml:space="preserve"> exports registered an annual average growth rate of 9.33% compared to the 3.71% recorded during NDP I. NDP II strategy aimed at increasing the ratio of exports to GDP to </w:t>
      </w:r>
      <w:r w:rsidR="00E95F9D" w:rsidRPr="000E1B7E">
        <w:rPr>
          <w:rFonts w:eastAsia="Calibri"/>
          <w:bCs/>
        </w:rPr>
        <w:t>16.5</w:t>
      </w:r>
      <w:r w:rsidRPr="000E1B7E">
        <w:rPr>
          <w:rFonts w:eastAsia="Calibri"/>
          <w:bCs/>
        </w:rPr>
        <w:t xml:space="preserve">% by 2020. </w:t>
      </w:r>
      <w:r w:rsidR="00E95F9D" w:rsidRPr="000E1B7E">
        <w:rPr>
          <w:rFonts w:eastAsia="Calibri"/>
          <w:bCs/>
        </w:rPr>
        <w:t xml:space="preserve">Despite </w:t>
      </w:r>
      <w:r w:rsidRPr="000E1B7E">
        <w:rPr>
          <w:rFonts w:eastAsia="Calibri"/>
          <w:bCs/>
        </w:rPr>
        <w:t xml:space="preserve">the improved export performance, </w:t>
      </w:r>
      <w:r w:rsidR="00E95F9D" w:rsidRPr="000E1B7E">
        <w:rPr>
          <w:rFonts w:eastAsia="Calibri"/>
          <w:bCs/>
        </w:rPr>
        <w:t xml:space="preserve">suggesting strives towards achiving the export-led growth objevtive, the ratio of exports to GDP </w:t>
      </w:r>
      <w:r w:rsidR="00CF1C87" w:rsidRPr="000E1B7E">
        <w:rPr>
          <w:rFonts w:eastAsia="Calibri"/>
          <w:bCs/>
        </w:rPr>
        <w:t>was at</w:t>
      </w:r>
      <w:r w:rsidR="00E95F9D" w:rsidRPr="000E1B7E">
        <w:rPr>
          <w:rFonts w:eastAsia="Calibri"/>
          <w:bCs/>
        </w:rPr>
        <w:t xml:space="preserve"> 12.</w:t>
      </w:r>
      <w:r w:rsidR="00EC55D4" w:rsidRPr="000E1B7E">
        <w:rPr>
          <w:rFonts w:eastAsia="Calibri"/>
          <w:bCs/>
        </w:rPr>
        <w:t>72</w:t>
      </w:r>
      <w:r w:rsidR="00E95F9D" w:rsidRPr="000E1B7E">
        <w:rPr>
          <w:rFonts w:eastAsia="Calibri"/>
          <w:bCs/>
        </w:rPr>
        <w:t xml:space="preserve">% in 2017/18 and </w:t>
      </w:r>
      <w:r w:rsidRPr="000E1B7E">
        <w:rPr>
          <w:rFonts w:eastAsia="Calibri"/>
          <w:bCs/>
        </w:rPr>
        <w:t xml:space="preserve">Uganda </w:t>
      </w:r>
      <w:r w:rsidR="00E95F9D" w:rsidRPr="000E1B7E">
        <w:rPr>
          <w:rFonts w:eastAsia="Calibri"/>
          <w:bCs/>
        </w:rPr>
        <w:t>is unlikely to achive her target of 16.5%</w:t>
      </w:r>
      <w:r w:rsidRPr="000E1B7E">
        <w:rPr>
          <w:rFonts w:eastAsia="Calibri"/>
          <w:bCs/>
        </w:rPr>
        <w:t xml:space="preserve"> by 2020. </w:t>
      </w:r>
    </w:p>
    <w:p w14:paraId="16C669DC" w14:textId="77777777" w:rsidR="008264FF" w:rsidRPr="000E1B7E" w:rsidRDefault="008264FF" w:rsidP="008264FF">
      <w:pPr>
        <w:spacing w:after="240" w:line="360" w:lineRule="auto"/>
        <w:jc w:val="both"/>
        <w:rPr>
          <w:rFonts w:eastAsia="Calibri"/>
          <w:bCs/>
        </w:rPr>
      </w:pPr>
      <w:r w:rsidRPr="000E1B7E">
        <w:rPr>
          <w:rFonts w:eastAsia="Calibri"/>
          <w:bCs/>
        </w:rPr>
        <w:t>The current account balance has remained in deficit due to the high and increasing import bill despite the growth in exports. The current account balance improved from a deficit of $2,038.9 million in 2013/14, reaching $1,019.9m million in 2016/17 before deteriorating to $.1,805.9 in 2017/18. The capital account has registered positive and improving balances albeit from a low base. The outturn for the current account balance is substantially better (smaller) than the projected current account deficit in NDP II.</w:t>
      </w:r>
    </w:p>
    <w:p w14:paraId="54D7CAA1" w14:textId="77777777" w:rsidR="009D49BF" w:rsidRPr="000E1B7E" w:rsidRDefault="009D49BF" w:rsidP="009D49BF">
      <w:pPr>
        <w:spacing w:after="240" w:line="360" w:lineRule="auto"/>
        <w:jc w:val="both"/>
        <w:rPr>
          <w:rFonts w:eastAsia="Calibri"/>
          <w:bCs/>
        </w:rPr>
      </w:pPr>
      <w:r w:rsidRPr="000E1B7E">
        <w:rPr>
          <w:rFonts w:eastAsia="Calibri"/>
          <w:bCs/>
        </w:rPr>
        <w:t>The level of gross international reserves has turned out to be lower in absolute terms than projected in NDP II, but higher in terms of import cover. This may reflect that the actual level of imports is lower than projected in NDP II, which is most likely related to the slower than anticipated progress in implementing major infrastructure projects.</w:t>
      </w:r>
    </w:p>
    <w:p w14:paraId="758554AF" w14:textId="77777777" w:rsidR="009D49BF" w:rsidRPr="000E1B7E" w:rsidRDefault="009D49BF" w:rsidP="009D49BF">
      <w:pPr>
        <w:spacing w:after="240" w:line="360" w:lineRule="auto"/>
        <w:jc w:val="both"/>
        <w:rPr>
          <w:rFonts w:eastAsia="Calibri"/>
          <w:b/>
          <w:bCs/>
          <w:iCs/>
        </w:rPr>
      </w:pPr>
      <w:bookmarkStart w:id="16" w:name="_Toc731943"/>
      <w:r w:rsidRPr="000E1B7E">
        <w:rPr>
          <w:rFonts w:eastAsia="Calibri"/>
          <w:bCs/>
        </w:rPr>
        <w:t>In conclusion</w:t>
      </w:r>
      <w:bookmarkEnd w:id="16"/>
      <w:r w:rsidRPr="000E1B7E">
        <w:rPr>
          <w:rFonts w:eastAsia="Calibri"/>
          <w:bCs/>
        </w:rPr>
        <w:t xml:space="preserve">, </w:t>
      </w:r>
      <w:r w:rsidRPr="000E1B7E">
        <w:rPr>
          <w:rFonts w:eastAsia="Calibri"/>
          <w:bCs/>
          <w:iCs/>
        </w:rPr>
        <w:t>Various factors have seemingly contributed to the lower than expected growth performance during the first half of NDP II: these include drought, the slow implementation of infrastructure and energy projects, and delays in achieving improvements in the business environment and global competitiveness, compounded by the very high costs of domestic credit.</w:t>
      </w:r>
    </w:p>
    <w:p w14:paraId="170EA162" w14:textId="77777777" w:rsidR="009D49BF" w:rsidRPr="000E1B7E" w:rsidRDefault="009D49BF" w:rsidP="009D49BF">
      <w:pPr>
        <w:spacing w:after="240" w:line="360" w:lineRule="auto"/>
        <w:jc w:val="both"/>
        <w:rPr>
          <w:rFonts w:eastAsia="Calibri"/>
          <w:bCs/>
        </w:rPr>
      </w:pPr>
      <w:r w:rsidRPr="000E1B7E">
        <w:rPr>
          <w:rFonts w:eastAsia="Calibri"/>
          <w:bCs/>
        </w:rPr>
        <w:t xml:space="preserve">The monetary policy has largely been effective in controlling inflation and maintaining stability of the economy as evidenced by low and stable inflation and the relatively stable exchange </w:t>
      </w:r>
      <w:r w:rsidRPr="000E1B7E">
        <w:rPr>
          <w:rFonts w:eastAsia="Calibri"/>
          <w:bCs/>
        </w:rPr>
        <w:lastRenderedPageBreak/>
        <w:t xml:space="preserve">rate. The whole structure of interest rates in Uganda is high, in real terms, due to a combination of factors, including high policy rates (CBR), crowding out through higher government borrowing (bond rates), and structural factors in the banking system (high NPLs, over-capitalisation, and high operating costs).  </w:t>
      </w:r>
    </w:p>
    <w:p w14:paraId="2751DDFB" w14:textId="77777777" w:rsidR="009D49BF" w:rsidRPr="000E1B7E" w:rsidRDefault="009D49BF" w:rsidP="009D49BF">
      <w:pPr>
        <w:spacing w:after="240" w:line="360" w:lineRule="auto"/>
        <w:jc w:val="both"/>
        <w:rPr>
          <w:rFonts w:eastAsia="Calibri"/>
          <w:bCs/>
        </w:rPr>
      </w:pPr>
      <w:r w:rsidRPr="000E1B7E">
        <w:rPr>
          <w:rFonts w:eastAsia="Calibri"/>
          <w:bCs/>
        </w:rPr>
        <w:t xml:space="preserve">External sector performance has been generally positive during the first half of NDP II. There have been growing exports, stable imports (volatile but with no upward trend), and a declining trade deficit.  This suggests that the external account has responded positively to the depreciation of the Uganda shilling in the latter years of NDP I. The positive assessment of external sector performance is supported by the smaller than projected current account deficit, and higher than anticipated international reserves (measured in terms of import cover). Nevertheless there are some future external account risks, given that imports are expected to rise sharply as major infrastructure projects are implemented, and this could lead to larger current account deficits, hence greater reliance on capital inflows, and potential pressure on the exchange rate and international reserves. </w:t>
      </w:r>
      <w:bookmarkStart w:id="17" w:name="_Toc731962"/>
    </w:p>
    <w:p w14:paraId="0ABDB490" w14:textId="77777777" w:rsidR="009D49BF" w:rsidRPr="000E1B7E" w:rsidRDefault="009D49BF" w:rsidP="000E1B7E">
      <w:pPr>
        <w:pStyle w:val="DeltaBodytext"/>
        <w:autoSpaceDE w:val="0"/>
        <w:autoSpaceDN w:val="0"/>
        <w:adjustRightInd w:val="0"/>
        <w:spacing w:before="240" w:line="360" w:lineRule="auto"/>
        <w:rPr>
          <w:rFonts w:ascii="Times New Roman" w:hAnsi="Times New Roman"/>
          <w:bCs/>
          <w:sz w:val="24"/>
          <w:szCs w:val="24"/>
        </w:rPr>
      </w:pPr>
      <w:bookmarkStart w:id="18" w:name="_Toc731963"/>
      <w:bookmarkEnd w:id="17"/>
      <w:r w:rsidRPr="000E1B7E">
        <w:rPr>
          <w:rFonts w:ascii="Times New Roman" w:hAnsi="Times New Roman"/>
          <w:bCs/>
          <w:sz w:val="24"/>
          <w:szCs w:val="24"/>
        </w:rPr>
        <w:t>To improve performance of the Real Economy</w:t>
      </w:r>
      <w:bookmarkEnd w:id="18"/>
      <w:r w:rsidRPr="000E1B7E">
        <w:rPr>
          <w:rFonts w:ascii="Times New Roman" w:hAnsi="Times New Roman"/>
          <w:bCs/>
          <w:sz w:val="24"/>
          <w:szCs w:val="24"/>
        </w:rPr>
        <w:t xml:space="preserve"> the MTR recommends strengthening: delivery of Infrastructure projects; and Alignment of NDP II, MTEF and the National Budget through: a) reviewing the certificate of compliance issuance framework of the national budget to NDP II, to include minimum deviations (flexibility) that can be allowed on both recurrent and development budgets and releases for the different sectors, and b) adoption of penalties for sector agencies who significantly deviate from planned and approved development priorities under the NDP. With regard to fiscal performance, there is need to: continue implementing measures to strengthen tax administration and efficiency; reduce borrowing from domestic market; and explore new options for funding NDP Implementation. In terms of </w:t>
      </w:r>
      <w:bookmarkStart w:id="19" w:name="_Toc731965"/>
      <w:r w:rsidRPr="000E1B7E">
        <w:rPr>
          <w:rFonts w:ascii="Times New Roman" w:hAnsi="Times New Roman"/>
          <w:bCs/>
          <w:sz w:val="24"/>
          <w:szCs w:val="24"/>
        </w:rPr>
        <w:t>price and monetary developments</w:t>
      </w:r>
      <w:bookmarkEnd w:id="19"/>
      <w:r w:rsidRPr="000E1B7E">
        <w:rPr>
          <w:rFonts w:ascii="Times New Roman" w:hAnsi="Times New Roman"/>
          <w:bCs/>
          <w:sz w:val="24"/>
          <w:szCs w:val="24"/>
        </w:rPr>
        <w:t xml:space="preserve">, monetary policy has largely been effective in controlling inflation and maintaining stability of the economy as evidenced by low and stable inflation and the relatively stable exchange rate. </w:t>
      </w:r>
      <w:r w:rsidR="00311FC2" w:rsidRPr="000E1B7E">
        <w:rPr>
          <w:rFonts w:ascii="Times New Roman" w:hAnsi="Times New Roman"/>
          <w:sz w:val="24"/>
          <w:szCs w:val="24"/>
        </w:rPr>
        <w:t xml:space="preserve">The MTR recommends that BoU investigates how to improve the monetary policy transmission mechanism so that the changes in CBR are transferred to changes in the interest rates. The current monetary policy effort to reduce the CBR has not greatly impacted the interest rates which always remain sticky upwards. </w:t>
      </w:r>
      <w:r w:rsidRPr="000E1B7E">
        <w:rPr>
          <w:rFonts w:ascii="Times New Roman" w:hAnsi="Times New Roman"/>
          <w:bCs/>
          <w:sz w:val="24"/>
          <w:szCs w:val="24"/>
        </w:rPr>
        <w:t xml:space="preserve"> </w:t>
      </w:r>
    </w:p>
    <w:p w14:paraId="2AC4ABA4" w14:textId="77777777" w:rsidR="009D49BF" w:rsidRPr="000E1B7E" w:rsidRDefault="009D49BF" w:rsidP="00582844">
      <w:pPr>
        <w:spacing w:line="360" w:lineRule="auto"/>
        <w:jc w:val="both"/>
        <w:rPr>
          <w:color w:val="000000" w:themeColor="text1"/>
        </w:rPr>
        <w:sectPr w:rsidR="009D49BF" w:rsidRPr="000E1B7E" w:rsidSect="00C11847">
          <w:footerReference w:type="default" r:id="rId15"/>
          <w:pgSz w:w="11906" w:h="16838"/>
          <w:pgMar w:top="1440" w:right="1440" w:bottom="1440" w:left="1440" w:header="708" w:footer="8" w:gutter="0"/>
          <w:pgNumType w:fmt="lowerRoman"/>
          <w:cols w:space="708"/>
          <w:titlePg/>
          <w:docGrid w:linePitch="360"/>
        </w:sectPr>
      </w:pPr>
    </w:p>
    <w:p w14:paraId="55F97650" w14:textId="77777777" w:rsidR="004217BA" w:rsidRPr="000E1B7E" w:rsidRDefault="00FF0E49" w:rsidP="00F85D24">
      <w:pPr>
        <w:pStyle w:val="Heading1"/>
        <w:numPr>
          <w:ilvl w:val="0"/>
          <w:numId w:val="22"/>
        </w:numPr>
        <w:ind w:left="709" w:hanging="709"/>
      </w:pPr>
      <w:bookmarkStart w:id="20" w:name="_Toc367960133"/>
      <w:bookmarkStart w:id="21" w:name="_Toc3478364"/>
      <w:bookmarkStart w:id="22" w:name="_Toc11956249"/>
      <w:r w:rsidRPr="000E1B7E">
        <w:lastRenderedPageBreak/>
        <w:t>Introduction</w:t>
      </w:r>
      <w:bookmarkStart w:id="23" w:name="_Toc367960134"/>
      <w:bookmarkEnd w:id="3"/>
      <w:bookmarkEnd w:id="4"/>
      <w:bookmarkEnd w:id="5"/>
      <w:bookmarkEnd w:id="6"/>
      <w:bookmarkEnd w:id="20"/>
      <w:bookmarkEnd w:id="21"/>
      <w:bookmarkEnd w:id="22"/>
    </w:p>
    <w:p w14:paraId="5E3CBCB1" w14:textId="77777777" w:rsidR="004217BA" w:rsidRPr="000E1B7E" w:rsidRDefault="004217BA" w:rsidP="00F85D24">
      <w:pPr>
        <w:pStyle w:val="Heading2"/>
        <w:keepLines/>
        <w:numPr>
          <w:ilvl w:val="1"/>
          <w:numId w:val="23"/>
        </w:numPr>
        <w:spacing w:line="240" w:lineRule="auto"/>
        <w:ind w:left="567" w:hanging="567"/>
        <w:jc w:val="left"/>
        <w:rPr>
          <w:rFonts w:eastAsiaTheme="majorEastAsia"/>
          <w:bCs w:val="0"/>
          <w:iCs w:val="0"/>
          <w:color w:val="000000" w:themeColor="text1"/>
        </w:rPr>
      </w:pPr>
      <w:bookmarkStart w:id="24" w:name="_Toc3478365"/>
      <w:bookmarkStart w:id="25" w:name="_Toc11956250"/>
      <w:r w:rsidRPr="000E1B7E">
        <w:rPr>
          <w:rFonts w:eastAsiaTheme="majorEastAsia"/>
          <w:bCs w:val="0"/>
          <w:iCs w:val="0"/>
          <w:color w:val="000000" w:themeColor="text1"/>
        </w:rPr>
        <w:t>Background</w:t>
      </w:r>
      <w:bookmarkEnd w:id="23"/>
      <w:bookmarkEnd w:id="24"/>
      <w:bookmarkEnd w:id="25"/>
    </w:p>
    <w:p w14:paraId="5B1FC623" w14:textId="77777777" w:rsidR="004217BA" w:rsidRPr="000E1B7E" w:rsidRDefault="004217BA" w:rsidP="00F85D24">
      <w:pPr>
        <w:pStyle w:val="DeltaBodytext"/>
        <w:numPr>
          <w:ilvl w:val="0"/>
          <w:numId w:val="26"/>
        </w:numPr>
        <w:spacing w:line="360" w:lineRule="auto"/>
        <w:ind w:left="567" w:hanging="567"/>
        <w:rPr>
          <w:rFonts w:ascii="Times New Roman" w:hAnsi="Times New Roman"/>
          <w:color w:val="000000"/>
          <w:sz w:val="24"/>
          <w:szCs w:val="24"/>
        </w:rPr>
      </w:pPr>
      <w:r w:rsidRPr="000E1B7E">
        <w:rPr>
          <w:rFonts w:ascii="Times New Roman" w:hAnsi="Times New Roman"/>
          <w:sz w:val="24"/>
          <w:szCs w:val="24"/>
        </w:rPr>
        <w:t xml:space="preserve">This report presents the findings of the midterm review (MTR) of Uganda’s second National Development Plan (NDP II)on the economic managementthematic area, whichforms one part of the six parts of an independent mid-term review of NDP II, 2015/16 to 2019/20, commissioned by the National Planning Authority (NPA).  The five other thematic areas of the MTR are:results framework; policy and strategic direction; institutional framework;development partnerships; and political economy; as well as an overall synthesis report.  Separate work has been conducted on the cross-cutting issues of </w:t>
      </w:r>
      <w:r w:rsidRPr="000E1B7E">
        <w:rPr>
          <w:rFonts w:ascii="Times New Roman" w:hAnsi="Times New Roman"/>
          <w:color w:val="000000"/>
          <w:sz w:val="24"/>
          <w:szCs w:val="24"/>
        </w:rPr>
        <w:t>gender, environment, social protection, nutrition and food security, human rights, child rights and well-being, and democracy and political governance which has been included in the mid-term review thematic reports.</w:t>
      </w:r>
    </w:p>
    <w:p w14:paraId="6D0125DF"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Theterms of reference for the review emphasised the importance of highlighting the challenges encountered during the three years of implementation of the plan and of making recommendations for the remaining period of the NDPII. The recommendations are also expected to inform the development of NDP III.  </w:t>
      </w:r>
    </w:p>
    <w:p w14:paraId="6016D133" w14:textId="77777777" w:rsidR="004217BA" w:rsidRPr="000E1B7E" w:rsidRDefault="004217BA" w:rsidP="00F85D24">
      <w:pPr>
        <w:pStyle w:val="Heading2"/>
        <w:keepLines/>
        <w:numPr>
          <w:ilvl w:val="1"/>
          <w:numId w:val="23"/>
        </w:numPr>
        <w:spacing w:line="240" w:lineRule="auto"/>
        <w:ind w:left="567" w:hanging="567"/>
        <w:jc w:val="left"/>
        <w:rPr>
          <w:rFonts w:eastAsiaTheme="majorEastAsia"/>
          <w:bCs w:val="0"/>
          <w:iCs w:val="0"/>
          <w:color w:val="000000" w:themeColor="text1"/>
        </w:rPr>
      </w:pPr>
      <w:bookmarkStart w:id="26" w:name="_Toc469396744"/>
      <w:bookmarkStart w:id="27" w:name="_Toc3478366"/>
      <w:bookmarkStart w:id="28" w:name="_Toc11956251"/>
      <w:r w:rsidRPr="000E1B7E">
        <w:rPr>
          <w:rFonts w:eastAsiaTheme="majorEastAsia"/>
          <w:bCs w:val="0"/>
          <w:iCs w:val="0"/>
          <w:color w:val="000000" w:themeColor="text1"/>
        </w:rPr>
        <w:t>Uganda’s Macroeconomic Policy/Vision</w:t>
      </w:r>
      <w:bookmarkEnd w:id="26"/>
      <w:bookmarkEnd w:id="27"/>
      <w:bookmarkEnd w:id="28"/>
    </w:p>
    <w:p w14:paraId="66646EA9" w14:textId="77777777" w:rsidR="004217BA" w:rsidRPr="000E1B7E" w:rsidRDefault="004217BA" w:rsidP="00F85D24">
      <w:pPr>
        <w:pStyle w:val="DeltaBodytext"/>
        <w:numPr>
          <w:ilvl w:val="0"/>
          <w:numId w:val="26"/>
        </w:numPr>
        <w:spacing w:line="360" w:lineRule="auto"/>
        <w:ind w:left="567" w:hanging="567"/>
        <w:rPr>
          <w:rFonts w:ascii="Times New Roman" w:hAnsi="Times New Roman"/>
        </w:rPr>
      </w:pPr>
      <w:r w:rsidRPr="000E1B7E">
        <w:rPr>
          <w:rFonts w:ascii="Times New Roman" w:hAnsi="Times New Roman"/>
          <w:sz w:val="24"/>
          <w:szCs w:val="24"/>
        </w:rPr>
        <w:t>The over-riding aim of Uganda’s economic policy is sustained economic growth and transformation from a least developed country (LDC) to a middle income country. Within this framework, the Vision 2040</w:t>
      </w:r>
      <w:r w:rsidRPr="000E1B7E">
        <w:rPr>
          <w:rFonts w:ascii="Times New Roman" w:hAnsi="Times New Roman"/>
          <w:sz w:val="24"/>
          <w:szCs w:val="24"/>
        </w:rPr>
        <w:footnoteReference w:id="1"/>
      </w:r>
      <w:r w:rsidRPr="000E1B7E">
        <w:rPr>
          <w:rFonts w:ascii="Times New Roman" w:hAnsi="Times New Roman"/>
          <w:sz w:val="24"/>
          <w:szCs w:val="24"/>
        </w:rPr>
        <w:t xml:space="preserve"> has been formulated as a long-term development planning framework. Uganda Vision 2040 provides development paths and strategies to operationalise Uganda’s Vision statement which is</w:t>
      </w:r>
      <w:r w:rsidRPr="000E1B7E">
        <w:rPr>
          <w:rFonts w:ascii="Times New Roman" w:hAnsi="Times New Roman"/>
          <w:bCs/>
          <w:i/>
          <w:sz w:val="24"/>
          <w:szCs w:val="24"/>
        </w:rPr>
        <w:t xml:space="preserve">“A Transformed Ugandan Society from a Peasant to a Modern and Prosperous Country within 30 years”. </w:t>
      </w:r>
      <w:r w:rsidRPr="000E1B7E">
        <w:rPr>
          <w:rFonts w:ascii="Times New Roman" w:hAnsi="Times New Roman"/>
          <w:sz w:val="24"/>
          <w:szCs w:val="24"/>
        </w:rPr>
        <w:t>The Vision 2040 is conceptualized around strengthening the fundamentals of the economy to harness the abundant opportunities within and outside the country, including her geographical location and trade that are to date considerably under-exploited.</w:t>
      </w:r>
    </w:p>
    <w:p w14:paraId="35F64122"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Vision 2040 identifies nine specific opportunities: oil and gas, tourism, minerals, ICT business, abundant labour force, geographical location and trade, water resources, </w:t>
      </w:r>
      <w:r w:rsidRPr="000E1B7E">
        <w:rPr>
          <w:rFonts w:ascii="Times New Roman" w:hAnsi="Times New Roman"/>
          <w:sz w:val="24"/>
          <w:szCs w:val="24"/>
        </w:rPr>
        <w:lastRenderedPageBreak/>
        <w:t xml:space="preserve">industrialization, and agriculture. On the other hand, the fundamentals include: infrastructure for (energy, transport, water, oil and gas and ICT); science, technology, engineering and innovation; land; urban development; human resource; and peace, security and defence. </w:t>
      </w:r>
    </w:p>
    <w:p w14:paraId="432D72DE"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Vision 2040 strategy adopts a quasi-market approach, which includes a mix of Government investments in strategic areas and private sector market-driven actions. Government has committed to promote and encourage Public-Private Partnerships (PPPs) in a rational manner, and invest in areas of strategic and national interest with potential to stimulate the establishment of secondary and tertiary industries. Some of these industries require large amounts of capital, have high risks and long turn-around times, and may thus be less attractive to the private sector alone; the involvement of Government through PPPs can potentially help to mitigate some of these disadvantages. In addition, the Government will continue to pursue outward-oriented policies by encouraging inward foreign investment,and exports with high value addition, as well as pursuing sound macroeconomic policy and management.</w:t>
      </w:r>
    </w:p>
    <w:p w14:paraId="419C8D5C"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Government is committed to exploiting Uganda’s location to develop it into a regional hub for industrial production, trade and transit, and air transport. To exploit these opportunities, Government has undertaken to invest in integrated state of the art infrastructure development and maintenance in the areas of energy generation, road and railway infrastructure connecting to all major border points. This will be achieved in partnership with the neighbouring countries, South Sudan, Kenya, DRC, Rwanda and Tanzania. The Vision 2040 is operationalised through five year NDPs and Sector Development Plans. As such, NDPs each of 5 years are envisaged to support the transformation of Uganda’s economy from a low-income, subsistence agriculture baseto a diversified, prosperous country within 30 years. At the moment Uganda has gone through NDP1 for the period 2010/11 to 2014/15, while NDP11 to be implemented over 2015/16 to 2019/20has just entered its fourth year of implementation. </w:t>
      </w:r>
    </w:p>
    <w:p w14:paraId="2DE7CCAD"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Specifically NDP I sought to: 1) increase per capita income to US$ 850; 2) enhance labour productivity; and 3) improve human development outcomes. NDP11 seeks to consolidate the achievements of NDPIand to secure Uganda’s transition to a middle income economy by 2020. NDP II seeks to achieve the following objectives: 1) increasesustainable production, productivity and value addition in key growth </w:t>
      </w:r>
      <w:r w:rsidRPr="000E1B7E">
        <w:rPr>
          <w:rFonts w:ascii="Times New Roman" w:hAnsi="Times New Roman"/>
          <w:sz w:val="24"/>
          <w:szCs w:val="24"/>
        </w:rPr>
        <w:lastRenderedPageBreak/>
        <w:t>opportunities; 2) increasethe stock and quality of strategic infrastructure to accelerate the country’s competitiveness; 3) enhancehuman capital development; and 4) strengthen mechanisms for quality, effective and efficient service delivery. Achieving the aforementioned objectives will involve the following strategies: 1) sustaining peace and security; 2) prudential macro-economic management with fiscal expansion for frontloading infrastructure investments; 3) industrialization and export-oriented growth through value addition, agro-processing, mineral beneficiation, and selected heavy and light manufacturing; 4) employment creation through fast-tracking skills development and harnessing the demographic dividend; 5) appropriate PPPs for sustainable development; 6) continued support for private sector development within a quasi-market approach; and 7) strengthening governance mechanisms and structures.</w:t>
      </w:r>
    </w:p>
    <w:p w14:paraId="30A3E2EA"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NDP II is the second in a series of six five-year Plans aimed at achieving the Uganda Vision 2040. The goal of this Plan is to propel the country towards middle income status by 2020 through strengthening the country’s competitiveness for sustainable wealth creation, employment and inclusive growth. In propelling Uganda’s transition to a middle-income economy, NDP II focuses on reducing the infrastructure deficit while at the same time leveraging on human capital development gains made during NDP I. It is expected that strategic infrastructure investments such as the 1) standard gauge railway (SGR); 2) oil refinery; 3) energy generation and transmission; 4) ICT; 5) roads; 6) water; and 6) improving facilities for air transport will go a long way in enhancing Uganda’s competitiveness. With regard to development opportunities, NDP II will focus on agriculture, tourism and mining andoil and gas. It is expected that investment in infrastructure and development opportunities will be across the entire value chains while leveraging from sectoral linkages and ensuring efficiency in resource utilization. With respect to fiscal policy, NDP II effort will be targeted towards maintaining macroeconomic stability while at the same time positioning Uganda competitively to leverage from the EAC Common Market.</w:t>
      </w:r>
    </w:p>
    <w:p w14:paraId="1A44EB39" w14:textId="77777777" w:rsidR="004217BA" w:rsidRPr="000E1B7E" w:rsidRDefault="004217BA" w:rsidP="00F85D24">
      <w:pPr>
        <w:pStyle w:val="Heading2"/>
        <w:keepLines/>
        <w:numPr>
          <w:ilvl w:val="1"/>
          <w:numId w:val="23"/>
        </w:numPr>
        <w:spacing w:line="240" w:lineRule="auto"/>
        <w:ind w:left="567" w:hanging="567"/>
        <w:jc w:val="left"/>
        <w:rPr>
          <w:rFonts w:eastAsiaTheme="majorEastAsia"/>
          <w:bCs w:val="0"/>
          <w:iCs w:val="0"/>
          <w:color w:val="000000" w:themeColor="text1"/>
        </w:rPr>
      </w:pPr>
      <w:bookmarkStart w:id="29" w:name="ministers"/>
      <w:bookmarkStart w:id="30" w:name="_Toc446709831"/>
      <w:bookmarkStart w:id="31" w:name="_Toc446710020"/>
      <w:bookmarkStart w:id="32" w:name="_Toc469396726"/>
      <w:bookmarkStart w:id="33" w:name="_Toc3478367"/>
      <w:bookmarkStart w:id="34" w:name="_Toc11956252"/>
      <w:bookmarkStart w:id="35" w:name="_Toc357608135"/>
      <w:bookmarkEnd w:id="29"/>
      <w:r w:rsidRPr="000E1B7E">
        <w:rPr>
          <w:rFonts w:eastAsiaTheme="majorEastAsia"/>
          <w:bCs w:val="0"/>
          <w:iCs w:val="0"/>
          <w:color w:val="000000" w:themeColor="text1"/>
        </w:rPr>
        <w:t>Purpose and Scope of the Economic Management Thematic Area</w:t>
      </w:r>
      <w:bookmarkEnd w:id="30"/>
      <w:bookmarkEnd w:id="31"/>
      <w:bookmarkEnd w:id="32"/>
      <w:r w:rsidRPr="000E1B7E">
        <w:rPr>
          <w:rFonts w:eastAsiaTheme="majorEastAsia"/>
          <w:bCs w:val="0"/>
          <w:iCs w:val="0"/>
          <w:color w:val="000000" w:themeColor="text1"/>
        </w:rPr>
        <w:t xml:space="preserve"> MTR</w:t>
      </w:r>
      <w:bookmarkEnd w:id="33"/>
      <w:bookmarkEnd w:id="34"/>
    </w:p>
    <w:p w14:paraId="6100B6BB"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purpose of the NDP II MTR on the economic management thematic area is to assess the progress made against set objectives and results, identify challenges and emerging issues and recommend specific actions to address them in the remaining period of NDP II and for the design of NDP III. It includes details of policy actions undertaken as per </w:t>
      </w:r>
      <w:r w:rsidRPr="000E1B7E">
        <w:rPr>
          <w:rFonts w:ascii="Times New Roman" w:hAnsi="Times New Roman"/>
          <w:sz w:val="24"/>
          <w:szCs w:val="24"/>
        </w:rPr>
        <w:lastRenderedPageBreak/>
        <w:t xml:space="preserve">commitments in the NDP II, economic performance outcomes, and identifies where policy commitments have been met or not. </w:t>
      </w:r>
    </w:p>
    <w:p w14:paraId="736F19A5"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thematic report is aimed at generating information and documenting progress in implementing Uganda’s national economic vision. The MTR assessment focuses on the efficiency and efficacy of the national economic governance and management framework in terms of enhancing opportunities and poverty reduction for the ordinary citizen’s welfare.</w:t>
      </w:r>
    </w:p>
    <w:p w14:paraId="0837B67F"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MTR assessment of the NDP II economic management thematic area covers four broad areas, namely:</w:t>
      </w:r>
    </w:p>
    <w:p w14:paraId="5C60DACF" w14:textId="77777777" w:rsidR="004217BA" w:rsidRPr="000E1B7E" w:rsidRDefault="004217BA" w:rsidP="004217BA">
      <w:pPr>
        <w:pStyle w:val="DeltaBodytext"/>
        <w:numPr>
          <w:ilvl w:val="0"/>
          <w:numId w:val="9"/>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Real Economy: this involves documentation of Uganda’s economic growth, including analysis of the contribution of key sectors of the economy, and drivers of the growth.</w:t>
      </w:r>
    </w:p>
    <w:p w14:paraId="0AB72BA4" w14:textId="77777777" w:rsidR="004217BA" w:rsidRPr="000E1B7E" w:rsidRDefault="004217BA" w:rsidP="004217BA">
      <w:pPr>
        <w:pStyle w:val="DeltaBodytext"/>
        <w:numPr>
          <w:ilvl w:val="0"/>
          <w:numId w:val="9"/>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 xml:space="preserve">Fiscal Sector Performance:assessment of fiscal policies of the NDP period and its performance in terms of tax revenue, NDP II funding  and government expenditure, </w:t>
      </w:r>
    </w:p>
    <w:p w14:paraId="3011F065" w14:textId="77777777" w:rsidR="004217BA" w:rsidRPr="000E1B7E" w:rsidRDefault="004217BA" w:rsidP="004217BA">
      <w:pPr>
        <w:pStyle w:val="DeltaBodytext"/>
        <w:numPr>
          <w:ilvl w:val="0"/>
          <w:numId w:val="9"/>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 xml:space="preserve">Monetary Sector Performance:assessment of the monetary sector, including progress with achieving key monetary sector targets of macroeconomic stability in terms of inflation, exchange rates, credit to the private sector and money supply. </w:t>
      </w:r>
    </w:p>
    <w:p w14:paraId="3B4026E9" w14:textId="77777777" w:rsidR="004217BA" w:rsidRPr="000E1B7E" w:rsidRDefault="004217BA" w:rsidP="004217BA">
      <w:pPr>
        <w:pStyle w:val="DeltaBodytext"/>
        <w:numPr>
          <w:ilvl w:val="0"/>
          <w:numId w:val="9"/>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 xml:space="preserve">External Sector Performance: assessment of the performance of the external sector in terms of trade (exports and imports of goods and services), and external funding on NDP II priorities through debt and other instruments. </w:t>
      </w:r>
    </w:p>
    <w:p w14:paraId="272198C8" w14:textId="77777777" w:rsidR="004217BA" w:rsidRPr="000E1B7E" w:rsidRDefault="004217BA" w:rsidP="004217BA">
      <w:pPr>
        <w:pStyle w:val="DeltaBodytext"/>
        <w:spacing w:after="0" w:line="240" w:lineRule="auto"/>
        <w:ind w:left="720"/>
        <w:contextualSpacing/>
        <w:rPr>
          <w:rFonts w:ascii="Times New Roman" w:hAnsi="Times New Roman"/>
        </w:rPr>
      </w:pPr>
    </w:p>
    <w:p w14:paraId="4EEEE5DB" w14:textId="77777777" w:rsidR="004217BA" w:rsidRPr="000E1B7E" w:rsidRDefault="004217BA" w:rsidP="00F85D24">
      <w:pPr>
        <w:pStyle w:val="Heading2"/>
        <w:keepLines/>
        <w:numPr>
          <w:ilvl w:val="1"/>
          <w:numId w:val="23"/>
        </w:numPr>
        <w:spacing w:line="240" w:lineRule="auto"/>
        <w:ind w:left="567" w:hanging="567"/>
        <w:jc w:val="left"/>
        <w:rPr>
          <w:rFonts w:eastAsiaTheme="majorEastAsia"/>
          <w:bCs w:val="0"/>
          <w:iCs w:val="0"/>
          <w:color w:val="000000" w:themeColor="text1"/>
        </w:rPr>
      </w:pPr>
      <w:bookmarkStart w:id="36" w:name="_Toc469396730"/>
      <w:bookmarkStart w:id="37" w:name="_Toc3478368"/>
      <w:bookmarkStart w:id="38" w:name="_Toc11956253"/>
      <w:r w:rsidRPr="000E1B7E">
        <w:rPr>
          <w:rFonts w:eastAsiaTheme="majorEastAsia"/>
          <w:bCs w:val="0"/>
          <w:iCs w:val="0"/>
          <w:color w:val="000000" w:themeColor="text1"/>
        </w:rPr>
        <w:t>Approach to the Economic Management MTR</w:t>
      </w:r>
      <w:bookmarkEnd w:id="36"/>
      <w:bookmarkEnd w:id="37"/>
      <w:bookmarkEnd w:id="38"/>
    </w:p>
    <w:p w14:paraId="3DF4DB0D"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MTR of the economic management thematic area has mainly relied on desk review and analysis of official statistics and published reports of the Government Ministries Departments and Agencies (MDAs), especially the Uganda Bureau of Statistics (UBOS), Bank of Uganda (BOU) and the Ministry of Finance Planning and Economic Development (MfPED). The following process was followed in preparing this report:</w:t>
      </w:r>
    </w:p>
    <w:p w14:paraId="7584490D" w14:textId="77777777" w:rsidR="004217BA" w:rsidRPr="000E1B7E" w:rsidRDefault="004217BA" w:rsidP="00F85D24">
      <w:pPr>
        <w:pStyle w:val="DeltaBodytext"/>
        <w:numPr>
          <w:ilvl w:val="0"/>
          <w:numId w:val="24"/>
        </w:numPr>
        <w:spacing w:line="360" w:lineRule="auto"/>
        <w:ind w:left="1559" w:hanging="839"/>
        <w:rPr>
          <w:rFonts w:ascii="Times New Roman" w:hAnsi="Times New Roman"/>
          <w:sz w:val="24"/>
          <w:szCs w:val="24"/>
        </w:rPr>
      </w:pPr>
      <w:r w:rsidRPr="000E1B7E">
        <w:rPr>
          <w:rFonts w:ascii="Times New Roman" w:hAnsi="Times New Roman"/>
          <w:sz w:val="24"/>
          <w:szCs w:val="24"/>
        </w:rPr>
        <w:lastRenderedPageBreak/>
        <w:t xml:space="preserve">Review of literature on Uganda’s Economic Management framework, including the economic management strategy of NDP II, and evaluating its dynamics over the last 3-5 years. </w:t>
      </w:r>
    </w:p>
    <w:p w14:paraId="6EF374ED" w14:textId="77777777" w:rsidR="004217BA" w:rsidRPr="000E1B7E" w:rsidRDefault="004217BA" w:rsidP="00F85D24">
      <w:pPr>
        <w:pStyle w:val="DeltaBodytext"/>
        <w:numPr>
          <w:ilvl w:val="0"/>
          <w:numId w:val="24"/>
        </w:numPr>
        <w:spacing w:line="360" w:lineRule="auto"/>
        <w:ind w:left="1559" w:hanging="839"/>
        <w:rPr>
          <w:rFonts w:ascii="Times New Roman" w:hAnsi="Times New Roman"/>
          <w:sz w:val="24"/>
          <w:szCs w:val="24"/>
        </w:rPr>
      </w:pPr>
      <w:bookmarkStart w:id="39" w:name="_Toc522475199"/>
      <w:r w:rsidRPr="000E1B7E">
        <w:rPr>
          <w:rFonts w:ascii="Times New Roman" w:hAnsi="Times New Roman"/>
          <w:sz w:val="24"/>
          <w:szCs w:val="24"/>
        </w:rPr>
        <w:t xml:space="preserve">Secondary data collection </w:t>
      </w:r>
      <w:bookmarkEnd w:id="39"/>
      <w:r w:rsidRPr="000E1B7E">
        <w:rPr>
          <w:rFonts w:ascii="Times New Roman" w:hAnsi="Times New Roman"/>
          <w:sz w:val="24"/>
          <w:szCs w:val="24"/>
        </w:rPr>
        <w:t>and synthesis. Data was collected from official statistics, databases and published reports of Government and international organisations. The data sources used include UBOS, BoU, Uganda Revenue Authority (URA) reports, MFPED, and Ministry of Trade Industry and Cooperatives reports, among others.</w:t>
      </w:r>
    </w:p>
    <w:p w14:paraId="0CD99605" w14:textId="77777777" w:rsidR="004217BA" w:rsidRPr="000E1B7E" w:rsidRDefault="004217BA" w:rsidP="00F85D24">
      <w:pPr>
        <w:pStyle w:val="DeltaBodytext"/>
        <w:numPr>
          <w:ilvl w:val="0"/>
          <w:numId w:val="24"/>
        </w:numPr>
        <w:spacing w:line="360" w:lineRule="auto"/>
        <w:ind w:left="1559" w:hanging="839"/>
        <w:rPr>
          <w:rFonts w:ascii="Times New Roman" w:hAnsi="Times New Roman"/>
          <w:sz w:val="24"/>
          <w:szCs w:val="24"/>
        </w:rPr>
      </w:pPr>
      <w:r w:rsidRPr="000E1B7E">
        <w:rPr>
          <w:rFonts w:ascii="Times New Roman" w:hAnsi="Times New Roman"/>
          <w:sz w:val="24"/>
          <w:szCs w:val="24"/>
        </w:rPr>
        <w:t xml:space="preserve">Drafting the report, focusing on generating evidence and understanding of consequences of the economic management strategy as outlined in NDP II and how it has been implemented during the first three years of the NDP II. </w:t>
      </w:r>
    </w:p>
    <w:p w14:paraId="125D0347"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approach of the economic management MTR assessment is to assess the extent to which the macro-economic co-ordination that was instituted between MoFPED, NPA and BoU is supporting the macro-economic objectives and targets of the NDP II. The theme also looks broadly at the extent to which the economy has performed, the case for the current rate of performance, and if current rates of growth are sufficient to meet the NDP II targets. The assessment also interrogates the extent to which the economic management reforms were implemented, the results of these reforms and the impact they had on public expenditure management and accountability in the first three years of NDP II. </w:t>
      </w:r>
    </w:p>
    <w:p w14:paraId="15537CE2"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Consortium adopted the OECD evaluation criteria as espoused in the ToR in which we determined the extent to which the NDP I was relevant to the development context of the time; the efficiency of utilization of resources at hand; the effectiveness in delivery of its intended purpose and results; the impact felt after its implementation and the extent to which this impact was sustained under NDP II. These criteria are summarised in the table 1 below.</w:t>
      </w:r>
    </w:p>
    <w:p w14:paraId="3EEAA585" w14:textId="77777777" w:rsidR="004217BA" w:rsidRPr="000E1B7E" w:rsidRDefault="004217BA" w:rsidP="004217BA">
      <w:pPr>
        <w:widowControl w:val="0"/>
        <w:autoSpaceDE w:val="0"/>
        <w:autoSpaceDN w:val="0"/>
        <w:adjustRightInd w:val="0"/>
        <w:spacing w:line="360" w:lineRule="auto"/>
        <w:jc w:val="both"/>
        <w:rPr>
          <w:b/>
        </w:rPr>
      </w:pPr>
    </w:p>
    <w:p w14:paraId="4ADCBABB" w14:textId="77777777" w:rsidR="004217BA" w:rsidRPr="000E1B7E" w:rsidRDefault="004217BA" w:rsidP="004217BA">
      <w:pPr>
        <w:rPr>
          <w:rFonts w:eastAsia="Calibri"/>
          <w:b/>
        </w:rPr>
      </w:pPr>
      <w:r w:rsidRPr="000E1B7E">
        <w:rPr>
          <w:rFonts w:eastAsia="Calibri"/>
          <w:b/>
          <w:i/>
          <w:iCs/>
        </w:rPr>
        <w:br w:type="page"/>
      </w:r>
    </w:p>
    <w:p w14:paraId="10F4627E" w14:textId="77777777" w:rsidR="004217BA" w:rsidRPr="000E1B7E" w:rsidRDefault="004217BA" w:rsidP="004217BA">
      <w:pPr>
        <w:pStyle w:val="Caption"/>
        <w:rPr>
          <w:rFonts w:ascii="Times New Roman" w:eastAsia="Calibri" w:hAnsi="Times New Roman" w:cs="Times New Roman"/>
          <w:b/>
          <w:i w:val="0"/>
          <w:iCs w:val="0"/>
          <w:color w:val="auto"/>
          <w:sz w:val="24"/>
          <w:szCs w:val="24"/>
          <w:lang w:val="en-GB"/>
        </w:rPr>
      </w:pPr>
      <w:bookmarkStart w:id="40" w:name="_Toc3483111"/>
      <w:r w:rsidRPr="000E1B7E">
        <w:rPr>
          <w:rFonts w:ascii="Times New Roman" w:eastAsia="Calibri" w:hAnsi="Times New Roman" w:cs="Times New Roman"/>
          <w:b/>
          <w:i w:val="0"/>
          <w:iCs w:val="0"/>
          <w:color w:val="auto"/>
          <w:sz w:val="24"/>
          <w:szCs w:val="24"/>
          <w:lang w:val="en-GB"/>
        </w:rPr>
        <w:lastRenderedPageBreak/>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w:t>
      </w:r>
      <w:r w:rsidR="001232BF" w:rsidRPr="000E1B7E">
        <w:rPr>
          <w:rFonts w:ascii="Times New Roman" w:eastAsia="Calibri" w:hAnsi="Times New Roman" w:cs="Times New Roman"/>
          <w:b/>
          <w:i w:val="0"/>
          <w:iCs w:val="0"/>
          <w:color w:val="auto"/>
          <w:sz w:val="24"/>
          <w:szCs w:val="24"/>
          <w:lang w:val="en-GB"/>
        </w:rPr>
        <w:fldChar w:fldCharType="end"/>
      </w:r>
      <w:r w:rsidRPr="000E1B7E">
        <w:rPr>
          <w:rFonts w:ascii="Times New Roman" w:eastAsia="Calibri" w:hAnsi="Times New Roman" w:cs="Times New Roman"/>
          <w:b/>
          <w:i w:val="0"/>
          <w:iCs w:val="0"/>
          <w:color w:val="auto"/>
          <w:sz w:val="24"/>
          <w:szCs w:val="24"/>
          <w:lang w:val="en-GB"/>
        </w:rPr>
        <w:t>: OECD evaluation criteria</w:t>
      </w:r>
      <w:bookmarkEnd w:id="40"/>
    </w:p>
    <w:tbl>
      <w:tblPr>
        <w:tblW w:w="0" w:type="auto"/>
        <w:tblInd w:w="108" w:type="dxa"/>
        <w:tblLayout w:type="fixed"/>
        <w:tblLook w:val="0000" w:firstRow="0" w:lastRow="0" w:firstColumn="0" w:lastColumn="0" w:noHBand="0" w:noVBand="0"/>
      </w:tblPr>
      <w:tblGrid>
        <w:gridCol w:w="1980"/>
        <w:gridCol w:w="6930"/>
      </w:tblGrid>
      <w:tr w:rsidR="004217BA" w:rsidRPr="000E1B7E" w14:paraId="11383B1B" w14:textId="77777777" w:rsidTr="004217BA">
        <w:trPr>
          <w:trHeight w:val="1"/>
        </w:trPr>
        <w:tc>
          <w:tcPr>
            <w:tcW w:w="1980" w:type="dxa"/>
            <w:tcBorders>
              <w:top w:val="single" w:sz="3" w:space="0" w:color="000000"/>
              <w:left w:val="single" w:sz="3" w:space="0" w:color="000000"/>
              <w:bottom w:val="single" w:sz="3" w:space="0" w:color="000000"/>
              <w:right w:val="single" w:sz="3" w:space="0" w:color="000000"/>
            </w:tcBorders>
            <w:shd w:val="clear" w:color="auto" w:fill="806000"/>
          </w:tcPr>
          <w:p w14:paraId="0A7324FD"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b/>
                <w:bCs/>
                <w:color w:val="FFFFFF"/>
                <w:sz w:val="20"/>
                <w:szCs w:val="20"/>
              </w:rPr>
              <w:t>OECD Criterion</w:t>
            </w:r>
          </w:p>
        </w:tc>
        <w:tc>
          <w:tcPr>
            <w:tcW w:w="6930" w:type="dxa"/>
            <w:tcBorders>
              <w:top w:val="single" w:sz="3" w:space="0" w:color="000000"/>
              <w:left w:val="single" w:sz="3" w:space="0" w:color="000000"/>
              <w:bottom w:val="single" w:sz="3" w:space="0" w:color="000000"/>
              <w:right w:val="single" w:sz="3" w:space="0" w:color="000000"/>
            </w:tcBorders>
            <w:shd w:val="clear" w:color="auto" w:fill="806000"/>
          </w:tcPr>
          <w:p w14:paraId="7E5EADA3"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b/>
                <w:bCs/>
                <w:color w:val="FFFFFF"/>
                <w:sz w:val="20"/>
                <w:szCs w:val="20"/>
              </w:rPr>
              <w:t>Overall Evaluation Questions</w:t>
            </w:r>
          </w:p>
        </w:tc>
      </w:tr>
      <w:tr w:rsidR="004217BA" w:rsidRPr="000E1B7E" w14:paraId="3F77E513" w14:textId="77777777" w:rsidTr="004217BA">
        <w:trPr>
          <w:trHeight w:val="1"/>
        </w:trPr>
        <w:tc>
          <w:tcPr>
            <w:tcW w:w="1980" w:type="dxa"/>
            <w:tcBorders>
              <w:top w:val="single" w:sz="3" w:space="0" w:color="000000"/>
              <w:left w:val="single" w:sz="3" w:space="0" w:color="000000"/>
              <w:bottom w:val="single" w:sz="3" w:space="0" w:color="000000"/>
              <w:right w:val="single" w:sz="3" w:space="0" w:color="000000"/>
            </w:tcBorders>
            <w:shd w:val="clear" w:color="auto" w:fill="FFF2CC"/>
          </w:tcPr>
          <w:p w14:paraId="35403C12"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b/>
                <w:bCs/>
                <w:sz w:val="20"/>
                <w:szCs w:val="20"/>
              </w:rPr>
              <w:t>Relevance</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14:paraId="7C4D6064"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sz w:val="20"/>
                <w:szCs w:val="20"/>
              </w:rPr>
              <w:t xml:space="preserve">Is the NDP II design well-conceived given the social, economic and political situation? Is it relevant and appropriate in addressing the country’s development challenges? To what extent is it contributing to directing the strategic direction of the Government and its partners? </w:t>
            </w:r>
          </w:p>
        </w:tc>
      </w:tr>
      <w:tr w:rsidR="004217BA" w:rsidRPr="000E1B7E" w14:paraId="4228EB43" w14:textId="77777777" w:rsidTr="004217BA">
        <w:trPr>
          <w:trHeight w:val="1"/>
        </w:trPr>
        <w:tc>
          <w:tcPr>
            <w:tcW w:w="1980" w:type="dxa"/>
            <w:tcBorders>
              <w:top w:val="single" w:sz="3" w:space="0" w:color="000000"/>
              <w:left w:val="single" w:sz="3" w:space="0" w:color="000000"/>
              <w:bottom w:val="single" w:sz="3" w:space="0" w:color="000000"/>
              <w:right w:val="single" w:sz="3" w:space="0" w:color="000000"/>
            </w:tcBorders>
            <w:shd w:val="clear" w:color="auto" w:fill="FFF2CC"/>
          </w:tcPr>
          <w:p w14:paraId="759BD068"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b/>
                <w:bCs/>
                <w:sz w:val="20"/>
                <w:szCs w:val="20"/>
              </w:rPr>
              <w:t>Effectiveness</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14:paraId="7597230F"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sz w:val="20"/>
                <w:szCs w:val="20"/>
              </w:rPr>
              <w:t>What is the level of achievement of planned NDP II development outcomes? What are the reasons for the state of achievement? What support and barriers have affected achievement of development results?</w:t>
            </w:r>
          </w:p>
        </w:tc>
      </w:tr>
      <w:tr w:rsidR="004217BA" w:rsidRPr="000E1B7E" w14:paraId="3A484FEF" w14:textId="77777777" w:rsidTr="004217BA">
        <w:trPr>
          <w:trHeight w:val="1"/>
        </w:trPr>
        <w:tc>
          <w:tcPr>
            <w:tcW w:w="1980" w:type="dxa"/>
            <w:tcBorders>
              <w:top w:val="single" w:sz="3" w:space="0" w:color="000000"/>
              <w:left w:val="single" w:sz="3" w:space="0" w:color="000000"/>
              <w:bottom w:val="single" w:sz="3" w:space="0" w:color="000000"/>
              <w:right w:val="single" w:sz="3" w:space="0" w:color="000000"/>
            </w:tcBorders>
            <w:shd w:val="clear" w:color="auto" w:fill="FFF2CC"/>
          </w:tcPr>
          <w:p w14:paraId="36D64A13"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b/>
                <w:bCs/>
                <w:sz w:val="20"/>
                <w:szCs w:val="20"/>
              </w:rPr>
              <w:t>Efficiency</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14:paraId="55E4817C"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sz w:val="20"/>
                <w:szCs w:val="20"/>
              </w:rPr>
              <w:t>Is NDP II delivering development outcomes in a timely and cost effective manner? Do the results (quantitatively and qualitatively) justify the resources expended?</w:t>
            </w:r>
          </w:p>
        </w:tc>
      </w:tr>
      <w:tr w:rsidR="004217BA" w:rsidRPr="000E1B7E" w14:paraId="5711F9FC" w14:textId="77777777" w:rsidTr="004217BA">
        <w:trPr>
          <w:trHeight w:val="1"/>
        </w:trPr>
        <w:tc>
          <w:tcPr>
            <w:tcW w:w="1980" w:type="dxa"/>
            <w:tcBorders>
              <w:top w:val="single" w:sz="3" w:space="0" w:color="000000"/>
              <w:left w:val="single" w:sz="3" w:space="0" w:color="000000"/>
              <w:bottom w:val="single" w:sz="3" w:space="0" w:color="000000"/>
              <w:right w:val="single" w:sz="3" w:space="0" w:color="000000"/>
            </w:tcBorders>
            <w:shd w:val="clear" w:color="auto" w:fill="FFF2CC"/>
          </w:tcPr>
          <w:p w14:paraId="032F4E28"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b/>
                <w:bCs/>
                <w:sz w:val="20"/>
                <w:szCs w:val="20"/>
              </w:rPr>
              <w:t>Impact</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14:paraId="48D60F33"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sz w:val="20"/>
                <w:szCs w:val="20"/>
              </w:rPr>
              <w:t xml:space="preserve">To what extent is NDP II contributing to the National Vision 2040 outcome targets and goals? Are there unanticipated positive and negative consequences? </w:t>
            </w:r>
          </w:p>
        </w:tc>
      </w:tr>
      <w:tr w:rsidR="004217BA" w:rsidRPr="000E1B7E" w14:paraId="204B6631" w14:textId="77777777" w:rsidTr="004217BA">
        <w:trPr>
          <w:trHeight w:val="1"/>
        </w:trPr>
        <w:tc>
          <w:tcPr>
            <w:tcW w:w="1980" w:type="dxa"/>
            <w:tcBorders>
              <w:top w:val="single" w:sz="3" w:space="0" w:color="000000"/>
              <w:left w:val="single" w:sz="3" w:space="0" w:color="000000"/>
              <w:bottom w:val="single" w:sz="3" w:space="0" w:color="000000"/>
              <w:right w:val="single" w:sz="3" w:space="0" w:color="000000"/>
            </w:tcBorders>
            <w:shd w:val="clear" w:color="auto" w:fill="FFF2CC"/>
          </w:tcPr>
          <w:p w14:paraId="67B01CF3"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b/>
                <w:bCs/>
                <w:sz w:val="20"/>
                <w:szCs w:val="20"/>
              </w:rPr>
              <w:t>Sustainability</w:t>
            </w:r>
          </w:p>
        </w:tc>
        <w:tc>
          <w:tcPr>
            <w:tcW w:w="6930" w:type="dxa"/>
            <w:tcBorders>
              <w:top w:val="single" w:sz="3" w:space="0" w:color="000000"/>
              <w:left w:val="single" w:sz="3" w:space="0" w:color="000000"/>
              <w:bottom w:val="single" w:sz="3" w:space="0" w:color="000000"/>
              <w:right w:val="single" w:sz="3" w:space="0" w:color="000000"/>
            </w:tcBorders>
            <w:shd w:val="clear" w:color="000000" w:fill="FFFFFF"/>
          </w:tcPr>
          <w:p w14:paraId="6A537F66" w14:textId="77777777" w:rsidR="004217BA" w:rsidRPr="000E1B7E" w:rsidRDefault="004217BA" w:rsidP="004217BA">
            <w:pPr>
              <w:widowControl w:val="0"/>
              <w:autoSpaceDE w:val="0"/>
              <w:autoSpaceDN w:val="0"/>
              <w:adjustRightInd w:val="0"/>
              <w:spacing w:line="360" w:lineRule="auto"/>
              <w:jc w:val="both"/>
              <w:rPr>
                <w:sz w:val="20"/>
                <w:szCs w:val="20"/>
              </w:rPr>
            </w:pPr>
            <w:r w:rsidRPr="000E1B7E">
              <w:rPr>
                <w:sz w:val="20"/>
                <w:szCs w:val="20"/>
              </w:rPr>
              <w:t xml:space="preserve">Is there an enabling environment that support on-going positive impacts? Can the positive outcomes and impacts be sustained for achievement of middle-income status and Vision 2040? </w:t>
            </w:r>
          </w:p>
        </w:tc>
      </w:tr>
    </w:tbl>
    <w:p w14:paraId="079C1C21" w14:textId="77777777" w:rsidR="004217BA" w:rsidRPr="000E1B7E" w:rsidRDefault="004217BA" w:rsidP="004217BA">
      <w:pPr>
        <w:widowControl w:val="0"/>
        <w:autoSpaceDE w:val="0"/>
        <w:autoSpaceDN w:val="0"/>
        <w:adjustRightInd w:val="0"/>
        <w:jc w:val="both"/>
      </w:pPr>
    </w:p>
    <w:p w14:paraId="0AEFC58E"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Within the above are the overarching evaluation questions, the economic management thematic report followed the following review questions:</w:t>
      </w:r>
    </w:p>
    <w:tbl>
      <w:tblPr>
        <w:tblStyle w:val="LightGrid1"/>
        <w:tblW w:w="0" w:type="auto"/>
        <w:tblLook w:val="04A0" w:firstRow="1" w:lastRow="0" w:firstColumn="1" w:lastColumn="0" w:noHBand="0" w:noVBand="1"/>
      </w:tblPr>
      <w:tblGrid>
        <w:gridCol w:w="824"/>
        <w:gridCol w:w="8182"/>
      </w:tblGrid>
      <w:tr w:rsidR="004217BA" w:rsidRPr="000E1B7E" w14:paraId="15307AB0" w14:textId="77777777" w:rsidTr="004217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2B7A8877"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EM1</w:t>
            </w:r>
          </w:p>
        </w:tc>
        <w:tc>
          <w:tcPr>
            <w:tcW w:w="8415" w:type="dxa"/>
          </w:tcPr>
          <w:p w14:paraId="16D219B2" w14:textId="77777777" w:rsidR="004217BA" w:rsidRPr="000E1B7E" w:rsidRDefault="004217BA" w:rsidP="004217BA">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E1B7E">
              <w:rPr>
                <w:rFonts w:ascii="Times New Roman" w:hAnsi="Times New Roman" w:cs="Times New Roman"/>
                <w:b w:val="0"/>
                <w:sz w:val="20"/>
                <w:szCs w:val="20"/>
              </w:rPr>
              <w:t>Are we on track to achieve the macro-economic objectives/targets articulated in NDPII?</w:t>
            </w:r>
          </w:p>
        </w:tc>
      </w:tr>
      <w:tr w:rsidR="004217BA" w:rsidRPr="000E1B7E" w14:paraId="6D068E43" w14:textId="77777777" w:rsidTr="0042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FDF6E2D"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EM2</w:t>
            </w:r>
          </w:p>
        </w:tc>
        <w:tc>
          <w:tcPr>
            <w:tcW w:w="8415" w:type="dxa"/>
          </w:tcPr>
          <w:p w14:paraId="3992B60D" w14:textId="77777777" w:rsidR="004217BA" w:rsidRPr="000E1B7E" w:rsidRDefault="004217BA" w:rsidP="00F85D24">
            <w:pPr>
              <w:pStyle w:val="ListParagraph"/>
              <w:numPr>
                <w:ilvl w:val="0"/>
                <w:numId w:val="25"/>
              </w:num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1B7E">
              <w:rPr>
                <w:rFonts w:ascii="Times New Roman" w:hAnsi="Times New Roman"/>
                <w:sz w:val="20"/>
                <w:szCs w:val="20"/>
              </w:rPr>
              <w:t xml:space="preserve">The extent to which the NDPII macro-economic framework has strengthened the country’s competitiveness for sustainable wealth creation, employment  and inclusive growth </w:t>
            </w:r>
          </w:p>
          <w:p w14:paraId="4C5ED462" w14:textId="77777777" w:rsidR="004217BA" w:rsidRPr="000E1B7E" w:rsidRDefault="004217BA" w:rsidP="00F85D24">
            <w:pPr>
              <w:pStyle w:val="ListParagraph"/>
              <w:numPr>
                <w:ilvl w:val="0"/>
                <w:numId w:val="25"/>
              </w:numPr>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0E1B7E">
              <w:rPr>
                <w:rFonts w:ascii="Times New Roman" w:hAnsi="Times New Roman"/>
                <w:sz w:val="20"/>
                <w:szCs w:val="20"/>
              </w:rPr>
              <w:t>How has the NDP influenced macro-economic strategy and related reforms in Uganda?</w:t>
            </w:r>
          </w:p>
        </w:tc>
      </w:tr>
      <w:tr w:rsidR="004217BA" w:rsidRPr="000E1B7E" w14:paraId="1A3B98E9" w14:textId="77777777" w:rsidTr="00421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2F8C984D"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EM3</w:t>
            </w:r>
          </w:p>
        </w:tc>
        <w:tc>
          <w:tcPr>
            <w:tcW w:w="8415" w:type="dxa"/>
          </w:tcPr>
          <w:p w14:paraId="3FBB9478" w14:textId="77777777" w:rsidR="004217BA" w:rsidRPr="000E1B7E" w:rsidRDefault="004217BA" w:rsidP="004217BA">
            <w:pPr>
              <w:spacing w:after="120"/>
              <w:jc w:val="both"/>
              <w:cnfStyle w:val="000000010000" w:firstRow="0" w:lastRow="0" w:firstColumn="0" w:lastColumn="0" w:oddVBand="0" w:evenVBand="0" w:oddHBand="0" w:evenHBand="1" w:firstRowFirstColumn="0" w:firstRowLastColumn="0" w:lastRowFirstColumn="0" w:lastRowLastColumn="0"/>
              <w:rPr>
                <w:sz w:val="20"/>
                <w:szCs w:val="20"/>
              </w:rPr>
            </w:pPr>
            <w:r w:rsidRPr="000E1B7E">
              <w:rPr>
                <w:sz w:val="20"/>
                <w:szCs w:val="20"/>
              </w:rPr>
              <w:t>Extent of pursuance of macro-economic stability with fiscal expansion for frontloading  infrastructure investments and industrialization</w:t>
            </w:r>
          </w:p>
        </w:tc>
      </w:tr>
      <w:tr w:rsidR="004217BA" w:rsidRPr="000E1B7E" w14:paraId="7C9CC17F" w14:textId="77777777" w:rsidTr="0042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B65E9E6"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EM4</w:t>
            </w:r>
          </w:p>
        </w:tc>
        <w:tc>
          <w:tcPr>
            <w:tcW w:w="8415" w:type="dxa"/>
          </w:tcPr>
          <w:p w14:paraId="0FCB12CB" w14:textId="77777777" w:rsidR="004217BA" w:rsidRPr="000E1B7E" w:rsidRDefault="004217BA" w:rsidP="004217BA">
            <w:pPr>
              <w:spacing w:after="120"/>
              <w:jc w:val="both"/>
              <w:cnfStyle w:val="000000100000" w:firstRow="0" w:lastRow="0" w:firstColumn="0" w:lastColumn="0" w:oddVBand="0" w:evenVBand="0" w:oddHBand="1" w:evenHBand="0" w:firstRowFirstColumn="0" w:firstRowLastColumn="0" w:lastRowFirstColumn="0" w:lastRowLastColumn="0"/>
              <w:rPr>
                <w:sz w:val="20"/>
                <w:szCs w:val="20"/>
              </w:rPr>
            </w:pPr>
            <w:r w:rsidRPr="000E1B7E">
              <w:rPr>
                <w:sz w:val="20"/>
                <w:szCs w:val="20"/>
              </w:rPr>
              <w:t>To what extent have reforms in economic management been guided by NDPII</w:t>
            </w:r>
          </w:p>
        </w:tc>
      </w:tr>
      <w:tr w:rsidR="004217BA" w:rsidRPr="000E1B7E" w14:paraId="7C075326" w14:textId="77777777" w:rsidTr="00421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24B8177B"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EM5</w:t>
            </w:r>
          </w:p>
        </w:tc>
        <w:tc>
          <w:tcPr>
            <w:tcW w:w="8415" w:type="dxa"/>
          </w:tcPr>
          <w:p w14:paraId="4569845A" w14:textId="77777777" w:rsidR="004217BA" w:rsidRPr="000E1B7E" w:rsidRDefault="004217BA" w:rsidP="004217BA">
            <w:pPr>
              <w:spacing w:after="120"/>
              <w:jc w:val="both"/>
              <w:cnfStyle w:val="000000010000" w:firstRow="0" w:lastRow="0" w:firstColumn="0" w:lastColumn="0" w:oddVBand="0" w:evenVBand="0" w:oddHBand="0" w:evenHBand="1" w:firstRowFirstColumn="0" w:firstRowLastColumn="0" w:lastRowFirstColumn="0" w:lastRowLastColumn="0"/>
              <w:rPr>
                <w:sz w:val="20"/>
                <w:szCs w:val="20"/>
              </w:rPr>
            </w:pPr>
            <w:r w:rsidRPr="000E1B7E">
              <w:rPr>
                <w:sz w:val="20"/>
                <w:szCs w:val="20"/>
              </w:rPr>
              <w:t>To what extent have NDPII priorities been effectively budgeted for and financed</w:t>
            </w:r>
          </w:p>
        </w:tc>
      </w:tr>
      <w:tr w:rsidR="004217BA" w:rsidRPr="000E1B7E" w14:paraId="4AC29F77" w14:textId="77777777" w:rsidTr="0042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400DCC92"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EM6</w:t>
            </w:r>
          </w:p>
        </w:tc>
        <w:tc>
          <w:tcPr>
            <w:tcW w:w="8415" w:type="dxa"/>
          </w:tcPr>
          <w:p w14:paraId="6C6DC8F0" w14:textId="77777777" w:rsidR="004217BA" w:rsidRPr="000E1B7E" w:rsidRDefault="004217BA" w:rsidP="004217BA">
            <w:pPr>
              <w:spacing w:after="120"/>
              <w:jc w:val="both"/>
              <w:cnfStyle w:val="000000100000" w:firstRow="0" w:lastRow="0" w:firstColumn="0" w:lastColumn="0" w:oddVBand="0" w:evenVBand="0" w:oddHBand="1" w:evenHBand="0" w:firstRowFirstColumn="0" w:firstRowLastColumn="0" w:lastRowFirstColumn="0" w:lastRowLastColumn="0"/>
              <w:rPr>
                <w:sz w:val="20"/>
                <w:szCs w:val="20"/>
              </w:rPr>
            </w:pPr>
            <w:r w:rsidRPr="000E1B7E">
              <w:rPr>
                <w:sz w:val="20"/>
                <w:szCs w:val="20"/>
              </w:rPr>
              <w:t>To what extent has the NDPII focus areas been adopted as priorities for implementation</w:t>
            </w:r>
          </w:p>
        </w:tc>
      </w:tr>
      <w:tr w:rsidR="004217BA" w:rsidRPr="000E1B7E" w14:paraId="6B38C8C1" w14:textId="77777777" w:rsidTr="00421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276C70DF"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EM7</w:t>
            </w:r>
          </w:p>
        </w:tc>
        <w:tc>
          <w:tcPr>
            <w:tcW w:w="8415" w:type="dxa"/>
          </w:tcPr>
          <w:p w14:paraId="0632F049" w14:textId="77777777" w:rsidR="004217BA" w:rsidRPr="000E1B7E" w:rsidRDefault="004217BA" w:rsidP="004217BA">
            <w:pPr>
              <w:spacing w:after="120"/>
              <w:jc w:val="both"/>
              <w:cnfStyle w:val="000000010000" w:firstRow="0" w:lastRow="0" w:firstColumn="0" w:lastColumn="0" w:oddVBand="0" w:evenVBand="0" w:oddHBand="0" w:evenHBand="1" w:firstRowFirstColumn="0" w:firstRowLastColumn="0" w:lastRowFirstColumn="0" w:lastRowLastColumn="0"/>
              <w:rPr>
                <w:sz w:val="20"/>
                <w:szCs w:val="20"/>
              </w:rPr>
            </w:pPr>
            <w:r w:rsidRPr="000E1B7E">
              <w:rPr>
                <w:sz w:val="20"/>
                <w:szCs w:val="20"/>
              </w:rPr>
              <w:t>How well have macro policy instruments been used to achieve economic stability and growth?</w:t>
            </w:r>
          </w:p>
        </w:tc>
      </w:tr>
      <w:tr w:rsidR="004217BA" w:rsidRPr="000E1B7E" w14:paraId="145E993E" w14:textId="77777777" w:rsidTr="0042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C7A82B4"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EM8</w:t>
            </w:r>
          </w:p>
        </w:tc>
        <w:tc>
          <w:tcPr>
            <w:tcW w:w="8415" w:type="dxa"/>
          </w:tcPr>
          <w:p w14:paraId="02F5377E" w14:textId="77777777" w:rsidR="004217BA" w:rsidRPr="000E1B7E" w:rsidRDefault="004217BA" w:rsidP="004217BA">
            <w:pPr>
              <w:spacing w:after="120"/>
              <w:jc w:val="both"/>
              <w:cnfStyle w:val="000000100000" w:firstRow="0" w:lastRow="0" w:firstColumn="0" w:lastColumn="0" w:oddVBand="0" w:evenVBand="0" w:oddHBand="1" w:evenHBand="0" w:firstRowFirstColumn="0" w:firstRowLastColumn="0" w:lastRowFirstColumn="0" w:lastRowLastColumn="0"/>
              <w:rPr>
                <w:sz w:val="20"/>
                <w:szCs w:val="20"/>
              </w:rPr>
            </w:pPr>
            <w:r w:rsidRPr="000E1B7E">
              <w:rPr>
                <w:sz w:val="20"/>
                <w:szCs w:val="20"/>
              </w:rPr>
              <w:t xml:space="preserve">To what extent have public expenditure and related accountability systems changed to ensure alignment of budgets, spending and financial reporting with the NDP objectives </w:t>
            </w:r>
          </w:p>
        </w:tc>
      </w:tr>
      <w:tr w:rsidR="004217BA" w:rsidRPr="000E1B7E" w14:paraId="10B01D7B" w14:textId="77777777" w:rsidTr="00421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0C29A969"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EM9</w:t>
            </w:r>
          </w:p>
        </w:tc>
        <w:tc>
          <w:tcPr>
            <w:tcW w:w="8415" w:type="dxa"/>
          </w:tcPr>
          <w:p w14:paraId="3554C902" w14:textId="77777777" w:rsidR="004217BA" w:rsidRPr="000E1B7E" w:rsidRDefault="004217BA" w:rsidP="004217BA">
            <w:pPr>
              <w:spacing w:after="120"/>
              <w:jc w:val="both"/>
              <w:cnfStyle w:val="000000010000" w:firstRow="0" w:lastRow="0" w:firstColumn="0" w:lastColumn="0" w:oddVBand="0" w:evenVBand="0" w:oddHBand="0" w:evenHBand="1" w:firstRowFirstColumn="0" w:firstRowLastColumn="0" w:lastRowFirstColumn="0" w:lastRowLastColumn="0"/>
              <w:rPr>
                <w:sz w:val="20"/>
                <w:szCs w:val="20"/>
              </w:rPr>
            </w:pPr>
            <w:r w:rsidRPr="000E1B7E">
              <w:rPr>
                <w:sz w:val="20"/>
                <w:szCs w:val="20"/>
              </w:rPr>
              <w:t>What progress has there been on unlocking the key economic constraints to growth?</w:t>
            </w:r>
          </w:p>
        </w:tc>
      </w:tr>
      <w:tr w:rsidR="004217BA" w:rsidRPr="000E1B7E" w14:paraId="141F7751" w14:textId="77777777" w:rsidTr="0042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4F67C3A9"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EM10</w:t>
            </w:r>
          </w:p>
        </w:tc>
        <w:tc>
          <w:tcPr>
            <w:tcW w:w="8415" w:type="dxa"/>
          </w:tcPr>
          <w:p w14:paraId="5ACA0B47" w14:textId="77777777" w:rsidR="004217BA" w:rsidRPr="000E1B7E" w:rsidRDefault="004217BA" w:rsidP="004217BA">
            <w:pPr>
              <w:spacing w:after="120"/>
              <w:jc w:val="both"/>
              <w:cnfStyle w:val="000000100000" w:firstRow="0" w:lastRow="0" w:firstColumn="0" w:lastColumn="0" w:oddVBand="0" w:evenVBand="0" w:oddHBand="1" w:evenHBand="0" w:firstRowFirstColumn="0" w:firstRowLastColumn="0" w:lastRowFirstColumn="0" w:lastRowLastColumn="0"/>
              <w:rPr>
                <w:sz w:val="20"/>
                <w:szCs w:val="20"/>
              </w:rPr>
            </w:pPr>
            <w:r w:rsidRPr="000E1B7E">
              <w:rPr>
                <w:sz w:val="20"/>
                <w:szCs w:val="20"/>
              </w:rPr>
              <w:t>How has NDP implementation so far contributed to improvements in productivity, private sector development and competitiveness?</w:t>
            </w:r>
          </w:p>
        </w:tc>
      </w:tr>
      <w:tr w:rsidR="004217BA" w:rsidRPr="000E1B7E" w14:paraId="3B84FC5E" w14:textId="77777777" w:rsidTr="00421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16310DB5"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EM11</w:t>
            </w:r>
          </w:p>
        </w:tc>
        <w:tc>
          <w:tcPr>
            <w:tcW w:w="8415" w:type="dxa"/>
          </w:tcPr>
          <w:p w14:paraId="72E7A3D4" w14:textId="77777777" w:rsidR="004217BA" w:rsidRPr="000E1B7E" w:rsidRDefault="004217BA" w:rsidP="004217BA">
            <w:pPr>
              <w:spacing w:after="120"/>
              <w:jc w:val="both"/>
              <w:cnfStyle w:val="000000010000" w:firstRow="0" w:lastRow="0" w:firstColumn="0" w:lastColumn="0" w:oddVBand="0" w:evenVBand="0" w:oddHBand="0" w:evenHBand="1" w:firstRowFirstColumn="0" w:firstRowLastColumn="0" w:lastRowFirstColumn="0" w:lastRowLastColumn="0"/>
              <w:rPr>
                <w:sz w:val="20"/>
                <w:szCs w:val="20"/>
              </w:rPr>
            </w:pPr>
            <w:r w:rsidRPr="000E1B7E">
              <w:rPr>
                <w:sz w:val="20"/>
                <w:szCs w:val="20"/>
              </w:rPr>
              <w:t>To what extent is deregulation taking place and how well is this facilitating private sector growth and competitiveness?</w:t>
            </w:r>
          </w:p>
        </w:tc>
      </w:tr>
      <w:tr w:rsidR="004217BA" w:rsidRPr="000E1B7E" w14:paraId="5BD8F2FD" w14:textId="77777777" w:rsidTr="0042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77D281D4"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EM12</w:t>
            </w:r>
          </w:p>
        </w:tc>
        <w:tc>
          <w:tcPr>
            <w:tcW w:w="8415" w:type="dxa"/>
          </w:tcPr>
          <w:p w14:paraId="61CBA07E" w14:textId="77777777" w:rsidR="004217BA" w:rsidRPr="000E1B7E" w:rsidRDefault="004217BA" w:rsidP="004217BA">
            <w:pPr>
              <w:spacing w:after="120"/>
              <w:jc w:val="both"/>
              <w:cnfStyle w:val="000000100000" w:firstRow="0" w:lastRow="0" w:firstColumn="0" w:lastColumn="0" w:oddVBand="0" w:evenVBand="0" w:oddHBand="1" w:evenHBand="0" w:firstRowFirstColumn="0" w:firstRowLastColumn="0" w:lastRowFirstColumn="0" w:lastRowLastColumn="0"/>
              <w:rPr>
                <w:sz w:val="20"/>
                <w:szCs w:val="20"/>
              </w:rPr>
            </w:pPr>
            <w:r w:rsidRPr="000E1B7E">
              <w:rPr>
                <w:sz w:val="20"/>
                <w:szCs w:val="20"/>
              </w:rPr>
              <w:t>To what and how have additional private sector funds been harness to finance NDP priorities?</w:t>
            </w:r>
          </w:p>
        </w:tc>
      </w:tr>
      <w:tr w:rsidR="004217BA" w:rsidRPr="000E1B7E" w14:paraId="7064ECED" w14:textId="77777777" w:rsidTr="004217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2CEEBF5C"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EM13</w:t>
            </w:r>
          </w:p>
        </w:tc>
        <w:tc>
          <w:tcPr>
            <w:tcW w:w="8415" w:type="dxa"/>
          </w:tcPr>
          <w:p w14:paraId="5E2FF207" w14:textId="77777777" w:rsidR="004217BA" w:rsidRPr="000E1B7E" w:rsidRDefault="004217BA" w:rsidP="004217BA">
            <w:pPr>
              <w:spacing w:after="120"/>
              <w:jc w:val="both"/>
              <w:cnfStyle w:val="000000010000" w:firstRow="0" w:lastRow="0" w:firstColumn="0" w:lastColumn="0" w:oddVBand="0" w:evenVBand="0" w:oddHBand="0" w:evenHBand="1" w:firstRowFirstColumn="0" w:firstRowLastColumn="0" w:lastRowFirstColumn="0" w:lastRowLastColumn="0"/>
              <w:rPr>
                <w:sz w:val="20"/>
                <w:szCs w:val="20"/>
              </w:rPr>
            </w:pPr>
            <w:r w:rsidRPr="000E1B7E">
              <w:rPr>
                <w:sz w:val="20"/>
                <w:szCs w:val="20"/>
              </w:rPr>
              <w:t>How environmentally sustainable has been Uganda’s economic growth?</w:t>
            </w:r>
          </w:p>
        </w:tc>
      </w:tr>
      <w:tr w:rsidR="004217BA" w:rsidRPr="000E1B7E" w14:paraId="0C4E1AB8" w14:textId="77777777" w:rsidTr="004217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Pr>
          <w:p w14:paraId="6AE23FFF" w14:textId="77777777" w:rsidR="004217BA" w:rsidRPr="000E1B7E" w:rsidRDefault="004217BA" w:rsidP="004217BA">
            <w:pPr>
              <w:spacing w:after="120"/>
              <w:jc w:val="both"/>
              <w:rPr>
                <w:rFonts w:ascii="Times New Roman" w:hAnsi="Times New Roman" w:cs="Times New Roman"/>
                <w:sz w:val="20"/>
                <w:szCs w:val="20"/>
              </w:rPr>
            </w:pPr>
            <w:r w:rsidRPr="000E1B7E">
              <w:rPr>
                <w:rFonts w:ascii="Times New Roman" w:hAnsi="Times New Roman" w:cs="Times New Roman"/>
                <w:sz w:val="20"/>
                <w:szCs w:val="20"/>
              </w:rPr>
              <w:t>EM14</w:t>
            </w:r>
          </w:p>
        </w:tc>
        <w:tc>
          <w:tcPr>
            <w:tcW w:w="8415" w:type="dxa"/>
          </w:tcPr>
          <w:p w14:paraId="04BE1C3E" w14:textId="77777777" w:rsidR="004217BA" w:rsidRPr="000E1B7E" w:rsidRDefault="004217BA" w:rsidP="004217BA">
            <w:pPr>
              <w:spacing w:after="120"/>
              <w:jc w:val="both"/>
              <w:cnfStyle w:val="000000100000" w:firstRow="0" w:lastRow="0" w:firstColumn="0" w:lastColumn="0" w:oddVBand="0" w:evenVBand="0" w:oddHBand="1" w:evenHBand="0" w:firstRowFirstColumn="0" w:firstRowLastColumn="0" w:lastRowFirstColumn="0" w:lastRowLastColumn="0"/>
              <w:rPr>
                <w:sz w:val="20"/>
                <w:szCs w:val="20"/>
              </w:rPr>
            </w:pPr>
            <w:r w:rsidRPr="000E1B7E">
              <w:rPr>
                <w:sz w:val="20"/>
                <w:szCs w:val="20"/>
              </w:rPr>
              <w:t>From an EM perspective, what can be done to improve the next version of the NDP?</w:t>
            </w:r>
          </w:p>
        </w:tc>
      </w:tr>
    </w:tbl>
    <w:p w14:paraId="2B63AE0E" w14:textId="77777777" w:rsidR="004217BA" w:rsidRPr="000E1B7E" w:rsidRDefault="004217BA" w:rsidP="00F85D24">
      <w:pPr>
        <w:pStyle w:val="Heading2"/>
        <w:keepLines/>
        <w:numPr>
          <w:ilvl w:val="1"/>
          <w:numId w:val="23"/>
        </w:numPr>
        <w:spacing w:line="240" w:lineRule="auto"/>
        <w:ind w:left="567" w:hanging="567"/>
        <w:jc w:val="left"/>
        <w:rPr>
          <w:rFonts w:eastAsiaTheme="majorEastAsia"/>
          <w:bCs w:val="0"/>
          <w:iCs w:val="0"/>
          <w:color w:val="000000" w:themeColor="text1"/>
        </w:rPr>
      </w:pPr>
      <w:bookmarkStart w:id="41" w:name="_Toc367960137"/>
      <w:bookmarkStart w:id="42" w:name="_Toc3478369"/>
      <w:bookmarkStart w:id="43" w:name="_Toc11956254"/>
      <w:bookmarkEnd w:id="35"/>
      <w:r w:rsidRPr="000E1B7E">
        <w:rPr>
          <w:rFonts w:eastAsiaTheme="majorEastAsia"/>
          <w:bCs w:val="0"/>
          <w:iCs w:val="0"/>
          <w:color w:val="000000" w:themeColor="text1"/>
        </w:rPr>
        <w:lastRenderedPageBreak/>
        <w:t>Organisation of the report</w:t>
      </w:r>
      <w:bookmarkEnd w:id="41"/>
      <w:bookmarkEnd w:id="42"/>
      <w:bookmarkEnd w:id="43"/>
    </w:p>
    <w:p w14:paraId="2A19252E"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report is organised in three parts. Part one presents preliminary information which includes the title page, table of contents, acknowledgment, list of abbreviations, an executive summary and indicators summary sheet. </w:t>
      </w:r>
    </w:p>
    <w:p w14:paraId="21B4243D"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Part two is the main body or report text. The main text is organised in five chapters which comprise:</w:t>
      </w:r>
    </w:p>
    <w:p w14:paraId="16DEF96D" w14:textId="77777777" w:rsidR="004217BA" w:rsidRPr="000E1B7E" w:rsidRDefault="004217BA" w:rsidP="00F85D24">
      <w:pPr>
        <w:pStyle w:val="DeltaBodytext"/>
        <w:numPr>
          <w:ilvl w:val="0"/>
          <w:numId w:val="27"/>
        </w:numPr>
        <w:spacing w:line="360" w:lineRule="auto"/>
        <w:ind w:left="1418" w:hanging="851"/>
        <w:rPr>
          <w:rFonts w:ascii="Times New Roman" w:hAnsi="Times New Roman"/>
          <w:sz w:val="24"/>
          <w:szCs w:val="24"/>
        </w:rPr>
      </w:pPr>
      <w:r w:rsidRPr="000E1B7E">
        <w:rPr>
          <w:rFonts w:ascii="Times New Roman" w:hAnsi="Times New Roman"/>
          <w:sz w:val="24"/>
          <w:szCs w:val="24"/>
        </w:rPr>
        <w:t xml:space="preserve">Chapter 1 that explains the context in which the economic management thematic area report for the mid-term review has been prepared including the background to the MTR itself, economic management framework and NDP II strategy, the approach that has been used in preparing the thematic paper, and the way in which the paper has been organised. </w:t>
      </w:r>
    </w:p>
    <w:p w14:paraId="03138618" w14:textId="77777777" w:rsidR="004217BA" w:rsidRPr="000E1B7E" w:rsidRDefault="004217BA" w:rsidP="00F85D24">
      <w:pPr>
        <w:pStyle w:val="DeltaBodytext"/>
        <w:numPr>
          <w:ilvl w:val="0"/>
          <w:numId w:val="27"/>
        </w:numPr>
        <w:spacing w:line="360" w:lineRule="auto"/>
        <w:ind w:left="1418" w:hanging="851"/>
        <w:rPr>
          <w:rFonts w:ascii="Times New Roman" w:hAnsi="Times New Roman"/>
          <w:sz w:val="24"/>
          <w:szCs w:val="24"/>
        </w:rPr>
      </w:pPr>
      <w:r w:rsidRPr="000E1B7E">
        <w:rPr>
          <w:rFonts w:ascii="Times New Roman" w:hAnsi="Times New Roman"/>
          <w:sz w:val="24"/>
          <w:szCs w:val="24"/>
        </w:rPr>
        <w:t>Chapter 2 presents an overview and findings on real economy performance and sources of growth over the first three years of NDP II;</w:t>
      </w:r>
    </w:p>
    <w:p w14:paraId="1F0C02BD" w14:textId="77777777" w:rsidR="004217BA" w:rsidRPr="000E1B7E" w:rsidRDefault="004217BA" w:rsidP="00F85D24">
      <w:pPr>
        <w:pStyle w:val="DeltaBodytext"/>
        <w:numPr>
          <w:ilvl w:val="0"/>
          <w:numId w:val="27"/>
        </w:numPr>
        <w:spacing w:line="360" w:lineRule="auto"/>
        <w:ind w:left="1418" w:hanging="851"/>
        <w:rPr>
          <w:rFonts w:ascii="Times New Roman" w:hAnsi="Times New Roman"/>
          <w:sz w:val="24"/>
          <w:szCs w:val="24"/>
        </w:rPr>
      </w:pPr>
      <w:r w:rsidRPr="000E1B7E">
        <w:rPr>
          <w:rFonts w:ascii="Times New Roman" w:hAnsi="Times New Roman"/>
          <w:sz w:val="24"/>
          <w:szCs w:val="24"/>
        </w:rPr>
        <w:t xml:space="preserve">Chapter 3 presents fiscal Sector Performance in terms of tax revenue, NDP II funding  and government expenditure, </w:t>
      </w:r>
    </w:p>
    <w:p w14:paraId="2AD1D319" w14:textId="77777777" w:rsidR="004217BA" w:rsidRPr="000E1B7E" w:rsidRDefault="004217BA" w:rsidP="00F85D24">
      <w:pPr>
        <w:pStyle w:val="DeltaBodytext"/>
        <w:numPr>
          <w:ilvl w:val="0"/>
          <w:numId w:val="27"/>
        </w:numPr>
        <w:spacing w:line="360" w:lineRule="auto"/>
        <w:ind w:left="1418" w:hanging="851"/>
        <w:rPr>
          <w:rFonts w:ascii="Times New Roman" w:hAnsi="Times New Roman"/>
          <w:sz w:val="24"/>
          <w:szCs w:val="24"/>
        </w:rPr>
      </w:pPr>
      <w:r w:rsidRPr="000E1B7E">
        <w:rPr>
          <w:rFonts w:ascii="Times New Roman" w:hAnsi="Times New Roman"/>
          <w:sz w:val="24"/>
          <w:szCs w:val="24"/>
        </w:rPr>
        <w:t xml:space="preserve">Chapter 4 presents monetary Sector Performance, highlighting progress of achieving key monetary sector targets of macroeconomic stability in terms of inflation, exchange rates, credit to the private sector and money supply to facilitate economic growth. </w:t>
      </w:r>
    </w:p>
    <w:p w14:paraId="4E9C26AB" w14:textId="77777777" w:rsidR="004217BA" w:rsidRPr="000E1B7E" w:rsidRDefault="004217BA" w:rsidP="00F85D24">
      <w:pPr>
        <w:pStyle w:val="DeltaBodytext"/>
        <w:numPr>
          <w:ilvl w:val="0"/>
          <w:numId w:val="27"/>
        </w:numPr>
        <w:spacing w:line="360" w:lineRule="auto"/>
        <w:ind w:left="1418" w:hanging="851"/>
        <w:rPr>
          <w:rFonts w:ascii="Times New Roman" w:hAnsi="Times New Roman"/>
          <w:sz w:val="24"/>
          <w:szCs w:val="24"/>
        </w:rPr>
      </w:pPr>
      <w:r w:rsidRPr="000E1B7E">
        <w:rPr>
          <w:rFonts w:ascii="Times New Roman" w:hAnsi="Times New Roman"/>
          <w:sz w:val="24"/>
          <w:szCs w:val="24"/>
        </w:rPr>
        <w:t xml:space="preserve">Chapter 5 presents the External Sector Performance, highlighting the achievements of the external sector in terms of trade (exports and imports of goods and services), and external funding on NDP II priorities through debt and other instruments.  </w:t>
      </w:r>
    </w:p>
    <w:p w14:paraId="57845DFD" w14:textId="77777777" w:rsidR="004217BA" w:rsidRPr="000E1B7E" w:rsidRDefault="004217BA" w:rsidP="00F85D24">
      <w:pPr>
        <w:pStyle w:val="DeltaBodytext"/>
        <w:numPr>
          <w:ilvl w:val="0"/>
          <w:numId w:val="27"/>
        </w:numPr>
        <w:spacing w:line="360" w:lineRule="auto"/>
        <w:ind w:left="1418" w:hanging="851"/>
        <w:rPr>
          <w:rFonts w:ascii="Times New Roman" w:hAnsi="Times New Roman"/>
          <w:sz w:val="24"/>
          <w:szCs w:val="24"/>
        </w:rPr>
      </w:pPr>
      <w:r w:rsidRPr="000E1B7E">
        <w:rPr>
          <w:rFonts w:ascii="Times New Roman" w:hAnsi="Times New Roman"/>
          <w:sz w:val="24"/>
          <w:szCs w:val="24"/>
        </w:rPr>
        <w:t>Chapter 6 draws together the main conclusions and makes recommendations.</w:t>
      </w:r>
    </w:p>
    <w:p w14:paraId="0C169405"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Part three contains appendices or supportive information for the main text such as reference documents anddetailed analysis tables.</w:t>
      </w:r>
    </w:p>
    <w:p w14:paraId="593946E0" w14:textId="77777777" w:rsidR="004217BA" w:rsidRPr="000E1B7E" w:rsidRDefault="004217BA" w:rsidP="004217BA">
      <w:pPr>
        <w:pStyle w:val="Heading1"/>
        <w:sectPr w:rsidR="004217BA" w:rsidRPr="000E1B7E" w:rsidSect="005F5399">
          <w:pgSz w:w="11906" w:h="16838" w:code="9"/>
          <w:pgMar w:top="1440" w:right="1440" w:bottom="1440" w:left="1440" w:header="706" w:footer="14" w:gutter="0"/>
          <w:pgNumType w:start="1"/>
          <w:cols w:space="708"/>
          <w:docGrid w:linePitch="360"/>
        </w:sectPr>
      </w:pPr>
    </w:p>
    <w:p w14:paraId="0560EF06" w14:textId="77777777" w:rsidR="004217BA" w:rsidRPr="000E1B7E" w:rsidRDefault="00AE72EC" w:rsidP="00F85D24">
      <w:pPr>
        <w:pStyle w:val="Heading1"/>
        <w:numPr>
          <w:ilvl w:val="0"/>
          <w:numId w:val="22"/>
        </w:numPr>
        <w:ind w:left="709" w:hanging="709"/>
      </w:pPr>
      <w:bookmarkStart w:id="44" w:name="_Toc3478370"/>
      <w:bookmarkStart w:id="45" w:name="_Toc11956255"/>
      <w:r w:rsidRPr="000E1B7E">
        <w:lastRenderedPageBreak/>
        <w:t>Performance of the Real Economy</w:t>
      </w:r>
      <w:bookmarkStart w:id="46" w:name="_Toc361577061"/>
      <w:bookmarkEnd w:id="44"/>
      <w:bookmarkEnd w:id="45"/>
    </w:p>
    <w:p w14:paraId="72BE5F04" w14:textId="77777777" w:rsidR="00F23746" w:rsidRPr="000E1B7E" w:rsidRDefault="00F23746" w:rsidP="00C11847">
      <w:pPr>
        <w:pStyle w:val="DeltaSeched2"/>
      </w:pPr>
      <w:bookmarkStart w:id="47" w:name="_Toc3478371"/>
      <w:bookmarkStart w:id="48" w:name="_Toc11956256"/>
      <w:r w:rsidRPr="000E1B7E">
        <w:t>Real Gross Domestic Product Growth</w:t>
      </w:r>
      <w:bookmarkEnd w:id="47"/>
      <w:bookmarkEnd w:id="48"/>
    </w:p>
    <w:p w14:paraId="0C50123E" w14:textId="77777777" w:rsidR="00D25608" w:rsidRPr="000E1B7E" w:rsidRDefault="004D3DE3"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NDP </w:t>
      </w:r>
      <w:r w:rsidR="00F23746" w:rsidRPr="000E1B7E">
        <w:rPr>
          <w:rFonts w:ascii="Times New Roman" w:hAnsi="Times New Roman"/>
          <w:sz w:val="24"/>
          <w:szCs w:val="24"/>
        </w:rPr>
        <w:t xml:space="preserve">II </w:t>
      </w:r>
      <w:r w:rsidR="00910179" w:rsidRPr="000E1B7E">
        <w:rPr>
          <w:rFonts w:ascii="Times New Roman" w:hAnsi="Times New Roman"/>
          <w:sz w:val="24"/>
          <w:szCs w:val="24"/>
        </w:rPr>
        <w:t>anticipated</w:t>
      </w:r>
      <w:r w:rsidRPr="000E1B7E">
        <w:rPr>
          <w:rFonts w:ascii="Times New Roman" w:hAnsi="Times New Roman"/>
          <w:sz w:val="24"/>
          <w:szCs w:val="24"/>
        </w:rPr>
        <w:t xml:space="preserve"> a gradual increase in real GDP growth, from 5.5% in 2015/16 to 6.3% in 2019/20.</w:t>
      </w:r>
      <w:r w:rsidR="00F23746" w:rsidRPr="000E1B7E">
        <w:rPr>
          <w:rFonts w:ascii="Times New Roman" w:hAnsi="Times New Roman"/>
          <w:sz w:val="24"/>
          <w:szCs w:val="24"/>
        </w:rPr>
        <w:t xml:space="preserve"> This has not been achived so far.From the base year (2014/15 – the final year of NDP I) real GDP growth rate of 5.2%, Uganda registered a decline in </w:t>
      </w:r>
      <w:r w:rsidR="00517268" w:rsidRPr="000E1B7E">
        <w:rPr>
          <w:rFonts w:ascii="Times New Roman" w:hAnsi="Times New Roman"/>
          <w:sz w:val="24"/>
          <w:szCs w:val="24"/>
        </w:rPr>
        <w:t xml:space="preserve">real </w:t>
      </w:r>
      <w:r w:rsidR="00F23746" w:rsidRPr="000E1B7E">
        <w:rPr>
          <w:rFonts w:ascii="Times New Roman" w:hAnsi="Times New Roman"/>
          <w:sz w:val="24"/>
          <w:szCs w:val="24"/>
        </w:rPr>
        <w:t xml:space="preserve">GDP growth, falling to 4.8% in 2015/16 and 3.9% in 2016/17 before recovering strongly to 6.1% in 2017/18. The slow growth rates in 2015/16 and 2016/17 were partly attributed to drought that affected the agricultural sector and the poor performance of the manufacturing sector. </w:t>
      </w:r>
    </w:p>
    <w:p w14:paraId="76D89CAD" w14:textId="77777777" w:rsidR="0063211D" w:rsidRPr="000E1B7E" w:rsidRDefault="00F23746" w:rsidP="00F85D24">
      <w:pPr>
        <w:pStyle w:val="DeltaBodytext"/>
        <w:numPr>
          <w:ilvl w:val="0"/>
          <w:numId w:val="26"/>
        </w:numPr>
        <w:spacing w:line="360" w:lineRule="auto"/>
        <w:ind w:left="567" w:hanging="567"/>
        <w:rPr>
          <w:rFonts w:ascii="Times New Roman" w:hAnsi="Times New Roman"/>
        </w:rPr>
      </w:pPr>
      <w:r w:rsidRPr="000E1B7E">
        <w:rPr>
          <w:rFonts w:ascii="Times New Roman" w:hAnsi="Times New Roman"/>
          <w:sz w:val="24"/>
          <w:szCs w:val="24"/>
        </w:rPr>
        <w:t>Over the first three years of NDP II, Uganda has registered average</w:t>
      </w:r>
      <w:r w:rsidR="00C40AD6" w:rsidRPr="000E1B7E">
        <w:rPr>
          <w:rFonts w:ascii="Times New Roman" w:hAnsi="Times New Roman"/>
          <w:sz w:val="24"/>
          <w:szCs w:val="24"/>
        </w:rPr>
        <w:t xml:space="preserve"> </w:t>
      </w:r>
      <w:r w:rsidRPr="000E1B7E">
        <w:rPr>
          <w:rFonts w:ascii="Times New Roman" w:hAnsi="Times New Roman"/>
          <w:sz w:val="24"/>
          <w:szCs w:val="24"/>
        </w:rPr>
        <w:t xml:space="preserve">annual real GDP growth of 4.9%, </w:t>
      </w:r>
      <w:r w:rsidR="00517268" w:rsidRPr="000E1B7E">
        <w:rPr>
          <w:rFonts w:ascii="Times New Roman" w:hAnsi="Times New Roman"/>
          <w:sz w:val="24"/>
          <w:szCs w:val="24"/>
        </w:rPr>
        <w:t xml:space="preserve">below </w:t>
      </w:r>
      <w:r w:rsidRPr="000E1B7E">
        <w:rPr>
          <w:rFonts w:ascii="Times New Roman" w:hAnsi="Times New Roman"/>
          <w:sz w:val="24"/>
          <w:szCs w:val="24"/>
        </w:rPr>
        <w:t xml:space="preserve">the NDP II </w:t>
      </w:r>
      <w:r w:rsidR="00517268" w:rsidRPr="000E1B7E">
        <w:rPr>
          <w:rFonts w:ascii="Times New Roman" w:hAnsi="Times New Roman"/>
          <w:sz w:val="24"/>
          <w:szCs w:val="24"/>
        </w:rPr>
        <w:t xml:space="preserve">projection of </w:t>
      </w:r>
      <w:r w:rsidR="00142A6B" w:rsidRPr="000E1B7E">
        <w:rPr>
          <w:rFonts w:ascii="Times New Roman" w:hAnsi="Times New Roman"/>
          <w:sz w:val="24"/>
          <w:szCs w:val="24"/>
        </w:rPr>
        <w:t>6.</w:t>
      </w:r>
      <w:r w:rsidR="00C40AD6" w:rsidRPr="000E1B7E">
        <w:rPr>
          <w:rFonts w:ascii="Times New Roman" w:hAnsi="Times New Roman"/>
          <w:sz w:val="24"/>
          <w:szCs w:val="24"/>
        </w:rPr>
        <w:t>3</w:t>
      </w:r>
      <w:r w:rsidR="00517268" w:rsidRPr="000E1B7E">
        <w:rPr>
          <w:rFonts w:ascii="Times New Roman" w:hAnsi="Times New Roman"/>
          <w:sz w:val="24"/>
          <w:szCs w:val="24"/>
        </w:rPr>
        <w:t xml:space="preserve">% </w:t>
      </w:r>
      <w:r w:rsidR="001A2F22" w:rsidRPr="000E1B7E">
        <w:rPr>
          <w:rFonts w:ascii="Times New Roman" w:hAnsi="Times New Roman"/>
          <w:sz w:val="24"/>
          <w:szCs w:val="24"/>
        </w:rPr>
        <w:t xml:space="preserve">average growth </w:t>
      </w:r>
      <w:r w:rsidR="00517268" w:rsidRPr="000E1B7E">
        <w:rPr>
          <w:rFonts w:ascii="Times New Roman" w:hAnsi="Times New Roman"/>
          <w:sz w:val="24"/>
          <w:szCs w:val="24"/>
        </w:rPr>
        <w:t xml:space="preserve">over this period. Average </w:t>
      </w:r>
      <w:r w:rsidRPr="000E1B7E">
        <w:rPr>
          <w:rFonts w:ascii="Times New Roman" w:hAnsi="Times New Roman"/>
          <w:sz w:val="24"/>
          <w:szCs w:val="24"/>
        </w:rPr>
        <w:t xml:space="preserve">annual GDP growth over the first three years of NDP II is also lower than the average growth rate of 5.4% </w:t>
      </w:r>
      <w:r w:rsidR="00517268" w:rsidRPr="000E1B7E">
        <w:rPr>
          <w:rFonts w:ascii="Times New Roman" w:hAnsi="Times New Roman"/>
          <w:sz w:val="24"/>
          <w:szCs w:val="24"/>
        </w:rPr>
        <w:t xml:space="preserve">recorded during </w:t>
      </w:r>
      <w:r w:rsidRPr="000E1B7E">
        <w:rPr>
          <w:rFonts w:ascii="Times New Roman" w:hAnsi="Times New Roman"/>
          <w:sz w:val="24"/>
          <w:szCs w:val="24"/>
        </w:rPr>
        <w:t xml:space="preserve">NDP 1. Over the review period, the annual GDP growth rates have consistently been lower than the projected growth rates under NDP II as summarised in figure </w:t>
      </w:r>
      <w:r w:rsidR="00132068" w:rsidRPr="000E1B7E">
        <w:rPr>
          <w:rFonts w:ascii="Times New Roman" w:hAnsi="Times New Roman"/>
          <w:sz w:val="24"/>
          <w:szCs w:val="24"/>
        </w:rPr>
        <w:t>1</w:t>
      </w:r>
      <w:r w:rsidRPr="000E1B7E">
        <w:rPr>
          <w:rFonts w:ascii="Times New Roman" w:hAnsi="Times New Roman"/>
          <w:sz w:val="24"/>
          <w:szCs w:val="24"/>
        </w:rPr>
        <w:t>.</w:t>
      </w:r>
    </w:p>
    <w:p w14:paraId="6EFF95FA" w14:textId="77777777" w:rsidR="004217BA" w:rsidRPr="000E1B7E" w:rsidRDefault="004217BA"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To attain the NDP II target average GDP growth rate of </w:t>
      </w:r>
      <w:r w:rsidR="00C40AD6" w:rsidRPr="000E1B7E">
        <w:rPr>
          <w:rFonts w:ascii="Times New Roman" w:hAnsi="Times New Roman"/>
          <w:sz w:val="24"/>
          <w:szCs w:val="24"/>
        </w:rPr>
        <w:t>6.3</w:t>
      </w:r>
      <w:r w:rsidRPr="000E1B7E">
        <w:rPr>
          <w:rFonts w:ascii="Times New Roman" w:hAnsi="Times New Roman"/>
          <w:sz w:val="24"/>
          <w:szCs w:val="24"/>
        </w:rPr>
        <w:t>% by end of NDP II (2019/2020), Uganda will need to register 8.</w:t>
      </w:r>
      <w:r w:rsidR="00C40AD6" w:rsidRPr="000E1B7E">
        <w:rPr>
          <w:rFonts w:ascii="Times New Roman" w:hAnsi="Times New Roman"/>
          <w:sz w:val="24"/>
          <w:szCs w:val="24"/>
        </w:rPr>
        <w:t>35</w:t>
      </w:r>
      <w:r w:rsidRPr="000E1B7E">
        <w:rPr>
          <w:rFonts w:ascii="Times New Roman" w:hAnsi="Times New Roman"/>
          <w:sz w:val="24"/>
          <w:szCs w:val="24"/>
        </w:rPr>
        <w:t>% annual GDP growth rates over the remaining two years, which is ambitious given that a number of prioritised infrastructure projects to drive growth - like the standard gauge railway project - have progressed at a very slow rate, while productivity of the agricultural sector and the manufacturing sector have not gained sufficient traction to deliver the anticipated growth.</w:t>
      </w:r>
    </w:p>
    <w:p w14:paraId="5E297ED8" w14:textId="77777777" w:rsidR="00F23746" w:rsidRPr="000E1B7E" w:rsidRDefault="00787F7B" w:rsidP="00FD5BA9">
      <w:pPr>
        <w:pStyle w:val="Caption"/>
        <w:rPr>
          <w:rFonts w:ascii="Times New Roman" w:hAnsi="Times New Roman" w:cs="Times New Roman"/>
        </w:rPr>
      </w:pPr>
      <w:bookmarkStart w:id="49" w:name="_Toc3483145"/>
      <w:r w:rsidRPr="000E1B7E">
        <w:rPr>
          <w:rFonts w:ascii="Times New Roman" w:eastAsia="Calibri" w:hAnsi="Times New Roman" w:cs="Times New Roman"/>
          <w:b/>
          <w:bCs/>
          <w:i w:val="0"/>
          <w:color w:val="auto"/>
          <w:sz w:val="24"/>
          <w:szCs w:val="24"/>
          <w:lang w:val="en-GB"/>
        </w:rPr>
        <w:lastRenderedPageBreak/>
        <w:t xml:space="preserve">Figure </w:t>
      </w:r>
      <w:r w:rsidR="001232BF" w:rsidRPr="000E1B7E">
        <w:rPr>
          <w:rFonts w:ascii="Times New Roman" w:eastAsia="Calibri" w:hAnsi="Times New Roman" w:cs="Times New Roman"/>
          <w:b/>
          <w:bCs/>
          <w:i w:val="0"/>
          <w:color w:val="auto"/>
          <w:sz w:val="24"/>
          <w:szCs w:val="24"/>
          <w:lang w:val="en-GB"/>
        </w:rPr>
        <w:fldChar w:fldCharType="begin"/>
      </w:r>
      <w:r w:rsidRPr="000E1B7E">
        <w:rPr>
          <w:rFonts w:ascii="Times New Roman" w:eastAsia="Calibri" w:hAnsi="Times New Roman" w:cs="Times New Roman"/>
          <w:b/>
          <w:bCs/>
          <w:i w:val="0"/>
          <w:color w:val="auto"/>
          <w:sz w:val="24"/>
          <w:szCs w:val="24"/>
          <w:lang w:val="en-GB"/>
        </w:rPr>
        <w:instrText xml:space="preserve"> SEQ Figure \* ARABIC </w:instrText>
      </w:r>
      <w:r w:rsidR="001232BF" w:rsidRPr="000E1B7E">
        <w:rPr>
          <w:rFonts w:ascii="Times New Roman" w:eastAsia="Calibri" w:hAnsi="Times New Roman" w:cs="Times New Roman"/>
          <w:b/>
          <w:bCs/>
          <w:i w:val="0"/>
          <w:color w:val="auto"/>
          <w:sz w:val="24"/>
          <w:szCs w:val="24"/>
          <w:lang w:val="en-GB"/>
        </w:rPr>
        <w:fldChar w:fldCharType="separate"/>
      </w:r>
      <w:r w:rsidR="006461AC" w:rsidRPr="000E1B7E">
        <w:rPr>
          <w:rFonts w:ascii="Times New Roman" w:eastAsia="Calibri" w:hAnsi="Times New Roman" w:cs="Times New Roman"/>
          <w:b/>
          <w:bCs/>
          <w:i w:val="0"/>
          <w:noProof/>
          <w:color w:val="auto"/>
          <w:sz w:val="24"/>
          <w:szCs w:val="24"/>
          <w:lang w:val="en-GB"/>
        </w:rPr>
        <w:t>1</w:t>
      </w:r>
      <w:r w:rsidR="001232BF" w:rsidRPr="000E1B7E">
        <w:rPr>
          <w:rFonts w:ascii="Times New Roman" w:eastAsia="Calibri" w:hAnsi="Times New Roman" w:cs="Times New Roman"/>
          <w:b/>
          <w:bCs/>
          <w:i w:val="0"/>
          <w:color w:val="auto"/>
          <w:sz w:val="24"/>
          <w:szCs w:val="24"/>
          <w:lang w:val="en-GB"/>
        </w:rPr>
        <w:fldChar w:fldCharType="end"/>
      </w:r>
      <w:r w:rsidR="00F23746" w:rsidRPr="000E1B7E">
        <w:rPr>
          <w:rFonts w:ascii="Times New Roman" w:eastAsia="Calibri" w:hAnsi="Times New Roman" w:cs="Times New Roman"/>
          <w:b/>
          <w:bCs/>
          <w:i w:val="0"/>
          <w:color w:val="auto"/>
          <w:sz w:val="24"/>
          <w:szCs w:val="24"/>
          <w:lang w:val="en-GB"/>
        </w:rPr>
        <w:t>: Real GDP Growth (y-o-y percent change)</w:t>
      </w:r>
      <w:bookmarkEnd w:id="49"/>
      <w:r w:rsidR="0063211D" w:rsidRPr="000E1B7E">
        <w:rPr>
          <w:rFonts w:ascii="Times New Roman" w:hAnsi="Times New Roman" w:cs="Times New Roman"/>
          <w:noProof/>
          <w:lang w:val="en-GB" w:eastAsia="en-GB"/>
        </w:rPr>
        <w:drawing>
          <wp:inline distT="0" distB="0" distL="0" distR="0" wp14:anchorId="122EF7EF" wp14:editId="2EEA4ED0">
            <wp:extent cx="5895975" cy="2733675"/>
            <wp:effectExtent l="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F41B60" w14:textId="77777777" w:rsidR="00F23746" w:rsidRPr="000E1B7E" w:rsidRDefault="00F23746" w:rsidP="005959B5">
      <w:pPr>
        <w:tabs>
          <w:tab w:val="left" w:pos="1108"/>
        </w:tabs>
        <w:jc w:val="both"/>
      </w:pPr>
      <w:r w:rsidRPr="000E1B7E">
        <w:t>Source: UBOS</w:t>
      </w:r>
    </w:p>
    <w:p w14:paraId="47CB3C31" w14:textId="77777777" w:rsidR="0058502E" w:rsidRPr="000E1B7E" w:rsidRDefault="0058502E" w:rsidP="005959B5">
      <w:pPr>
        <w:tabs>
          <w:tab w:val="left" w:pos="1108"/>
        </w:tabs>
        <w:spacing w:line="360" w:lineRule="auto"/>
        <w:jc w:val="both"/>
      </w:pPr>
    </w:p>
    <w:p w14:paraId="5AD109A1" w14:textId="77777777" w:rsidR="0058502E" w:rsidRPr="000E1B7E" w:rsidRDefault="0058502E"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One problem with assessing progress in achieving the NDP II growth projections is inconsistencies within the NDP II document itself. For instance, </w:t>
      </w:r>
      <w:r w:rsidR="00C44D7D" w:rsidRPr="000E1B7E">
        <w:rPr>
          <w:rFonts w:ascii="Times New Roman" w:hAnsi="Times New Roman"/>
          <w:sz w:val="24"/>
          <w:szCs w:val="24"/>
        </w:rPr>
        <w:t>the summary Tables 5.3 and 5.1 ( decomposition of growth by sectors and selected Economic and Financial Indicators ) have a different set of GDP growth projections than the Annex Table 5B pg 286</w:t>
      </w:r>
      <w:r w:rsidRPr="000E1B7E">
        <w:rPr>
          <w:rFonts w:ascii="Times New Roman" w:hAnsi="Times New Roman"/>
          <w:sz w:val="24"/>
          <w:szCs w:val="24"/>
        </w:rPr>
        <w:t>, as follows:</w:t>
      </w:r>
    </w:p>
    <w:p w14:paraId="206B398F" w14:textId="77777777" w:rsidR="0058502E" w:rsidRPr="000E1B7E" w:rsidRDefault="00787F7B" w:rsidP="00787F7B">
      <w:pPr>
        <w:pStyle w:val="Caption"/>
        <w:rPr>
          <w:rFonts w:ascii="Times New Roman" w:eastAsia="Calibri" w:hAnsi="Times New Roman" w:cs="Times New Roman"/>
          <w:b/>
          <w:i w:val="0"/>
          <w:iCs w:val="0"/>
          <w:color w:val="auto"/>
          <w:sz w:val="24"/>
          <w:szCs w:val="24"/>
          <w:lang w:val="en-GB"/>
        </w:rPr>
      </w:pPr>
      <w:bookmarkStart w:id="50" w:name="_Toc3483112"/>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2</w:t>
      </w:r>
      <w:r w:rsidR="001232BF" w:rsidRPr="000E1B7E">
        <w:rPr>
          <w:rFonts w:ascii="Times New Roman" w:eastAsia="Calibri" w:hAnsi="Times New Roman" w:cs="Times New Roman"/>
          <w:b/>
          <w:i w:val="0"/>
          <w:iCs w:val="0"/>
          <w:color w:val="auto"/>
          <w:sz w:val="24"/>
          <w:szCs w:val="24"/>
          <w:lang w:val="en-GB"/>
        </w:rPr>
        <w:fldChar w:fldCharType="end"/>
      </w:r>
      <w:r w:rsidR="004D3DE3" w:rsidRPr="000E1B7E">
        <w:rPr>
          <w:rFonts w:ascii="Times New Roman" w:eastAsia="Calibri" w:hAnsi="Times New Roman" w:cs="Times New Roman"/>
          <w:b/>
          <w:i w:val="0"/>
          <w:iCs w:val="0"/>
          <w:color w:val="auto"/>
          <w:sz w:val="24"/>
          <w:szCs w:val="24"/>
          <w:lang w:val="en-GB"/>
        </w:rPr>
        <w:t>: NDP II Real GDP Growth Projections</w:t>
      </w:r>
      <w:bookmarkEnd w:id="50"/>
    </w:p>
    <w:tbl>
      <w:tblPr>
        <w:tblStyle w:val="LightGrid1"/>
        <w:tblW w:w="9072" w:type="dxa"/>
        <w:tblLook w:val="04A0" w:firstRow="1" w:lastRow="0" w:firstColumn="1" w:lastColumn="0" w:noHBand="0" w:noVBand="1"/>
      </w:tblPr>
      <w:tblGrid>
        <w:gridCol w:w="2012"/>
        <w:gridCol w:w="1028"/>
        <w:gridCol w:w="1028"/>
        <w:gridCol w:w="1029"/>
        <w:gridCol w:w="1029"/>
        <w:gridCol w:w="1029"/>
        <w:gridCol w:w="1917"/>
      </w:tblGrid>
      <w:tr w:rsidR="00C165FB" w:rsidRPr="000E1B7E" w14:paraId="2B2F59D2" w14:textId="77777777" w:rsidTr="003E2F3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4C8BF525" w14:textId="77777777" w:rsidR="00C165FB" w:rsidRPr="000E1B7E" w:rsidRDefault="00C165FB" w:rsidP="005959B5">
            <w:pPr>
              <w:spacing w:line="360" w:lineRule="auto"/>
              <w:jc w:val="both"/>
              <w:rPr>
                <w:rFonts w:ascii="Times New Roman" w:hAnsi="Times New Roman" w:cs="Times New Roman"/>
              </w:rPr>
            </w:pPr>
          </w:p>
        </w:tc>
        <w:tc>
          <w:tcPr>
            <w:tcW w:w="0" w:type="auto"/>
            <w:noWrap/>
            <w:hideMark/>
          </w:tcPr>
          <w:p w14:paraId="3048703F" w14:textId="77777777" w:rsidR="0063211D" w:rsidRPr="000E1B7E" w:rsidRDefault="004D3DE3"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E1B7E">
              <w:rPr>
                <w:rFonts w:ascii="Times New Roman" w:hAnsi="Times New Roman" w:cs="Times New Roman"/>
                <w:color w:val="000000"/>
              </w:rPr>
              <w:t>2015/16</w:t>
            </w:r>
          </w:p>
        </w:tc>
        <w:tc>
          <w:tcPr>
            <w:tcW w:w="0" w:type="auto"/>
            <w:noWrap/>
            <w:hideMark/>
          </w:tcPr>
          <w:p w14:paraId="6606F8A0" w14:textId="77777777" w:rsidR="0063211D" w:rsidRPr="000E1B7E" w:rsidRDefault="004D3DE3"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E1B7E">
              <w:rPr>
                <w:rFonts w:ascii="Times New Roman" w:hAnsi="Times New Roman" w:cs="Times New Roman"/>
                <w:color w:val="000000"/>
              </w:rPr>
              <w:t>2016/17</w:t>
            </w:r>
          </w:p>
        </w:tc>
        <w:tc>
          <w:tcPr>
            <w:tcW w:w="0" w:type="auto"/>
            <w:noWrap/>
            <w:hideMark/>
          </w:tcPr>
          <w:p w14:paraId="347D06DD" w14:textId="77777777" w:rsidR="0063211D" w:rsidRPr="000E1B7E" w:rsidRDefault="004D3DE3"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E1B7E">
              <w:rPr>
                <w:rFonts w:ascii="Times New Roman" w:hAnsi="Times New Roman" w:cs="Times New Roman"/>
                <w:color w:val="000000"/>
              </w:rPr>
              <w:t>2017/18</w:t>
            </w:r>
          </w:p>
        </w:tc>
        <w:tc>
          <w:tcPr>
            <w:tcW w:w="0" w:type="auto"/>
            <w:noWrap/>
            <w:hideMark/>
          </w:tcPr>
          <w:p w14:paraId="3B7D25FA" w14:textId="77777777" w:rsidR="0063211D" w:rsidRPr="000E1B7E" w:rsidRDefault="004D3DE3"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0E1B7E">
              <w:rPr>
                <w:rFonts w:ascii="Times New Roman" w:hAnsi="Times New Roman" w:cs="Times New Roman"/>
                <w:color w:val="000000"/>
              </w:rPr>
              <w:t>2018/19</w:t>
            </w:r>
          </w:p>
        </w:tc>
        <w:tc>
          <w:tcPr>
            <w:tcW w:w="0" w:type="auto"/>
            <w:noWrap/>
            <w:hideMark/>
          </w:tcPr>
          <w:p w14:paraId="4B26AB8E" w14:textId="77777777" w:rsidR="0063211D" w:rsidRPr="000E1B7E" w:rsidRDefault="004D3DE3"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2019/20</w:t>
            </w:r>
          </w:p>
        </w:tc>
        <w:tc>
          <w:tcPr>
            <w:tcW w:w="0" w:type="auto"/>
            <w:noWrap/>
            <w:hideMark/>
          </w:tcPr>
          <w:p w14:paraId="25904838" w14:textId="77777777" w:rsidR="0063211D" w:rsidRPr="000E1B7E" w:rsidRDefault="004D3DE3"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Average NDP II</w:t>
            </w:r>
          </w:p>
        </w:tc>
      </w:tr>
      <w:tr w:rsidR="00C165FB" w:rsidRPr="000E1B7E" w14:paraId="56F98FC6" w14:textId="77777777" w:rsidTr="003E2F3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95A016" w14:textId="77777777" w:rsidR="00C165FB" w:rsidRPr="000E1B7E" w:rsidRDefault="004D3DE3" w:rsidP="005959B5">
            <w:pPr>
              <w:spacing w:line="360" w:lineRule="auto"/>
              <w:jc w:val="both"/>
              <w:rPr>
                <w:rFonts w:ascii="Times New Roman" w:hAnsi="Times New Roman" w:cs="Times New Roman"/>
                <w:color w:val="000000"/>
              </w:rPr>
            </w:pPr>
            <w:r w:rsidRPr="000E1B7E">
              <w:rPr>
                <w:rFonts w:ascii="Times New Roman" w:hAnsi="Times New Roman" w:cs="Times New Roman"/>
                <w:color w:val="000000"/>
              </w:rPr>
              <w:t>NDP</w:t>
            </w:r>
            <w:r w:rsidR="00017069" w:rsidRPr="000E1B7E">
              <w:rPr>
                <w:rFonts w:ascii="Times New Roman" w:hAnsi="Times New Roman" w:cs="Times New Roman"/>
                <w:color w:val="000000"/>
              </w:rPr>
              <w:t xml:space="preserve"> II</w:t>
            </w:r>
            <w:r w:rsidRPr="000E1B7E">
              <w:rPr>
                <w:rFonts w:ascii="Times New Roman" w:hAnsi="Times New Roman" w:cs="Times New Roman"/>
                <w:color w:val="000000"/>
              </w:rPr>
              <w:t xml:space="preserve"> Table 5B</w:t>
            </w:r>
          </w:p>
        </w:tc>
        <w:tc>
          <w:tcPr>
            <w:tcW w:w="0" w:type="auto"/>
            <w:noWrap/>
            <w:hideMark/>
          </w:tcPr>
          <w:p w14:paraId="512B3AD1" w14:textId="77777777" w:rsidR="00C165FB" w:rsidRPr="000E1B7E" w:rsidRDefault="004D3DE3"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E1B7E">
              <w:rPr>
                <w:color w:val="000000"/>
              </w:rPr>
              <w:t>5.5</w:t>
            </w:r>
          </w:p>
        </w:tc>
        <w:tc>
          <w:tcPr>
            <w:tcW w:w="0" w:type="auto"/>
            <w:noWrap/>
            <w:hideMark/>
          </w:tcPr>
          <w:p w14:paraId="027C4111" w14:textId="77777777" w:rsidR="00C165FB" w:rsidRPr="000E1B7E" w:rsidRDefault="004D3DE3"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E1B7E">
              <w:rPr>
                <w:color w:val="000000"/>
              </w:rPr>
              <w:t>5.7</w:t>
            </w:r>
          </w:p>
        </w:tc>
        <w:tc>
          <w:tcPr>
            <w:tcW w:w="0" w:type="auto"/>
            <w:noWrap/>
            <w:hideMark/>
          </w:tcPr>
          <w:p w14:paraId="73D8D42F" w14:textId="77777777" w:rsidR="00C165FB" w:rsidRPr="000E1B7E" w:rsidRDefault="004D3DE3"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E1B7E">
              <w:rPr>
                <w:color w:val="000000"/>
              </w:rPr>
              <w:t>6</w:t>
            </w:r>
            <w:r w:rsidR="00017069" w:rsidRPr="000E1B7E">
              <w:rPr>
                <w:color w:val="000000"/>
              </w:rPr>
              <w:t>.0</w:t>
            </w:r>
          </w:p>
        </w:tc>
        <w:tc>
          <w:tcPr>
            <w:tcW w:w="0" w:type="auto"/>
            <w:noWrap/>
            <w:hideMark/>
          </w:tcPr>
          <w:p w14:paraId="6050F2F4" w14:textId="77777777" w:rsidR="00C165FB" w:rsidRPr="000E1B7E" w:rsidRDefault="004D3DE3"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E1B7E">
              <w:rPr>
                <w:color w:val="000000"/>
              </w:rPr>
              <w:t>6.1</w:t>
            </w:r>
          </w:p>
        </w:tc>
        <w:tc>
          <w:tcPr>
            <w:tcW w:w="0" w:type="auto"/>
            <w:noWrap/>
            <w:hideMark/>
          </w:tcPr>
          <w:p w14:paraId="1C85705B" w14:textId="77777777" w:rsidR="00C165FB" w:rsidRPr="000E1B7E" w:rsidRDefault="004D3DE3"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E1B7E">
              <w:rPr>
                <w:color w:val="000000"/>
              </w:rPr>
              <w:t>6.3</w:t>
            </w:r>
          </w:p>
        </w:tc>
        <w:tc>
          <w:tcPr>
            <w:tcW w:w="0" w:type="auto"/>
            <w:noWrap/>
            <w:hideMark/>
          </w:tcPr>
          <w:p w14:paraId="4634143F" w14:textId="77777777" w:rsidR="00C165FB" w:rsidRPr="000E1B7E" w:rsidRDefault="004D3DE3"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rPr>
            </w:pPr>
            <w:r w:rsidRPr="000E1B7E">
              <w:rPr>
                <w:color w:val="000000"/>
              </w:rPr>
              <w:t>5.9</w:t>
            </w:r>
          </w:p>
        </w:tc>
      </w:tr>
      <w:tr w:rsidR="00C165FB" w:rsidRPr="000E1B7E" w14:paraId="2B290892" w14:textId="77777777" w:rsidTr="003E2F36">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0D856F" w14:textId="77777777" w:rsidR="00C165FB" w:rsidRPr="000E1B7E" w:rsidRDefault="004D3DE3" w:rsidP="005959B5">
            <w:pPr>
              <w:spacing w:line="360" w:lineRule="auto"/>
              <w:jc w:val="both"/>
              <w:rPr>
                <w:rFonts w:ascii="Times New Roman" w:hAnsi="Times New Roman" w:cs="Times New Roman"/>
                <w:color w:val="000000"/>
              </w:rPr>
            </w:pPr>
            <w:r w:rsidRPr="000E1B7E">
              <w:rPr>
                <w:rFonts w:ascii="Times New Roman" w:hAnsi="Times New Roman" w:cs="Times New Roman"/>
                <w:color w:val="000000"/>
              </w:rPr>
              <w:t xml:space="preserve">NDP </w:t>
            </w:r>
            <w:r w:rsidR="00017069" w:rsidRPr="000E1B7E">
              <w:rPr>
                <w:rFonts w:ascii="Times New Roman" w:hAnsi="Times New Roman" w:cs="Times New Roman"/>
                <w:color w:val="000000"/>
              </w:rPr>
              <w:t xml:space="preserve">II </w:t>
            </w:r>
            <w:r w:rsidRPr="000E1B7E">
              <w:rPr>
                <w:rFonts w:ascii="Times New Roman" w:hAnsi="Times New Roman" w:cs="Times New Roman"/>
                <w:color w:val="000000"/>
              </w:rPr>
              <w:t>Table</w:t>
            </w:r>
            <w:r w:rsidR="00017069" w:rsidRPr="000E1B7E">
              <w:rPr>
                <w:rFonts w:ascii="Times New Roman" w:hAnsi="Times New Roman" w:cs="Times New Roman"/>
                <w:color w:val="000000"/>
              </w:rPr>
              <w:t xml:space="preserve"> 5.3</w:t>
            </w:r>
          </w:p>
        </w:tc>
        <w:tc>
          <w:tcPr>
            <w:tcW w:w="0" w:type="auto"/>
            <w:noWrap/>
            <w:hideMark/>
          </w:tcPr>
          <w:p w14:paraId="04C4B963" w14:textId="77777777" w:rsidR="00C165FB" w:rsidRPr="000E1B7E" w:rsidRDefault="004D3DE3" w:rsidP="005959B5">
            <w:pPr>
              <w:spacing w:line="360" w:lineRule="auto"/>
              <w:jc w:val="both"/>
              <w:cnfStyle w:val="000000010000" w:firstRow="0" w:lastRow="0" w:firstColumn="0" w:lastColumn="0" w:oddVBand="0" w:evenVBand="0" w:oddHBand="0" w:evenHBand="1" w:firstRowFirstColumn="0" w:firstRowLastColumn="0" w:lastRowFirstColumn="0" w:lastRowLastColumn="0"/>
              <w:rPr>
                <w:color w:val="000000"/>
              </w:rPr>
            </w:pPr>
            <w:r w:rsidRPr="000E1B7E">
              <w:rPr>
                <w:color w:val="000000"/>
              </w:rPr>
              <w:t>5.8</w:t>
            </w:r>
          </w:p>
        </w:tc>
        <w:tc>
          <w:tcPr>
            <w:tcW w:w="0" w:type="auto"/>
            <w:noWrap/>
            <w:hideMark/>
          </w:tcPr>
          <w:p w14:paraId="0A08B813" w14:textId="77777777" w:rsidR="00C165FB" w:rsidRPr="000E1B7E" w:rsidRDefault="004D3DE3" w:rsidP="005959B5">
            <w:pPr>
              <w:spacing w:line="360" w:lineRule="auto"/>
              <w:jc w:val="both"/>
              <w:cnfStyle w:val="000000010000" w:firstRow="0" w:lastRow="0" w:firstColumn="0" w:lastColumn="0" w:oddVBand="0" w:evenVBand="0" w:oddHBand="0" w:evenHBand="1" w:firstRowFirstColumn="0" w:firstRowLastColumn="0" w:lastRowFirstColumn="0" w:lastRowLastColumn="0"/>
              <w:rPr>
                <w:color w:val="000000"/>
              </w:rPr>
            </w:pPr>
            <w:r w:rsidRPr="000E1B7E">
              <w:rPr>
                <w:color w:val="000000"/>
              </w:rPr>
              <w:t>5.9</w:t>
            </w:r>
          </w:p>
        </w:tc>
        <w:tc>
          <w:tcPr>
            <w:tcW w:w="0" w:type="auto"/>
            <w:noWrap/>
            <w:hideMark/>
          </w:tcPr>
          <w:p w14:paraId="0B8A71B8" w14:textId="77777777" w:rsidR="00C165FB" w:rsidRPr="000E1B7E" w:rsidRDefault="004D3DE3" w:rsidP="005959B5">
            <w:pPr>
              <w:spacing w:line="360" w:lineRule="auto"/>
              <w:jc w:val="both"/>
              <w:cnfStyle w:val="000000010000" w:firstRow="0" w:lastRow="0" w:firstColumn="0" w:lastColumn="0" w:oddVBand="0" w:evenVBand="0" w:oddHBand="0" w:evenHBand="1" w:firstRowFirstColumn="0" w:firstRowLastColumn="0" w:lastRowFirstColumn="0" w:lastRowLastColumn="0"/>
              <w:rPr>
                <w:color w:val="000000"/>
              </w:rPr>
            </w:pPr>
            <w:r w:rsidRPr="000E1B7E">
              <w:rPr>
                <w:color w:val="000000"/>
              </w:rPr>
              <w:t>6.4</w:t>
            </w:r>
          </w:p>
        </w:tc>
        <w:tc>
          <w:tcPr>
            <w:tcW w:w="0" w:type="auto"/>
            <w:noWrap/>
            <w:hideMark/>
          </w:tcPr>
          <w:p w14:paraId="593957E4" w14:textId="77777777" w:rsidR="00C165FB" w:rsidRPr="000E1B7E" w:rsidRDefault="004D3DE3" w:rsidP="005959B5">
            <w:pPr>
              <w:spacing w:line="360" w:lineRule="auto"/>
              <w:jc w:val="both"/>
              <w:cnfStyle w:val="000000010000" w:firstRow="0" w:lastRow="0" w:firstColumn="0" w:lastColumn="0" w:oddVBand="0" w:evenVBand="0" w:oddHBand="0" w:evenHBand="1" w:firstRowFirstColumn="0" w:firstRowLastColumn="0" w:lastRowFirstColumn="0" w:lastRowLastColumn="0"/>
              <w:rPr>
                <w:color w:val="000000"/>
              </w:rPr>
            </w:pPr>
            <w:r w:rsidRPr="000E1B7E">
              <w:rPr>
                <w:color w:val="000000"/>
              </w:rPr>
              <w:t>6.6</w:t>
            </w:r>
          </w:p>
        </w:tc>
        <w:tc>
          <w:tcPr>
            <w:tcW w:w="0" w:type="auto"/>
            <w:noWrap/>
            <w:hideMark/>
          </w:tcPr>
          <w:p w14:paraId="07ED9A93" w14:textId="77777777" w:rsidR="00C165FB" w:rsidRPr="000E1B7E" w:rsidRDefault="004D3DE3" w:rsidP="005959B5">
            <w:pPr>
              <w:spacing w:line="360" w:lineRule="auto"/>
              <w:jc w:val="both"/>
              <w:cnfStyle w:val="000000010000" w:firstRow="0" w:lastRow="0" w:firstColumn="0" w:lastColumn="0" w:oddVBand="0" w:evenVBand="0" w:oddHBand="0" w:evenHBand="1" w:firstRowFirstColumn="0" w:firstRowLastColumn="0" w:lastRowFirstColumn="0" w:lastRowLastColumn="0"/>
              <w:rPr>
                <w:color w:val="000000"/>
              </w:rPr>
            </w:pPr>
            <w:r w:rsidRPr="000E1B7E">
              <w:rPr>
                <w:color w:val="000000"/>
              </w:rPr>
              <w:t>6.8</w:t>
            </w:r>
          </w:p>
        </w:tc>
        <w:tc>
          <w:tcPr>
            <w:tcW w:w="0" w:type="auto"/>
            <w:noWrap/>
            <w:hideMark/>
          </w:tcPr>
          <w:p w14:paraId="414FBD96" w14:textId="77777777" w:rsidR="00C165FB" w:rsidRPr="000E1B7E" w:rsidRDefault="004D3DE3" w:rsidP="005959B5">
            <w:pPr>
              <w:spacing w:line="360" w:lineRule="auto"/>
              <w:jc w:val="both"/>
              <w:cnfStyle w:val="000000010000" w:firstRow="0" w:lastRow="0" w:firstColumn="0" w:lastColumn="0" w:oddVBand="0" w:evenVBand="0" w:oddHBand="0" w:evenHBand="1" w:firstRowFirstColumn="0" w:firstRowLastColumn="0" w:lastRowFirstColumn="0" w:lastRowLastColumn="0"/>
              <w:rPr>
                <w:color w:val="000000"/>
              </w:rPr>
            </w:pPr>
            <w:r w:rsidRPr="000E1B7E">
              <w:rPr>
                <w:color w:val="000000"/>
              </w:rPr>
              <w:t>6.3</w:t>
            </w:r>
          </w:p>
        </w:tc>
      </w:tr>
    </w:tbl>
    <w:p w14:paraId="603AA426" w14:textId="77777777" w:rsidR="0058502E" w:rsidRPr="000E1B7E" w:rsidRDefault="0058502E" w:rsidP="005959B5">
      <w:pPr>
        <w:tabs>
          <w:tab w:val="left" w:pos="1108"/>
        </w:tabs>
        <w:spacing w:line="360" w:lineRule="auto"/>
        <w:contextualSpacing/>
        <w:jc w:val="both"/>
      </w:pPr>
    </w:p>
    <w:p w14:paraId="44B84136" w14:textId="77777777" w:rsidR="0063211D" w:rsidRPr="000E1B7E" w:rsidRDefault="00CD0687" w:rsidP="00C11847">
      <w:pPr>
        <w:pStyle w:val="DeltaSeched2"/>
      </w:pPr>
      <w:bookmarkStart w:id="51" w:name="_Toc3478372"/>
      <w:bookmarkStart w:id="52" w:name="_Toc11956257"/>
      <w:r w:rsidRPr="000E1B7E">
        <w:t xml:space="preserve">Real Gross Domestic </w:t>
      </w:r>
      <w:r w:rsidR="003A36B3" w:rsidRPr="000E1B7E">
        <w:t>Product and</w:t>
      </w:r>
      <w:r w:rsidR="00092593" w:rsidRPr="000E1B7E">
        <w:t xml:space="preserve"> Sector Contribution</w:t>
      </w:r>
      <w:bookmarkEnd w:id="51"/>
      <w:bookmarkEnd w:id="52"/>
    </w:p>
    <w:p w14:paraId="6BAA94AC" w14:textId="77777777" w:rsidR="00864C0C" w:rsidRPr="000E1B7E" w:rsidRDefault="00F23746"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NDP II envisages </w:t>
      </w:r>
      <w:r w:rsidR="001A2F22" w:rsidRPr="000E1B7E">
        <w:rPr>
          <w:rFonts w:ascii="Times New Roman" w:hAnsi="Times New Roman"/>
          <w:sz w:val="24"/>
          <w:szCs w:val="24"/>
        </w:rPr>
        <w:t>a small change in the structure of GDP during the Plan period, with agriculture gradually declining (from a projected 21.7% in 2015/16 to 19.9% in 2019/20), with Industry and Services both increasing their shares over the same period. Hence the growth rate of the agricultural sector was projected t</w:t>
      </w:r>
      <w:r w:rsidR="00132068" w:rsidRPr="000E1B7E">
        <w:rPr>
          <w:rFonts w:ascii="Times New Roman" w:hAnsi="Times New Roman"/>
          <w:sz w:val="24"/>
          <w:szCs w:val="24"/>
        </w:rPr>
        <w:t>o</w:t>
      </w:r>
      <w:r w:rsidR="001A2F22" w:rsidRPr="000E1B7E">
        <w:rPr>
          <w:rFonts w:ascii="Times New Roman" w:hAnsi="Times New Roman"/>
          <w:sz w:val="24"/>
          <w:szCs w:val="24"/>
        </w:rPr>
        <w:t xml:space="preserve"> be lower than those of </w:t>
      </w:r>
      <w:r w:rsidR="00BC140C" w:rsidRPr="000E1B7E">
        <w:rPr>
          <w:rFonts w:ascii="Times New Roman" w:hAnsi="Times New Roman"/>
          <w:sz w:val="24"/>
          <w:szCs w:val="24"/>
        </w:rPr>
        <w:t>industry and s</w:t>
      </w:r>
      <w:r w:rsidR="001A2F22" w:rsidRPr="000E1B7E">
        <w:rPr>
          <w:rFonts w:ascii="Times New Roman" w:hAnsi="Times New Roman"/>
          <w:sz w:val="24"/>
          <w:szCs w:val="24"/>
        </w:rPr>
        <w:t>ervices during NDP II. Services were projected to account for 51% of</w:t>
      </w:r>
      <w:r w:rsidR="00BC140C" w:rsidRPr="000E1B7E">
        <w:rPr>
          <w:rFonts w:ascii="Times New Roman" w:hAnsi="Times New Roman"/>
          <w:sz w:val="24"/>
          <w:szCs w:val="24"/>
        </w:rPr>
        <w:t xml:space="preserve"> the</w:t>
      </w:r>
      <w:r w:rsidR="001A2F22" w:rsidRPr="000E1B7E">
        <w:rPr>
          <w:rFonts w:ascii="Times New Roman" w:hAnsi="Times New Roman"/>
          <w:sz w:val="24"/>
          <w:szCs w:val="24"/>
        </w:rPr>
        <w:t xml:space="preserve"> GDP during NDP II, with </w:t>
      </w:r>
      <w:r w:rsidR="00BC140C" w:rsidRPr="000E1B7E">
        <w:rPr>
          <w:rFonts w:ascii="Times New Roman" w:hAnsi="Times New Roman"/>
          <w:sz w:val="24"/>
          <w:szCs w:val="24"/>
        </w:rPr>
        <w:t>i</w:t>
      </w:r>
      <w:r w:rsidR="001A2F22" w:rsidRPr="000E1B7E">
        <w:rPr>
          <w:rFonts w:ascii="Times New Roman" w:hAnsi="Times New Roman"/>
          <w:sz w:val="24"/>
          <w:szCs w:val="24"/>
        </w:rPr>
        <w:t xml:space="preserve">ndustry 28% and </w:t>
      </w:r>
      <w:r w:rsidR="00BC140C" w:rsidRPr="000E1B7E">
        <w:rPr>
          <w:rFonts w:ascii="Times New Roman" w:hAnsi="Times New Roman"/>
          <w:sz w:val="24"/>
          <w:szCs w:val="24"/>
        </w:rPr>
        <w:t>a</w:t>
      </w:r>
      <w:r w:rsidR="001A2F22" w:rsidRPr="000E1B7E">
        <w:rPr>
          <w:rFonts w:ascii="Times New Roman" w:hAnsi="Times New Roman"/>
          <w:sz w:val="24"/>
          <w:szCs w:val="24"/>
        </w:rPr>
        <w:t>griculture 21%.</w:t>
      </w:r>
    </w:p>
    <w:p w14:paraId="0A168572" w14:textId="77777777" w:rsidR="004B40B8" w:rsidRPr="000E1B7E" w:rsidRDefault="001537AB"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lastRenderedPageBreak/>
        <w:t xml:space="preserve">As expected, </w:t>
      </w:r>
      <w:r w:rsidR="000A1226" w:rsidRPr="000E1B7E">
        <w:rPr>
          <w:rFonts w:ascii="Times New Roman" w:hAnsi="Times New Roman"/>
          <w:sz w:val="24"/>
          <w:szCs w:val="24"/>
        </w:rPr>
        <w:t>S</w:t>
      </w:r>
      <w:r w:rsidR="00092593" w:rsidRPr="000E1B7E">
        <w:rPr>
          <w:rFonts w:ascii="Times New Roman" w:hAnsi="Times New Roman"/>
          <w:sz w:val="24"/>
          <w:szCs w:val="24"/>
        </w:rPr>
        <w:t xml:space="preserve">ervices continued to dominate contribution to GDP over the review period.  </w:t>
      </w:r>
      <w:r w:rsidR="00477581" w:rsidRPr="000E1B7E">
        <w:rPr>
          <w:rFonts w:ascii="Times New Roman" w:hAnsi="Times New Roman"/>
          <w:sz w:val="24"/>
          <w:szCs w:val="24"/>
        </w:rPr>
        <w:t xml:space="preserve">In 2017/18, the Services </w:t>
      </w:r>
      <w:r w:rsidRPr="000E1B7E">
        <w:rPr>
          <w:rFonts w:ascii="Times New Roman" w:hAnsi="Times New Roman"/>
          <w:sz w:val="24"/>
          <w:szCs w:val="24"/>
        </w:rPr>
        <w:t>accounted for 57.1% of GDP,</w:t>
      </w:r>
      <w:r w:rsidR="00477581" w:rsidRPr="000E1B7E">
        <w:rPr>
          <w:rFonts w:ascii="Times New Roman" w:hAnsi="Times New Roman"/>
          <w:sz w:val="24"/>
          <w:szCs w:val="24"/>
        </w:rPr>
        <w:t xml:space="preserve">while </w:t>
      </w:r>
      <w:r w:rsidR="00BC140C" w:rsidRPr="000E1B7E">
        <w:rPr>
          <w:rFonts w:ascii="Times New Roman" w:hAnsi="Times New Roman"/>
          <w:sz w:val="24"/>
          <w:szCs w:val="24"/>
        </w:rPr>
        <w:t>a</w:t>
      </w:r>
      <w:r w:rsidR="00477581" w:rsidRPr="000E1B7E">
        <w:rPr>
          <w:rFonts w:ascii="Times New Roman" w:hAnsi="Times New Roman"/>
          <w:sz w:val="24"/>
          <w:szCs w:val="24"/>
        </w:rPr>
        <w:t xml:space="preserve">griculture, forestry and fishing and Industry were </w:t>
      </w:r>
      <w:r w:rsidRPr="000E1B7E">
        <w:rPr>
          <w:rFonts w:ascii="Times New Roman" w:hAnsi="Times New Roman"/>
          <w:sz w:val="24"/>
          <w:szCs w:val="24"/>
        </w:rPr>
        <w:t>2</w:t>
      </w:r>
      <w:r w:rsidR="00477581" w:rsidRPr="000E1B7E">
        <w:rPr>
          <w:rFonts w:ascii="Times New Roman" w:hAnsi="Times New Roman"/>
          <w:sz w:val="24"/>
          <w:szCs w:val="24"/>
        </w:rPr>
        <w:t>2</w:t>
      </w:r>
      <w:r w:rsidRPr="000E1B7E">
        <w:rPr>
          <w:rFonts w:ascii="Times New Roman" w:hAnsi="Times New Roman"/>
          <w:sz w:val="24"/>
          <w:szCs w:val="24"/>
        </w:rPr>
        <w:t>.8</w:t>
      </w:r>
      <w:r w:rsidR="00477581" w:rsidRPr="000E1B7E">
        <w:rPr>
          <w:rFonts w:ascii="Times New Roman" w:hAnsi="Times New Roman"/>
          <w:sz w:val="24"/>
          <w:szCs w:val="24"/>
        </w:rPr>
        <w:t xml:space="preserve">% and </w:t>
      </w:r>
      <w:r w:rsidRPr="000E1B7E">
        <w:rPr>
          <w:rFonts w:ascii="Times New Roman" w:hAnsi="Times New Roman"/>
          <w:sz w:val="24"/>
          <w:szCs w:val="24"/>
        </w:rPr>
        <w:t>20.2</w:t>
      </w:r>
      <w:r w:rsidR="00477581" w:rsidRPr="000E1B7E">
        <w:rPr>
          <w:rFonts w:ascii="Times New Roman" w:hAnsi="Times New Roman"/>
          <w:sz w:val="24"/>
          <w:szCs w:val="24"/>
        </w:rPr>
        <w:t>% respectively. From the base year (2014/15), the contribution of</w:t>
      </w:r>
      <w:r w:rsidR="00092593" w:rsidRPr="000E1B7E">
        <w:rPr>
          <w:rFonts w:ascii="Times New Roman" w:hAnsi="Times New Roman"/>
          <w:sz w:val="24"/>
          <w:szCs w:val="24"/>
        </w:rPr>
        <w:t xml:space="preserve"> the </w:t>
      </w:r>
      <w:r w:rsidRPr="000E1B7E">
        <w:rPr>
          <w:rFonts w:ascii="Times New Roman" w:hAnsi="Times New Roman"/>
          <w:sz w:val="24"/>
          <w:szCs w:val="24"/>
        </w:rPr>
        <w:t>S</w:t>
      </w:r>
      <w:r w:rsidR="00092593" w:rsidRPr="000E1B7E">
        <w:rPr>
          <w:rFonts w:ascii="Times New Roman" w:hAnsi="Times New Roman"/>
          <w:sz w:val="24"/>
          <w:szCs w:val="24"/>
        </w:rPr>
        <w:t xml:space="preserve">ervices </w:t>
      </w:r>
      <w:r w:rsidRPr="000E1B7E">
        <w:rPr>
          <w:rFonts w:ascii="Times New Roman" w:hAnsi="Times New Roman"/>
          <w:sz w:val="24"/>
          <w:szCs w:val="24"/>
        </w:rPr>
        <w:t xml:space="preserve">sector </w:t>
      </w:r>
      <w:r w:rsidR="00092593" w:rsidRPr="000E1B7E">
        <w:rPr>
          <w:rFonts w:ascii="Times New Roman" w:hAnsi="Times New Roman"/>
          <w:sz w:val="24"/>
          <w:szCs w:val="24"/>
        </w:rPr>
        <w:t>to GDP increased by 2.</w:t>
      </w:r>
      <w:r w:rsidRPr="000E1B7E">
        <w:rPr>
          <w:rFonts w:ascii="Times New Roman" w:hAnsi="Times New Roman"/>
          <w:sz w:val="24"/>
          <w:szCs w:val="24"/>
        </w:rPr>
        <w:t>0</w:t>
      </w:r>
      <w:r w:rsidR="00092593" w:rsidRPr="000E1B7E">
        <w:rPr>
          <w:rFonts w:ascii="Times New Roman" w:hAnsi="Times New Roman"/>
          <w:sz w:val="24"/>
          <w:szCs w:val="24"/>
        </w:rPr>
        <w:t xml:space="preserve"> percentage points, while the contribution of </w:t>
      </w:r>
      <w:r w:rsidR="00BC140C" w:rsidRPr="000E1B7E">
        <w:rPr>
          <w:rFonts w:ascii="Times New Roman" w:hAnsi="Times New Roman"/>
          <w:sz w:val="24"/>
          <w:szCs w:val="24"/>
        </w:rPr>
        <w:t>a</w:t>
      </w:r>
      <w:r w:rsidR="00477581" w:rsidRPr="000E1B7E">
        <w:rPr>
          <w:rFonts w:ascii="Times New Roman" w:hAnsi="Times New Roman"/>
          <w:sz w:val="24"/>
          <w:szCs w:val="24"/>
        </w:rPr>
        <w:t xml:space="preserve">griculture, forestry and fishing and </w:t>
      </w:r>
      <w:r w:rsidR="00BC140C" w:rsidRPr="000E1B7E">
        <w:rPr>
          <w:rFonts w:ascii="Times New Roman" w:hAnsi="Times New Roman"/>
          <w:sz w:val="24"/>
          <w:szCs w:val="24"/>
        </w:rPr>
        <w:t>i</w:t>
      </w:r>
      <w:r w:rsidR="00477581" w:rsidRPr="000E1B7E">
        <w:rPr>
          <w:rFonts w:ascii="Times New Roman" w:hAnsi="Times New Roman"/>
          <w:sz w:val="24"/>
          <w:szCs w:val="24"/>
        </w:rPr>
        <w:t>Industry declined by 1.</w:t>
      </w:r>
      <w:r w:rsidRPr="000E1B7E">
        <w:rPr>
          <w:rFonts w:ascii="Times New Roman" w:hAnsi="Times New Roman"/>
          <w:sz w:val="24"/>
          <w:szCs w:val="24"/>
        </w:rPr>
        <w:t>7</w:t>
      </w:r>
      <w:r w:rsidR="00477581" w:rsidRPr="000E1B7E">
        <w:rPr>
          <w:rFonts w:ascii="Times New Roman" w:hAnsi="Times New Roman"/>
          <w:sz w:val="24"/>
          <w:szCs w:val="24"/>
        </w:rPr>
        <w:t>and 0.</w:t>
      </w:r>
      <w:r w:rsidRPr="000E1B7E">
        <w:rPr>
          <w:rFonts w:ascii="Times New Roman" w:hAnsi="Times New Roman"/>
          <w:sz w:val="24"/>
          <w:szCs w:val="24"/>
        </w:rPr>
        <w:t>3</w:t>
      </w:r>
      <w:r w:rsidR="00477581" w:rsidRPr="000E1B7E">
        <w:rPr>
          <w:rFonts w:ascii="Times New Roman" w:hAnsi="Times New Roman"/>
          <w:sz w:val="24"/>
          <w:szCs w:val="24"/>
        </w:rPr>
        <w:t>percentage points respectively</w:t>
      </w:r>
      <w:r w:rsidR="003A36B3" w:rsidRPr="000E1B7E">
        <w:rPr>
          <w:rFonts w:ascii="Times New Roman" w:hAnsi="Times New Roman"/>
          <w:sz w:val="24"/>
          <w:szCs w:val="24"/>
        </w:rPr>
        <w:t xml:space="preserve">. </w:t>
      </w:r>
      <w:r w:rsidR="004B40B8" w:rsidRPr="000E1B7E">
        <w:rPr>
          <w:rFonts w:ascii="Times New Roman" w:hAnsi="Times New Roman"/>
          <w:sz w:val="24"/>
          <w:szCs w:val="24"/>
        </w:rPr>
        <w:t>The increase in services sector contribution has mainly been driven by increase in the contribution of information and communication services.</w:t>
      </w:r>
    </w:p>
    <w:p w14:paraId="1D0A1CBD" w14:textId="77777777" w:rsidR="001537AB" w:rsidRPr="000E1B7E" w:rsidRDefault="001537AB"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major differences between the outturn and the NDP II projections for sectoral shares reflect the lack of anticipated transformation of the economy during NDP I. When NDP II was prepared, the most recent (baseline) data was for 2012/13</w:t>
      </w:r>
      <w:r w:rsidR="00BC140C" w:rsidRPr="000E1B7E">
        <w:rPr>
          <w:rFonts w:ascii="Times New Roman" w:hAnsi="Times New Roman"/>
          <w:sz w:val="24"/>
          <w:szCs w:val="24"/>
        </w:rPr>
        <w:t>;</w:t>
      </w:r>
      <w:r w:rsidRPr="000E1B7E">
        <w:rPr>
          <w:rFonts w:ascii="Times New Roman" w:hAnsi="Times New Roman"/>
          <w:sz w:val="24"/>
          <w:szCs w:val="24"/>
        </w:rPr>
        <w:t xml:space="preserve"> and major changes were expected between that time and the start of NDP II in 2015/16. For instance, the share of Industry was projected to have increased from 20.7% to 27.3% of GDP over </w:t>
      </w:r>
      <w:r w:rsidR="004B40B8" w:rsidRPr="000E1B7E">
        <w:rPr>
          <w:rFonts w:ascii="Times New Roman" w:hAnsi="Times New Roman"/>
          <w:sz w:val="24"/>
          <w:szCs w:val="24"/>
        </w:rPr>
        <w:t xml:space="preserve">the </w:t>
      </w:r>
      <w:r w:rsidRPr="000E1B7E">
        <w:rPr>
          <w:rFonts w:ascii="Times New Roman" w:hAnsi="Times New Roman"/>
          <w:sz w:val="24"/>
          <w:szCs w:val="24"/>
        </w:rPr>
        <w:t xml:space="preserve">three year period </w:t>
      </w:r>
      <w:r w:rsidR="004B40B8" w:rsidRPr="000E1B7E">
        <w:rPr>
          <w:rFonts w:ascii="Times New Roman" w:hAnsi="Times New Roman"/>
          <w:sz w:val="24"/>
          <w:szCs w:val="24"/>
        </w:rPr>
        <w:t xml:space="preserve">from 2012/13 to 2015/16 </w:t>
      </w:r>
      <w:r w:rsidRPr="000E1B7E">
        <w:rPr>
          <w:rFonts w:ascii="Times New Roman" w:hAnsi="Times New Roman"/>
          <w:sz w:val="24"/>
          <w:szCs w:val="24"/>
        </w:rPr>
        <w:t xml:space="preserve">(an unrealistic projection, as explained below). In fact, it was 20.4% in 2015/16, so slightly below the NDP II baseline and well below the NDP II projection for that year. The counterpart to this was </w:t>
      </w:r>
      <w:r w:rsidR="00BC140C" w:rsidRPr="000E1B7E">
        <w:rPr>
          <w:rFonts w:ascii="Times New Roman" w:hAnsi="Times New Roman"/>
          <w:sz w:val="24"/>
          <w:szCs w:val="24"/>
        </w:rPr>
        <w:t>that the share of s</w:t>
      </w:r>
      <w:r w:rsidRPr="000E1B7E">
        <w:rPr>
          <w:rFonts w:ascii="Times New Roman" w:hAnsi="Times New Roman"/>
          <w:sz w:val="24"/>
          <w:szCs w:val="24"/>
        </w:rPr>
        <w:t xml:space="preserve">ervices was much larger in </w:t>
      </w:r>
      <w:r w:rsidR="004B40B8" w:rsidRPr="000E1B7E">
        <w:rPr>
          <w:rFonts w:ascii="Times New Roman" w:hAnsi="Times New Roman"/>
          <w:sz w:val="24"/>
          <w:szCs w:val="24"/>
        </w:rPr>
        <w:t xml:space="preserve">2015/16 (55.7%) </w:t>
      </w:r>
      <w:r w:rsidRPr="000E1B7E">
        <w:rPr>
          <w:rFonts w:ascii="Times New Roman" w:hAnsi="Times New Roman"/>
          <w:sz w:val="24"/>
          <w:szCs w:val="24"/>
        </w:rPr>
        <w:t xml:space="preserve">than </w:t>
      </w:r>
      <w:r w:rsidR="004B40B8" w:rsidRPr="000E1B7E">
        <w:rPr>
          <w:rFonts w:ascii="Times New Roman" w:hAnsi="Times New Roman"/>
          <w:sz w:val="24"/>
          <w:szCs w:val="24"/>
        </w:rPr>
        <w:t xml:space="preserve">in the NDP II projection for that year (50.8%). </w:t>
      </w:r>
    </w:p>
    <w:p w14:paraId="27FD4C96" w14:textId="77777777" w:rsidR="00D47FB0" w:rsidRPr="000E1B7E" w:rsidRDefault="00787F7B" w:rsidP="00787F7B">
      <w:pPr>
        <w:pStyle w:val="Caption"/>
        <w:rPr>
          <w:rFonts w:ascii="Times New Roman" w:eastAsia="Calibri" w:hAnsi="Times New Roman" w:cs="Times New Roman"/>
          <w:b/>
          <w:i w:val="0"/>
          <w:iCs w:val="0"/>
          <w:color w:val="auto"/>
          <w:sz w:val="24"/>
          <w:szCs w:val="24"/>
          <w:lang w:val="en-GB"/>
        </w:rPr>
      </w:pPr>
      <w:bookmarkStart w:id="53" w:name="_Toc3483146"/>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2</w:t>
      </w:r>
      <w:r w:rsidR="001232BF" w:rsidRPr="000E1B7E">
        <w:rPr>
          <w:rFonts w:ascii="Times New Roman" w:eastAsia="Calibri" w:hAnsi="Times New Roman" w:cs="Times New Roman"/>
          <w:b/>
          <w:i w:val="0"/>
          <w:iCs w:val="0"/>
          <w:color w:val="auto"/>
          <w:sz w:val="24"/>
          <w:szCs w:val="24"/>
          <w:lang w:val="en-GB"/>
        </w:rPr>
        <w:fldChar w:fldCharType="end"/>
      </w:r>
      <w:r w:rsidR="00092593" w:rsidRPr="000E1B7E">
        <w:rPr>
          <w:rFonts w:ascii="Times New Roman" w:eastAsia="Calibri" w:hAnsi="Times New Roman" w:cs="Times New Roman"/>
          <w:b/>
          <w:i w:val="0"/>
          <w:iCs w:val="0"/>
          <w:color w:val="auto"/>
          <w:sz w:val="24"/>
          <w:szCs w:val="24"/>
          <w:lang w:val="en-GB"/>
        </w:rPr>
        <w:t xml:space="preserve">: </w:t>
      </w:r>
      <w:r w:rsidR="00A16093" w:rsidRPr="000E1B7E">
        <w:rPr>
          <w:rFonts w:ascii="Times New Roman" w:eastAsia="Calibri" w:hAnsi="Times New Roman" w:cs="Times New Roman"/>
          <w:b/>
          <w:i w:val="0"/>
          <w:iCs w:val="0"/>
          <w:color w:val="auto"/>
          <w:sz w:val="24"/>
          <w:szCs w:val="24"/>
          <w:lang w:val="en-GB"/>
        </w:rPr>
        <w:t>Sectoral share of GDP</w:t>
      </w:r>
      <w:bookmarkEnd w:id="53"/>
    </w:p>
    <w:p w14:paraId="3B6FECBC" w14:textId="77777777" w:rsidR="004B40B8" w:rsidRPr="000E1B7E" w:rsidRDefault="0063211D" w:rsidP="005959B5">
      <w:pPr>
        <w:tabs>
          <w:tab w:val="left" w:pos="1108"/>
        </w:tabs>
        <w:contextualSpacing/>
        <w:jc w:val="both"/>
      </w:pPr>
      <w:r w:rsidRPr="000E1B7E">
        <w:rPr>
          <w:noProof/>
          <w:lang w:eastAsia="en-GB"/>
        </w:rPr>
        <w:drawing>
          <wp:inline distT="0" distB="0" distL="0" distR="0" wp14:anchorId="6DDE43DF" wp14:editId="02DEB8B4">
            <wp:extent cx="4972050" cy="2619375"/>
            <wp:effectExtent l="0" t="0" r="0" b="0"/>
            <wp:docPr id="10" name="Chart 10">
              <a:extLst xmlns:a="http://schemas.openxmlformats.org/drawingml/2006/main">
                <a:ext uri="{FF2B5EF4-FFF2-40B4-BE49-F238E27FC236}">
                  <a16:creationId xmlns:a16="http://schemas.microsoft.com/office/drawing/2014/main" id="{93E79A51-69FA-C342-879C-10BB4F1DE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D9C4C2" w14:textId="77777777" w:rsidR="00CA262F" w:rsidRPr="000E1B7E" w:rsidRDefault="00346AD0" w:rsidP="005959B5">
      <w:pPr>
        <w:tabs>
          <w:tab w:val="left" w:pos="1108"/>
        </w:tabs>
        <w:contextualSpacing/>
        <w:jc w:val="both"/>
      </w:pPr>
      <w:r w:rsidRPr="000E1B7E">
        <w:t>Source: UBOS</w:t>
      </w:r>
    </w:p>
    <w:p w14:paraId="705E25DC" w14:textId="77777777" w:rsidR="00AF5619" w:rsidRPr="000E1B7E" w:rsidRDefault="005C72A0"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As noted above, </w:t>
      </w:r>
      <w:r w:rsidR="005A7D56" w:rsidRPr="000E1B7E">
        <w:rPr>
          <w:rFonts w:ascii="Times New Roman" w:hAnsi="Times New Roman"/>
          <w:sz w:val="24"/>
          <w:szCs w:val="24"/>
        </w:rPr>
        <w:t xml:space="preserve">the contribution of </w:t>
      </w:r>
      <w:r w:rsidR="003A36B3" w:rsidRPr="000E1B7E">
        <w:rPr>
          <w:rFonts w:ascii="Times New Roman" w:hAnsi="Times New Roman"/>
          <w:sz w:val="24"/>
          <w:szCs w:val="24"/>
        </w:rPr>
        <w:t>I</w:t>
      </w:r>
      <w:r w:rsidR="005A7D56" w:rsidRPr="000E1B7E">
        <w:rPr>
          <w:rFonts w:ascii="Times New Roman" w:hAnsi="Times New Roman"/>
          <w:sz w:val="24"/>
          <w:szCs w:val="24"/>
        </w:rPr>
        <w:t>ndustry is significantly lagging behind NDP II projections.</w:t>
      </w:r>
      <w:r w:rsidRPr="000E1B7E">
        <w:rPr>
          <w:rFonts w:ascii="Times New Roman" w:hAnsi="Times New Roman"/>
          <w:sz w:val="24"/>
          <w:szCs w:val="24"/>
        </w:rPr>
        <w:t xml:space="preserve"> However, this is partly becau</w:t>
      </w:r>
      <w:r w:rsidR="00BC140C" w:rsidRPr="000E1B7E">
        <w:rPr>
          <w:rFonts w:ascii="Times New Roman" w:hAnsi="Times New Roman"/>
          <w:sz w:val="24"/>
          <w:szCs w:val="24"/>
        </w:rPr>
        <w:t>s</w:t>
      </w:r>
      <w:r w:rsidRPr="000E1B7E">
        <w:rPr>
          <w:rFonts w:ascii="Times New Roman" w:hAnsi="Times New Roman"/>
          <w:sz w:val="24"/>
          <w:szCs w:val="24"/>
        </w:rPr>
        <w:t xml:space="preserve">e the projections were not soundly based. </w:t>
      </w:r>
      <w:r w:rsidR="00C37693" w:rsidRPr="000E1B7E">
        <w:rPr>
          <w:rFonts w:ascii="Times New Roman" w:hAnsi="Times New Roman"/>
          <w:sz w:val="24"/>
          <w:szCs w:val="24"/>
        </w:rPr>
        <w:t xml:space="preserve">As </w:t>
      </w:r>
      <w:r w:rsidR="003D317A">
        <w:fldChar w:fldCharType="begin"/>
      </w:r>
      <w:r w:rsidR="003D317A">
        <w:instrText xml:space="preserve"> REF _Ref534632346 \h  \* MERGEFORMAT </w:instrText>
      </w:r>
      <w:r w:rsidR="003D317A">
        <w:fldChar w:fldCharType="separate"/>
      </w:r>
      <w:r w:rsidR="006461AC" w:rsidRPr="000E1B7E">
        <w:rPr>
          <w:rFonts w:ascii="Times New Roman" w:hAnsi="Times New Roman"/>
          <w:sz w:val="24"/>
          <w:szCs w:val="24"/>
        </w:rPr>
        <w:t>Table 3</w:t>
      </w:r>
      <w:r w:rsidR="003D317A">
        <w:fldChar w:fldCharType="end"/>
      </w:r>
      <w:r w:rsidR="00181093" w:rsidRPr="000E1B7E">
        <w:rPr>
          <w:rFonts w:ascii="Times New Roman" w:hAnsi="Times New Roman"/>
          <w:sz w:val="24"/>
          <w:szCs w:val="24"/>
        </w:rPr>
        <w:t>3</w:t>
      </w:r>
      <w:r w:rsidR="00C37693" w:rsidRPr="000E1B7E">
        <w:rPr>
          <w:rFonts w:ascii="Times New Roman" w:hAnsi="Times New Roman"/>
          <w:sz w:val="24"/>
          <w:szCs w:val="24"/>
        </w:rPr>
        <w:t xml:space="preserve"> shows, the projected change in sectoral shares of GDP over the three years from 2012/13 to 2015/16 imply average annual real growth rates for </w:t>
      </w:r>
      <w:r w:rsidR="00BC140C" w:rsidRPr="000E1B7E">
        <w:rPr>
          <w:rFonts w:ascii="Times New Roman" w:hAnsi="Times New Roman"/>
          <w:sz w:val="24"/>
          <w:szCs w:val="24"/>
        </w:rPr>
        <w:t xml:space="preserve">agriculture, industry and services </w:t>
      </w:r>
      <w:r w:rsidR="00C37693" w:rsidRPr="000E1B7E">
        <w:rPr>
          <w:rFonts w:ascii="Times New Roman" w:hAnsi="Times New Roman"/>
          <w:sz w:val="24"/>
          <w:szCs w:val="24"/>
        </w:rPr>
        <w:t xml:space="preserve">of 2.6%, 15.7% and 2.3% respectively – which appear to be unrealistically high </w:t>
      </w:r>
      <w:r w:rsidR="00C37693" w:rsidRPr="000E1B7E">
        <w:rPr>
          <w:rFonts w:ascii="Times New Roman" w:hAnsi="Times New Roman"/>
          <w:sz w:val="24"/>
          <w:szCs w:val="24"/>
        </w:rPr>
        <w:lastRenderedPageBreak/>
        <w:t>for Industry and low for Services. As a result, the NDP II projected sectoral shares of GDP are not a useful guide by which to assess progress.</w:t>
      </w:r>
    </w:p>
    <w:p w14:paraId="66DF4B87" w14:textId="77777777" w:rsidR="0063211D" w:rsidRPr="000E1B7E" w:rsidRDefault="00787F7B" w:rsidP="00787F7B">
      <w:pPr>
        <w:pStyle w:val="Caption"/>
        <w:keepNext/>
        <w:jc w:val="both"/>
        <w:rPr>
          <w:rFonts w:ascii="Times New Roman" w:eastAsia="Calibri" w:hAnsi="Times New Roman" w:cs="Times New Roman"/>
          <w:b/>
          <w:i w:val="0"/>
          <w:iCs w:val="0"/>
          <w:color w:val="000000" w:themeColor="text1"/>
          <w:sz w:val="24"/>
          <w:szCs w:val="24"/>
          <w:lang w:val="en-GB"/>
        </w:rPr>
      </w:pPr>
      <w:bookmarkStart w:id="54" w:name="_Ref534632346"/>
      <w:bookmarkStart w:id="55" w:name="_Toc3483113"/>
      <w:r w:rsidRPr="000E1B7E">
        <w:rPr>
          <w:rFonts w:ascii="Times New Roman" w:eastAsia="Calibri" w:hAnsi="Times New Roman" w:cs="Times New Roman"/>
          <w:b/>
          <w:i w:val="0"/>
          <w:iCs w:val="0"/>
          <w:color w:val="000000" w:themeColor="text1"/>
          <w:sz w:val="24"/>
          <w:szCs w:val="24"/>
          <w:lang w:val="en-GB"/>
        </w:rPr>
        <w:t xml:space="preserve">Table </w:t>
      </w:r>
      <w:r w:rsidR="001232BF" w:rsidRPr="000E1B7E">
        <w:rPr>
          <w:rFonts w:ascii="Times New Roman" w:eastAsia="Calibri" w:hAnsi="Times New Roman" w:cs="Times New Roman"/>
          <w:b/>
          <w:i w:val="0"/>
          <w:iCs w:val="0"/>
          <w:color w:val="000000" w:themeColor="text1"/>
          <w:sz w:val="24"/>
          <w:szCs w:val="24"/>
          <w:lang w:val="en-GB"/>
        </w:rPr>
        <w:fldChar w:fldCharType="begin"/>
      </w:r>
      <w:r w:rsidRPr="000E1B7E">
        <w:rPr>
          <w:rFonts w:ascii="Times New Roman" w:eastAsia="Calibri" w:hAnsi="Times New Roman" w:cs="Times New Roman"/>
          <w:b/>
          <w:i w:val="0"/>
          <w:iCs w:val="0"/>
          <w:color w:val="000000" w:themeColor="text1"/>
          <w:sz w:val="24"/>
          <w:szCs w:val="24"/>
          <w:lang w:val="en-GB"/>
        </w:rPr>
        <w:instrText xml:space="preserve"> SEQ Table \* ARABIC </w:instrText>
      </w:r>
      <w:r w:rsidR="001232BF" w:rsidRPr="000E1B7E">
        <w:rPr>
          <w:rFonts w:ascii="Times New Roman" w:eastAsia="Calibri" w:hAnsi="Times New Roman" w:cs="Times New Roman"/>
          <w:b/>
          <w:i w:val="0"/>
          <w:iCs w:val="0"/>
          <w:color w:val="000000" w:themeColor="text1"/>
          <w:sz w:val="24"/>
          <w:szCs w:val="24"/>
          <w:lang w:val="en-GB"/>
        </w:rPr>
        <w:fldChar w:fldCharType="separate"/>
      </w:r>
      <w:r w:rsidR="006461AC" w:rsidRPr="000E1B7E">
        <w:rPr>
          <w:rFonts w:ascii="Times New Roman" w:eastAsia="Calibri" w:hAnsi="Times New Roman" w:cs="Times New Roman"/>
          <w:b/>
          <w:i w:val="0"/>
          <w:iCs w:val="0"/>
          <w:noProof/>
          <w:color w:val="000000" w:themeColor="text1"/>
          <w:sz w:val="24"/>
          <w:szCs w:val="24"/>
          <w:lang w:val="en-GB"/>
        </w:rPr>
        <w:t>3</w:t>
      </w:r>
      <w:r w:rsidR="001232BF" w:rsidRPr="000E1B7E">
        <w:rPr>
          <w:rFonts w:ascii="Times New Roman" w:eastAsia="Calibri" w:hAnsi="Times New Roman" w:cs="Times New Roman"/>
          <w:b/>
          <w:i w:val="0"/>
          <w:iCs w:val="0"/>
          <w:color w:val="000000" w:themeColor="text1"/>
          <w:sz w:val="24"/>
          <w:szCs w:val="24"/>
          <w:lang w:val="en-GB"/>
        </w:rPr>
        <w:fldChar w:fldCharType="end"/>
      </w:r>
      <w:bookmarkEnd w:id="54"/>
      <w:r w:rsidR="00A01564" w:rsidRPr="000E1B7E">
        <w:rPr>
          <w:rFonts w:ascii="Times New Roman" w:eastAsia="Calibri" w:hAnsi="Times New Roman" w:cs="Times New Roman"/>
          <w:b/>
          <w:i w:val="0"/>
          <w:iCs w:val="0"/>
          <w:color w:val="000000" w:themeColor="text1"/>
          <w:sz w:val="24"/>
          <w:szCs w:val="24"/>
          <w:lang w:val="en-GB"/>
        </w:rPr>
        <w:t>: NDP II Sectoral Shares and Implied Growth Projections</w:t>
      </w:r>
      <w:bookmarkEnd w:id="55"/>
    </w:p>
    <w:tbl>
      <w:tblPr>
        <w:tblStyle w:val="TableGrid"/>
        <w:tblW w:w="9129" w:type="dxa"/>
        <w:tblLook w:val="04A0" w:firstRow="1" w:lastRow="0" w:firstColumn="1" w:lastColumn="0" w:noHBand="0" w:noVBand="1"/>
      </w:tblPr>
      <w:tblGrid>
        <w:gridCol w:w="1368"/>
        <w:gridCol w:w="2268"/>
        <w:gridCol w:w="2829"/>
        <w:gridCol w:w="2664"/>
      </w:tblGrid>
      <w:tr w:rsidR="005C72A0" w:rsidRPr="000E1B7E" w14:paraId="095D6B89" w14:textId="77777777" w:rsidTr="00787F7B">
        <w:tc>
          <w:tcPr>
            <w:tcW w:w="1368" w:type="dxa"/>
          </w:tcPr>
          <w:p w14:paraId="1F615562" w14:textId="77777777" w:rsidR="005C72A0" w:rsidRPr="000E1B7E" w:rsidRDefault="005C72A0" w:rsidP="005959B5">
            <w:pPr>
              <w:tabs>
                <w:tab w:val="left" w:pos="1108"/>
              </w:tabs>
              <w:contextualSpacing/>
              <w:jc w:val="both"/>
              <w:rPr>
                <w:b/>
              </w:rPr>
            </w:pPr>
            <w:r w:rsidRPr="000E1B7E">
              <w:rPr>
                <w:b/>
              </w:rPr>
              <w:t>Sector</w:t>
            </w:r>
          </w:p>
        </w:tc>
        <w:tc>
          <w:tcPr>
            <w:tcW w:w="2268" w:type="dxa"/>
          </w:tcPr>
          <w:p w14:paraId="7415542F" w14:textId="77777777" w:rsidR="0063211D" w:rsidRPr="000E1B7E" w:rsidRDefault="005C72A0" w:rsidP="005959B5">
            <w:pPr>
              <w:tabs>
                <w:tab w:val="left" w:pos="1108"/>
              </w:tabs>
              <w:contextualSpacing/>
              <w:jc w:val="both"/>
              <w:rPr>
                <w:b/>
              </w:rPr>
            </w:pPr>
            <w:r w:rsidRPr="000E1B7E">
              <w:rPr>
                <w:b/>
              </w:rPr>
              <w:t>Share of GDP, 2012/13 (NDP II baseline)</w:t>
            </w:r>
          </w:p>
        </w:tc>
        <w:tc>
          <w:tcPr>
            <w:tcW w:w="2829" w:type="dxa"/>
          </w:tcPr>
          <w:p w14:paraId="714B8921" w14:textId="77777777" w:rsidR="0063211D" w:rsidRPr="000E1B7E" w:rsidRDefault="005C72A0" w:rsidP="005959B5">
            <w:pPr>
              <w:tabs>
                <w:tab w:val="left" w:pos="1108"/>
              </w:tabs>
              <w:contextualSpacing/>
              <w:jc w:val="both"/>
              <w:rPr>
                <w:b/>
              </w:rPr>
            </w:pPr>
            <w:r w:rsidRPr="000E1B7E">
              <w:rPr>
                <w:b/>
              </w:rPr>
              <w:t>Share of GDP, 2015/16 (NDP II proj)</w:t>
            </w:r>
          </w:p>
        </w:tc>
        <w:tc>
          <w:tcPr>
            <w:tcW w:w="2664" w:type="dxa"/>
          </w:tcPr>
          <w:p w14:paraId="79D8B324" w14:textId="77777777" w:rsidR="0063211D" w:rsidRPr="000E1B7E" w:rsidRDefault="005C72A0" w:rsidP="005959B5">
            <w:pPr>
              <w:tabs>
                <w:tab w:val="left" w:pos="1108"/>
              </w:tabs>
              <w:contextualSpacing/>
              <w:jc w:val="both"/>
              <w:rPr>
                <w:b/>
              </w:rPr>
            </w:pPr>
            <w:r w:rsidRPr="000E1B7E">
              <w:rPr>
                <w:b/>
              </w:rPr>
              <w:t>Implied average annual real growth rate, 2012/13 – 2015/16</w:t>
            </w:r>
          </w:p>
        </w:tc>
      </w:tr>
      <w:tr w:rsidR="005C72A0" w:rsidRPr="000E1B7E" w14:paraId="37F04E1E" w14:textId="77777777" w:rsidTr="00787F7B">
        <w:tc>
          <w:tcPr>
            <w:tcW w:w="1368" w:type="dxa"/>
          </w:tcPr>
          <w:p w14:paraId="5FF31932" w14:textId="77777777" w:rsidR="005C72A0" w:rsidRPr="000E1B7E" w:rsidRDefault="005C72A0" w:rsidP="005959B5">
            <w:pPr>
              <w:tabs>
                <w:tab w:val="left" w:pos="1108"/>
              </w:tabs>
              <w:spacing w:line="360" w:lineRule="auto"/>
              <w:contextualSpacing/>
              <w:jc w:val="both"/>
            </w:pPr>
            <w:r w:rsidRPr="000E1B7E">
              <w:t>Agriculture</w:t>
            </w:r>
          </w:p>
        </w:tc>
        <w:tc>
          <w:tcPr>
            <w:tcW w:w="2268" w:type="dxa"/>
          </w:tcPr>
          <w:p w14:paraId="0C1A765F" w14:textId="77777777" w:rsidR="0063211D" w:rsidRPr="000E1B7E" w:rsidRDefault="005C72A0" w:rsidP="005959B5">
            <w:pPr>
              <w:tabs>
                <w:tab w:val="left" w:pos="1108"/>
              </w:tabs>
              <w:spacing w:line="360" w:lineRule="auto"/>
              <w:contextualSpacing/>
              <w:jc w:val="both"/>
            </w:pPr>
            <w:r w:rsidRPr="000E1B7E">
              <w:t>23.6</w:t>
            </w:r>
          </w:p>
        </w:tc>
        <w:tc>
          <w:tcPr>
            <w:tcW w:w="2829" w:type="dxa"/>
          </w:tcPr>
          <w:p w14:paraId="6E3BE0DE" w14:textId="77777777" w:rsidR="0063211D" w:rsidRPr="000E1B7E" w:rsidRDefault="005C72A0" w:rsidP="005959B5">
            <w:pPr>
              <w:tabs>
                <w:tab w:val="left" w:pos="1108"/>
              </w:tabs>
              <w:spacing w:line="360" w:lineRule="auto"/>
              <w:contextualSpacing/>
              <w:jc w:val="both"/>
            </w:pPr>
            <w:r w:rsidRPr="000E1B7E">
              <w:t>21.7</w:t>
            </w:r>
          </w:p>
        </w:tc>
        <w:tc>
          <w:tcPr>
            <w:tcW w:w="2664" w:type="dxa"/>
          </w:tcPr>
          <w:p w14:paraId="0A2E93FF" w14:textId="77777777" w:rsidR="0063211D" w:rsidRPr="000E1B7E" w:rsidRDefault="005C72A0" w:rsidP="005959B5">
            <w:pPr>
              <w:tabs>
                <w:tab w:val="left" w:pos="1108"/>
              </w:tabs>
              <w:spacing w:line="360" w:lineRule="auto"/>
              <w:contextualSpacing/>
              <w:jc w:val="both"/>
            </w:pPr>
            <w:r w:rsidRPr="000E1B7E">
              <w:t>2.6%</w:t>
            </w:r>
          </w:p>
        </w:tc>
      </w:tr>
      <w:tr w:rsidR="005C72A0" w:rsidRPr="000E1B7E" w14:paraId="5123E498" w14:textId="77777777" w:rsidTr="00787F7B">
        <w:tc>
          <w:tcPr>
            <w:tcW w:w="1368" w:type="dxa"/>
          </w:tcPr>
          <w:p w14:paraId="18F19C62" w14:textId="77777777" w:rsidR="005C72A0" w:rsidRPr="000E1B7E" w:rsidRDefault="005C72A0" w:rsidP="005959B5">
            <w:pPr>
              <w:tabs>
                <w:tab w:val="left" w:pos="1108"/>
              </w:tabs>
              <w:spacing w:line="360" w:lineRule="auto"/>
              <w:contextualSpacing/>
              <w:jc w:val="both"/>
            </w:pPr>
            <w:r w:rsidRPr="000E1B7E">
              <w:t>Industry</w:t>
            </w:r>
          </w:p>
        </w:tc>
        <w:tc>
          <w:tcPr>
            <w:tcW w:w="2268" w:type="dxa"/>
          </w:tcPr>
          <w:p w14:paraId="08091A05" w14:textId="77777777" w:rsidR="0063211D" w:rsidRPr="000E1B7E" w:rsidRDefault="005C72A0" w:rsidP="005959B5">
            <w:pPr>
              <w:tabs>
                <w:tab w:val="left" w:pos="1108"/>
              </w:tabs>
              <w:spacing w:line="360" w:lineRule="auto"/>
              <w:contextualSpacing/>
              <w:jc w:val="both"/>
            </w:pPr>
            <w:r w:rsidRPr="000E1B7E">
              <w:t>20.7</w:t>
            </w:r>
          </w:p>
        </w:tc>
        <w:tc>
          <w:tcPr>
            <w:tcW w:w="2829" w:type="dxa"/>
          </w:tcPr>
          <w:p w14:paraId="6037F10E" w14:textId="77777777" w:rsidR="0063211D" w:rsidRPr="000E1B7E" w:rsidRDefault="005C72A0" w:rsidP="005959B5">
            <w:pPr>
              <w:tabs>
                <w:tab w:val="left" w:pos="1108"/>
              </w:tabs>
              <w:spacing w:line="360" w:lineRule="auto"/>
              <w:contextualSpacing/>
              <w:jc w:val="both"/>
            </w:pPr>
            <w:r w:rsidRPr="000E1B7E">
              <w:t>27.3</w:t>
            </w:r>
          </w:p>
        </w:tc>
        <w:tc>
          <w:tcPr>
            <w:tcW w:w="2664" w:type="dxa"/>
          </w:tcPr>
          <w:p w14:paraId="5D278B9D" w14:textId="77777777" w:rsidR="0063211D" w:rsidRPr="000E1B7E" w:rsidRDefault="005C72A0" w:rsidP="005959B5">
            <w:pPr>
              <w:tabs>
                <w:tab w:val="left" w:pos="1108"/>
              </w:tabs>
              <w:spacing w:line="360" w:lineRule="auto"/>
              <w:contextualSpacing/>
              <w:jc w:val="both"/>
            </w:pPr>
            <w:r w:rsidRPr="000E1B7E">
              <w:t>15.7%</w:t>
            </w:r>
          </w:p>
        </w:tc>
      </w:tr>
      <w:tr w:rsidR="005C72A0" w:rsidRPr="000E1B7E" w14:paraId="2F652E7D" w14:textId="77777777" w:rsidTr="00787F7B">
        <w:tc>
          <w:tcPr>
            <w:tcW w:w="1368" w:type="dxa"/>
          </w:tcPr>
          <w:p w14:paraId="69057DE6" w14:textId="77777777" w:rsidR="005C72A0" w:rsidRPr="000E1B7E" w:rsidRDefault="005C72A0" w:rsidP="005959B5">
            <w:pPr>
              <w:tabs>
                <w:tab w:val="left" w:pos="1108"/>
              </w:tabs>
              <w:spacing w:line="360" w:lineRule="auto"/>
              <w:contextualSpacing/>
              <w:jc w:val="both"/>
            </w:pPr>
            <w:r w:rsidRPr="000E1B7E">
              <w:t>Services</w:t>
            </w:r>
          </w:p>
        </w:tc>
        <w:tc>
          <w:tcPr>
            <w:tcW w:w="2268" w:type="dxa"/>
          </w:tcPr>
          <w:p w14:paraId="12BBC2DD" w14:textId="77777777" w:rsidR="0063211D" w:rsidRPr="000E1B7E" w:rsidRDefault="005C72A0" w:rsidP="005959B5">
            <w:pPr>
              <w:tabs>
                <w:tab w:val="left" w:pos="1108"/>
              </w:tabs>
              <w:spacing w:line="360" w:lineRule="auto"/>
              <w:contextualSpacing/>
              <w:jc w:val="both"/>
            </w:pPr>
            <w:r w:rsidRPr="000E1B7E">
              <w:t>55.7</w:t>
            </w:r>
          </w:p>
        </w:tc>
        <w:tc>
          <w:tcPr>
            <w:tcW w:w="2829" w:type="dxa"/>
          </w:tcPr>
          <w:p w14:paraId="482F57C0" w14:textId="77777777" w:rsidR="0063211D" w:rsidRPr="000E1B7E" w:rsidRDefault="005C72A0" w:rsidP="005959B5">
            <w:pPr>
              <w:tabs>
                <w:tab w:val="left" w:pos="1108"/>
              </w:tabs>
              <w:spacing w:line="360" w:lineRule="auto"/>
              <w:contextualSpacing/>
              <w:jc w:val="both"/>
            </w:pPr>
            <w:r w:rsidRPr="000E1B7E">
              <w:t>50.8</w:t>
            </w:r>
          </w:p>
        </w:tc>
        <w:tc>
          <w:tcPr>
            <w:tcW w:w="2664" w:type="dxa"/>
          </w:tcPr>
          <w:p w14:paraId="5B4634D1" w14:textId="77777777" w:rsidR="0063211D" w:rsidRPr="000E1B7E" w:rsidRDefault="005C72A0" w:rsidP="005959B5">
            <w:pPr>
              <w:tabs>
                <w:tab w:val="left" w:pos="1108"/>
              </w:tabs>
              <w:spacing w:line="360" w:lineRule="auto"/>
              <w:contextualSpacing/>
              <w:jc w:val="both"/>
            </w:pPr>
            <w:r w:rsidRPr="000E1B7E">
              <w:t>2.3%</w:t>
            </w:r>
          </w:p>
        </w:tc>
      </w:tr>
      <w:tr w:rsidR="005C72A0" w:rsidRPr="000E1B7E" w14:paraId="647EA519" w14:textId="77777777" w:rsidTr="00787F7B">
        <w:tc>
          <w:tcPr>
            <w:tcW w:w="1368" w:type="dxa"/>
          </w:tcPr>
          <w:p w14:paraId="57B52EDA" w14:textId="77777777" w:rsidR="005C72A0" w:rsidRPr="000E1B7E" w:rsidRDefault="005C72A0" w:rsidP="005959B5">
            <w:pPr>
              <w:tabs>
                <w:tab w:val="left" w:pos="1108"/>
              </w:tabs>
              <w:spacing w:line="360" w:lineRule="auto"/>
              <w:contextualSpacing/>
              <w:jc w:val="both"/>
            </w:pPr>
            <w:r w:rsidRPr="000E1B7E">
              <w:t>Total</w:t>
            </w:r>
          </w:p>
        </w:tc>
        <w:tc>
          <w:tcPr>
            <w:tcW w:w="2268" w:type="dxa"/>
          </w:tcPr>
          <w:p w14:paraId="5CD338EF" w14:textId="77777777" w:rsidR="0063211D" w:rsidRPr="000E1B7E" w:rsidRDefault="005C72A0" w:rsidP="005959B5">
            <w:pPr>
              <w:tabs>
                <w:tab w:val="left" w:pos="1108"/>
              </w:tabs>
              <w:spacing w:line="360" w:lineRule="auto"/>
              <w:contextualSpacing/>
              <w:jc w:val="both"/>
            </w:pPr>
            <w:r w:rsidRPr="000E1B7E">
              <w:t>100</w:t>
            </w:r>
          </w:p>
        </w:tc>
        <w:tc>
          <w:tcPr>
            <w:tcW w:w="2829" w:type="dxa"/>
          </w:tcPr>
          <w:p w14:paraId="2E3C1D90" w14:textId="77777777" w:rsidR="0063211D" w:rsidRPr="000E1B7E" w:rsidRDefault="005C72A0" w:rsidP="005959B5">
            <w:pPr>
              <w:tabs>
                <w:tab w:val="left" w:pos="1108"/>
              </w:tabs>
              <w:spacing w:line="360" w:lineRule="auto"/>
              <w:contextualSpacing/>
              <w:jc w:val="both"/>
            </w:pPr>
            <w:r w:rsidRPr="000E1B7E">
              <w:t>100</w:t>
            </w:r>
          </w:p>
        </w:tc>
        <w:tc>
          <w:tcPr>
            <w:tcW w:w="2664" w:type="dxa"/>
          </w:tcPr>
          <w:p w14:paraId="5346F700" w14:textId="77777777" w:rsidR="0063211D" w:rsidRPr="000E1B7E" w:rsidRDefault="005C72A0" w:rsidP="005959B5">
            <w:pPr>
              <w:tabs>
                <w:tab w:val="left" w:pos="1108"/>
              </w:tabs>
              <w:spacing w:line="360" w:lineRule="auto"/>
              <w:contextualSpacing/>
              <w:jc w:val="both"/>
            </w:pPr>
            <w:r w:rsidRPr="000E1B7E">
              <w:t>5.5%</w:t>
            </w:r>
          </w:p>
        </w:tc>
      </w:tr>
    </w:tbl>
    <w:p w14:paraId="699091B6" w14:textId="77777777" w:rsidR="00036D51" w:rsidRPr="000E1B7E" w:rsidRDefault="00036D51" w:rsidP="005959B5">
      <w:pPr>
        <w:tabs>
          <w:tab w:val="left" w:pos="1108"/>
        </w:tabs>
        <w:contextualSpacing/>
        <w:jc w:val="both"/>
      </w:pPr>
      <w:r w:rsidRPr="000E1B7E">
        <w:t>Source: NDP II, Table 5B, and authors’ calculations</w:t>
      </w:r>
    </w:p>
    <w:p w14:paraId="6A32E6F4" w14:textId="77777777" w:rsidR="005C72A0" w:rsidRPr="000E1B7E" w:rsidRDefault="005C72A0" w:rsidP="005959B5">
      <w:pPr>
        <w:tabs>
          <w:tab w:val="left" w:pos="1108"/>
        </w:tabs>
        <w:spacing w:line="360" w:lineRule="auto"/>
        <w:contextualSpacing/>
        <w:jc w:val="both"/>
      </w:pPr>
    </w:p>
    <w:p w14:paraId="3DD317CD" w14:textId="77777777" w:rsidR="004E13FF" w:rsidRPr="000E1B7E" w:rsidRDefault="00805207"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projected increase in the industry sector contribution of reaching 27.3% in 2015/16, the first year of NDP II was ambitious and there is no evidence of rigorous analysis that informed projections for increased contribution of the industry sector. </w:t>
      </w:r>
      <w:r w:rsidR="004E13FF" w:rsidRPr="000E1B7E">
        <w:rPr>
          <w:rFonts w:ascii="Times New Roman" w:hAnsi="Times New Roman"/>
          <w:sz w:val="24"/>
          <w:szCs w:val="24"/>
        </w:rPr>
        <w:t xml:space="preserve">The contribution of each sector of the economy is </w:t>
      </w:r>
      <w:r w:rsidR="00F251A1" w:rsidRPr="000E1B7E">
        <w:rPr>
          <w:rFonts w:ascii="Times New Roman" w:hAnsi="Times New Roman"/>
          <w:sz w:val="24"/>
          <w:szCs w:val="24"/>
        </w:rPr>
        <w:t xml:space="preserve">presented in table </w:t>
      </w:r>
      <w:r w:rsidR="00181093" w:rsidRPr="000E1B7E">
        <w:rPr>
          <w:rFonts w:ascii="Times New Roman" w:hAnsi="Times New Roman"/>
          <w:sz w:val="24"/>
          <w:szCs w:val="24"/>
        </w:rPr>
        <w:t xml:space="preserve">4 </w:t>
      </w:r>
      <w:r w:rsidR="00F251A1" w:rsidRPr="000E1B7E">
        <w:rPr>
          <w:rFonts w:ascii="Times New Roman" w:hAnsi="Times New Roman"/>
          <w:sz w:val="24"/>
          <w:szCs w:val="24"/>
        </w:rPr>
        <w:t xml:space="preserve">and </w:t>
      </w:r>
      <w:r w:rsidR="00BC140C" w:rsidRPr="000E1B7E">
        <w:rPr>
          <w:rFonts w:ascii="Times New Roman" w:hAnsi="Times New Roman"/>
          <w:sz w:val="24"/>
          <w:szCs w:val="24"/>
        </w:rPr>
        <w:t>briefly discussed below;</w:t>
      </w:r>
    </w:p>
    <w:p w14:paraId="6644E24C" w14:textId="77777777" w:rsidR="004E13FF" w:rsidRPr="000E1B7E" w:rsidRDefault="004E13FF" w:rsidP="00F85D24">
      <w:pPr>
        <w:pStyle w:val="ListParagraph"/>
        <w:numPr>
          <w:ilvl w:val="0"/>
          <w:numId w:val="10"/>
        </w:numPr>
        <w:tabs>
          <w:tab w:val="left" w:pos="1108"/>
        </w:tabs>
        <w:spacing w:line="360" w:lineRule="auto"/>
        <w:ind w:left="1134" w:hanging="567"/>
        <w:rPr>
          <w:rFonts w:ascii="Times New Roman" w:hAnsi="Times New Roman"/>
          <w:bCs/>
          <w:sz w:val="24"/>
          <w:szCs w:val="24"/>
          <w:lang w:val="en-US"/>
        </w:rPr>
      </w:pPr>
      <w:r w:rsidRPr="000E1B7E">
        <w:rPr>
          <w:rFonts w:ascii="Times New Roman" w:hAnsi="Times New Roman"/>
          <w:b/>
          <w:bCs/>
          <w:sz w:val="24"/>
          <w:szCs w:val="24"/>
          <w:lang w:val="en-US"/>
        </w:rPr>
        <w:t>Agriculture, forestry and fishing:</w:t>
      </w:r>
      <w:r w:rsidR="00F251A1" w:rsidRPr="000E1B7E">
        <w:rPr>
          <w:rFonts w:ascii="Times New Roman" w:hAnsi="Times New Roman"/>
          <w:bCs/>
          <w:sz w:val="24"/>
          <w:szCs w:val="24"/>
          <w:lang w:val="en-US"/>
        </w:rPr>
        <w:t>Food crops remain</w:t>
      </w:r>
      <w:r w:rsidRPr="000E1B7E">
        <w:rPr>
          <w:rFonts w:ascii="Times New Roman" w:hAnsi="Times New Roman"/>
          <w:bCs/>
          <w:sz w:val="24"/>
          <w:szCs w:val="24"/>
          <w:lang w:val="en-US"/>
        </w:rPr>
        <w:t xml:space="preserve"> the dominant contributor to GDP, </w:t>
      </w:r>
      <w:r w:rsidR="00F251A1" w:rsidRPr="000E1B7E">
        <w:rPr>
          <w:rFonts w:ascii="Times New Roman" w:hAnsi="Times New Roman"/>
          <w:bCs/>
          <w:sz w:val="24"/>
          <w:szCs w:val="24"/>
          <w:lang w:val="en-US"/>
        </w:rPr>
        <w:t>followed by livestock and forestry. However, the contribution of all agriculture sub-sectors registered a decline except cash crops</w:t>
      </w:r>
      <w:r w:rsidR="000A1226" w:rsidRPr="000E1B7E">
        <w:rPr>
          <w:rFonts w:ascii="Times New Roman" w:hAnsi="Times New Roman"/>
          <w:bCs/>
          <w:sz w:val="24"/>
          <w:szCs w:val="24"/>
          <w:lang w:val="en-US"/>
        </w:rPr>
        <w:t xml:space="preserve">,which </w:t>
      </w:r>
      <w:r w:rsidR="00F251A1" w:rsidRPr="000E1B7E">
        <w:rPr>
          <w:rFonts w:ascii="Times New Roman" w:hAnsi="Times New Roman"/>
          <w:bCs/>
          <w:sz w:val="24"/>
          <w:szCs w:val="24"/>
          <w:lang w:val="en-US"/>
        </w:rPr>
        <w:t xml:space="preserve">registered a 0.1 </w:t>
      </w:r>
      <w:r w:rsidR="000A1226" w:rsidRPr="000E1B7E">
        <w:rPr>
          <w:rFonts w:ascii="Times New Roman" w:hAnsi="Times New Roman"/>
          <w:bCs/>
          <w:sz w:val="24"/>
          <w:szCs w:val="24"/>
          <w:lang w:val="en-US"/>
        </w:rPr>
        <w:t>percentage point increase</w:t>
      </w:r>
      <w:r w:rsidR="00F251A1" w:rsidRPr="000E1B7E">
        <w:rPr>
          <w:rFonts w:ascii="Times New Roman" w:hAnsi="Times New Roman"/>
          <w:bCs/>
          <w:sz w:val="24"/>
          <w:szCs w:val="24"/>
          <w:lang w:val="en-US"/>
        </w:rPr>
        <w:t xml:space="preserve">. The increase in cash crops contribution is attributed to increase in production and productivity of coffee, following government efforts that have seen increased </w:t>
      </w:r>
      <w:r w:rsidR="00BC140C" w:rsidRPr="000E1B7E">
        <w:rPr>
          <w:rFonts w:ascii="Times New Roman" w:hAnsi="Times New Roman"/>
          <w:bCs/>
          <w:sz w:val="24"/>
          <w:szCs w:val="24"/>
          <w:lang w:val="en-US"/>
        </w:rPr>
        <w:t xml:space="preserve">investment and </w:t>
      </w:r>
      <w:r w:rsidR="00F251A1" w:rsidRPr="000E1B7E">
        <w:rPr>
          <w:rFonts w:ascii="Times New Roman" w:hAnsi="Times New Roman"/>
          <w:bCs/>
          <w:sz w:val="24"/>
          <w:szCs w:val="24"/>
          <w:lang w:val="en-US"/>
        </w:rPr>
        <w:t xml:space="preserve">production of coffee. </w:t>
      </w:r>
    </w:p>
    <w:p w14:paraId="7BAA5ABE" w14:textId="77777777" w:rsidR="004E13FF" w:rsidRPr="000E1B7E" w:rsidRDefault="00F251A1" w:rsidP="00F85D24">
      <w:pPr>
        <w:pStyle w:val="ListParagraph"/>
        <w:numPr>
          <w:ilvl w:val="0"/>
          <w:numId w:val="10"/>
        </w:numPr>
        <w:tabs>
          <w:tab w:val="left" w:pos="1108"/>
        </w:tabs>
        <w:spacing w:line="360" w:lineRule="auto"/>
        <w:ind w:left="1134" w:hanging="567"/>
        <w:rPr>
          <w:rFonts w:ascii="Times New Roman" w:hAnsi="Times New Roman"/>
          <w:sz w:val="24"/>
          <w:szCs w:val="24"/>
        </w:rPr>
      </w:pPr>
      <w:r w:rsidRPr="000E1B7E">
        <w:rPr>
          <w:rFonts w:ascii="Times New Roman" w:hAnsi="Times New Roman"/>
          <w:b/>
          <w:sz w:val="24"/>
          <w:szCs w:val="24"/>
        </w:rPr>
        <w:t>Industry:</w:t>
      </w:r>
      <w:r w:rsidR="00F82743" w:rsidRPr="000E1B7E">
        <w:rPr>
          <w:rFonts w:ascii="Times New Roman" w:hAnsi="Times New Roman"/>
          <w:sz w:val="24"/>
          <w:szCs w:val="24"/>
        </w:rPr>
        <w:t xml:space="preserve">Manufacturing remains the dominant contributor to </w:t>
      </w:r>
      <w:r w:rsidR="000A1226" w:rsidRPr="000E1B7E">
        <w:rPr>
          <w:rFonts w:ascii="Times New Roman" w:hAnsi="Times New Roman"/>
          <w:sz w:val="24"/>
          <w:szCs w:val="24"/>
        </w:rPr>
        <w:t xml:space="preserve">output </w:t>
      </w:r>
      <w:r w:rsidR="00F82743" w:rsidRPr="000E1B7E">
        <w:rPr>
          <w:rFonts w:ascii="Times New Roman" w:hAnsi="Times New Roman"/>
          <w:sz w:val="24"/>
          <w:szCs w:val="24"/>
        </w:rPr>
        <w:t xml:space="preserve">in the industry sector followed by construction. </w:t>
      </w:r>
      <w:r w:rsidRPr="000E1B7E">
        <w:rPr>
          <w:rFonts w:ascii="Times New Roman" w:hAnsi="Times New Roman"/>
          <w:sz w:val="24"/>
          <w:szCs w:val="24"/>
        </w:rPr>
        <w:t>The contribution of Industry declined by 0.</w:t>
      </w:r>
      <w:r w:rsidR="00E154BE" w:rsidRPr="000E1B7E">
        <w:rPr>
          <w:rFonts w:ascii="Times New Roman" w:hAnsi="Times New Roman"/>
          <w:sz w:val="24"/>
          <w:szCs w:val="24"/>
        </w:rPr>
        <w:t>3</w:t>
      </w:r>
      <w:r w:rsidR="00F82743" w:rsidRPr="000E1B7E">
        <w:rPr>
          <w:rFonts w:ascii="Times New Roman" w:hAnsi="Times New Roman"/>
          <w:sz w:val="24"/>
          <w:szCs w:val="24"/>
        </w:rPr>
        <w:t>percentage point</w:t>
      </w:r>
      <w:r w:rsidRPr="000E1B7E">
        <w:rPr>
          <w:rFonts w:ascii="Times New Roman" w:hAnsi="Times New Roman"/>
          <w:sz w:val="24"/>
          <w:szCs w:val="24"/>
        </w:rPr>
        <w:t xml:space="preserve"> as a result of a decline in the contribution of the manufacturing sub-sector </w:t>
      </w:r>
      <w:r w:rsidR="00F82743" w:rsidRPr="000E1B7E">
        <w:rPr>
          <w:rFonts w:ascii="Times New Roman" w:hAnsi="Times New Roman"/>
          <w:sz w:val="24"/>
          <w:szCs w:val="24"/>
        </w:rPr>
        <w:t>by 0.8 percentage point</w:t>
      </w:r>
      <w:r w:rsidR="00E154BE" w:rsidRPr="000E1B7E">
        <w:rPr>
          <w:rFonts w:ascii="Times New Roman" w:hAnsi="Times New Roman"/>
          <w:sz w:val="24"/>
          <w:szCs w:val="24"/>
        </w:rPr>
        <w:t>s</w:t>
      </w:r>
      <w:r w:rsidRPr="000E1B7E">
        <w:rPr>
          <w:rFonts w:ascii="Times New Roman" w:hAnsi="Times New Roman"/>
          <w:sz w:val="24"/>
          <w:szCs w:val="24"/>
        </w:rPr>
        <w:t>from 8</w:t>
      </w:r>
      <w:r w:rsidR="00E154BE" w:rsidRPr="000E1B7E">
        <w:rPr>
          <w:rFonts w:ascii="Times New Roman" w:hAnsi="Times New Roman"/>
          <w:sz w:val="24"/>
          <w:szCs w:val="24"/>
        </w:rPr>
        <w:t>.7</w:t>
      </w:r>
      <w:r w:rsidRPr="000E1B7E">
        <w:rPr>
          <w:rFonts w:ascii="Times New Roman" w:hAnsi="Times New Roman"/>
          <w:sz w:val="24"/>
          <w:szCs w:val="24"/>
        </w:rPr>
        <w:t>% in the base year (2014/15) to 7.</w:t>
      </w:r>
      <w:r w:rsidR="00E154BE" w:rsidRPr="000E1B7E">
        <w:rPr>
          <w:rFonts w:ascii="Times New Roman" w:hAnsi="Times New Roman"/>
          <w:sz w:val="24"/>
          <w:szCs w:val="24"/>
        </w:rPr>
        <w:t>9</w:t>
      </w:r>
      <w:r w:rsidRPr="000E1B7E">
        <w:rPr>
          <w:rFonts w:ascii="Times New Roman" w:hAnsi="Times New Roman"/>
          <w:sz w:val="24"/>
          <w:szCs w:val="24"/>
        </w:rPr>
        <w:t>% in 2017/18.</w:t>
      </w:r>
      <w:r w:rsidR="009D3CD7" w:rsidRPr="000E1B7E">
        <w:rPr>
          <w:rFonts w:ascii="Times New Roman" w:hAnsi="Times New Roman"/>
          <w:sz w:val="24"/>
          <w:szCs w:val="24"/>
        </w:rPr>
        <w:t xml:space="preserve"> NDP II, however, projected an increase in </w:t>
      </w:r>
      <w:r w:rsidR="004F20B1" w:rsidRPr="000E1B7E">
        <w:rPr>
          <w:rFonts w:ascii="Times New Roman" w:hAnsi="Times New Roman"/>
          <w:sz w:val="24"/>
          <w:szCs w:val="24"/>
        </w:rPr>
        <w:t xml:space="preserve">the share of manufacturing in GDP from 9.0% in 2015/16 to 14.0% in 2019/20. Not only is this not being achieved, but is in any case inconsistent with the largely unchanged share of Industry in GDP over the same period. </w:t>
      </w:r>
    </w:p>
    <w:p w14:paraId="516822C2" w14:textId="77777777" w:rsidR="004E13FF" w:rsidRPr="000E1B7E" w:rsidRDefault="00F82743" w:rsidP="00F85D24">
      <w:pPr>
        <w:pStyle w:val="ListParagraph"/>
        <w:numPr>
          <w:ilvl w:val="0"/>
          <w:numId w:val="10"/>
        </w:numPr>
        <w:tabs>
          <w:tab w:val="left" w:pos="1108"/>
        </w:tabs>
        <w:spacing w:line="360" w:lineRule="auto"/>
        <w:ind w:left="1134" w:hanging="567"/>
        <w:rPr>
          <w:rFonts w:ascii="Times New Roman" w:eastAsia="Times New Roman" w:hAnsi="Times New Roman"/>
          <w:sz w:val="24"/>
          <w:szCs w:val="24"/>
          <w:lang w:val="en-US"/>
        </w:rPr>
      </w:pPr>
      <w:r w:rsidRPr="000E1B7E">
        <w:rPr>
          <w:rFonts w:ascii="Times New Roman" w:hAnsi="Times New Roman"/>
          <w:b/>
          <w:sz w:val="24"/>
          <w:szCs w:val="24"/>
        </w:rPr>
        <w:t>Services:</w:t>
      </w:r>
      <w:r w:rsidRPr="000E1B7E">
        <w:rPr>
          <w:rFonts w:ascii="Times New Roman" w:hAnsi="Times New Roman"/>
          <w:sz w:val="24"/>
          <w:szCs w:val="24"/>
        </w:rPr>
        <w:t xml:space="preserve"> The services sector contribution increased by 2.</w:t>
      </w:r>
      <w:r w:rsidR="00E154BE" w:rsidRPr="000E1B7E">
        <w:rPr>
          <w:rFonts w:ascii="Times New Roman" w:hAnsi="Times New Roman"/>
          <w:sz w:val="24"/>
          <w:szCs w:val="24"/>
        </w:rPr>
        <w:t>0</w:t>
      </w:r>
      <w:r w:rsidRPr="000E1B7E">
        <w:rPr>
          <w:rFonts w:ascii="Times New Roman" w:hAnsi="Times New Roman"/>
          <w:sz w:val="24"/>
          <w:szCs w:val="24"/>
        </w:rPr>
        <w:t xml:space="preserve"> percentage points on account of a 2.</w:t>
      </w:r>
      <w:r w:rsidR="00E154BE" w:rsidRPr="000E1B7E">
        <w:rPr>
          <w:rFonts w:ascii="Times New Roman" w:hAnsi="Times New Roman"/>
          <w:sz w:val="24"/>
          <w:szCs w:val="24"/>
        </w:rPr>
        <w:t>5</w:t>
      </w:r>
      <w:r w:rsidRPr="000E1B7E">
        <w:rPr>
          <w:rFonts w:ascii="Times New Roman" w:hAnsi="Times New Roman"/>
          <w:sz w:val="24"/>
          <w:szCs w:val="24"/>
        </w:rPr>
        <w:t xml:space="preserve"> percentage point increase in the contribution of </w:t>
      </w:r>
      <w:r w:rsidR="00BC140C" w:rsidRPr="000E1B7E">
        <w:rPr>
          <w:rFonts w:ascii="Times New Roman" w:eastAsia="Times New Roman" w:hAnsi="Times New Roman"/>
          <w:sz w:val="24"/>
          <w:szCs w:val="24"/>
          <w:lang w:val="en-US"/>
        </w:rPr>
        <w:t xml:space="preserve">information and </w:t>
      </w:r>
      <w:r w:rsidR="00BC140C" w:rsidRPr="000E1B7E">
        <w:rPr>
          <w:rFonts w:ascii="Times New Roman" w:eastAsia="Times New Roman" w:hAnsi="Times New Roman"/>
          <w:sz w:val="24"/>
          <w:szCs w:val="24"/>
          <w:lang w:val="en-US"/>
        </w:rPr>
        <w:lastRenderedPageBreak/>
        <w:t>c</w:t>
      </w:r>
      <w:r w:rsidRPr="000E1B7E">
        <w:rPr>
          <w:rFonts w:ascii="Times New Roman" w:eastAsia="Times New Roman" w:hAnsi="Times New Roman"/>
          <w:sz w:val="24"/>
          <w:szCs w:val="24"/>
          <w:lang w:val="en-US"/>
        </w:rPr>
        <w:t xml:space="preserve">ommunication </w:t>
      </w:r>
      <w:r w:rsidR="00BC140C" w:rsidRPr="000E1B7E">
        <w:rPr>
          <w:rFonts w:ascii="Times New Roman" w:eastAsia="Times New Roman" w:hAnsi="Times New Roman"/>
          <w:sz w:val="24"/>
          <w:szCs w:val="24"/>
          <w:lang w:val="en-US"/>
        </w:rPr>
        <w:t xml:space="preserve">technology </w:t>
      </w:r>
      <w:r w:rsidRPr="000E1B7E">
        <w:rPr>
          <w:rFonts w:ascii="Times New Roman" w:eastAsia="Times New Roman" w:hAnsi="Times New Roman"/>
          <w:sz w:val="24"/>
          <w:szCs w:val="24"/>
          <w:lang w:val="en-US"/>
        </w:rPr>
        <w:t xml:space="preserve">(ICT).  The ICT services have overtaken trade and repairs as the leading contributor to services GDP. Trade and repairs registered a </w:t>
      </w:r>
      <w:r w:rsidR="00E154BE" w:rsidRPr="000E1B7E">
        <w:rPr>
          <w:rFonts w:ascii="Times New Roman" w:eastAsia="Times New Roman" w:hAnsi="Times New Roman"/>
          <w:sz w:val="24"/>
          <w:szCs w:val="24"/>
          <w:lang w:val="en-US"/>
        </w:rPr>
        <w:t xml:space="preserve">1.0 </w:t>
      </w:r>
      <w:r w:rsidRPr="000E1B7E">
        <w:rPr>
          <w:rFonts w:ascii="Times New Roman" w:eastAsia="Times New Roman" w:hAnsi="Times New Roman"/>
          <w:sz w:val="24"/>
          <w:szCs w:val="24"/>
          <w:lang w:val="en-US"/>
        </w:rPr>
        <w:t xml:space="preserve"> percentage point decline in contribution to GDP. The recent tax legislation on mobile money and social media could dampen the growth opportunities of information and communication services in the short</w:t>
      </w:r>
      <w:r w:rsidR="00BC140C" w:rsidRPr="000E1B7E">
        <w:rPr>
          <w:rFonts w:ascii="Times New Roman" w:eastAsia="Times New Roman" w:hAnsi="Times New Roman"/>
          <w:sz w:val="24"/>
          <w:szCs w:val="24"/>
          <w:lang w:val="en-US"/>
        </w:rPr>
        <w:t>-</w:t>
      </w:r>
      <w:r w:rsidRPr="000E1B7E">
        <w:rPr>
          <w:rFonts w:ascii="Times New Roman" w:eastAsia="Times New Roman" w:hAnsi="Times New Roman"/>
          <w:sz w:val="24"/>
          <w:szCs w:val="24"/>
          <w:lang w:val="en-US"/>
        </w:rPr>
        <w:t>run.</w:t>
      </w:r>
    </w:p>
    <w:p w14:paraId="230A5082" w14:textId="77777777" w:rsidR="004E13FF" w:rsidRPr="000E1B7E" w:rsidRDefault="004217BA" w:rsidP="004217BA">
      <w:pPr>
        <w:pStyle w:val="Caption"/>
        <w:jc w:val="both"/>
        <w:rPr>
          <w:rFonts w:ascii="Times New Roman" w:eastAsia="Times New Roman" w:hAnsi="Times New Roman" w:cs="Times New Roman"/>
          <w:b/>
          <w:i w:val="0"/>
          <w:iCs w:val="0"/>
          <w:color w:val="auto"/>
          <w:sz w:val="24"/>
          <w:szCs w:val="24"/>
        </w:rPr>
      </w:pPr>
      <w:bookmarkStart w:id="56" w:name="_Toc3483114"/>
      <w:r w:rsidRPr="000E1B7E">
        <w:rPr>
          <w:rFonts w:ascii="Times New Roman" w:eastAsia="Times New Roman" w:hAnsi="Times New Roman" w:cs="Times New Roman"/>
          <w:b/>
          <w:i w:val="0"/>
          <w:iCs w:val="0"/>
          <w:color w:val="auto"/>
          <w:sz w:val="24"/>
          <w:szCs w:val="24"/>
        </w:rPr>
        <w:t xml:space="preserve">Table </w:t>
      </w:r>
      <w:r w:rsidR="001232BF" w:rsidRPr="000E1B7E">
        <w:rPr>
          <w:rFonts w:ascii="Times New Roman" w:eastAsia="Times New Roman" w:hAnsi="Times New Roman" w:cs="Times New Roman"/>
          <w:b/>
          <w:i w:val="0"/>
          <w:iCs w:val="0"/>
          <w:color w:val="auto"/>
          <w:sz w:val="24"/>
          <w:szCs w:val="24"/>
        </w:rPr>
        <w:fldChar w:fldCharType="begin"/>
      </w:r>
      <w:r w:rsidRPr="000E1B7E">
        <w:rPr>
          <w:rFonts w:ascii="Times New Roman" w:eastAsia="Times New Roman" w:hAnsi="Times New Roman" w:cs="Times New Roman"/>
          <w:b/>
          <w:i w:val="0"/>
          <w:iCs w:val="0"/>
          <w:color w:val="auto"/>
          <w:sz w:val="24"/>
          <w:szCs w:val="24"/>
        </w:rPr>
        <w:instrText xml:space="preserve"> SEQ Table \* ARABIC </w:instrText>
      </w:r>
      <w:r w:rsidR="001232BF" w:rsidRPr="000E1B7E">
        <w:rPr>
          <w:rFonts w:ascii="Times New Roman" w:eastAsia="Times New Roman" w:hAnsi="Times New Roman" w:cs="Times New Roman"/>
          <w:b/>
          <w:i w:val="0"/>
          <w:iCs w:val="0"/>
          <w:color w:val="auto"/>
          <w:sz w:val="24"/>
          <w:szCs w:val="24"/>
        </w:rPr>
        <w:fldChar w:fldCharType="separate"/>
      </w:r>
      <w:r w:rsidR="006461AC" w:rsidRPr="000E1B7E">
        <w:rPr>
          <w:rFonts w:ascii="Times New Roman" w:eastAsia="Times New Roman" w:hAnsi="Times New Roman" w:cs="Times New Roman"/>
          <w:b/>
          <w:i w:val="0"/>
          <w:iCs w:val="0"/>
          <w:noProof/>
          <w:color w:val="auto"/>
          <w:sz w:val="24"/>
          <w:szCs w:val="24"/>
        </w:rPr>
        <w:t>4</w:t>
      </w:r>
      <w:r w:rsidR="001232BF" w:rsidRPr="000E1B7E">
        <w:rPr>
          <w:rFonts w:ascii="Times New Roman" w:eastAsia="Times New Roman" w:hAnsi="Times New Roman" w:cs="Times New Roman"/>
          <w:b/>
          <w:i w:val="0"/>
          <w:iCs w:val="0"/>
          <w:color w:val="auto"/>
          <w:sz w:val="24"/>
          <w:szCs w:val="24"/>
        </w:rPr>
        <w:fldChar w:fldCharType="end"/>
      </w:r>
      <w:r w:rsidR="00F251A1" w:rsidRPr="000E1B7E">
        <w:rPr>
          <w:rFonts w:ascii="Times New Roman" w:eastAsia="Times New Roman" w:hAnsi="Times New Roman" w:cs="Times New Roman"/>
          <w:b/>
          <w:i w:val="0"/>
          <w:iCs w:val="0"/>
          <w:color w:val="auto"/>
          <w:sz w:val="24"/>
          <w:szCs w:val="24"/>
        </w:rPr>
        <w:t xml:space="preserve">: </w:t>
      </w:r>
      <w:r w:rsidR="004E13FF" w:rsidRPr="000E1B7E">
        <w:rPr>
          <w:rFonts w:ascii="Times New Roman" w:eastAsia="Times New Roman" w:hAnsi="Times New Roman" w:cs="Times New Roman"/>
          <w:b/>
          <w:i w:val="0"/>
          <w:iCs w:val="0"/>
          <w:color w:val="auto"/>
          <w:sz w:val="24"/>
          <w:szCs w:val="24"/>
        </w:rPr>
        <w:t>Real GDP by economic activity (% contribution to GDP</w:t>
      </w:r>
      <w:r w:rsidR="00C37693" w:rsidRPr="000E1B7E">
        <w:rPr>
          <w:rFonts w:ascii="Times New Roman" w:eastAsia="Times New Roman" w:hAnsi="Times New Roman" w:cs="Times New Roman"/>
          <w:b/>
          <w:i w:val="0"/>
          <w:iCs w:val="0"/>
          <w:color w:val="auto"/>
          <w:sz w:val="24"/>
          <w:szCs w:val="24"/>
        </w:rPr>
        <w:t xml:space="preserve"> at basic prices (= value added)</w:t>
      </w:r>
      <w:r w:rsidR="004E13FF" w:rsidRPr="000E1B7E">
        <w:rPr>
          <w:rFonts w:ascii="Times New Roman" w:eastAsia="Times New Roman" w:hAnsi="Times New Roman" w:cs="Times New Roman"/>
          <w:b/>
          <w:i w:val="0"/>
          <w:iCs w:val="0"/>
          <w:color w:val="auto"/>
          <w:sz w:val="24"/>
          <w:szCs w:val="24"/>
        </w:rPr>
        <w:t>)</w:t>
      </w:r>
      <w:bookmarkEnd w:id="56"/>
    </w:p>
    <w:tbl>
      <w:tblPr>
        <w:tblStyle w:val="LightGrid1"/>
        <w:tblW w:w="9318" w:type="dxa"/>
        <w:tblLook w:val="04A0" w:firstRow="1" w:lastRow="0" w:firstColumn="1" w:lastColumn="0" w:noHBand="0" w:noVBand="1"/>
      </w:tblPr>
      <w:tblGrid>
        <w:gridCol w:w="4518"/>
        <w:gridCol w:w="960"/>
        <w:gridCol w:w="960"/>
        <w:gridCol w:w="960"/>
        <w:gridCol w:w="960"/>
        <w:gridCol w:w="960"/>
      </w:tblGrid>
      <w:tr w:rsidR="00C37693" w:rsidRPr="000E1B7E" w14:paraId="67548E55" w14:textId="77777777" w:rsidTr="00C376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noWrap/>
            <w:hideMark/>
          </w:tcPr>
          <w:p w14:paraId="5DBF5182" w14:textId="77777777" w:rsidR="00C37693" w:rsidRPr="000E1B7E" w:rsidRDefault="00C37693" w:rsidP="004217BA">
            <w:pPr>
              <w:jc w:val="both"/>
              <w:rPr>
                <w:rFonts w:ascii="Times New Roman" w:eastAsia="Times New Roman" w:hAnsi="Times New Roman" w:cs="Times New Roman"/>
                <w:b w:val="0"/>
                <w:color w:val="000000"/>
                <w:sz w:val="20"/>
                <w:szCs w:val="20"/>
              </w:rPr>
            </w:pPr>
            <w:r w:rsidRPr="000E1B7E">
              <w:rPr>
                <w:rFonts w:ascii="Times New Roman" w:hAnsi="Times New Roman" w:cs="Times New Roman"/>
                <w:color w:val="000000"/>
                <w:sz w:val="20"/>
                <w:szCs w:val="20"/>
              </w:rPr>
              <w:t> </w:t>
            </w:r>
          </w:p>
        </w:tc>
        <w:tc>
          <w:tcPr>
            <w:tcW w:w="960" w:type="dxa"/>
            <w:noWrap/>
            <w:hideMark/>
          </w:tcPr>
          <w:p w14:paraId="0FA6D09B" w14:textId="77777777" w:rsidR="00C37693" w:rsidRPr="000E1B7E" w:rsidRDefault="00C37693" w:rsidP="004217B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2014/15</w:t>
            </w:r>
          </w:p>
        </w:tc>
        <w:tc>
          <w:tcPr>
            <w:tcW w:w="960" w:type="dxa"/>
            <w:noWrap/>
            <w:hideMark/>
          </w:tcPr>
          <w:p w14:paraId="0D9D7EC3" w14:textId="77777777" w:rsidR="00C37693" w:rsidRPr="000E1B7E" w:rsidRDefault="00C37693" w:rsidP="004217B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2015/16</w:t>
            </w:r>
          </w:p>
        </w:tc>
        <w:tc>
          <w:tcPr>
            <w:tcW w:w="960" w:type="dxa"/>
            <w:noWrap/>
            <w:hideMark/>
          </w:tcPr>
          <w:p w14:paraId="6E14B802" w14:textId="77777777" w:rsidR="00C37693" w:rsidRPr="000E1B7E" w:rsidRDefault="00C37693" w:rsidP="004217B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2016/17</w:t>
            </w:r>
          </w:p>
        </w:tc>
        <w:tc>
          <w:tcPr>
            <w:tcW w:w="960" w:type="dxa"/>
            <w:noWrap/>
            <w:hideMark/>
          </w:tcPr>
          <w:p w14:paraId="2BE41545" w14:textId="77777777" w:rsidR="00C37693" w:rsidRPr="000E1B7E" w:rsidRDefault="00C37693" w:rsidP="004217B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2017/18</w:t>
            </w:r>
          </w:p>
        </w:tc>
        <w:tc>
          <w:tcPr>
            <w:tcW w:w="960" w:type="dxa"/>
            <w:noWrap/>
            <w:hideMark/>
          </w:tcPr>
          <w:p w14:paraId="6810CB4F" w14:textId="77777777" w:rsidR="00C37693" w:rsidRPr="000E1B7E" w:rsidRDefault="00537AC0" w:rsidP="004217B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change</w:t>
            </w:r>
          </w:p>
        </w:tc>
      </w:tr>
      <w:tr w:rsidR="00C37693" w:rsidRPr="000E1B7E" w14:paraId="4373891F" w14:textId="77777777" w:rsidTr="00C3769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18" w:type="dxa"/>
            <w:noWrap/>
            <w:hideMark/>
          </w:tcPr>
          <w:p w14:paraId="31E53DA7" w14:textId="77777777" w:rsidR="00C37693" w:rsidRPr="000E1B7E" w:rsidRDefault="00C37693" w:rsidP="004217BA">
            <w:pPr>
              <w:jc w:val="both"/>
              <w:rPr>
                <w:rFonts w:ascii="Times New Roman" w:hAnsi="Times New Roman" w:cs="Times New Roman"/>
                <w:color w:val="000000"/>
                <w:sz w:val="20"/>
                <w:szCs w:val="20"/>
                <w:u w:val="single"/>
              </w:rPr>
            </w:pPr>
            <w:r w:rsidRPr="000E1B7E">
              <w:rPr>
                <w:rFonts w:ascii="Times New Roman" w:hAnsi="Times New Roman" w:cs="Times New Roman"/>
                <w:color w:val="000000"/>
                <w:sz w:val="20"/>
                <w:szCs w:val="20"/>
                <w:u w:val="single"/>
              </w:rPr>
              <w:t>Agriculture, forestry and fishing</w:t>
            </w:r>
          </w:p>
        </w:tc>
        <w:tc>
          <w:tcPr>
            <w:tcW w:w="960" w:type="dxa"/>
            <w:noWrap/>
            <w:hideMark/>
          </w:tcPr>
          <w:p w14:paraId="427B034A" w14:textId="77777777" w:rsidR="00C37693" w:rsidRPr="000E1B7E" w:rsidRDefault="004D3DE3" w:rsidP="004217BA">
            <w:pP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E1B7E">
              <w:rPr>
                <w:b/>
                <w:color w:val="000000"/>
                <w:sz w:val="20"/>
                <w:szCs w:val="20"/>
              </w:rPr>
              <w:t>24.5%</w:t>
            </w:r>
          </w:p>
        </w:tc>
        <w:tc>
          <w:tcPr>
            <w:tcW w:w="960" w:type="dxa"/>
            <w:noWrap/>
            <w:hideMark/>
          </w:tcPr>
          <w:p w14:paraId="0439FCA3" w14:textId="77777777" w:rsidR="00C37693" w:rsidRPr="000E1B7E" w:rsidRDefault="004D3DE3" w:rsidP="004217BA">
            <w:pP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E1B7E">
              <w:rPr>
                <w:b/>
                <w:color w:val="000000"/>
                <w:sz w:val="20"/>
                <w:szCs w:val="20"/>
              </w:rPr>
              <w:t>24.0%</w:t>
            </w:r>
          </w:p>
        </w:tc>
        <w:tc>
          <w:tcPr>
            <w:tcW w:w="960" w:type="dxa"/>
            <w:noWrap/>
            <w:hideMark/>
          </w:tcPr>
          <w:p w14:paraId="3F9DA905" w14:textId="77777777" w:rsidR="00C37693" w:rsidRPr="000E1B7E" w:rsidRDefault="004D3DE3" w:rsidP="004217BA">
            <w:pP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E1B7E">
              <w:rPr>
                <w:b/>
                <w:color w:val="000000"/>
                <w:sz w:val="20"/>
                <w:szCs w:val="20"/>
              </w:rPr>
              <w:t>23.4%</w:t>
            </w:r>
          </w:p>
        </w:tc>
        <w:tc>
          <w:tcPr>
            <w:tcW w:w="960" w:type="dxa"/>
            <w:noWrap/>
            <w:hideMark/>
          </w:tcPr>
          <w:p w14:paraId="1E69FA50" w14:textId="77777777" w:rsidR="00C37693" w:rsidRPr="000E1B7E" w:rsidRDefault="004D3DE3" w:rsidP="004217BA">
            <w:pP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E1B7E">
              <w:rPr>
                <w:b/>
                <w:color w:val="000000"/>
                <w:sz w:val="20"/>
                <w:szCs w:val="20"/>
              </w:rPr>
              <w:t>22.8%</w:t>
            </w:r>
          </w:p>
        </w:tc>
        <w:tc>
          <w:tcPr>
            <w:tcW w:w="960" w:type="dxa"/>
            <w:noWrap/>
            <w:hideMark/>
          </w:tcPr>
          <w:p w14:paraId="62B48C34" w14:textId="77777777" w:rsidR="00C37693" w:rsidRPr="000E1B7E" w:rsidRDefault="004D3DE3" w:rsidP="004217BA">
            <w:pPr>
              <w:jc w:val="both"/>
              <w:cnfStyle w:val="000000100000" w:firstRow="0" w:lastRow="0" w:firstColumn="0" w:lastColumn="0" w:oddVBand="0" w:evenVBand="0" w:oddHBand="1" w:evenHBand="0" w:firstRowFirstColumn="0" w:firstRowLastColumn="0" w:lastRowFirstColumn="0" w:lastRowLastColumn="0"/>
              <w:rPr>
                <w:b/>
                <w:color w:val="000000"/>
                <w:sz w:val="20"/>
                <w:szCs w:val="20"/>
              </w:rPr>
            </w:pPr>
            <w:r w:rsidRPr="000E1B7E">
              <w:rPr>
                <w:b/>
                <w:color w:val="000000"/>
                <w:sz w:val="20"/>
                <w:szCs w:val="20"/>
              </w:rPr>
              <w:t>-1.7%</w:t>
            </w:r>
          </w:p>
        </w:tc>
      </w:tr>
      <w:tr w:rsidR="00C37693" w:rsidRPr="000E1B7E" w14:paraId="6CF01590"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4260491F"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Cash crops</w:t>
            </w:r>
          </w:p>
        </w:tc>
        <w:tc>
          <w:tcPr>
            <w:tcW w:w="960" w:type="dxa"/>
            <w:noWrap/>
            <w:hideMark/>
          </w:tcPr>
          <w:p w14:paraId="02E20275"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1.9%</w:t>
            </w:r>
          </w:p>
        </w:tc>
        <w:tc>
          <w:tcPr>
            <w:tcW w:w="960" w:type="dxa"/>
            <w:noWrap/>
            <w:hideMark/>
          </w:tcPr>
          <w:p w14:paraId="3384EDF7"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1.9%</w:t>
            </w:r>
          </w:p>
        </w:tc>
        <w:tc>
          <w:tcPr>
            <w:tcW w:w="960" w:type="dxa"/>
            <w:noWrap/>
            <w:hideMark/>
          </w:tcPr>
          <w:p w14:paraId="0DA9DDB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2.0%</w:t>
            </w:r>
          </w:p>
        </w:tc>
        <w:tc>
          <w:tcPr>
            <w:tcW w:w="960" w:type="dxa"/>
            <w:noWrap/>
            <w:hideMark/>
          </w:tcPr>
          <w:p w14:paraId="48AAD2A6"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2.0%</w:t>
            </w:r>
          </w:p>
        </w:tc>
        <w:tc>
          <w:tcPr>
            <w:tcW w:w="960" w:type="dxa"/>
            <w:noWrap/>
            <w:hideMark/>
          </w:tcPr>
          <w:p w14:paraId="5C60141A"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0.1%</w:t>
            </w:r>
          </w:p>
        </w:tc>
      </w:tr>
      <w:tr w:rsidR="00C37693" w:rsidRPr="000E1B7E" w14:paraId="4BE15072"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517839A3"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Food crops</w:t>
            </w:r>
          </w:p>
        </w:tc>
        <w:tc>
          <w:tcPr>
            <w:tcW w:w="960" w:type="dxa"/>
            <w:noWrap/>
            <w:hideMark/>
          </w:tcPr>
          <w:p w14:paraId="0C47F3AA"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12.8%</w:t>
            </w:r>
          </w:p>
        </w:tc>
        <w:tc>
          <w:tcPr>
            <w:tcW w:w="960" w:type="dxa"/>
            <w:noWrap/>
            <w:hideMark/>
          </w:tcPr>
          <w:p w14:paraId="3F5B853E"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12.3%</w:t>
            </w:r>
          </w:p>
        </w:tc>
        <w:tc>
          <w:tcPr>
            <w:tcW w:w="960" w:type="dxa"/>
            <w:noWrap/>
            <w:hideMark/>
          </w:tcPr>
          <w:p w14:paraId="3513761D"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12.1%</w:t>
            </w:r>
          </w:p>
        </w:tc>
        <w:tc>
          <w:tcPr>
            <w:tcW w:w="960" w:type="dxa"/>
            <w:noWrap/>
            <w:hideMark/>
          </w:tcPr>
          <w:p w14:paraId="46A7012A"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12.0%</w:t>
            </w:r>
          </w:p>
        </w:tc>
        <w:tc>
          <w:tcPr>
            <w:tcW w:w="960" w:type="dxa"/>
            <w:noWrap/>
            <w:hideMark/>
          </w:tcPr>
          <w:p w14:paraId="0FE47ECE"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-0.7%</w:t>
            </w:r>
          </w:p>
        </w:tc>
      </w:tr>
      <w:tr w:rsidR="00C37693" w:rsidRPr="000E1B7E" w14:paraId="6B791D31"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1DD7F451"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Livestock</w:t>
            </w:r>
          </w:p>
        </w:tc>
        <w:tc>
          <w:tcPr>
            <w:tcW w:w="960" w:type="dxa"/>
            <w:noWrap/>
            <w:hideMark/>
          </w:tcPr>
          <w:p w14:paraId="00C4852C"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4.4%</w:t>
            </w:r>
          </w:p>
        </w:tc>
        <w:tc>
          <w:tcPr>
            <w:tcW w:w="960" w:type="dxa"/>
            <w:noWrap/>
            <w:hideMark/>
          </w:tcPr>
          <w:p w14:paraId="0E358FE0"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4.2%</w:t>
            </w:r>
          </w:p>
        </w:tc>
        <w:tc>
          <w:tcPr>
            <w:tcW w:w="960" w:type="dxa"/>
            <w:noWrap/>
            <w:hideMark/>
          </w:tcPr>
          <w:p w14:paraId="37DD4245"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4.1%</w:t>
            </w:r>
          </w:p>
        </w:tc>
        <w:tc>
          <w:tcPr>
            <w:tcW w:w="960" w:type="dxa"/>
            <w:noWrap/>
            <w:hideMark/>
          </w:tcPr>
          <w:p w14:paraId="3E441165"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3.9%</w:t>
            </w:r>
          </w:p>
        </w:tc>
        <w:tc>
          <w:tcPr>
            <w:tcW w:w="960" w:type="dxa"/>
            <w:noWrap/>
            <w:hideMark/>
          </w:tcPr>
          <w:p w14:paraId="545C1406"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-0.5%</w:t>
            </w:r>
          </w:p>
        </w:tc>
      </w:tr>
      <w:tr w:rsidR="00C37693" w:rsidRPr="000E1B7E" w14:paraId="67FA88CA"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2061DA09"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Agriculture Support Services</w:t>
            </w:r>
          </w:p>
        </w:tc>
        <w:tc>
          <w:tcPr>
            <w:tcW w:w="960" w:type="dxa"/>
            <w:noWrap/>
            <w:hideMark/>
          </w:tcPr>
          <w:p w14:paraId="64F66136"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c>
          <w:tcPr>
            <w:tcW w:w="960" w:type="dxa"/>
            <w:noWrap/>
            <w:hideMark/>
          </w:tcPr>
          <w:p w14:paraId="5AFC3B91"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c>
          <w:tcPr>
            <w:tcW w:w="960" w:type="dxa"/>
            <w:noWrap/>
            <w:hideMark/>
          </w:tcPr>
          <w:p w14:paraId="1986198C"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c>
          <w:tcPr>
            <w:tcW w:w="960" w:type="dxa"/>
            <w:noWrap/>
            <w:hideMark/>
          </w:tcPr>
          <w:p w14:paraId="488ECA9A"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c>
          <w:tcPr>
            <w:tcW w:w="960" w:type="dxa"/>
            <w:noWrap/>
            <w:hideMark/>
          </w:tcPr>
          <w:p w14:paraId="28FF5F5F"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r>
      <w:tr w:rsidR="00C37693" w:rsidRPr="000E1B7E" w14:paraId="04958FFD"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115E9FF4"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Forestry</w:t>
            </w:r>
          </w:p>
        </w:tc>
        <w:tc>
          <w:tcPr>
            <w:tcW w:w="960" w:type="dxa"/>
            <w:noWrap/>
            <w:hideMark/>
          </w:tcPr>
          <w:p w14:paraId="762AFCB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4.3%</w:t>
            </w:r>
          </w:p>
        </w:tc>
        <w:tc>
          <w:tcPr>
            <w:tcW w:w="960" w:type="dxa"/>
            <w:noWrap/>
            <w:hideMark/>
          </w:tcPr>
          <w:p w14:paraId="6A2D4D8B"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4.2%</w:t>
            </w:r>
          </w:p>
        </w:tc>
        <w:tc>
          <w:tcPr>
            <w:tcW w:w="960" w:type="dxa"/>
            <w:noWrap/>
            <w:hideMark/>
          </w:tcPr>
          <w:p w14:paraId="6704CAB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3.9%</w:t>
            </w:r>
          </w:p>
        </w:tc>
        <w:tc>
          <w:tcPr>
            <w:tcW w:w="960" w:type="dxa"/>
            <w:noWrap/>
            <w:hideMark/>
          </w:tcPr>
          <w:p w14:paraId="3DE122D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3.8%</w:t>
            </w:r>
          </w:p>
        </w:tc>
        <w:tc>
          <w:tcPr>
            <w:tcW w:w="960" w:type="dxa"/>
            <w:noWrap/>
            <w:hideMark/>
          </w:tcPr>
          <w:p w14:paraId="0103A9CB"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-0.5%</w:t>
            </w:r>
          </w:p>
        </w:tc>
      </w:tr>
      <w:tr w:rsidR="00C37693" w:rsidRPr="000E1B7E" w14:paraId="07887B0E"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78C19C13"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Fishing</w:t>
            </w:r>
          </w:p>
        </w:tc>
        <w:tc>
          <w:tcPr>
            <w:tcW w:w="960" w:type="dxa"/>
            <w:noWrap/>
            <w:hideMark/>
          </w:tcPr>
          <w:p w14:paraId="368D6EF6"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w:t>
            </w:r>
          </w:p>
        </w:tc>
        <w:tc>
          <w:tcPr>
            <w:tcW w:w="960" w:type="dxa"/>
            <w:noWrap/>
            <w:hideMark/>
          </w:tcPr>
          <w:p w14:paraId="6AE696BA"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w:t>
            </w:r>
          </w:p>
        </w:tc>
        <w:tc>
          <w:tcPr>
            <w:tcW w:w="960" w:type="dxa"/>
            <w:noWrap/>
            <w:hideMark/>
          </w:tcPr>
          <w:p w14:paraId="2B3142BA"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w:t>
            </w:r>
          </w:p>
        </w:tc>
        <w:tc>
          <w:tcPr>
            <w:tcW w:w="960" w:type="dxa"/>
            <w:noWrap/>
            <w:hideMark/>
          </w:tcPr>
          <w:p w14:paraId="1BD99571"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1.1%</w:t>
            </w:r>
          </w:p>
        </w:tc>
        <w:tc>
          <w:tcPr>
            <w:tcW w:w="960" w:type="dxa"/>
            <w:noWrap/>
            <w:hideMark/>
          </w:tcPr>
          <w:p w14:paraId="0546C88D"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-0.1%</w:t>
            </w:r>
          </w:p>
        </w:tc>
      </w:tr>
      <w:tr w:rsidR="00C37693" w:rsidRPr="000E1B7E" w14:paraId="29ECAFF4"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noWrap/>
            <w:hideMark/>
          </w:tcPr>
          <w:p w14:paraId="19E5738C" w14:textId="77777777" w:rsidR="00C37693" w:rsidRPr="000E1B7E" w:rsidRDefault="00C37693" w:rsidP="004217BA">
            <w:pPr>
              <w:jc w:val="both"/>
              <w:rPr>
                <w:rFonts w:ascii="Times New Roman" w:hAnsi="Times New Roman" w:cs="Times New Roman"/>
                <w:color w:val="000000"/>
                <w:sz w:val="20"/>
                <w:szCs w:val="20"/>
                <w:u w:val="single"/>
              </w:rPr>
            </w:pPr>
            <w:r w:rsidRPr="000E1B7E">
              <w:rPr>
                <w:rFonts w:ascii="Times New Roman" w:hAnsi="Times New Roman" w:cs="Times New Roman"/>
                <w:color w:val="000000"/>
                <w:sz w:val="20"/>
                <w:szCs w:val="20"/>
                <w:u w:val="single"/>
              </w:rPr>
              <w:t>Industry</w:t>
            </w:r>
          </w:p>
        </w:tc>
        <w:tc>
          <w:tcPr>
            <w:tcW w:w="960" w:type="dxa"/>
            <w:noWrap/>
            <w:hideMark/>
          </w:tcPr>
          <w:p w14:paraId="128E82D3"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20.4%</w:t>
            </w:r>
          </w:p>
        </w:tc>
        <w:tc>
          <w:tcPr>
            <w:tcW w:w="960" w:type="dxa"/>
            <w:noWrap/>
            <w:hideMark/>
          </w:tcPr>
          <w:p w14:paraId="003D9EA4"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20.4%</w:t>
            </w:r>
          </w:p>
        </w:tc>
        <w:tc>
          <w:tcPr>
            <w:tcW w:w="960" w:type="dxa"/>
            <w:noWrap/>
            <w:hideMark/>
          </w:tcPr>
          <w:p w14:paraId="56FB9FB7"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20.2%</w:t>
            </w:r>
          </w:p>
        </w:tc>
        <w:tc>
          <w:tcPr>
            <w:tcW w:w="960" w:type="dxa"/>
            <w:noWrap/>
            <w:hideMark/>
          </w:tcPr>
          <w:p w14:paraId="0E2B1AC8"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20.2%</w:t>
            </w:r>
          </w:p>
        </w:tc>
        <w:tc>
          <w:tcPr>
            <w:tcW w:w="960" w:type="dxa"/>
            <w:noWrap/>
            <w:hideMark/>
          </w:tcPr>
          <w:p w14:paraId="26AF30B7"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-0.3%</w:t>
            </w:r>
          </w:p>
        </w:tc>
      </w:tr>
      <w:tr w:rsidR="00C37693" w:rsidRPr="000E1B7E" w14:paraId="356A05AB"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7826E473"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Mining &amp; quarrying</w:t>
            </w:r>
          </w:p>
        </w:tc>
        <w:tc>
          <w:tcPr>
            <w:tcW w:w="960" w:type="dxa"/>
            <w:noWrap/>
            <w:hideMark/>
          </w:tcPr>
          <w:p w14:paraId="0717148E"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1.6%</w:t>
            </w:r>
          </w:p>
        </w:tc>
        <w:tc>
          <w:tcPr>
            <w:tcW w:w="960" w:type="dxa"/>
            <w:noWrap/>
            <w:hideMark/>
          </w:tcPr>
          <w:p w14:paraId="1B7C39F8"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1.7%</w:t>
            </w:r>
          </w:p>
        </w:tc>
        <w:tc>
          <w:tcPr>
            <w:tcW w:w="960" w:type="dxa"/>
            <w:noWrap/>
            <w:hideMark/>
          </w:tcPr>
          <w:p w14:paraId="07C8A348"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1.5%</w:t>
            </w:r>
          </w:p>
        </w:tc>
        <w:tc>
          <w:tcPr>
            <w:tcW w:w="960" w:type="dxa"/>
            <w:noWrap/>
            <w:hideMark/>
          </w:tcPr>
          <w:p w14:paraId="372CBFDF"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1.8%</w:t>
            </w:r>
          </w:p>
        </w:tc>
        <w:tc>
          <w:tcPr>
            <w:tcW w:w="960" w:type="dxa"/>
            <w:noWrap/>
            <w:hideMark/>
          </w:tcPr>
          <w:p w14:paraId="4AC9A920"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0.2%</w:t>
            </w:r>
          </w:p>
        </w:tc>
      </w:tr>
      <w:tr w:rsidR="00C37693" w:rsidRPr="000E1B7E" w14:paraId="7B7846D4"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noWrap/>
            <w:hideMark/>
          </w:tcPr>
          <w:p w14:paraId="3F68512E"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Manufacturing</w:t>
            </w:r>
          </w:p>
        </w:tc>
        <w:tc>
          <w:tcPr>
            <w:tcW w:w="960" w:type="dxa"/>
            <w:noWrap/>
            <w:hideMark/>
          </w:tcPr>
          <w:p w14:paraId="1FFF264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8.7%</w:t>
            </w:r>
          </w:p>
        </w:tc>
        <w:tc>
          <w:tcPr>
            <w:tcW w:w="960" w:type="dxa"/>
            <w:noWrap/>
            <w:hideMark/>
          </w:tcPr>
          <w:p w14:paraId="1A6D5AF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8.4%</w:t>
            </w:r>
          </w:p>
        </w:tc>
        <w:tc>
          <w:tcPr>
            <w:tcW w:w="960" w:type="dxa"/>
            <w:noWrap/>
            <w:hideMark/>
          </w:tcPr>
          <w:p w14:paraId="7046E33B"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8.3%</w:t>
            </w:r>
          </w:p>
        </w:tc>
        <w:tc>
          <w:tcPr>
            <w:tcW w:w="960" w:type="dxa"/>
            <w:noWrap/>
            <w:hideMark/>
          </w:tcPr>
          <w:p w14:paraId="6A884F28"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7.9%</w:t>
            </w:r>
          </w:p>
        </w:tc>
        <w:tc>
          <w:tcPr>
            <w:tcW w:w="960" w:type="dxa"/>
            <w:noWrap/>
            <w:hideMark/>
          </w:tcPr>
          <w:p w14:paraId="0A51B42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-0.8%</w:t>
            </w:r>
          </w:p>
        </w:tc>
      </w:tr>
      <w:tr w:rsidR="00C37693" w:rsidRPr="000E1B7E" w14:paraId="2A0A71DC"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noWrap/>
            <w:hideMark/>
          </w:tcPr>
          <w:p w14:paraId="504221FC"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Electricity</w:t>
            </w:r>
          </w:p>
        </w:tc>
        <w:tc>
          <w:tcPr>
            <w:tcW w:w="960" w:type="dxa"/>
            <w:noWrap/>
            <w:hideMark/>
          </w:tcPr>
          <w:p w14:paraId="141E9AD7"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1.0%</w:t>
            </w:r>
          </w:p>
        </w:tc>
        <w:tc>
          <w:tcPr>
            <w:tcW w:w="960" w:type="dxa"/>
            <w:noWrap/>
            <w:hideMark/>
          </w:tcPr>
          <w:p w14:paraId="7526D8DC"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1.0%</w:t>
            </w:r>
          </w:p>
        </w:tc>
        <w:tc>
          <w:tcPr>
            <w:tcW w:w="960" w:type="dxa"/>
            <w:noWrap/>
            <w:hideMark/>
          </w:tcPr>
          <w:p w14:paraId="6E5A56F2"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1.0%</w:t>
            </w:r>
          </w:p>
        </w:tc>
        <w:tc>
          <w:tcPr>
            <w:tcW w:w="960" w:type="dxa"/>
            <w:noWrap/>
            <w:hideMark/>
          </w:tcPr>
          <w:p w14:paraId="1AC678D4"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1.0%</w:t>
            </w:r>
          </w:p>
        </w:tc>
        <w:tc>
          <w:tcPr>
            <w:tcW w:w="960" w:type="dxa"/>
            <w:noWrap/>
            <w:hideMark/>
          </w:tcPr>
          <w:p w14:paraId="4B161AAE"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r>
      <w:tr w:rsidR="00C37693" w:rsidRPr="000E1B7E" w14:paraId="108A5BF5"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noWrap/>
            <w:hideMark/>
          </w:tcPr>
          <w:p w14:paraId="6DBEC6EE"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Water</w:t>
            </w:r>
          </w:p>
        </w:tc>
        <w:tc>
          <w:tcPr>
            <w:tcW w:w="960" w:type="dxa"/>
            <w:noWrap/>
            <w:hideMark/>
          </w:tcPr>
          <w:p w14:paraId="4AE299A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2.1%</w:t>
            </w:r>
          </w:p>
        </w:tc>
        <w:tc>
          <w:tcPr>
            <w:tcW w:w="960" w:type="dxa"/>
            <w:noWrap/>
            <w:hideMark/>
          </w:tcPr>
          <w:p w14:paraId="722CE1B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2.2%</w:t>
            </w:r>
          </w:p>
        </w:tc>
        <w:tc>
          <w:tcPr>
            <w:tcW w:w="960" w:type="dxa"/>
            <w:noWrap/>
            <w:hideMark/>
          </w:tcPr>
          <w:p w14:paraId="3EDD4CEE"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2.2%</w:t>
            </w:r>
          </w:p>
        </w:tc>
        <w:tc>
          <w:tcPr>
            <w:tcW w:w="960" w:type="dxa"/>
            <w:noWrap/>
            <w:hideMark/>
          </w:tcPr>
          <w:p w14:paraId="4ADD19B5"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2.2%</w:t>
            </w:r>
          </w:p>
        </w:tc>
        <w:tc>
          <w:tcPr>
            <w:tcW w:w="960" w:type="dxa"/>
            <w:noWrap/>
            <w:hideMark/>
          </w:tcPr>
          <w:p w14:paraId="1F300707"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0.1%</w:t>
            </w:r>
          </w:p>
        </w:tc>
      </w:tr>
      <w:tr w:rsidR="00C37693" w:rsidRPr="000E1B7E" w14:paraId="75C5886F"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26F67343"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Construction</w:t>
            </w:r>
          </w:p>
        </w:tc>
        <w:tc>
          <w:tcPr>
            <w:tcW w:w="960" w:type="dxa"/>
            <w:noWrap/>
            <w:hideMark/>
          </w:tcPr>
          <w:p w14:paraId="57B0A017"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6.9%</w:t>
            </w:r>
          </w:p>
        </w:tc>
        <w:tc>
          <w:tcPr>
            <w:tcW w:w="960" w:type="dxa"/>
            <w:noWrap/>
            <w:hideMark/>
          </w:tcPr>
          <w:p w14:paraId="2DFA6886"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7.1%</w:t>
            </w:r>
          </w:p>
        </w:tc>
        <w:tc>
          <w:tcPr>
            <w:tcW w:w="960" w:type="dxa"/>
            <w:noWrap/>
            <w:hideMark/>
          </w:tcPr>
          <w:p w14:paraId="7A88B22B"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7.2%</w:t>
            </w:r>
          </w:p>
        </w:tc>
        <w:tc>
          <w:tcPr>
            <w:tcW w:w="960" w:type="dxa"/>
            <w:noWrap/>
            <w:hideMark/>
          </w:tcPr>
          <w:p w14:paraId="6928257D"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7.2%</w:t>
            </w:r>
          </w:p>
        </w:tc>
        <w:tc>
          <w:tcPr>
            <w:tcW w:w="960" w:type="dxa"/>
            <w:noWrap/>
            <w:hideMark/>
          </w:tcPr>
          <w:p w14:paraId="44330EA4"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0.3%</w:t>
            </w:r>
          </w:p>
        </w:tc>
      </w:tr>
      <w:tr w:rsidR="00C37693" w:rsidRPr="000E1B7E" w14:paraId="3CB27EF0"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noWrap/>
            <w:hideMark/>
          </w:tcPr>
          <w:p w14:paraId="361008E1" w14:textId="77777777" w:rsidR="00C37693" w:rsidRPr="000E1B7E" w:rsidRDefault="00C37693" w:rsidP="004217BA">
            <w:pPr>
              <w:jc w:val="both"/>
              <w:rPr>
                <w:rFonts w:ascii="Times New Roman" w:hAnsi="Times New Roman" w:cs="Times New Roman"/>
                <w:color w:val="000000"/>
                <w:sz w:val="20"/>
                <w:szCs w:val="20"/>
                <w:u w:val="single"/>
              </w:rPr>
            </w:pPr>
            <w:r w:rsidRPr="000E1B7E">
              <w:rPr>
                <w:rFonts w:ascii="Times New Roman" w:hAnsi="Times New Roman" w:cs="Times New Roman"/>
                <w:color w:val="000000"/>
                <w:sz w:val="20"/>
                <w:szCs w:val="20"/>
                <w:u w:val="single"/>
              </w:rPr>
              <w:t>Services</w:t>
            </w:r>
          </w:p>
        </w:tc>
        <w:tc>
          <w:tcPr>
            <w:tcW w:w="960" w:type="dxa"/>
            <w:noWrap/>
            <w:hideMark/>
          </w:tcPr>
          <w:p w14:paraId="203171A3"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55.1%</w:t>
            </w:r>
          </w:p>
        </w:tc>
        <w:tc>
          <w:tcPr>
            <w:tcW w:w="960" w:type="dxa"/>
            <w:noWrap/>
            <w:hideMark/>
          </w:tcPr>
          <w:p w14:paraId="23E14226"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55.7%</w:t>
            </w:r>
          </w:p>
        </w:tc>
        <w:tc>
          <w:tcPr>
            <w:tcW w:w="960" w:type="dxa"/>
            <w:noWrap/>
            <w:hideMark/>
          </w:tcPr>
          <w:p w14:paraId="13B36DAB"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56.4%</w:t>
            </w:r>
          </w:p>
        </w:tc>
        <w:tc>
          <w:tcPr>
            <w:tcW w:w="960" w:type="dxa"/>
            <w:noWrap/>
            <w:hideMark/>
          </w:tcPr>
          <w:p w14:paraId="658305FF"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57.1%</w:t>
            </w:r>
          </w:p>
        </w:tc>
        <w:tc>
          <w:tcPr>
            <w:tcW w:w="960" w:type="dxa"/>
            <w:noWrap/>
            <w:hideMark/>
          </w:tcPr>
          <w:p w14:paraId="6E89EF69" w14:textId="77777777" w:rsidR="00C37693" w:rsidRPr="000E1B7E" w:rsidRDefault="004D3DE3" w:rsidP="004217BA">
            <w:pPr>
              <w:jc w:val="both"/>
              <w:cnfStyle w:val="000000010000" w:firstRow="0" w:lastRow="0" w:firstColumn="0" w:lastColumn="0" w:oddVBand="0" w:evenVBand="0" w:oddHBand="0" w:evenHBand="1" w:firstRowFirstColumn="0" w:firstRowLastColumn="0" w:lastRowFirstColumn="0" w:lastRowLastColumn="0"/>
              <w:rPr>
                <w:b/>
                <w:color w:val="000000"/>
                <w:sz w:val="20"/>
                <w:szCs w:val="20"/>
              </w:rPr>
            </w:pPr>
            <w:r w:rsidRPr="000E1B7E">
              <w:rPr>
                <w:b/>
                <w:color w:val="000000"/>
                <w:sz w:val="20"/>
                <w:szCs w:val="20"/>
              </w:rPr>
              <w:t>2.0%</w:t>
            </w:r>
          </w:p>
        </w:tc>
      </w:tr>
      <w:tr w:rsidR="00C37693" w:rsidRPr="000E1B7E" w14:paraId="25E9788D"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26BC9754"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Trade and Repairs</w:t>
            </w:r>
          </w:p>
        </w:tc>
        <w:tc>
          <w:tcPr>
            <w:tcW w:w="960" w:type="dxa"/>
            <w:noWrap/>
            <w:hideMark/>
          </w:tcPr>
          <w:p w14:paraId="2C0638B3"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12.4%</w:t>
            </w:r>
          </w:p>
        </w:tc>
        <w:tc>
          <w:tcPr>
            <w:tcW w:w="960" w:type="dxa"/>
            <w:noWrap/>
            <w:hideMark/>
          </w:tcPr>
          <w:p w14:paraId="05B9F3F0"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12.3%</w:t>
            </w:r>
          </w:p>
        </w:tc>
        <w:tc>
          <w:tcPr>
            <w:tcW w:w="960" w:type="dxa"/>
            <w:noWrap/>
            <w:hideMark/>
          </w:tcPr>
          <w:p w14:paraId="49CFE78C"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12.0%</w:t>
            </w:r>
          </w:p>
        </w:tc>
        <w:tc>
          <w:tcPr>
            <w:tcW w:w="960" w:type="dxa"/>
            <w:noWrap/>
            <w:hideMark/>
          </w:tcPr>
          <w:p w14:paraId="47F2C9E3"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11.5%</w:t>
            </w:r>
          </w:p>
        </w:tc>
        <w:tc>
          <w:tcPr>
            <w:tcW w:w="960" w:type="dxa"/>
            <w:noWrap/>
            <w:hideMark/>
          </w:tcPr>
          <w:p w14:paraId="4837F61C"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-1.0%</w:t>
            </w:r>
          </w:p>
        </w:tc>
      </w:tr>
      <w:tr w:rsidR="00C37693" w:rsidRPr="000E1B7E" w14:paraId="4A7441A0"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08C26DAD"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Transportation and Storage</w:t>
            </w:r>
          </w:p>
        </w:tc>
        <w:tc>
          <w:tcPr>
            <w:tcW w:w="960" w:type="dxa"/>
            <w:noWrap/>
            <w:hideMark/>
          </w:tcPr>
          <w:p w14:paraId="25F63F05"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3.1%</w:t>
            </w:r>
          </w:p>
        </w:tc>
        <w:tc>
          <w:tcPr>
            <w:tcW w:w="960" w:type="dxa"/>
            <w:noWrap/>
            <w:hideMark/>
          </w:tcPr>
          <w:p w14:paraId="72DC6CFE"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3.2%</w:t>
            </w:r>
          </w:p>
        </w:tc>
        <w:tc>
          <w:tcPr>
            <w:tcW w:w="960" w:type="dxa"/>
            <w:noWrap/>
            <w:hideMark/>
          </w:tcPr>
          <w:p w14:paraId="0D4E45BC"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3.2%</w:t>
            </w:r>
          </w:p>
        </w:tc>
        <w:tc>
          <w:tcPr>
            <w:tcW w:w="960" w:type="dxa"/>
            <w:noWrap/>
            <w:hideMark/>
          </w:tcPr>
          <w:p w14:paraId="0ED601B6"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3.1%</w:t>
            </w:r>
          </w:p>
        </w:tc>
        <w:tc>
          <w:tcPr>
            <w:tcW w:w="960" w:type="dxa"/>
            <w:noWrap/>
            <w:hideMark/>
          </w:tcPr>
          <w:p w14:paraId="430C5060"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0.1%</w:t>
            </w:r>
          </w:p>
        </w:tc>
      </w:tr>
      <w:tr w:rsidR="00C37693" w:rsidRPr="000E1B7E" w14:paraId="1E9CB89E" w14:textId="77777777" w:rsidTr="00C37693">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518" w:type="dxa"/>
            <w:hideMark/>
          </w:tcPr>
          <w:p w14:paraId="69066D4A"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Accommodation and Food Service Activities</w:t>
            </w:r>
          </w:p>
        </w:tc>
        <w:tc>
          <w:tcPr>
            <w:tcW w:w="960" w:type="dxa"/>
            <w:noWrap/>
            <w:hideMark/>
          </w:tcPr>
          <w:p w14:paraId="369BABBD"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2.5%</w:t>
            </w:r>
          </w:p>
        </w:tc>
        <w:tc>
          <w:tcPr>
            <w:tcW w:w="960" w:type="dxa"/>
            <w:noWrap/>
            <w:hideMark/>
          </w:tcPr>
          <w:p w14:paraId="0D18552B"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2.5%</w:t>
            </w:r>
          </w:p>
        </w:tc>
        <w:tc>
          <w:tcPr>
            <w:tcW w:w="960" w:type="dxa"/>
            <w:noWrap/>
            <w:hideMark/>
          </w:tcPr>
          <w:p w14:paraId="79880E7C"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2.6%</w:t>
            </w:r>
          </w:p>
        </w:tc>
        <w:tc>
          <w:tcPr>
            <w:tcW w:w="960" w:type="dxa"/>
            <w:noWrap/>
            <w:hideMark/>
          </w:tcPr>
          <w:p w14:paraId="73A0B044"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2.5%</w:t>
            </w:r>
          </w:p>
        </w:tc>
        <w:tc>
          <w:tcPr>
            <w:tcW w:w="960" w:type="dxa"/>
            <w:noWrap/>
            <w:hideMark/>
          </w:tcPr>
          <w:p w14:paraId="76971F67"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r>
      <w:tr w:rsidR="00C37693" w:rsidRPr="000E1B7E" w14:paraId="583331F8"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7D634529"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Information and Communication</w:t>
            </w:r>
          </w:p>
        </w:tc>
        <w:tc>
          <w:tcPr>
            <w:tcW w:w="960" w:type="dxa"/>
            <w:noWrap/>
            <w:hideMark/>
          </w:tcPr>
          <w:p w14:paraId="646125D6"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8.8%</w:t>
            </w:r>
          </w:p>
        </w:tc>
        <w:tc>
          <w:tcPr>
            <w:tcW w:w="960" w:type="dxa"/>
            <w:noWrap/>
            <w:hideMark/>
          </w:tcPr>
          <w:p w14:paraId="7DF56AF7"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9.6%</w:t>
            </w:r>
          </w:p>
        </w:tc>
        <w:tc>
          <w:tcPr>
            <w:tcW w:w="960" w:type="dxa"/>
            <w:noWrap/>
            <w:hideMark/>
          </w:tcPr>
          <w:p w14:paraId="4B1578F8"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10.5%</w:t>
            </w:r>
          </w:p>
        </w:tc>
        <w:tc>
          <w:tcPr>
            <w:tcW w:w="960" w:type="dxa"/>
            <w:noWrap/>
            <w:hideMark/>
          </w:tcPr>
          <w:p w14:paraId="11CEAA06"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11.4%</w:t>
            </w:r>
          </w:p>
        </w:tc>
        <w:tc>
          <w:tcPr>
            <w:tcW w:w="960" w:type="dxa"/>
            <w:noWrap/>
            <w:hideMark/>
          </w:tcPr>
          <w:p w14:paraId="405D592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2.5%</w:t>
            </w:r>
          </w:p>
        </w:tc>
      </w:tr>
      <w:tr w:rsidR="00C37693" w:rsidRPr="000E1B7E" w14:paraId="3F8589D4"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3F10E563"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Financial and Insurance Activities</w:t>
            </w:r>
          </w:p>
        </w:tc>
        <w:tc>
          <w:tcPr>
            <w:tcW w:w="960" w:type="dxa"/>
            <w:noWrap/>
            <w:hideMark/>
          </w:tcPr>
          <w:p w14:paraId="063CEF32"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3.1%</w:t>
            </w:r>
          </w:p>
        </w:tc>
        <w:tc>
          <w:tcPr>
            <w:tcW w:w="960" w:type="dxa"/>
            <w:noWrap/>
            <w:hideMark/>
          </w:tcPr>
          <w:p w14:paraId="6AB0F7AD"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3.3%</w:t>
            </w:r>
          </w:p>
        </w:tc>
        <w:tc>
          <w:tcPr>
            <w:tcW w:w="960" w:type="dxa"/>
            <w:noWrap/>
            <w:hideMark/>
          </w:tcPr>
          <w:p w14:paraId="221A8FA0"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3.2%</w:t>
            </w:r>
          </w:p>
        </w:tc>
        <w:tc>
          <w:tcPr>
            <w:tcW w:w="960" w:type="dxa"/>
            <w:noWrap/>
            <w:hideMark/>
          </w:tcPr>
          <w:p w14:paraId="7004B68D"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3.3%</w:t>
            </w:r>
          </w:p>
        </w:tc>
        <w:tc>
          <w:tcPr>
            <w:tcW w:w="960" w:type="dxa"/>
            <w:noWrap/>
            <w:hideMark/>
          </w:tcPr>
          <w:p w14:paraId="7FDC3FB9"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0.2%</w:t>
            </w:r>
          </w:p>
        </w:tc>
      </w:tr>
      <w:tr w:rsidR="00C37693" w:rsidRPr="000E1B7E" w14:paraId="0D2B9345"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010559F8"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Real Estate Activities</w:t>
            </w:r>
          </w:p>
        </w:tc>
        <w:tc>
          <w:tcPr>
            <w:tcW w:w="960" w:type="dxa"/>
            <w:noWrap/>
            <w:hideMark/>
          </w:tcPr>
          <w:p w14:paraId="45592B4D"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5.8%</w:t>
            </w:r>
          </w:p>
        </w:tc>
        <w:tc>
          <w:tcPr>
            <w:tcW w:w="960" w:type="dxa"/>
            <w:noWrap/>
            <w:hideMark/>
          </w:tcPr>
          <w:p w14:paraId="08DF094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5.8%</w:t>
            </w:r>
          </w:p>
        </w:tc>
        <w:tc>
          <w:tcPr>
            <w:tcW w:w="960" w:type="dxa"/>
            <w:noWrap/>
            <w:hideMark/>
          </w:tcPr>
          <w:p w14:paraId="6F72F79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5.9%</w:t>
            </w:r>
          </w:p>
        </w:tc>
        <w:tc>
          <w:tcPr>
            <w:tcW w:w="960" w:type="dxa"/>
            <w:noWrap/>
            <w:hideMark/>
          </w:tcPr>
          <w:p w14:paraId="2890B100"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5.9%</w:t>
            </w:r>
          </w:p>
        </w:tc>
        <w:tc>
          <w:tcPr>
            <w:tcW w:w="960" w:type="dxa"/>
            <w:noWrap/>
            <w:hideMark/>
          </w:tcPr>
          <w:p w14:paraId="51E3045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0.1%</w:t>
            </w:r>
          </w:p>
        </w:tc>
      </w:tr>
      <w:tr w:rsidR="00C37693" w:rsidRPr="000E1B7E" w14:paraId="597DAEA3"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5BBD80FA"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Professional, Scientific and Technical Activities</w:t>
            </w:r>
          </w:p>
        </w:tc>
        <w:tc>
          <w:tcPr>
            <w:tcW w:w="960" w:type="dxa"/>
            <w:noWrap/>
            <w:hideMark/>
          </w:tcPr>
          <w:p w14:paraId="1009D888"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2.8%</w:t>
            </w:r>
          </w:p>
        </w:tc>
        <w:tc>
          <w:tcPr>
            <w:tcW w:w="960" w:type="dxa"/>
            <w:noWrap/>
            <w:hideMark/>
          </w:tcPr>
          <w:p w14:paraId="64C4877C"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2.7%</w:t>
            </w:r>
          </w:p>
        </w:tc>
        <w:tc>
          <w:tcPr>
            <w:tcW w:w="960" w:type="dxa"/>
            <w:noWrap/>
            <w:hideMark/>
          </w:tcPr>
          <w:p w14:paraId="628E9515"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2.5%</w:t>
            </w:r>
          </w:p>
        </w:tc>
        <w:tc>
          <w:tcPr>
            <w:tcW w:w="960" w:type="dxa"/>
            <w:noWrap/>
            <w:hideMark/>
          </w:tcPr>
          <w:p w14:paraId="12FA3C32"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2.5%</w:t>
            </w:r>
          </w:p>
        </w:tc>
        <w:tc>
          <w:tcPr>
            <w:tcW w:w="960" w:type="dxa"/>
            <w:noWrap/>
            <w:hideMark/>
          </w:tcPr>
          <w:p w14:paraId="24E3FD6B"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-0.3%</w:t>
            </w:r>
          </w:p>
        </w:tc>
      </w:tr>
      <w:tr w:rsidR="00C37693" w:rsidRPr="000E1B7E" w14:paraId="405CF72C" w14:textId="77777777" w:rsidTr="00C37693">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4518" w:type="dxa"/>
            <w:hideMark/>
          </w:tcPr>
          <w:p w14:paraId="45A188F8"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Administrative and Support Service Activities</w:t>
            </w:r>
          </w:p>
        </w:tc>
        <w:tc>
          <w:tcPr>
            <w:tcW w:w="960" w:type="dxa"/>
            <w:noWrap/>
            <w:hideMark/>
          </w:tcPr>
          <w:p w14:paraId="61105F31"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2.0%</w:t>
            </w:r>
          </w:p>
        </w:tc>
        <w:tc>
          <w:tcPr>
            <w:tcW w:w="960" w:type="dxa"/>
            <w:noWrap/>
            <w:hideMark/>
          </w:tcPr>
          <w:p w14:paraId="4C20D77B"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1.6%</w:t>
            </w:r>
          </w:p>
        </w:tc>
        <w:tc>
          <w:tcPr>
            <w:tcW w:w="960" w:type="dxa"/>
            <w:noWrap/>
            <w:hideMark/>
          </w:tcPr>
          <w:p w14:paraId="22F76D1E"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1.5%</w:t>
            </w:r>
          </w:p>
        </w:tc>
        <w:tc>
          <w:tcPr>
            <w:tcW w:w="960" w:type="dxa"/>
            <w:noWrap/>
            <w:hideMark/>
          </w:tcPr>
          <w:p w14:paraId="0921CCCD"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1.5%</w:t>
            </w:r>
          </w:p>
        </w:tc>
        <w:tc>
          <w:tcPr>
            <w:tcW w:w="960" w:type="dxa"/>
            <w:noWrap/>
            <w:hideMark/>
          </w:tcPr>
          <w:p w14:paraId="70BA9116"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-0.4%</w:t>
            </w:r>
          </w:p>
        </w:tc>
      </w:tr>
      <w:tr w:rsidR="00C37693" w:rsidRPr="000E1B7E" w14:paraId="02CFCF96"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49832854"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 xml:space="preserve">Public Administration </w:t>
            </w:r>
          </w:p>
        </w:tc>
        <w:tc>
          <w:tcPr>
            <w:tcW w:w="960" w:type="dxa"/>
            <w:noWrap/>
            <w:hideMark/>
          </w:tcPr>
          <w:p w14:paraId="47AEF415"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3.5%</w:t>
            </w:r>
          </w:p>
        </w:tc>
        <w:tc>
          <w:tcPr>
            <w:tcW w:w="960" w:type="dxa"/>
            <w:noWrap/>
            <w:hideMark/>
          </w:tcPr>
          <w:p w14:paraId="1DD6B41B"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3.6%</w:t>
            </w:r>
          </w:p>
        </w:tc>
        <w:tc>
          <w:tcPr>
            <w:tcW w:w="960" w:type="dxa"/>
            <w:noWrap/>
            <w:hideMark/>
          </w:tcPr>
          <w:p w14:paraId="50C8278E"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3.5%</w:t>
            </w:r>
          </w:p>
        </w:tc>
        <w:tc>
          <w:tcPr>
            <w:tcW w:w="960" w:type="dxa"/>
            <w:noWrap/>
            <w:hideMark/>
          </w:tcPr>
          <w:p w14:paraId="29A251D2"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3.7%</w:t>
            </w:r>
          </w:p>
        </w:tc>
        <w:tc>
          <w:tcPr>
            <w:tcW w:w="960" w:type="dxa"/>
            <w:noWrap/>
            <w:hideMark/>
          </w:tcPr>
          <w:p w14:paraId="5329B9F5"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0.2%</w:t>
            </w:r>
          </w:p>
        </w:tc>
      </w:tr>
      <w:tr w:rsidR="00C37693" w:rsidRPr="000E1B7E" w14:paraId="47E12669"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795B7053"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Education</w:t>
            </w:r>
          </w:p>
        </w:tc>
        <w:tc>
          <w:tcPr>
            <w:tcW w:w="960" w:type="dxa"/>
            <w:noWrap/>
            <w:hideMark/>
          </w:tcPr>
          <w:p w14:paraId="43F12142"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5.9%</w:t>
            </w:r>
          </w:p>
        </w:tc>
        <w:tc>
          <w:tcPr>
            <w:tcW w:w="960" w:type="dxa"/>
            <w:noWrap/>
            <w:hideMark/>
          </w:tcPr>
          <w:p w14:paraId="1495AA2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6.0%</w:t>
            </w:r>
          </w:p>
        </w:tc>
        <w:tc>
          <w:tcPr>
            <w:tcW w:w="960" w:type="dxa"/>
            <w:noWrap/>
            <w:hideMark/>
          </w:tcPr>
          <w:p w14:paraId="4CAE924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6.3%</w:t>
            </w:r>
          </w:p>
        </w:tc>
        <w:tc>
          <w:tcPr>
            <w:tcW w:w="960" w:type="dxa"/>
            <w:noWrap/>
            <w:hideMark/>
          </w:tcPr>
          <w:p w14:paraId="602FB43E"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6.4%</w:t>
            </w:r>
          </w:p>
        </w:tc>
        <w:tc>
          <w:tcPr>
            <w:tcW w:w="960" w:type="dxa"/>
            <w:noWrap/>
            <w:hideMark/>
          </w:tcPr>
          <w:p w14:paraId="21229CAC"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0.5%</w:t>
            </w:r>
          </w:p>
        </w:tc>
      </w:tr>
      <w:tr w:rsidR="00C37693" w:rsidRPr="000E1B7E" w14:paraId="5D7D421F"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238B5F44"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Human Health and Social Work Activities</w:t>
            </w:r>
          </w:p>
        </w:tc>
        <w:tc>
          <w:tcPr>
            <w:tcW w:w="960" w:type="dxa"/>
            <w:noWrap/>
            <w:hideMark/>
          </w:tcPr>
          <w:p w14:paraId="34D2745E"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3.2%</w:t>
            </w:r>
          </w:p>
        </w:tc>
        <w:tc>
          <w:tcPr>
            <w:tcW w:w="960" w:type="dxa"/>
            <w:noWrap/>
            <w:hideMark/>
          </w:tcPr>
          <w:p w14:paraId="08C70AA0"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3.2%</w:t>
            </w:r>
          </w:p>
        </w:tc>
        <w:tc>
          <w:tcPr>
            <w:tcW w:w="960" w:type="dxa"/>
            <w:noWrap/>
            <w:hideMark/>
          </w:tcPr>
          <w:p w14:paraId="56EF52BF"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3.2%</w:t>
            </w:r>
          </w:p>
        </w:tc>
        <w:tc>
          <w:tcPr>
            <w:tcW w:w="960" w:type="dxa"/>
            <w:noWrap/>
            <w:hideMark/>
          </w:tcPr>
          <w:p w14:paraId="36465330"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3.1%</w:t>
            </w:r>
          </w:p>
        </w:tc>
        <w:tc>
          <w:tcPr>
            <w:tcW w:w="960" w:type="dxa"/>
            <w:noWrap/>
            <w:hideMark/>
          </w:tcPr>
          <w:p w14:paraId="42F21E32"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0.0%</w:t>
            </w:r>
          </w:p>
        </w:tc>
      </w:tr>
      <w:tr w:rsidR="00C37693" w:rsidRPr="000E1B7E" w14:paraId="7536B941"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295E96ED"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Arts, Entertainment and Recreation</w:t>
            </w:r>
          </w:p>
        </w:tc>
        <w:tc>
          <w:tcPr>
            <w:tcW w:w="960" w:type="dxa"/>
            <w:noWrap/>
            <w:hideMark/>
          </w:tcPr>
          <w:p w14:paraId="2CD0B8A6"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0.3%</w:t>
            </w:r>
          </w:p>
        </w:tc>
        <w:tc>
          <w:tcPr>
            <w:tcW w:w="960" w:type="dxa"/>
            <w:noWrap/>
            <w:hideMark/>
          </w:tcPr>
          <w:p w14:paraId="5E4874C5"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0.3%</w:t>
            </w:r>
          </w:p>
        </w:tc>
        <w:tc>
          <w:tcPr>
            <w:tcW w:w="960" w:type="dxa"/>
            <w:noWrap/>
            <w:hideMark/>
          </w:tcPr>
          <w:p w14:paraId="1CB499D0"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0.2%</w:t>
            </w:r>
          </w:p>
        </w:tc>
        <w:tc>
          <w:tcPr>
            <w:tcW w:w="960" w:type="dxa"/>
            <w:noWrap/>
            <w:hideMark/>
          </w:tcPr>
          <w:p w14:paraId="577D77C9"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0.3%</w:t>
            </w:r>
          </w:p>
        </w:tc>
        <w:tc>
          <w:tcPr>
            <w:tcW w:w="960" w:type="dxa"/>
            <w:noWrap/>
            <w:hideMark/>
          </w:tcPr>
          <w:p w14:paraId="03692ED8"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0.0%</w:t>
            </w:r>
          </w:p>
        </w:tc>
      </w:tr>
      <w:tr w:rsidR="00C37693" w:rsidRPr="000E1B7E" w14:paraId="32EE6325" w14:textId="77777777" w:rsidTr="00C3769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4F6DF9EF"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t>Other Service Activities</w:t>
            </w:r>
          </w:p>
        </w:tc>
        <w:tc>
          <w:tcPr>
            <w:tcW w:w="960" w:type="dxa"/>
            <w:noWrap/>
            <w:hideMark/>
          </w:tcPr>
          <w:p w14:paraId="491A2176"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1.1%</w:t>
            </w:r>
          </w:p>
        </w:tc>
        <w:tc>
          <w:tcPr>
            <w:tcW w:w="960" w:type="dxa"/>
            <w:noWrap/>
            <w:hideMark/>
          </w:tcPr>
          <w:p w14:paraId="0A828B54"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1.2%</w:t>
            </w:r>
          </w:p>
        </w:tc>
        <w:tc>
          <w:tcPr>
            <w:tcW w:w="960" w:type="dxa"/>
            <w:noWrap/>
            <w:hideMark/>
          </w:tcPr>
          <w:p w14:paraId="4D27D8BA"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1.3%</w:t>
            </w:r>
          </w:p>
        </w:tc>
        <w:tc>
          <w:tcPr>
            <w:tcW w:w="960" w:type="dxa"/>
            <w:noWrap/>
            <w:hideMark/>
          </w:tcPr>
          <w:p w14:paraId="0CB22ECA"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1.4%</w:t>
            </w:r>
          </w:p>
        </w:tc>
        <w:tc>
          <w:tcPr>
            <w:tcW w:w="960" w:type="dxa"/>
            <w:noWrap/>
            <w:hideMark/>
          </w:tcPr>
          <w:p w14:paraId="2AB9BF58" w14:textId="77777777" w:rsidR="00C37693" w:rsidRPr="000E1B7E" w:rsidRDefault="00C37693" w:rsidP="004217BA">
            <w:pPr>
              <w:jc w:val="both"/>
              <w:cnfStyle w:val="000000100000" w:firstRow="0" w:lastRow="0" w:firstColumn="0" w:lastColumn="0" w:oddVBand="0" w:evenVBand="0" w:oddHBand="1" w:evenHBand="0" w:firstRowFirstColumn="0" w:firstRowLastColumn="0" w:lastRowFirstColumn="0" w:lastRowLastColumn="0"/>
              <w:rPr>
                <w:color w:val="000000"/>
                <w:sz w:val="20"/>
                <w:szCs w:val="20"/>
              </w:rPr>
            </w:pPr>
            <w:r w:rsidRPr="000E1B7E">
              <w:rPr>
                <w:color w:val="000000"/>
                <w:sz w:val="20"/>
                <w:szCs w:val="20"/>
              </w:rPr>
              <w:t>0.3%</w:t>
            </w:r>
          </w:p>
        </w:tc>
      </w:tr>
      <w:tr w:rsidR="00C37693" w:rsidRPr="000E1B7E" w14:paraId="3EC22194" w14:textId="77777777" w:rsidTr="00C376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18" w:type="dxa"/>
            <w:hideMark/>
          </w:tcPr>
          <w:p w14:paraId="7E5E438D" w14:textId="77777777" w:rsidR="00C37693" w:rsidRPr="000E1B7E" w:rsidRDefault="00C37693" w:rsidP="004217BA">
            <w:pPr>
              <w:jc w:val="both"/>
              <w:rPr>
                <w:rFonts w:ascii="Times New Roman" w:hAnsi="Times New Roman" w:cs="Times New Roman"/>
                <w:b w:val="0"/>
                <w:color w:val="000000"/>
                <w:sz w:val="20"/>
                <w:szCs w:val="20"/>
              </w:rPr>
            </w:pPr>
            <w:r w:rsidRPr="000E1B7E">
              <w:rPr>
                <w:rFonts w:ascii="Times New Roman" w:hAnsi="Times New Roman" w:cs="Times New Roman"/>
                <w:color w:val="000000"/>
                <w:sz w:val="20"/>
                <w:szCs w:val="20"/>
              </w:rPr>
              <w:lastRenderedPageBreak/>
              <w:t>Activities of Households as Employers</w:t>
            </w:r>
          </w:p>
        </w:tc>
        <w:tc>
          <w:tcPr>
            <w:tcW w:w="960" w:type="dxa"/>
            <w:noWrap/>
            <w:hideMark/>
          </w:tcPr>
          <w:p w14:paraId="01527283"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0.5%</w:t>
            </w:r>
          </w:p>
        </w:tc>
        <w:tc>
          <w:tcPr>
            <w:tcW w:w="960" w:type="dxa"/>
            <w:noWrap/>
            <w:hideMark/>
          </w:tcPr>
          <w:p w14:paraId="52FFA97C"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0.5%</w:t>
            </w:r>
          </w:p>
        </w:tc>
        <w:tc>
          <w:tcPr>
            <w:tcW w:w="960" w:type="dxa"/>
            <w:noWrap/>
            <w:hideMark/>
          </w:tcPr>
          <w:p w14:paraId="3515E618"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0.5%</w:t>
            </w:r>
          </w:p>
        </w:tc>
        <w:tc>
          <w:tcPr>
            <w:tcW w:w="960" w:type="dxa"/>
            <w:noWrap/>
            <w:hideMark/>
          </w:tcPr>
          <w:p w14:paraId="2429092D"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0.5%</w:t>
            </w:r>
          </w:p>
        </w:tc>
        <w:tc>
          <w:tcPr>
            <w:tcW w:w="960" w:type="dxa"/>
            <w:noWrap/>
            <w:hideMark/>
          </w:tcPr>
          <w:p w14:paraId="5551D0BF" w14:textId="77777777" w:rsidR="00C37693" w:rsidRPr="000E1B7E" w:rsidRDefault="00C37693" w:rsidP="004217BA">
            <w:pPr>
              <w:jc w:val="both"/>
              <w:cnfStyle w:val="000000010000" w:firstRow="0" w:lastRow="0" w:firstColumn="0" w:lastColumn="0" w:oddVBand="0" w:evenVBand="0" w:oddHBand="0" w:evenHBand="1" w:firstRowFirstColumn="0" w:firstRowLastColumn="0" w:lastRowFirstColumn="0" w:lastRowLastColumn="0"/>
              <w:rPr>
                <w:color w:val="000000"/>
                <w:sz w:val="20"/>
                <w:szCs w:val="20"/>
              </w:rPr>
            </w:pPr>
            <w:r w:rsidRPr="000E1B7E">
              <w:rPr>
                <w:color w:val="000000"/>
                <w:sz w:val="20"/>
                <w:szCs w:val="20"/>
              </w:rPr>
              <w:t>0.0%</w:t>
            </w:r>
          </w:p>
        </w:tc>
      </w:tr>
    </w:tbl>
    <w:p w14:paraId="388EFDB6" w14:textId="77777777" w:rsidR="00791089" w:rsidRPr="000E1B7E" w:rsidRDefault="00F82743" w:rsidP="004217BA">
      <w:pPr>
        <w:tabs>
          <w:tab w:val="left" w:pos="1108"/>
        </w:tabs>
        <w:jc w:val="both"/>
      </w:pPr>
      <w:r w:rsidRPr="000E1B7E">
        <w:t>Source: UBOS</w:t>
      </w:r>
    </w:p>
    <w:p w14:paraId="60A80BE0" w14:textId="77777777" w:rsidR="00D47FB0" w:rsidRPr="000E1B7E" w:rsidRDefault="00D47FB0" w:rsidP="005959B5">
      <w:pPr>
        <w:tabs>
          <w:tab w:val="left" w:pos="1108"/>
        </w:tabs>
        <w:jc w:val="both"/>
        <w:rPr>
          <w:lang w:val="en-US"/>
        </w:rPr>
      </w:pPr>
    </w:p>
    <w:p w14:paraId="29DC8BA2" w14:textId="77777777" w:rsidR="00D75930" w:rsidRPr="000E1B7E" w:rsidRDefault="00DE0C0A" w:rsidP="00C11847">
      <w:pPr>
        <w:pStyle w:val="DeltaSeched2"/>
      </w:pPr>
      <w:bookmarkStart w:id="57" w:name="_Toc3478373"/>
      <w:bookmarkStart w:id="58" w:name="_Toc11956258"/>
      <w:r w:rsidRPr="000E1B7E">
        <w:t>Sources of Growth</w:t>
      </w:r>
      <w:bookmarkEnd w:id="57"/>
      <w:bookmarkEnd w:id="58"/>
    </w:p>
    <w:p w14:paraId="0CE597FA" w14:textId="77777777" w:rsidR="004E64B1" w:rsidRPr="000E1B7E" w:rsidRDefault="004A5145"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All sub-sectors registered positive annual GDP growth </w:t>
      </w:r>
      <w:r w:rsidR="00F31C31" w:rsidRPr="000E1B7E">
        <w:rPr>
          <w:rFonts w:ascii="Times New Roman" w:hAnsi="Times New Roman"/>
          <w:sz w:val="24"/>
          <w:szCs w:val="24"/>
        </w:rPr>
        <w:t xml:space="preserve">rates </w:t>
      </w:r>
      <w:r w:rsidRPr="000E1B7E">
        <w:rPr>
          <w:rFonts w:ascii="Times New Roman" w:hAnsi="Times New Roman"/>
          <w:sz w:val="24"/>
          <w:szCs w:val="24"/>
        </w:rPr>
        <w:t>over the review period</w:t>
      </w:r>
      <w:r w:rsidR="00F31C31" w:rsidRPr="000E1B7E">
        <w:rPr>
          <w:rFonts w:ascii="Times New Roman" w:hAnsi="Times New Roman"/>
          <w:sz w:val="24"/>
          <w:szCs w:val="24"/>
        </w:rPr>
        <w:t>, though the growth rates have not reached the average of 7% recorded for the two decades ending 2010</w:t>
      </w:r>
      <w:r w:rsidR="00AE3F0C" w:rsidRPr="000E1B7E">
        <w:rPr>
          <w:rFonts w:ascii="Times New Roman" w:hAnsi="Times New Roman"/>
          <w:sz w:val="24"/>
          <w:szCs w:val="24"/>
        </w:rPr>
        <w:t>,</w:t>
      </w:r>
      <w:r w:rsidR="00F31C31" w:rsidRPr="000E1B7E">
        <w:rPr>
          <w:rFonts w:ascii="Times New Roman" w:hAnsi="Times New Roman"/>
          <w:sz w:val="24"/>
          <w:szCs w:val="24"/>
        </w:rPr>
        <w:t xml:space="preserve"> as summarised in figure </w:t>
      </w:r>
      <w:r w:rsidR="00D96B2A" w:rsidRPr="000E1B7E">
        <w:rPr>
          <w:rFonts w:ascii="Times New Roman" w:hAnsi="Times New Roman"/>
          <w:sz w:val="24"/>
          <w:szCs w:val="24"/>
        </w:rPr>
        <w:t>3</w:t>
      </w:r>
      <w:r w:rsidRPr="000E1B7E">
        <w:rPr>
          <w:rFonts w:ascii="Times New Roman" w:hAnsi="Times New Roman"/>
          <w:sz w:val="24"/>
          <w:szCs w:val="24"/>
        </w:rPr>
        <w:t xml:space="preserve">. </w:t>
      </w:r>
    </w:p>
    <w:p w14:paraId="5F04084B" w14:textId="77777777" w:rsidR="00757E69" w:rsidRPr="000E1B7E" w:rsidRDefault="004217BA" w:rsidP="00DA3B42">
      <w:pPr>
        <w:pStyle w:val="Caption"/>
        <w:keepNext/>
        <w:jc w:val="both"/>
        <w:rPr>
          <w:rFonts w:ascii="Times New Roman" w:eastAsia="Calibri" w:hAnsi="Times New Roman" w:cs="Times New Roman"/>
          <w:b/>
          <w:i w:val="0"/>
          <w:iCs w:val="0"/>
          <w:color w:val="auto"/>
          <w:sz w:val="24"/>
          <w:szCs w:val="24"/>
          <w:lang w:val="en-GB"/>
        </w:rPr>
      </w:pPr>
      <w:bookmarkStart w:id="59" w:name="_Toc3483147"/>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3</w:t>
      </w:r>
      <w:r w:rsidR="001232BF" w:rsidRPr="000E1B7E">
        <w:rPr>
          <w:rFonts w:ascii="Times New Roman" w:eastAsia="Calibri" w:hAnsi="Times New Roman" w:cs="Times New Roman"/>
          <w:b/>
          <w:i w:val="0"/>
          <w:iCs w:val="0"/>
          <w:color w:val="auto"/>
          <w:sz w:val="24"/>
          <w:szCs w:val="24"/>
          <w:lang w:val="en-GB"/>
        </w:rPr>
        <w:fldChar w:fldCharType="end"/>
      </w:r>
      <w:r w:rsidR="00F31C31" w:rsidRPr="000E1B7E">
        <w:rPr>
          <w:rFonts w:ascii="Times New Roman" w:eastAsia="Calibri" w:hAnsi="Times New Roman" w:cs="Times New Roman"/>
          <w:b/>
          <w:i w:val="0"/>
          <w:iCs w:val="0"/>
          <w:color w:val="auto"/>
          <w:sz w:val="24"/>
          <w:szCs w:val="24"/>
          <w:lang w:val="en-GB"/>
        </w:rPr>
        <w:t>: Annual GDP growth rates by Sector 2010-2017/18</w:t>
      </w:r>
      <w:bookmarkEnd w:id="59"/>
    </w:p>
    <w:p w14:paraId="38BF011C" w14:textId="77777777" w:rsidR="00757E69" w:rsidRPr="000E1B7E" w:rsidRDefault="00757E69" w:rsidP="005959B5">
      <w:pPr>
        <w:tabs>
          <w:tab w:val="left" w:pos="1108"/>
        </w:tabs>
        <w:jc w:val="both"/>
      </w:pPr>
      <w:r w:rsidRPr="000E1B7E">
        <w:rPr>
          <w:noProof/>
          <w:lang w:eastAsia="en-GB"/>
        </w:rPr>
        <w:drawing>
          <wp:inline distT="0" distB="0" distL="0" distR="0" wp14:anchorId="35607A14" wp14:editId="51381CF2">
            <wp:extent cx="5745480" cy="2219325"/>
            <wp:effectExtent l="19050" t="0" r="2667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9A5D2D" w14:textId="77777777" w:rsidR="00626496" w:rsidRPr="000E1B7E" w:rsidRDefault="00626496" w:rsidP="005959B5">
      <w:pPr>
        <w:tabs>
          <w:tab w:val="left" w:pos="1108"/>
        </w:tabs>
        <w:jc w:val="both"/>
      </w:pPr>
      <w:r w:rsidRPr="000E1B7E">
        <w:t>Source: UBOS</w:t>
      </w:r>
    </w:p>
    <w:p w14:paraId="46F53E32" w14:textId="77777777" w:rsidR="005A46A0" w:rsidRPr="000E1B7E" w:rsidRDefault="005A46A0" w:rsidP="005959B5">
      <w:pPr>
        <w:tabs>
          <w:tab w:val="left" w:pos="1108"/>
        </w:tabs>
        <w:jc w:val="both"/>
      </w:pPr>
    </w:p>
    <w:p w14:paraId="495FDC81" w14:textId="77777777" w:rsidR="00AE3F0C" w:rsidRPr="000E1B7E" w:rsidRDefault="00AE3F0C"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performance by sub-sector is </w:t>
      </w:r>
      <w:r w:rsidR="008173CF" w:rsidRPr="000E1B7E">
        <w:rPr>
          <w:rFonts w:ascii="Times New Roman" w:hAnsi="Times New Roman"/>
          <w:sz w:val="24"/>
          <w:szCs w:val="24"/>
        </w:rPr>
        <w:t xml:space="preserve">summarized in table </w:t>
      </w:r>
      <w:r w:rsidR="00181093" w:rsidRPr="000E1B7E">
        <w:rPr>
          <w:rFonts w:ascii="Times New Roman" w:hAnsi="Times New Roman"/>
          <w:sz w:val="24"/>
          <w:szCs w:val="24"/>
        </w:rPr>
        <w:t>5</w:t>
      </w:r>
      <w:r w:rsidR="008173CF" w:rsidRPr="000E1B7E">
        <w:rPr>
          <w:rFonts w:ascii="Times New Roman" w:hAnsi="Times New Roman"/>
          <w:sz w:val="24"/>
          <w:szCs w:val="24"/>
        </w:rPr>
        <w:t xml:space="preserve">, and </w:t>
      </w:r>
      <w:r w:rsidRPr="000E1B7E">
        <w:rPr>
          <w:rFonts w:ascii="Times New Roman" w:hAnsi="Times New Roman"/>
          <w:sz w:val="24"/>
          <w:szCs w:val="24"/>
        </w:rPr>
        <w:t xml:space="preserve">briefly presented </w:t>
      </w:r>
      <w:r w:rsidR="00547072" w:rsidRPr="000E1B7E">
        <w:rPr>
          <w:rFonts w:ascii="Times New Roman" w:hAnsi="Times New Roman"/>
          <w:sz w:val="24"/>
          <w:szCs w:val="24"/>
        </w:rPr>
        <w:t>immediately after</w:t>
      </w:r>
      <w:r w:rsidRPr="000E1B7E">
        <w:rPr>
          <w:rFonts w:ascii="Times New Roman" w:hAnsi="Times New Roman"/>
          <w:sz w:val="24"/>
          <w:szCs w:val="24"/>
        </w:rPr>
        <w:t>.</w:t>
      </w:r>
    </w:p>
    <w:p w14:paraId="7D9B209E" w14:textId="77777777" w:rsidR="008173CF" w:rsidRPr="000E1B7E" w:rsidRDefault="00DA3B42" w:rsidP="00DA3B42">
      <w:pPr>
        <w:pStyle w:val="Caption"/>
        <w:rPr>
          <w:rFonts w:ascii="Times New Roman" w:eastAsia="Calibri" w:hAnsi="Times New Roman" w:cs="Times New Roman"/>
          <w:b/>
          <w:i w:val="0"/>
          <w:iCs w:val="0"/>
          <w:color w:val="auto"/>
          <w:sz w:val="24"/>
          <w:szCs w:val="24"/>
          <w:lang w:val="en-GB"/>
        </w:rPr>
      </w:pPr>
      <w:bookmarkStart w:id="60" w:name="_Toc3483115"/>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5</w:t>
      </w:r>
      <w:r w:rsidR="001232BF" w:rsidRPr="000E1B7E">
        <w:rPr>
          <w:rFonts w:ascii="Times New Roman" w:eastAsia="Calibri" w:hAnsi="Times New Roman" w:cs="Times New Roman"/>
          <w:b/>
          <w:i w:val="0"/>
          <w:iCs w:val="0"/>
          <w:color w:val="auto"/>
          <w:sz w:val="24"/>
          <w:szCs w:val="24"/>
          <w:lang w:val="en-GB"/>
        </w:rPr>
        <w:fldChar w:fldCharType="end"/>
      </w:r>
      <w:r w:rsidR="008173CF" w:rsidRPr="000E1B7E">
        <w:rPr>
          <w:rFonts w:ascii="Times New Roman" w:eastAsia="Calibri" w:hAnsi="Times New Roman" w:cs="Times New Roman"/>
          <w:b/>
          <w:i w:val="0"/>
          <w:iCs w:val="0"/>
          <w:color w:val="auto"/>
          <w:sz w:val="24"/>
          <w:szCs w:val="24"/>
          <w:lang w:val="en-GB"/>
        </w:rPr>
        <w:t>: Real GDP growth by main economic activity</w:t>
      </w:r>
      <w:bookmarkEnd w:id="60"/>
    </w:p>
    <w:tbl>
      <w:tblPr>
        <w:tblStyle w:val="LightGrid1"/>
        <w:tblW w:w="9678" w:type="dxa"/>
        <w:tblLook w:val="04A0" w:firstRow="1" w:lastRow="0" w:firstColumn="1" w:lastColumn="0" w:noHBand="0" w:noVBand="1"/>
      </w:tblPr>
      <w:tblGrid>
        <w:gridCol w:w="3978"/>
        <w:gridCol w:w="976"/>
        <w:gridCol w:w="976"/>
        <w:gridCol w:w="976"/>
        <w:gridCol w:w="976"/>
        <w:gridCol w:w="927"/>
        <w:gridCol w:w="927"/>
      </w:tblGrid>
      <w:tr w:rsidR="008173CF" w:rsidRPr="000E1B7E" w14:paraId="62BE6A03" w14:textId="77777777" w:rsidTr="005D18F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978" w:type="dxa"/>
            <w:noWrap/>
            <w:hideMark/>
          </w:tcPr>
          <w:p w14:paraId="433F52D9" w14:textId="77777777" w:rsidR="008173CF" w:rsidRPr="000E1B7E" w:rsidRDefault="008173CF"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Economic Activity</w:t>
            </w:r>
          </w:p>
        </w:tc>
        <w:tc>
          <w:tcPr>
            <w:tcW w:w="976" w:type="dxa"/>
            <w:noWrap/>
            <w:hideMark/>
          </w:tcPr>
          <w:p w14:paraId="6F5A15A3" w14:textId="77777777" w:rsidR="008173CF" w:rsidRPr="000E1B7E" w:rsidRDefault="008173CF"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2014/15</w:t>
            </w:r>
          </w:p>
        </w:tc>
        <w:tc>
          <w:tcPr>
            <w:tcW w:w="976" w:type="dxa"/>
            <w:noWrap/>
            <w:hideMark/>
          </w:tcPr>
          <w:p w14:paraId="6DFD0101" w14:textId="77777777" w:rsidR="008173CF" w:rsidRPr="000E1B7E" w:rsidRDefault="008173CF"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2015/16</w:t>
            </w:r>
          </w:p>
        </w:tc>
        <w:tc>
          <w:tcPr>
            <w:tcW w:w="976" w:type="dxa"/>
            <w:noWrap/>
            <w:hideMark/>
          </w:tcPr>
          <w:p w14:paraId="1E1C67B2" w14:textId="77777777" w:rsidR="008173CF" w:rsidRPr="000E1B7E" w:rsidRDefault="008173CF"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2016/17</w:t>
            </w:r>
          </w:p>
        </w:tc>
        <w:tc>
          <w:tcPr>
            <w:tcW w:w="976" w:type="dxa"/>
            <w:noWrap/>
            <w:hideMark/>
          </w:tcPr>
          <w:p w14:paraId="42C2D388" w14:textId="77777777" w:rsidR="008173CF" w:rsidRPr="000E1B7E" w:rsidRDefault="008173CF"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2017/18</w:t>
            </w:r>
          </w:p>
        </w:tc>
        <w:tc>
          <w:tcPr>
            <w:tcW w:w="898" w:type="dxa"/>
            <w:noWrap/>
            <w:hideMark/>
          </w:tcPr>
          <w:p w14:paraId="4739E744" w14:textId="77777777" w:rsidR="008173CF" w:rsidRPr="000E1B7E" w:rsidRDefault="008173CF"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NDP II Average</w:t>
            </w:r>
          </w:p>
        </w:tc>
        <w:tc>
          <w:tcPr>
            <w:tcW w:w="898" w:type="dxa"/>
            <w:noWrap/>
            <w:hideMark/>
          </w:tcPr>
          <w:p w14:paraId="1369F3E6" w14:textId="77777777" w:rsidR="008173CF" w:rsidRPr="000E1B7E" w:rsidRDefault="008173CF"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NDP I Average</w:t>
            </w:r>
          </w:p>
        </w:tc>
      </w:tr>
      <w:tr w:rsidR="008173CF" w:rsidRPr="000E1B7E" w14:paraId="25FB2F17"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noWrap/>
            <w:hideMark/>
          </w:tcPr>
          <w:p w14:paraId="3DF5DC6B" w14:textId="77777777" w:rsidR="008173CF" w:rsidRPr="000E1B7E" w:rsidRDefault="008173CF"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GDP at market prices</w:t>
            </w:r>
          </w:p>
        </w:tc>
        <w:tc>
          <w:tcPr>
            <w:tcW w:w="976" w:type="dxa"/>
            <w:noWrap/>
            <w:hideMark/>
          </w:tcPr>
          <w:p w14:paraId="1C15BAD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E1B7E">
              <w:rPr>
                <w:b/>
                <w:bCs/>
                <w:sz w:val="20"/>
                <w:szCs w:val="20"/>
                <w:lang w:val="en-US"/>
              </w:rPr>
              <w:t>5.2</w:t>
            </w:r>
          </w:p>
        </w:tc>
        <w:tc>
          <w:tcPr>
            <w:tcW w:w="976" w:type="dxa"/>
            <w:noWrap/>
            <w:hideMark/>
          </w:tcPr>
          <w:p w14:paraId="08AE301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E1B7E">
              <w:rPr>
                <w:b/>
                <w:bCs/>
                <w:sz w:val="20"/>
                <w:szCs w:val="20"/>
                <w:lang w:val="en-US"/>
              </w:rPr>
              <w:t>4.8</w:t>
            </w:r>
          </w:p>
        </w:tc>
        <w:tc>
          <w:tcPr>
            <w:tcW w:w="976" w:type="dxa"/>
            <w:noWrap/>
            <w:hideMark/>
          </w:tcPr>
          <w:p w14:paraId="1D769AC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E1B7E">
              <w:rPr>
                <w:b/>
                <w:bCs/>
                <w:sz w:val="20"/>
                <w:szCs w:val="20"/>
                <w:lang w:val="en-US"/>
              </w:rPr>
              <w:t>3.9</w:t>
            </w:r>
          </w:p>
        </w:tc>
        <w:tc>
          <w:tcPr>
            <w:tcW w:w="976" w:type="dxa"/>
            <w:noWrap/>
            <w:hideMark/>
          </w:tcPr>
          <w:p w14:paraId="6A1B6F6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sz w:val="20"/>
                <w:szCs w:val="20"/>
                <w:lang w:val="en-US"/>
              </w:rPr>
            </w:pPr>
            <w:r w:rsidRPr="000E1B7E">
              <w:rPr>
                <w:b/>
                <w:bCs/>
                <w:sz w:val="20"/>
                <w:szCs w:val="20"/>
                <w:lang w:val="en-US"/>
              </w:rPr>
              <w:t>6.1</w:t>
            </w:r>
          </w:p>
        </w:tc>
        <w:tc>
          <w:tcPr>
            <w:tcW w:w="898" w:type="dxa"/>
            <w:noWrap/>
            <w:hideMark/>
          </w:tcPr>
          <w:p w14:paraId="398E5A8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4.9</w:t>
            </w:r>
          </w:p>
        </w:tc>
        <w:tc>
          <w:tcPr>
            <w:tcW w:w="898" w:type="dxa"/>
            <w:noWrap/>
            <w:hideMark/>
          </w:tcPr>
          <w:p w14:paraId="2532B94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5.4</w:t>
            </w:r>
          </w:p>
        </w:tc>
      </w:tr>
      <w:tr w:rsidR="008173CF" w:rsidRPr="000E1B7E" w14:paraId="22848A3E"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noWrap/>
            <w:hideMark/>
          </w:tcPr>
          <w:p w14:paraId="304A4BB7" w14:textId="77777777" w:rsidR="008173CF" w:rsidRPr="000E1B7E" w:rsidRDefault="008173CF" w:rsidP="005959B5">
            <w:pPr>
              <w:jc w:val="both"/>
              <w:rPr>
                <w:rFonts w:ascii="Times New Roman" w:eastAsia="Times New Roman" w:hAnsi="Times New Roman" w:cs="Times New Roman"/>
                <w:i/>
                <w:sz w:val="20"/>
                <w:szCs w:val="20"/>
                <w:u w:val="single"/>
                <w:lang w:val="en-US"/>
              </w:rPr>
            </w:pPr>
            <w:r w:rsidRPr="000E1B7E">
              <w:rPr>
                <w:rFonts w:ascii="Times New Roman" w:eastAsia="Times New Roman" w:hAnsi="Times New Roman" w:cs="Times New Roman"/>
                <w:i/>
                <w:sz w:val="20"/>
                <w:szCs w:val="20"/>
                <w:u w:val="single"/>
                <w:lang w:val="en-US"/>
              </w:rPr>
              <w:t>Agriculture, forestry and fishing</w:t>
            </w:r>
          </w:p>
        </w:tc>
        <w:tc>
          <w:tcPr>
            <w:tcW w:w="976" w:type="dxa"/>
            <w:noWrap/>
            <w:hideMark/>
          </w:tcPr>
          <w:p w14:paraId="2D47747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
                <w:bCs/>
                <w:i/>
                <w:sz w:val="20"/>
                <w:szCs w:val="20"/>
                <w:u w:val="single"/>
                <w:lang w:val="en-US"/>
              </w:rPr>
            </w:pPr>
            <w:r w:rsidRPr="000E1B7E">
              <w:rPr>
                <w:b/>
                <w:bCs/>
                <w:i/>
                <w:sz w:val="20"/>
                <w:szCs w:val="20"/>
                <w:u w:val="single"/>
                <w:lang w:val="en-US"/>
              </w:rPr>
              <w:t>2.3</w:t>
            </w:r>
          </w:p>
        </w:tc>
        <w:tc>
          <w:tcPr>
            <w:tcW w:w="976" w:type="dxa"/>
            <w:noWrap/>
            <w:hideMark/>
          </w:tcPr>
          <w:p w14:paraId="294BA99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
                <w:bCs/>
                <w:i/>
                <w:sz w:val="20"/>
                <w:szCs w:val="20"/>
                <w:u w:val="single"/>
                <w:lang w:val="en-US"/>
              </w:rPr>
            </w:pPr>
            <w:r w:rsidRPr="000E1B7E">
              <w:rPr>
                <w:b/>
                <w:bCs/>
                <w:i/>
                <w:sz w:val="20"/>
                <w:szCs w:val="20"/>
                <w:u w:val="single"/>
                <w:lang w:val="en-US"/>
              </w:rPr>
              <w:t>2.8</w:t>
            </w:r>
          </w:p>
        </w:tc>
        <w:tc>
          <w:tcPr>
            <w:tcW w:w="976" w:type="dxa"/>
            <w:noWrap/>
            <w:hideMark/>
          </w:tcPr>
          <w:p w14:paraId="56B4B2DB"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
                <w:bCs/>
                <w:i/>
                <w:sz w:val="20"/>
                <w:szCs w:val="20"/>
                <w:u w:val="single"/>
                <w:lang w:val="en-US"/>
              </w:rPr>
            </w:pPr>
            <w:r w:rsidRPr="000E1B7E">
              <w:rPr>
                <w:b/>
                <w:bCs/>
                <w:i/>
                <w:sz w:val="20"/>
                <w:szCs w:val="20"/>
                <w:u w:val="single"/>
                <w:lang w:val="en-US"/>
              </w:rPr>
              <w:t>1.6</w:t>
            </w:r>
          </w:p>
        </w:tc>
        <w:tc>
          <w:tcPr>
            <w:tcW w:w="976" w:type="dxa"/>
            <w:noWrap/>
            <w:hideMark/>
          </w:tcPr>
          <w:p w14:paraId="6D3E6894"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
                <w:bCs/>
                <w:i/>
                <w:sz w:val="20"/>
                <w:szCs w:val="20"/>
                <w:u w:val="single"/>
                <w:lang w:val="en-US"/>
              </w:rPr>
            </w:pPr>
            <w:r w:rsidRPr="000E1B7E">
              <w:rPr>
                <w:b/>
                <w:bCs/>
                <w:i/>
                <w:sz w:val="20"/>
                <w:szCs w:val="20"/>
                <w:u w:val="single"/>
                <w:lang w:val="en-US"/>
              </w:rPr>
              <w:t>3.8</w:t>
            </w:r>
          </w:p>
        </w:tc>
        <w:tc>
          <w:tcPr>
            <w:tcW w:w="898" w:type="dxa"/>
            <w:noWrap/>
            <w:hideMark/>
          </w:tcPr>
          <w:p w14:paraId="0E3EDA9F"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
                <w:i/>
                <w:sz w:val="20"/>
                <w:szCs w:val="20"/>
                <w:u w:val="single"/>
                <w:lang w:val="en-US"/>
              </w:rPr>
            </w:pPr>
            <w:r w:rsidRPr="000E1B7E">
              <w:rPr>
                <w:b/>
                <w:i/>
                <w:sz w:val="20"/>
                <w:szCs w:val="20"/>
                <w:u w:val="single"/>
                <w:lang w:val="en-US"/>
              </w:rPr>
              <w:t>2.7</w:t>
            </w:r>
          </w:p>
        </w:tc>
        <w:tc>
          <w:tcPr>
            <w:tcW w:w="898" w:type="dxa"/>
            <w:noWrap/>
            <w:hideMark/>
          </w:tcPr>
          <w:p w14:paraId="1C55CC1F"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
                <w:i/>
                <w:sz w:val="20"/>
                <w:szCs w:val="20"/>
                <w:u w:val="single"/>
                <w:lang w:val="en-US"/>
              </w:rPr>
            </w:pPr>
            <w:r w:rsidRPr="000E1B7E">
              <w:rPr>
                <w:b/>
                <w:i/>
                <w:sz w:val="20"/>
                <w:szCs w:val="20"/>
                <w:u w:val="single"/>
                <w:lang w:val="en-US"/>
              </w:rPr>
              <w:t>2.1</w:t>
            </w:r>
          </w:p>
        </w:tc>
      </w:tr>
      <w:tr w:rsidR="008173CF" w:rsidRPr="000E1B7E" w14:paraId="2EB24744"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51B84337"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Cash crops</w:t>
            </w:r>
          </w:p>
        </w:tc>
        <w:tc>
          <w:tcPr>
            <w:tcW w:w="976" w:type="dxa"/>
            <w:noWrap/>
            <w:hideMark/>
          </w:tcPr>
          <w:p w14:paraId="24F774E4"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4.0</w:t>
            </w:r>
          </w:p>
        </w:tc>
        <w:tc>
          <w:tcPr>
            <w:tcW w:w="976" w:type="dxa"/>
            <w:noWrap/>
            <w:hideMark/>
          </w:tcPr>
          <w:p w14:paraId="444C157C"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7.9</w:t>
            </w:r>
          </w:p>
        </w:tc>
        <w:tc>
          <w:tcPr>
            <w:tcW w:w="976" w:type="dxa"/>
            <w:noWrap/>
            <w:hideMark/>
          </w:tcPr>
          <w:p w14:paraId="35E11AE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7.7</w:t>
            </w:r>
          </w:p>
        </w:tc>
        <w:tc>
          <w:tcPr>
            <w:tcW w:w="976" w:type="dxa"/>
            <w:noWrap/>
            <w:hideMark/>
          </w:tcPr>
          <w:p w14:paraId="17D1D621"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4.6</w:t>
            </w:r>
          </w:p>
        </w:tc>
        <w:tc>
          <w:tcPr>
            <w:tcW w:w="898" w:type="dxa"/>
            <w:noWrap/>
            <w:hideMark/>
          </w:tcPr>
          <w:p w14:paraId="68106B08"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6.7</w:t>
            </w:r>
          </w:p>
        </w:tc>
        <w:tc>
          <w:tcPr>
            <w:tcW w:w="898" w:type="dxa"/>
            <w:noWrap/>
            <w:hideMark/>
          </w:tcPr>
          <w:p w14:paraId="58E6F0D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2.6</w:t>
            </w:r>
          </w:p>
        </w:tc>
      </w:tr>
      <w:tr w:rsidR="008173CF" w:rsidRPr="000E1B7E" w14:paraId="30B02944"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0864C968"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Food crops</w:t>
            </w:r>
          </w:p>
        </w:tc>
        <w:tc>
          <w:tcPr>
            <w:tcW w:w="976" w:type="dxa"/>
            <w:noWrap/>
            <w:hideMark/>
          </w:tcPr>
          <w:p w14:paraId="1D8F5C1F"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Cs/>
                <w:sz w:val="20"/>
                <w:szCs w:val="20"/>
                <w:lang w:val="en-US"/>
              </w:rPr>
            </w:pPr>
            <w:r w:rsidRPr="000E1B7E">
              <w:rPr>
                <w:bCs/>
                <w:sz w:val="20"/>
                <w:szCs w:val="20"/>
                <w:lang w:val="en-US"/>
              </w:rPr>
              <w:t>2.2</w:t>
            </w:r>
          </w:p>
        </w:tc>
        <w:tc>
          <w:tcPr>
            <w:tcW w:w="976" w:type="dxa"/>
            <w:noWrap/>
            <w:hideMark/>
          </w:tcPr>
          <w:p w14:paraId="1FCDD3BA"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Cs/>
                <w:sz w:val="20"/>
                <w:szCs w:val="20"/>
                <w:lang w:val="en-US"/>
              </w:rPr>
            </w:pPr>
            <w:r w:rsidRPr="000E1B7E">
              <w:rPr>
                <w:bCs/>
                <w:sz w:val="20"/>
                <w:szCs w:val="20"/>
                <w:lang w:val="en-US"/>
              </w:rPr>
              <w:t>1.3</w:t>
            </w:r>
          </w:p>
        </w:tc>
        <w:tc>
          <w:tcPr>
            <w:tcW w:w="976" w:type="dxa"/>
            <w:noWrap/>
            <w:hideMark/>
          </w:tcPr>
          <w:p w14:paraId="36403E7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Cs/>
                <w:sz w:val="20"/>
                <w:szCs w:val="20"/>
                <w:lang w:val="en-US"/>
              </w:rPr>
            </w:pPr>
            <w:r w:rsidRPr="000E1B7E">
              <w:rPr>
                <w:bCs/>
                <w:sz w:val="20"/>
                <w:szCs w:val="20"/>
                <w:lang w:val="en-US"/>
              </w:rPr>
              <w:t>2.0</w:t>
            </w:r>
          </w:p>
        </w:tc>
        <w:tc>
          <w:tcPr>
            <w:tcW w:w="976" w:type="dxa"/>
            <w:noWrap/>
            <w:hideMark/>
          </w:tcPr>
          <w:p w14:paraId="59A9486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bCs/>
                <w:sz w:val="20"/>
                <w:szCs w:val="20"/>
                <w:lang w:val="en-US"/>
              </w:rPr>
            </w:pPr>
            <w:r w:rsidRPr="000E1B7E">
              <w:rPr>
                <w:bCs/>
                <w:sz w:val="20"/>
                <w:szCs w:val="20"/>
                <w:lang w:val="en-US"/>
              </w:rPr>
              <w:t>5.3</w:t>
            </w:r>
          </w:p>
        </w:tc>
        <w:tc>
          <w:tcPr>
            <w:tcW w:w="898" w:type="dxa"/>
            <w:noWrap/>
            <w:hideMark/>
          </w:tcPr>
          <w:p w14:paraId="4E4B63D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2.9</w:t>
            </w:r>
          </w:p>
        </w:tc>
        <w:tc>
          <w:tcPr>
            <w:tcW w:w="898" w:type="dxa"/>
            <w:noWrap/>
            <w:hideMark/>
          </w:tcPr>
          <w:p w14:paraId="3D4239CC"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1.1</w:t>
            </w:r>
          </w:p>
        </w:tc>
      </w:tr>
      <w:tr w:rsidR="008173CF" w:rsidRPr="000E1B7E" w14:paraId="08A592B4"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712BED97"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Livestock</w:t>
            </w:r>
          </w:p>
        </w:tc>
        <w:tc>
          <w:tcPr>
            <w:tcW w:w="976" w:type="dxa"/>
            <w:noWrap/>
            <w:hideMark/>
          </w:tcPr>
          <w:p w14:paraId="3D46BC88"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2.9</w:t>
            </w:r>
          </w:p>
        </w:tc>
        <w:tc>
          <w:tcPr>
            <w:tcW w:w="976" w:type="dxa"/>
            <w:noWrap/>
            <w:hideMark/>
          </w:tcPr>
          <w:p w14:paraId="5DBB7EDA"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2.8</w:t>
            </w:r>
          </w:p>
        </w:tc>
        <w:tc>
          <w:tcPr>
            <w:tcW w:w="976" w:type="dxa"/>
            <w:noWrap/>
            <w:hideMark/>
          </w:tcPr>
          <w:p w14:paraId="7CFE5C0A"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1.6</w:t>
            </w:r>
          </w:p>
        </w:tc>
        <w:tc>
          <w:tcPr>
            <w:tcW w:w="976" w:type="dxa"/>
            <w:noWrap/>
            <w:hideMark/>
          </w:tcPr>
          <w:p w14:paraId="451DEC9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2.0</w:t>
            </w:r>
          </w:p>
        </w:tc>
        <w:tc>
          <w:tcPr>
            <w:tcW w:w="898" w:type="dxa"/>
            <w:noWrap/>
            <w:hideMark/>
          </w:tcPr>
          <w:p w14:paraId="280A0133"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2.1</w:t>
            </w:r>
          </w:p>
        </w:tc>
        <w:tc>
          <w:tcPr>
            <w:tcW w:w="898" w:type="dxa"/>
            <w:noWrap/>
            <w:hideMark/>
          </w:tcPr>
          <w:p w14:paraId="22DCB8AD"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2.6</w:t>
            </w:r>
          </w:p>
        </w:tc>
      </w:tr>
      <w:tr w:rsidR="008173CF" w:rsidRPr="000E1B7E" w14:paraId="5D387175"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52F9AC4D"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Agriculture Support Services</w:t>
            </w:r>
          </w:p>
        </w:tc>
        <w:tc>
          <w:tcPr>
            <w:tcW w:w="976" w:type="dxa"/>
            <w:noWrap/>
            <w:hideMark/>
          </w:tcPr>
          <w:p w14:paraId="4F53E68E"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17.6</w:t>
            </w:r>
          </w:p>
        </w:tc>
        <w:tc>
          <w:tcPr>
            <w:tcW w:w="976" w:type="dxa"/>
            <w:noWrap/>
            <w:hideMark/>
          </w:tcPr>
          <w:p w14:paraId="60C0B49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-4.6</w:t>
            </w:r>
          </w:p>
        </w:tc>
        <w:tc>
          <w:tcPr>
            <w:tcW w:w="976" w:type="dxa"/>
            <w:noWrap/>
            <w:hideMark/>
          </w:tcPr>
          <w:p w14:paraId="5BDD115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2.6</w:t>
            </w:r>
          </w:p>
        </w:tc>
        <w:tc>
          <w:tcPr>
            <w:tcW w:w="976" w:type="dxa"/>
            <w:noWrap/>
            <w:hideMark/>
          </w:tcPr>
          <w:p w14:paraId="4AEF4CE9"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6.1</w:t>
            </w:r>
          </w:p>
        </w:tc>
        <w:tc>
          <w:tcPr>
            <w:tcW w:w="898" w:type="dxa"/>
            <w:noWrap/>
            <w:hideMark/>
          </w:tcPr>
          <w:p w14:paraId="59666EB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1.4</w:t>
            </w:r>
          </w:p>
        </w:tc>
        <w:tc>
          <w:tcPr>
            <w:tcW w:w="898" w:type="dxa"/>
            <w:noWrap/>
            <w:hideMark/>
          </w:tcPr>
          <w:p w14:paraId="49B26E2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3.2</w:t>
            </w:r>
          </w:p>
        </w:tc>
      </w:tr>
      <w:tr w:rsidR="008173CF" w:rsidRPr="000E1B7E" w14:paraId="3AF2A0DD"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5965848C"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Forestry</w:t>
            </w:r>
          </w:p>
        </w:tc>
        <w:tc>
          <w:tcPr>
            <w:tcW w:w="976" w:type="dxa"/>
            <w:noWrap/>
            <w:hideMark/>
          </w:tcPr>
          <w:p w14:paraId="269AD00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1.7</w:t>
            </w:r>
          </w:p>
        </w:tc>
        <w:tc>
          <w:tcPr>
            <w:tcW w:w="976" w:type="dxa"/>
            <w:noWrap/>
            <w:hideMark/>
          </w:tcPr>
          <w:p w14:paraId="1C2C000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4.7</w:t>
            </w:r>
          </w:p>
        </w:tc>
        <w:tc>
          <w:tcPr>
            <w:tcW w:w="976" w:type="dxa"/>
            <w:noWrap/>
            <w:hideMark/>
          </w:tcPr>
          <w:p w14:paraId="5F09D1B3"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-2.3</w:t>
            </w:r>
          </w:p>
        </w:tc>
        <w:tc>
          <w:tcPr>
            <w:tcW w:w="976" w:type="dxa"/>
            <w:noWrap/>
            <w:hideMark/>
          </w:tcPr>
          <w:p w14:paraId="16BEB2F8"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2.5</w:t>
            </w:r>
          </w:p>
        </w:tc>
        <w:tc>
          <w:tcPr>
            <w:tcW w:w="898" w:type="dxa"/>
            <w:noWrap/>
            <w:hideMark/>
          </w:tcPr>
          <w:p w14:paraId="2CE49FFF"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1.7</w:t>
            </w:r>
          </w:p>
        </w:tc>
        <w:tc>
          <w:tcPr>
            <w:tcW w:w="898" w:type="dxa"/>
            <w:noWrap/>
            <w:hideMark/>
          </w:tcPr>
          <w:p w14:paraId="59DAD38D"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5.7</w:t>
            </w:r>
          </w:p>
        </w:tc>
      </w:tr>
      <w:tr w:rsidR="008173CF" w:rsidRPr="000E1B7E" w14:paraId="7B21D3B8"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0912138F"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Fishing</w:t>
            </w:r>
          </w:p>
        </w:tc>
        <w:tc>
          <w:tcPr>
            <w:tcW w:w="976" w:type="dxa"/>
            <w:noWrap/>
            <w:hideMark/>
          </w:tcPr>
          <w:p w14:paraId="1584FD3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1.5</w:t>
            </w:r>
          </w:p>
        </w:tc>
        <w:tc>
          <w:tcPr>
            <w:tcW w:w="976" w:type="dxa"/>
            <w:noWrap/>
            <w:hideMark/>
          </w:tcPr>
          <w:p w14:paraId="29F1E2AC"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4.8</w:t>
            </w:r>
          </w:p>
        </w:tc>
        <w:tc>
          <w:tcPr>
            <w:tcW w:w="976" w:type="dxa"/>
            <w:noWrap/>
            <w:hideMark/>
          </w:tcPr>
          <w:p w14:paraId="3F9197DB"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1.7</w:t>
            </w:r>
          </w:p>
        </w:tc>
        <w:tc>
          <w:tcPr>
            <w:tcW w:w="976" w:type="dxa"/>
            <w:noWrap/>
            <w:hideMark/>
          </w:tcPr>
          <w:p w14:paraId="4F7B8F5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-2.1</w:t>
            </w:r>
          </w:p>
        </w:tc>
        <w:tc>
          <w:tcPr>
            <w:tcW w:w="898" w:type="dxa"/>
            <w:noWrap/>
            <w:hideMark/>
          </w:tcPr>
          <w:p w14:paraId="5235D95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1.5</w:t>
            </w:r>
          </w:p>
        </w:tc>
        <w:tc>
          <w:tcPr>
            <w:tcW w:w="898" w:type="dxa"/>
            <w:noWrap/>
            <w:hideMark/>
          </w:tcPr>
          <w:p w14:paraId="76DF99F2"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0.1</w:t>
            </w:r>
          </w:p>
        </w:tc>
      </w:tr>
      <w:tr w:rsidR="008173CF" w:rsidRPr="000E1B7E" w14:paraId="76F76BEC"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noWrap/>
            <w:hideMark/>
          </w:tcPr>
          <w:p w14:paraId="5BC42EF5" w14:textId="77777777" w:rsidR="008173CF" w:rsidRPr="000E1B7E" w:rsidRDefault="008173CF" w:rsidP="005959B5">
            <w:pPr>
              <w:jc w:val="both"/>
              <w:rPr>
                <w:rFonts w:ascii="Times New Roman" w:eastAsia="Times New Roman" w:hAnsi="Times New Roman" w:cs="Times New Roman"/>
                <w:i/>
                <w:sz w:val="20"/>
                <w:szCs w:val="20"/>
                <w:u w:val="single"/>
                <w:lang w:val="en-US"/>
              </w:rPr>
            </w:pPr>
            <w:r w:rsidRPr="000E1B7E">
              <w:rPr>
                <w:rFonts w:ascii="Times New Roman" w:eastAsia="Times New Roman" w:hAnsi="Times New Roman" w:cs="Times New Roman"/>
                <w:i/>
                <w:sz w:val="20"/>
                <w:szCs w:val="20"/>
                <w:u w:val="single"/>
                <w:lang w:val="en-US"/>
              </w:rPr>
              <w:t>Industry</w:t>
            </w:r>
          </w:p>
        </w:tc>
        <w:tc>
          <w:tcPr>
            <w:tcW w:w="976" w:type="dxa"/>
            <w:noWrap/>
            <w:hideMark/>
          </w:tcPr>
          <w:p w14:paraId="104A434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7.8</w:t>
            </w:r>
          </w:p>
        </w:tc>
        <w:tc>
          <w:tcPr>
            <w:tcW w:w="976" w:type="dxa"/>
            <w:noWrap/>
            <w:hideMark/>
          </w:tcPr>
          <w:p w14:paraId="0C02A45A"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4.6</w:t>
            </w:r>
          </w:p>
        </w:tc>
        <w:tc>
          <w:tcPr>
            <w:tcW w:w="976" w:type="dxa"/>
            <w:noWrap/>
            <w:hideMark/>
          </w:tcPr>
          <w:p w14:paraId="5C67C9B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3.4</w:t>
            </w:r>
          </w:p>
        </w:tc>
        <w:tc>
          <w:tcPr>
            <w:tcW w:w="976" w:type="dxa"/>
            <w:noWrap/>
            <w:hideMark/>
          </w:tcPr>
          <w:p w14:paraId="14B2541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6.1</w:t>
            </w:r>
          </w:p>
        </w:tc>
        <w:tc>
          <w:tcPr>
            <w:tcW w:w="898" w:type="dxa"/>
            <w:noWrap/>
            <w:hideMark/>
          </w:tcPr>
          <w:p w14:paraId="1850AB55"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i/>
                <w:sz w:val="20"/>
                <w:szCs w:val="20"/>
                <w:u w:val="single"/>
                <w:lang w:val="en-US"/>
              </w:rPr>
            </w:pPr>
            <w:r w:rsidRPr="000E1B7E">
              <w:rPr>
                <w:b/>
                <w:i/>
                <w:sz w:val="20"/>
                <w:szCs w:val="20"/>
                <w:u w:val="single"/>
                <w:lang w:val="en-US"/>
              </w:rPr>
              <w:t>4.7</w:t>
            </w:r>
          </w:p>
        </w:tc>
        <w:tc>
          <w:tcPr>
            <w:tcW w:w="898" w:type="dxa"/>
            <w:noWrap/>
            <w:hideMark/>
          </w:tcPr>
          <w:p w14:paraId="69C99F7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i/>
                <w:sz w:val="20"/>
                <w:szCs w:val="20"/>
                <w:u w:val="single"/>
                <w:lang w:val="en-US"/>
              </w:rPr>
            </w:pPr>
            <w:r w:rsidRPr="000E1B7E">
              <w:rPr>
                <w:b/>
                <w:i/>
                <w:sz w:val="20"/>
                <w:szCs w:val="20"/>
                <w:u w:val="single"/>
                <w:lang w:val="en-US"/>
              </w:rPr>
              <w:t>6.1</w:t>
            </w:r>
          </w:p>
        </w:tc>
      </w:tr>
      <w:tr w:rsidR="008173CF" w:rsidRPr="000E1B7E" w14:paraId="10691653"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0CF438D2"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Mining &amp; quarrying</w:t>
            </w:r>
          </w:p>
        </w:tc>
        <w:tc>
          <w:tcPr>
            <w:tcW w:w="976" w:type="dxa"/>
            <w:noWrap/>
            <w:hideMark/>
          </w:tcPr>
          <w:p w14:paraId="10347BFA"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18.1</w:t>
            </w:r>
          </w:p>
        </w:tc>
        <w:tc>
          <w:tcPr>
            <w:tcW w:w="976" w:type="dxa"/>
            <w:noWrap/>
            <w:hideMark/>
          </w:tcPr>
          <w:p w14:paraId="4884D553"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12.4</w:t>
            </w:r>
          </w:p>
        </w:tc>
        <w:tc>
          <w:tcPr>
            <w:tcW w:w="976" w:type="dxa"/>
            <w:noWrap/>
            <w:hideMark/>
          </w:tcPr>
          <w:p w14:paraId="2AF8B123"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-5.7</w:t>
            </w:r>
          </w:p>
        </w:tc>
        <w:tc>
          <w:tcPr>
            <w:tcW w:w="976" w:type="dxa"/>
            <w:noWrap/>
            <w:hideMark/>
          </w:tcPr>
          <w:p w14:paraId="21B0595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26.1</w:t>
            </w:r>
          </w:p>
        </w:tc>
        <w:tc>
          <w:tcPr>
            <w:tcW w:w="898" w:type="dxa"/>
            <w:noWrap/>
            <w:hideMark/>
          </w:tcPr>
          <w:p w14:paraId="05603F57"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10.9</w:t>
            </w:r>
          </w:p>
        </w:tc>
        <w:tc>
          <w:tcPr>
            <w:tcW w:w="898" w:type="dxa"/>
            <w:noWrap/>
            <w:hideMark/>
          </w:tcPr>
          <w:p w14:paraId="586AB33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11.8</w:t>
            </w:r>
          </w:p>
        </w:tc>
      </w:tr>
      <w:tr w:rsidR="008173CF" w:rsidRPr="000E1B7E" w14:paraId="7ED58407"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noWrap/>
            <w:hideMark/>
          </w:tcPr>
          <w:p w14:paraId="2A8A387C"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Manufacturing</w:t>
            </w:r>
          </w:p>
        </w:tc>
        <w:tc>
          <w:tcPr>
            <w:tcW w:w="976" w:type="dxa"/>
            <w:noWrap/>
            <w:hideMark/>
          </w:tcPr>
          <w:p w14:paraId="13A5A7B8"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11.6</w:t>
            </w:r>
          </w:p>
        </w:tc>
        <w:tc>
          <w:tcPr>
            <w:tcW w:w="976" w:type="dxa"/>
            <w:noWrap/>
            <w:hideMark/>
          </w:tcPr>
          <w:p w14:paraId="551FF9EF"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0.6</w:t>
            </w:r>
          </w:p>
        </w:tc>
        <w:tc>
          <w:tcPr>
            <w:tcW w:w="976" w:type="dxa"/>
            <w:noWrap/>
            <w:hideMark/>
          </w:tcPr>
          <w:p w14:paraId="46C4399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2.2</w:t>
            </w:r>
          </w:p>
        </w:tc>
        <w:tc>
          <w:tcPr>
            <w:tcW w:w="976" w:type="dxa"/>
            <w:noWrap/>
            <w:hideMark/>
          </w:tcPr>
          <w:p w14:paraId="70E221AE"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1.7</w:t>
            </w:r>
          </w:p>
        </w:tc>
        <w:tc>
          <w:tcPr>
            <w:tcW w:w="898" w:type="dxa"/>
            <w:noWrap/>
            <w:hideMark/>
          </w:tcPr>
          <w:p w14:paraId="2E330985"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1.5</w:t>
            </w:r>
          </w:p>
        </w:tc>
        <w:tc>
          <w:tcPr>
            <w:tcW w:w="898" w:type="dxa"/>
            <w:noWrap/>
            <w:hideMark/>
          </w:tcPr>
          <w:p w14:paraId="7701102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4.4</w:t>
            </w:r>
          </w:p>
        </w:tc>
      </w:tr>
      <w:tr w:rsidR="008173CF" w:rsidRPr="000E1B7E" w14:paraId="6BB58E39"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noWrap/>
            <w:hideMark/>
          </w:tcPr>
          <w:p w14:paraId="6036F50E"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Electricity</w:t>
            </w:r>
          </w:p>
        </w:tc>
        <w:tc>
          <w:tcPr>
            <w:tcW w:w="976" w:type="dxa"/>
            <w:noWrap/>
            <w:hideMark/>
          </w:tcPr>
          <w:p w14:paraId="3764054F"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5.7</w:t>
            </w:r>
          </w:p>
        </w:tc>
        <w:tc>
          <w:tcPr>
            <w:tcW w:w="976" w:type="dxa"/>
            <w:noWrap/>
            <w:hideMark/>
          </w:tcPr>
          <w:p w14:paraId="132C7EC5"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4.0</w:t>
            </w:r>
          </w:p>
        </w:tc>
        <w:tc>
          <w:tcPr>
            <w:tcW w:w="976" w:type="dxa"/>
            <w:noWrap/>
            <w:hideMark/>
          </w:tcPr>
          <w:p w14:paraId="2D080197"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8.3</w:t>
            </w:r>
          </w:p>
        </w:tc>
        <w:tc>
          <w:tcPr>
            <w:tcW w:w="976" w:type="dxa"/>
            <w:noWrap/>
            <w:hideMark/>
          </w:tcPr>
          <w:p w14:paraId="2731D64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6.3</w:t>
            </w:r>
          </w:p>
        </w:tc>
        <w:tc>
          <w:tcPr>
            <w:tcW w:w="898" w:type="dxa"/>
            <w:noWrap/>
            <w:hideMark/>
          </w:tcPr>
          <w:p w14:paraId="3DF5FBCB"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6.2</w:t>
            </w:r>
          </w:p>
        </w:tc>
        <w:tc>
          <w:tcPr>
            <w:tcW w:w="898" w:type="dxa"/>
            <w:noWrap/>
            <w:hideMark/>
          </w:tcPr>
          <w:p w14:paraId="20C975B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6.9</w:t>
            </w:r>
          </w:p>
        </w:tc>
      </w:tr>
      <w:tr w:rsidR="008173CF" w:rsidRPr="000E1B7E" w14:paraId="40884D33"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noWrap/>
            <w:hideMark/>
          </w:tcPr>
          <w:p w14:paraId="2F1E0902"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Water</w:t>
            </w:r>
          </w:p>
        </w:tc>
        <w:tc>
          <w:tcPr>
            <w:tcW w:w="976" w:type="dxa"/>
            <w:noWrap/>
            <w:hideMark/>
          </w:tcPr>
          <w:p w14:paraId="2E4C6593"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6.1</w:t>
            </w:r>
          </w:p>
        </w:tc>
        <w:tc>
          <w:tcPr>
            <w:tcW w:w="976" w:type="dxa"/>
            <w:noWrap/>
            <w:hideMark/>
          </w:tcPr>
          <w:p w14:paraId="43E175B2"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6.3</w:t>
            </w:r>
          </w:p>
        </w:tc>
        <w:tc>
          <w:tcPr>
            <w:tcW w:w="976" w:type="dxa"/>
            <w:noWrap/>
            <w:hideMark/>
          </w:tcPr>
          <w:p w14:paraId="3B6CF778"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6.8</w:t>
            </w:r>
          </w:p>
        </w:tc>
        <w:tc>
          <w:tcPr>
            <w:tcW w:w="976" w:type="dxa"/>
            <w:noWrap/>
            <w:hideMark/>
          </w:tcPr>
          <w:p w14:paraId="5E5E8D3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6.0</w:t>
            </w:r>
          </w:p>
        </w:tc>
        <w:tc>
          <w:tcPr>
            <w:tcW w:w="898" w:type="dxa"/>
            <w:noWrap/>
            <w:hideMark/>
          </w:tcPr>
          <w:p w14:paraId="6C5C298E"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6.4</w:t>
            </w:r>
          </w:p>
        </w:tc>
        <w:tc>
          <w:tcPr>
            <w:tcW w:w="898" w:type="dxa"/>
            <w:noWrap/>
            <w:hideMark/>
          </w:tcPr>
          <w:p w14:paraId="26B31DB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6.2</w:t>
            </w:r>
          </w:p>
        </w:tc>
      </w:tr>
      <w:tr w:rsidR="008173CF" w:rsidRPr="000E1B7E" w14:paraId="7D876358"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48067531"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lastRenderedPageBreak/>
              <w:t>Construction</w:t>
            </w:r>
          </w:p>
        </w:tc>
        <w:tc>
          <w:tcPr>
            <w:tcW w:w="976" w:type="dxa"/>
            <w:noWrap/>
            <w:hideMark/>
          </w:tcPr>
          <w:p w14:paraId="3ACAC692"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1.9</w:t>
            </w:r>
          </w:p>
        </w:tc>
        <w:tc>
          <w:tcPr>
            <w:tcW w:w="976" w:type="dxa"/>
            <w:noWrap/>
            <w:hideMark/>
          </w:tcPr>
          <w:p w14:paraId="1030ACDA"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7.3</w:t>
            </w:r>
          </w:p>
        </w:tc>
        <w:tc>
          <w:tcPr>
            <w:tcW w:w="976" w:type="dxa"/>
            <w:noWrap/>
            <w:hideMark/>
          </w:tcPr>
          <w:p w14:paraId="3663EA8F"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5.3</w:t>
            </w:r>
          </w:p>
        </w:tc>
        <w:tc>
          <w:tcPr>
            <w:tcW w:w="976" w:type="dxa"/>
            <w:noWrap/>
            <w:hideMark/>
          </w:tcPr>
          <w:p w14:paraId="322A2EBE"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6.9</w:t>
            </w:r>
          </w:p>
        </w:tc>
        <w:tc>
          <w:tcPr>
            <w:tcW w:w="898" w:type="dxa"/>
            <w:noWrap/>
            <w:hideMark/>
          </w:tcPr>
          <w:p w14:paraId="174FEABE"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6.5</w:t>
            </w:r>
          </w:p>
        </w:tc>
        <w:tc>
          <w:tcPr>
            <w:tcW w:w="898" w:type="dxa"/>
            <w:noWrap/>
            <w:hideMark/>
          </w:tcPr>
          <w:p w14:paraId="6FED4BF2"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7.5</w:t>
            </w:r>
          </w:p>
        </w:tc>
      </w:tr>
      <w:tr w:rsidR="008173CF" w:rsidRPr="000E1B7E" w14:paraId="5A9E3CF6"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noWrap/>
            <w:hideMark/>
          </w:tcPr>
          <w:p w14:paraId="4DFB1E7B" w14:textId="77777777" w:rsidR="008173CF" w:rsidRPr="000E1B7E" w:rsidRDefault="008173CF" w:rsidP="005959B5">
            <w:pPr>
              <w:jc w:val="both"/>
              <w:rPr>
                <w:rFonts w:ascii="Times New Roman" w:eastAsia="Times New Roman" w:hAnsi="Times New Roman" w:cs="Times New Roman"/>
                <w:i/>
                <w:sz w:val="20"/>
                <w:szCs w:val="20"/>
                <w:u w:val="single"/>
                <w:lang w:val="en-US"/>
              </w:rPr>
            </w:pPr>
            <w:r w:rsidRPr="000E1B7E">
              <w:rPr>
                <w:rFonts w:ascii="Times New Roman" w:eastAsia="Times New Roman" w:hAnsi="Times New Roman" w:cs="Times New Roman"/>
                <w:i/>
                <w:sz w:val="20"/>
                <w:szCs w:val="20"/>
                <w:u w:val="single"/>
                <w:lang w:val="en-US"/>
              </w:rPr>
              <w:t>Services</w:t>
            </w:r>
          </w:p>
        </w:tc>
        <w:tc>
          <w:tcPr>
            <w:tcW w:w="976" w:type="dxa"/>
            <w:noWrap/>
            <w:hideMark/>
          </w:tcPr>
          <w:p w14:paraId="35CD23BC"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4.8</w:t>
            </w:r>
          </w:p>
        </w:tc>
        <w:tc>
          <w:tcPr>
            <w:tcW w:w="976" w:type="dxa"/>
            <w:noWrap/>
            <w:hideMark/>
          </w:tcPr>
          <w:p w14:paraId="19E0AEFA"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6.2</w:t>
            </w:r>
          </w:p>
        </w:tc>
        <w:tc>
          <w:tcPr>
            <w:tcW w:w="976" w:type="dxa"/>
            <w:noWrap/>
            <w:hideMark/>
          </w:tcPr>
          <w:p w14:paraId="5BA571D4"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5.4</w:t>
            </w:r>
          </w:p>
        </w:tc>
        <w:tc>
          <w:tcPr>
            <w:tcW w:w="976" w:type="dxa"/>
            <w:noWrap/>
            <w:hideMark/>
          </w:tcPr>
          <w:p w14:paraId="750CB704"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bCs/>
                <w:i/>
                <w:sz w:val="20"/>
                <w:szCs w:val="20"/>
                <w:u w:val="single"/>
                <w:lang w:val="en-US"/>
              </w:rPr>
            </w:pPr>
            <w:r w:rsidRPr="000E1B7E">
              <w:rPr>
                <w:b/>
                <w:bCs/>
                <w:i/>
                <w:sz w:val="20"/>
                <w:szCs w:val="20"/>
                <w:u w:val="single"/>
                <w:lang w:val="en-US"/>
              </w:rPr>
              <w:t>7.7</w:t>
            </w:r>
          </w:p>
        </w:tc>
        <w:tc>
          <w:tcPr>
            <w:tcW w:w="898" w:type="dxa"/>
            <w:noWrap/>
            <w:hideMark/>
          </w:tcPr>
          <w:p w14:paraId="03D60EF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i/>
                <w:sz w:val="20"/>
                <w:szCs w:val="20"/>
                <w:u w:val="single"/>
                <w:lang w:val="en-US"/>
              </w:rPr>
            </w:pPr>
            <w:r w:rsidRPr="000E1B7E">
              <w:rPr>
                <w:b/>
                <w:i/>
                <w:sz w:val="20"/>
                <w:szCs w:val="20"/>
                <w:u w:val="single"/>
                <w:lang w:val="en-US"/>
              </w:rPr>
              <w:t>6.4</w:t>
            </w:r>
          </w:p>
        </w:tc>
        <w:tc>
          <w:tcPr>
            <w:tcW w:w="898" w:type="dxa"/>
            <w:noWrap/>
            <w:hideMark/>
          </w:tcPr>
          <w:p w14:paraId="4608CC9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b/>
                <w:i/>
                <w:sz w:val="20"/>
                <w:szCs w:val="20"/>
                <w:u w:val="single"/>
                <w:lang w:val="en-US"/>
              </w:rPr>
            </w:pPr>
            <w:r w:rsidRPr="000E1B7E">
              <w:rPr>
                <w:b/>
                <w:i/>
                <w:sz w:val="20"/>
                <w:szCs w:val="20"/>
                <w:u w:val="single"/>
                <w:lang w:val="en-US"/>
              </w:rPr>
              <w:t>6.3</w:t>
            </w:r>
          </w:p>
        </w:tc>
      </w:tr>
      <w:tr w:rsidR="008173CF" w:rsidRPr="000E1B7E" w14:paraId="016A9BC1"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03957D5E"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Trade and Repairs</w:t>
            </w:r>
          </w:p>
        </w:tc>
        <w:tc>
          <w:tcPr>
            <w:tcW w:w="976" w:type="dxa"/>
            <w:noWrap/>
            <w:hideMark/>
          </w:tcPr>
          <w:p w14:paraId="18F72404"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3.2</w:t>
            </w:r>
          </w:p>
        </w:tc>
        <w:tc>
          <w:tcPr>
            <w:tcW w:w="976" w:type="dxa"/>
            <w:noWrap/>
            <w:hideMark/>
          </w:tcPr>
          <w:p w14:paraId="5C2D6F04"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3.5</w:t>
            </w:r>
          </w:p>
        </w:tc>
        <w:tc>
          <w:tcPr>
            <w:tcW w:w="976" w:type="dxa"/>
            <w:noWrap/>
            <w:hideMark/>
          </w:tcPr>
          <w:p w14:paraId="5608C3D2"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1.6</w:t>
            </w:r>
          </w:p>
        </w:tc>
        <w:tc>
          <w:tcPr>
            <w:tcW w:w="976" w:type="dxa"/>
            <w:noWrap/>
            <w:hideMark/>
          </w:tcPr>
          <w:p w14:paraId="294D213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2.2</w:t>
            </w:r>
          </w:p>
        </w:tc>
        <w:tc>
          <w:tcPr>
            <w:tcW w:w="898" w:type="dxa"/>
            <w:noWrap/>
            <w:hideMark/>
          </w:tcPr>
          <w:p w14:paraId="0EFEF65F"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2.4</w:t>
            </w:r>
          </w:p>
        </w:tc>
        <w:tc>
          <w:tcPr>
            <w:tcW w:w="898" w:type="dxa"/>
            <w:noWrap/>
            <w:hideMark/>
          </w:tcPr>
          <w:p w14:paraId="663E5C5F"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2.9</w:t>
            </w:r>
          </w:p>
        </w:tc>
      </w:tr>
      <w:tr w:rsidR="008173CF" w:rsidRPr="000E1B7E" w14:paraId="37D53C15"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71E5FC86"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Transportation and Storage</w:t>
            </w:r>
          </w:p>
        </w:tc>
        <w:tc>
          <w:tcPr>
            <w:tcW w:w="976" w:type="dxa"/>
            <w:noWrap/>
            <w:hideMark/>
          </w:tcPr>
          <w:p w14:paraId="1F15907A"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6.6</w:t>
            </w:r>
          </w:p>
        </w:tc>
        <w:tc>
          <w:tcPr>
            <w:tcW w:w="976" w:type="dxa"/>
            <w:noWrap/>
            <w:hideMark/>
          </w:tcPr>
          <w:p w14:paraId="195457A3"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8.2</w:t>
            </w:r>
          </w:p>
        </w:tc>
        <w:tc>
          <w:tcPr>
            <w:tcW w:w="976" w:type="dxa"/>
            <w:noWrap/>
            <w:hideMark/>
          </w:tcPr>
          <w:p w14:paraId="53B2CE59"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3.5</w:t>
            </w:r>
          </w:p>
        </w:tc>
        <w:tc>
          <w:tcPr>
            <w:tcW w:w="976" w:type="dxa"/>
            <w:noWrap/>
            <w:hideMark/>
          </w:tcPr>
          <w:p w14:paraId="0DA306C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5.6</w:t>
            </w:r>
          </w:p>
        </w:tc>
        <w:tc>
          <w:tcPr>
            <w:tcW w:w="898" w:type="dxa"/>
            <w:noWrap/>
            <w:hideMark/>
          </w:tcPr>
          <w:p w14:paraId="4247969F"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5.8</w:t>
            </w:r>
          </w:p>
        </w:tc>
        <w:tc>
          <w:tcPr>
            <w:tcW w:w="898" w:type="dxa"/>
            <w:noWrap/>
            <w:hideMark/>
          </w:tcPr>
          <w:p w14:paraId="4F6A308C"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7.0</w:t>
            </w:r>
          </w:p>
        </w:tc>
      </w:tr>
      <w:tr w:rsidR="008173CF" w:rsidRPr="000E1B7E" w14:paraId="1AA1C653"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0A6EC793"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Accommodation and Food Service Activities</w:t>
            </w:r>
          </w:p>
        </w:tc>
        <w:tc>
          <w:tcPr>
            <w:tcW w:w="976" w:type="dxa"/>
            <w:noWrap/>
            <w:hideMark/>
          </w:tcPr>
          <w:p w14:paraId="56EB12FD"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-0.5</w:t>
            </w:r>
          </w:p>
        </w:tc>
        <w:tc>
          <w:tcPr>
            <w:tcW w:w="976" w:type="dxa"/>
            <w:noWrap/>
            <w:hideMark/>
          </w:tcPr>
          <w:p w14:paraId="134463C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5.7</w:t>
            </w:r>
          </w:p>
        </w:tc>
        <w:tc>
          <w:tcPr>
            <w:tcW w:w="976" w:type="dxa"/>
            <w:noWrap/>
            <w:hideMark/>
          </w:tcPr>
          <w:p w14:paraId="41B4AA6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7.5</w:t>
            </w:r>
          </w:p>
        </w:tc>
        <w:tc>
          <w:tcPr>
            <w:tcW w:w="976" w:type="dxa"/>
            <w:noWrap/>
            <w:hideMark/>
          </w:tcPr>
          <w:p w14:paraId="4AF9F47A"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1.2</w:t>
            </w:r>
          </w:p>
        </w:tc>
        <w:tc>
          <w:tcPr>
            <w:tcW w:w="898" w:type="dxa"/>
            <w:noWrap/>
            <w:hideMark/>
          </w:tcPr>
          <w:p w14:paraId="7224DBF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4.8</w:t>
            </w:r>
          </w:p>
        </w:tc>
        <w:tc>
          <w:tcPr>
            <w:tcW w:w="898" w:type="dxa"/>
            <w:noWrap/>
            <w:hideMark/>
          </w:tcPr>
          <w:p w14:paraId="0B175EF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5.9</w:t>
            </w:r>
          </w:p>
        </w:tc>
      </w:tr>
      <w:tr w:rsidR="008173CF" w:rsidRPr="000E1B7E" w14:paraId="3830DF71"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4B422D47"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Information and Communication</w:t>
            </w:r>
          </w:p>
        </w:tc>
        <w:tc>
          <w:tcPr>
            <w:tcW w:w="976" w:type="dxa"/>
            <w:noWrap/>
            <w:hideMark/>
          </w:tcPr>
          <w:p w14:paraId="44CFCF7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-1.8</w:t>
            </w:r>
          </w:p>
        </w:tc>
        <w:tc>
          <w:tcPr>
            <w:tcW w:w="976" w:type="dxa"/>
            <w:noWrap/>
            <w:hideMark/>
          </w:tcPr>
          <w:p w14:paraId="7355E2F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14.1</w:t>
            </w:r>
          </w:p>
        </w:tc>
        <w:tc>
          <w:tcPr>
            <w:tcW w:w="976" w:type="dxa"/>
            <w:noWrap/>
            <w:hideMark/>
          </w:tcPr>
          <w:p w14:paraId="40EFF691"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13.9</w:t>
            </w:r>
          </w:p>
        </w:tc>
        <w:tc>
          <w:tcPr>
            <w:tcW w:w="976" w:type="dxa"/>
            <w:noWrap/>
            <w:hideMark/>
          </w:tcPr>
          <w:p w14:paraId="50D2E95F"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15.2</w:t>
            </w:r>
          </w:p>
        </w:tc>
        <w:tc>
          <w:tcPr>
            <w:tcW w:w="898" w:type="dxa"/>
            <w:noWrap/>
            <w:hideMark/>
          </w:tcPr>
          <w:p w14:paraId="464FD36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14.4</w:t>
            </w:r>
          </w:p>
        </w:tc>
        <w:tc>
          <w:tcPr>
            <w:tcW w:w="898" w:type="dxa"/>
            <w:noWrap/>
            <w:hideMark/>
          </w:tcPr>
          <w:p w14:paraId="7F6DF3DA"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14.1</w:t>
            </w:r>
          </w:p>
        </w:tc>
      </w:tr>
      <w:tr w:rsidR="008173CF" w:rsidRPr="000E1B7E" w14:paraId="39C33CCF"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45F8C599"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Financial and Insurance Activities</w:t>
            </w:r>
          </w:p>
        </w:tc>
        <w:tc>
          <w:tcPr>
            <w:tcW w:w="976" w:type="dxa"/>
            <w:noWrap/>
            <w:hideMark/>
          </w:tcPr>
          <w:p w14:paraId="73C1465C"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10.9</w:t>
            </w:r>
          </w:p>
        </w:tc>
        <w:tc>
          <w:tcPr>
            <w:tcW w:w="976" w:type="dxa"/>
            <w:noWrap/>
            <w:hideMark/>
          </w:tcPr>
          <w:p w14:paraId="58B53813"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9.6</w:t>
            </w:r>
          </w:p>
        </w:tc>
        <w:tc>
          <w:tcPr>
            <w:tcW w:w="976" w:type="dxa"/>
            <w:noWrap/>
            <w:hideMark/>
          </w:tcPr>
          <w:p w14:paraId="3B350619"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2.3</w:t>
            </w:r>
          </w:p>
        </w:tc>
        <w:tc>
          <w:tcPr>
            <w:tcW w:w="976" w:type="dxa"/>
            <w:noWrap/>
            <w:hideMark/>
          </w:tcPr>
          <w:p w14:paraId="7C37B4B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8.3</w:t>
            </w:r>
          </w:p>
        </w:tc>
        <w:tc>
          <w:tcPr>
            <w:tcW w:w="898" w:type="dxa"/>
            <w:noWrap/>
            <w:hideMark/>
          </w:tcPr>
          <w:p w14:paraId="001C9CD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6.7</w:t>
            </w:r>
          </w:p>
        </w:tc>
        <w:tc>
          <w:tcPr>
            <w:tcW w:w="898" w:type="dxa"/>
            <w:noWrap/>
            <w:hideMark/>
          </w:tcPr>
          <w:p w14:paraId="64B974D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10.3</w:t>
            </w:r>
          </w:p>
        </w:tc>
      </w:tr>
      <w:tr w:rsidR="008173CF" w:rsidRPr="000E1B7E" w14:paraId="42DC857B"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1200B2FC"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Real Estate Activities</w:t>
            </w:r>
          </w:p>
        </w:tc>
        <w:tc>
          <w:tcPr>
            <w:tcW w:w="976" w:type="dxa"/>
            <w:noWrap/>
            <w:hideMark/>
          </w:tcPr>
          <w:p w14:paraId="3FDF2299"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6.5</w:t>
            </w:r>
          </w:p>
        </w:tc>
        <w:tc>
          <w:tcPr>
            <w:tcW w:w="976" w:type="dxa"/>
            <w:noWrap/>
            <w:hideMark/>
          </w:tcPr>
          <w:p w14:paraId="6E3F1222"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6.1</w:t>
            </w:r>
          </w:p>
        </w:tc>
        <w:tc>
          <w:tcPr>
            <w:tcW w:w="976" w:type="dxa"/>
            <w:noWrap/>
            <w:hideMark/>
          </w:tcPr>
          <w:p w14:paraId="04A7984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5.6</w:t>
            </w:r>
          </w:p>
        </w:tc>
        <w:tc>
          <w:tcPr>
            <w:tcW w:w="976" w:type="dxa"/>
            <w:noWrap/>
            <w:hideMark/>
          </w:tcPr>
          <w:p w14:paraId="2C8A252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6.5</w:t>
            </w:r>
          </w:p>
        </w:tc>
        <w:tc>
          <w:tcPr>
            <w:tcW w:w="898" w:type="dxa"/>
            <w:noWrap/>
            <w:hideMark/>
          </w:tcPr>
          <w:p w14:paraId="4ABF191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6.1</w:t>
            </w:r>
          </w:p>
        </w:tc>
        <w:tc>
          <w:tcPr>
            <w:tcW w:w="898" w:type="dxa"/>
            <w:noWrap/>
            <w:hideMark/>
          </w:tcPr>
          <w:p w14:paraId="20324061"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5.0</w:t>
            </w:r>
          </w:p>
        </w:tc>
      </w:tr>
      <w:tr w:rsidR="008173CF" w:rsidRPr="000E1B7E" w14:paraId="2B03AD53"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20F99B06"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Professional, Scientific and Technical Activities</w:t>
            </w:r>
          </w:p>
        </w:tc>
        <w:tc>
          <w:tcPr>
            <w:tcW w:w="976" w:type="dxa"/>
            <w:noWrap/>
            <w:hideMark/>
          </w:tcPr>
          <w:p w14:paraId="22BCF8C4"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-5.6</w:t>
            </w:r>
          </w:p>
        </w:tc>
        <w:tc>
          <w:tcPr>
            <w:tcW w:w="976" w:type="dxa"/>
            <w:noWrap/>
            <w:hideMark/>
          </w:tcPr>
          <w:p w14:paraId="46A04AE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-0.3</w:t>
            </w:r>
          </w:p>
        </w:tc>
        <w:tc>
          <w:tcPr>
            <w:tcW w:w="976" w:type="dxa"/>
            <w:noWrap/>
            <w:hideMark/>
          </w:tcPr>
          <w:p w14:paraId="0E662F47"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-3.0</w:t>
            </w:r>
          </w:p>
        </w:tc>
        <w:tc>
          <w:tcPr>
            <w:tcW w:w="976" w:type="dxa"/>
            <w:noWrap/>
            <w:hideMark/>
          </w:tcPr>
          <w:p w14:paraId="0130627B"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5.3</w:t>
            </w:r>
          </w:p>
        </w:tc>
        <w:tc>
          <w:tcPr>
            <w:tcW w:w="898" w:type="dxa"/>
            <w:noWrap/>
            <w:hideMark/>
          </w:tcPr>
          <w:p w14:paraId="383EB83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0.7</w:t>
            </w:r>
          </w:p>
        </w:tc>
        <w:tc>
          <w:tcPr>
            <w:tcW w:w="898" w:type="dxa"/>
            <w:noWrap/>
            <w:hideMark/>
          </w:tcPr>
          <w:p w14:paraId="592CE96C"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1.6</w:t>
            </w:r>
          </w:p>
        </w:tc>
      </w:tr>
      <w:tr w:rsidR="008173CF" w:rsidRPr="000E1B7E" w14:paraId="74354C64"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471D21DE"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Administrative and Support Service Activities</w:t>
            </w:r>
          </w:p>
        </w:tc>
        <w:tc>
          <w:tcPr>
            <w:tcW w:w="976" w:type="dxa"/>
            <w:noWrap/>
            <w:hideMark/>
          </w:tcPr>
          <w:p w14:paraId="43A91DE3"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25.5</w:t>
            </w:r>
          </w:p>
        </w:tc>
        <w:tc>
          <w:tcPr>
            <w:tcW w:w="976" w:type="dxa"/>
            <w:noWrap/>
            <w:hideMark/>
          </w:tcPr>
          <w:p w14:paraId="49EC57F1"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-13.9</w:t>
            </w:r>
          </w:p>
        </w:tc>
        <w:tc>
          <w:tcPr>
            <w:tcW w:w="976" w:type="dxa"/>
            <w:noWrap/>
            <w:hideMark/>
          </w:tcPr>
          <w:p w14:paraId="0AF6A78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-4.8</w:t>
            </w:r>
          </w:p>
        </w:tc>
        <w:tc>
          <w:tcPr>
            <w:tcW w:w="976" w:type="dxa"/>
            <w:noWrap/>
            <w:hideMark/>
          </w:tcPr>
          <w:p w14:paraId="33857388"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11.9</w:t>
            </w:r>
          </w:p>
        </w:tc>
        <w:tc>
          <w:tcPr>
            <w:tcW w:w="898" w:type="dxa"/>
            <w:noWrap/>
            <w:hideMark/>
          </w:tcPr>
          <w:p w14:paraId="21ADF68F"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-2.3</w:t>
            </w:r>
          </w:p>
        </w:tc>
        <w:tc>
          <w:tcPr>
            <w:tcW w:w="898" w:type="dxa"/>
            <w:noWrap/>
            <w:hideMark/>
          </w:tcPr>
          <w:p w14:paraId="29D890BC"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10.1</w:t>
            </w:r>
          </w:p>
        </w:tc>
      </w:tr>
      <w:tr w:rsidR="008173CF" w:rsidRPr="000E1B7E" w14:paraId="5441C6DE"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3BC09F33"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 xml:space="preserve">Public Administration </w:t>
            </w:r>
          </w:p>
        </w:tc>
        <w:tc>
          <w:tcPr>
            <w:tcW w:w="976" w:type="dxa"/>
            <w:noWrap/>
            <w:hideMark/>
          </w:tcPr>
          <w:p w14:paraId="67A83F91"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24.2</w:t>
            </w:r>
          </w:p>
        </w:tc>
        <w:tc>
          <w:tcPr>
            <w:tcW w:w="976" w:type="dxa"/>
            <w:noWrap/>
            <w:hideMark/>
          </w:tcPr>
          <w:p w14:paraId="3C9B87ED"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8.4</w:t>
            </w:r>
          </w:p>
        </w:tc>
        <w:tc>
          <w:tcPr>
            <w:tcW w:w="976" w:type="dxa"/>
            <w:noWrap/>
            <w:hideMark/>
          </w:tcPr>
          <w:p w14:paraId="35BA584E"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2.1</w:t>
            </w:r>
          </w:p>
        </w:tc>
        <w:tc>
          <w:tcPr>
            <w:tcW w:w="976" w:type="dxa"/>
            <w:noWrap/>
            <w:hideMark/>
          </w:tcPr>
          <w:p w14:paraId="48DA6D92"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10.6</w:t>
            </w:r>
          </w:p>
        </w:tc>
        <w:tc>
          <w:tcPr>
            <w:tcW w:w="898" w:type="dxa"/>
            <w:noWrap/>
            <w:hideMark/>
          </w:tcPr>
          <w:p w14:paraId="7EAA4D95"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7.0</w:t>
            </w:r>
          </w:p>
        </w:tc>
        <w:tc>
          <w:tcPr>
            <w:tcW w:w="898" w:type="dxa"/>
            <w:noWrap/>
            <w:hideMark/>
          </w:tcPr>
          <w:p w14:paraId="666F3B4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7.6</w:t>
            </w:r>
          </w:p>
        </w:tc>
      </w:tr>
      <w:tr w:rsidR="008173CF" w:rsidRPr="000E1B7E" w14:paraId="2D438900"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7A7715B3"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Education</w:t>
            </w:r>
          </w:p>
        </w:tc>
        <w:tc>
          <w:tcPr>
            <w:tcW w:w="976" w:type="dxa"/>
            <w:noWrap/>
            <w:hideMark/>
          </w:tcPr>
          <w:p w14:paraId="4588792D"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5.2</w:t>
            </w:r>
          </w:p>
        </w:tc>
        <w:tc>
          <w:tcPr>
            <w:tcW w:w="976" w:type="dxa"/>
            <w:noWrap/>
            <w:hideMark/>
          </w:tcPr>
          <w:p w14:paraId="1F9D84A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7.8</w:t>
            </w:r>
          </w:p>
        </w:tc>
        <w:tc>
          <w:tcPr>
            <w:tcW w:w="976" w:type="dxa"/>
            <w:noWrap/>
            <w:hideMark/>
          </w:tcPr>
          <w:p w14:paraId="78F68AD9"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9.3</w:t>
            </w:r>
          </w:p>
        </w:tc>
        <w:tc>
          <w:tcPr>
            <w:tcW w:w="976" w:type="dxa"/>
            <w:noWrap/>
            <w:hideMark/>
          </w:tcPr>
          <w:p w14:paraId="2539B00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6.7</w:t>
            </w:r>
          </w:p>
        </w:tc>
        <w:tc>
          <w:tcPr>
            <w:tcW w:w="898" w:type="dxa"/>
            <w:noWrap/>
            <w:hideMark/>
          </w:tcPr>
          <w:p w14:paraId="3122C680"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8.0</w:t>
            </w:r>
          </w:p>
        </w:tc>
        <w:tc>
          <w:tcPr>
            <w:tcW w:w="898" w:type="dxa"/>
            <w:noWrap/>
            <w:hideMark/>
          </w:tcPr>
          <w:p w14:paraId="1E25DAB1"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7.2</w:t>
            </w:r>
          </w:p>
        </w:tc>
      </w:tr>
      <w:tr w:rsidR="008173CF" w:rsidRPr="000E1B7E" w14:paraId="04583879"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12EB9088"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Human Health and Social Work Activities</w:t>
            </w:r>
          </w:p>
        </w:tc>
        <w:tc>
          <w:tcPr>
            <w:tcW w:w="976" w:type="dxa"/>
            <w:noWrap/>
            <w:hideMark/>
          </w:tcPr>
          <w:p w14:paraId="7214687A"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5.4</w:t>
            </w:r>
          </w:p>
        </w:tc>
        <w:tc>
          <w:tcPr>
            <w:tcW w:w="976" w:type="dxa"/>
            <w:noWrap/>
            <w:hideMark/>
          </w:tcPr>
          <w:p w14:paraId="13F8FD92"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3.4</w:t>
            </w:r>
          </w:p>
        </w:tc>
        <w:tc>
          <w:tcPr>
            <w:tcW w:w="976" w:type="dxa"/>
            <w:noWrap/>
            <w:hideMark/>
          </w:tcPr>
          <w:p w14:paraId="52247738"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4.4</w:t>
            </w:r>
          </w:p>
        </w:tc>
        <w:tc>
          <w:tcPr>
            <w:tcW w:w="976" w:type="dxa"/>
            <w:noWrap/>
            <w:hideMark/>
          </w:tcPr>
          <w:p w14:paraId="5BFE8D7D"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6.2</w:t>
            </w:r>
          </w:p>
        </w:tc>
        <w:tc>
          <w:tcPr>
            <w:tcW w:w="898" w:type="dxa"/>
            <w:noWrap/>
            <w:hideMark/>
          </w:tcPr>
          <w:p w14:paraId="4F86CEB3"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4.7</w:t>
            </w:r>
          </w:p>
        </w:tc>
        <w:tc>
          <w:tcPr>
            <w:tcW w:w="898" w:type="dxa"/>
            <w:noWrap/>
            <w:hideMark/>
          </w:tcPr>
          <w:p w14:paraId="01B47E26"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4.8</w:t>
            </w:r>
          </w:p>
        </w:tc>
      </w:tr>
      <w:tr w:rsidR="008173CF" w:rsidRPr="000E1B7E" w14:paraId="6142376E"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477B2412"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Arts, Entertainment and Recreation</w:t>
            </w:r>
          </w:p>
        </w:tc>
        <w:tc>
          <w:tcPr>
            <w:tcW w:w="976" w:type="dxa"/>
            <w:noWrap/>
            <w:hideMark/>
          </w:tcPr>
          <w:p w14:paraId="5A239427"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5.3</w:t>
            </w:r>
          </w:p>
        </w:tc>
        <w:tc>
          <w:tcPr>
            <w:tcW w:w="976" w:type="dxa"/>
            <w:noWrap/>
            <w:hideMark/>
          </w:tcPr>
          <w:p w14:paraId="21F793F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-5.0</w:t>
            </w:r>
          </w:p>
        </w:tc>
        <w:tc>
          <w:tcPr>
            <w:tcW w:w="976" w:type="dxa"/>
            <w:noWrap/>
            <w:hideMark/>
          </w:tcPr>
          <w:p w14:paraId="31F4C8A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-2.4</w:t>
            </w:r>
          </w:p>
        </w:tc>
        <w:tc>
          <w:tcPr>
            <w:tcW w:w="976" w:type="dxa"/>
            <w:noWrap/>
            <w:hideMark/>
          </w:tcPr>
          <w:p w14:paraId="16C322B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18.9</w:t>
            </w:r>
          </w:p>
        </w:tc>
        <w:tc>
          <w:tcPr>
            <w:tcW w:w="898" w:type="dxa"/>
            <w:noWrap/>
            <w:hideMark/>
          </w:tcPr>
          <w:p w14:paraId="57176ABF"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3.8</w:t>
            </w:r>
          </w:p>
        </w:tc>
        <w:tc>
          <w:tcPr>
            <w:tcW w:w="898" w:type="dxa"/>
            <w:noWrap/>
            <w:hideMark/>
          </w:tcPr>
          <w:p w14:paraId="3866F7EE"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4.5</w:t>
            </w:r>
          </w:p>
        </w:tc>
      </w:tr>
      <w:tr w:rsidR="008173CF" w:rsidRPr="000E1B7E" w14:paraId="5B66AB39" w14:textId="77777777" w:rsidTr="0052586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44556C39"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Other Service Activities</w:t>
            </w:r>
          </w:p>
        </w:tc>
        <w:tc>
          <w:tcPr>
            <w:tcW w:w="976" w:type="dxa"/>
            <w:noWrap/>
            <w:hideMark/>
          </w:tcPr>
          <w:p w14:paraId="1C25AAD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7.9</w:t>
            </w:r>
          </w:p>
        </w:tc>
        <w:tc>
          <w:tcPr>
            <w:tcW w:w="976" w:type="dxa"/>
            <w:noWrap/>
            <w:hideMark/>
          </w:tcPr>
          <w:p w14:paraId="6C16BAD0"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9.2</w:t>
            </w:r>
          </w:p>
        </w:tc>
        <w:tc>
          <w:tcPr>
            <w:tcW w:w="976" w:type="dxa"/>
            <w:noWrap/>
            <w:hideMark/>
          </w:tcPr>
          <w:p w14:paraId="3F09A1D1"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13.3</w:t>
            </w:r>
          </w:p>
        </w:tc>
        <w:tc>
          <w:tcPr>
            <w:tcW w:w="976" w:type="dxa"/>
            <w:noWrap/>
            <w:hideMark/>
          </w:tcPr>
          <w:p w14:paraId="6F91AA43"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19.2</w:t>
            </w:r>
          </w:p>
        </w:tc>
        <w:tc>
          <w:tcPr>
            <w:tcW w:w="898" w:type="dxa"/>
            <w:noWrap/>
            <w:hideMark/>
          </w:tcPr>
          <w:p w14:paraId="423DB64A"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13.9</w:t>
            </w:r>
          </w:p>
        </w:tc>
        <w:tc>
          <w:tcPr>
            <w:tcW w:w="898" w:type="dxa"/>
            <w:noWrap/>
            <w:hideMark/>
          </w:tcPr>
          <w:p w14:paraId="548708BA" w14:textId="77777777" w:rsidR="008173CF" w:rsidRPr="000E1B7E" w:rsidRDefault="008173CF"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6.9</w:t>
            </w:r>
          </w:p>
        </w:tc>
      </w:tr>
      <w:tr w:rsidR="008173CF" w:rsidRPr="000E1B7E" w14:paraId="546A1774" w14:textId="77777777" w:rsidTr="005258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8" w:type="dxa"/>
            <w:hideMark/>
          </w:tcPr>
          <w:p w14:paraId="0CC399E1" w14:textId="77777777" w:rsidR="008173CF" w:rsidRPr="000E1B7E" w:rsidRDefault="008173CF"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Activities of Households as Employers</w:t>
            </w:r>
          </w:p>
        </w:tc>
        <w:tc>
          <w:tcPr>
            <w:tcW w:w="976" w:type="dxa"/>
            <w:noWrap/>
            <w:hideMark/>
          </w:tcPr>
          <w:p w14:paraId="46F2FCFE"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2.8</w:t>
            </w:r>
          </w:p>
        </w:tc>
        <w:tc>
          <w:tcPr>
            <w:tcW w:w="976" w:type="dxa"/>
            <w:noWrap/>
            <w:hideMark/>
          </w:tcPr>
          <w:p w14:paraId="72E07536"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3.4</w:t>
            </w:r>
          </w:p>
        </w:tc>
        <w:tc>
          <w:tcPr>
            <w:tcW w:w="976" w:type="dxa"/>
            <w:noWrap/>
            <w:hideMark/>
          </w:tcPr>
          <w:p w14:paraId="27FD89C3"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4.1</w:t>
            </w:r>
          </w:p>
        </w:tc>
        <w:tc>
          <w:tcPr>
            <w:tcW w:w="976" w:type="dxa"/>
            <w:noWrap/>
            <w:hideMark/>
          </w:tcPr>
          <w:p w14:paraId="449ABC1B"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4.9</w:t>
            </w:r>
          </w:p>
        </w:tc>
        <w:tc>
          <w:tcPr>
            <w:tcW w:w="898" w:type="dxa"/>
            <w:noWrap/>
            <w:hideMark/>
          </w:tcPr>
          <w:p w14:paraId="7F2F2F79"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4.1</w:t>
            </w:r>
          </w:p>
        </w:tc>
        <w:tc>
          <w:tcPr>
            <w:tcW w:w="898" w:type="dxa"/>
            <w:noWrap/>
            <w:hideMark/>
          </w:tcPr>
          <w:p w14:paraId="503D22BA" w14:textId="77777777" w:rsidR="008173CF" w:rsidRPr="000E1B7E" w:rsidRDefault="008173CF"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2.3</w:t>
            </w:r>
          </w:p>
        </w:tc>
      </w:tr>
    </w:tbl>
    <w:p w14:paraId="0512ADD6" w14:textId="77777777" w:rsidR="00547072" w:rsidRPr="000E1B7E" w:rsidRDefault="00547072" w:rsidP="005959B5">
      <w:pPr>
        <w:tabs>
          <w:tab w:val="left" w:pos="1108"/>
        </w:tabs>
        <w:jc w:val="both"/>
      </w:pPr>
      <w:r w:rsidRPr="000E1B7E">
        <w:t>Source: UBOS</w:t>
      </w:r>
    </w:p>
    <w:p w14:paraId="38A3A569" w14:textId="77777777" w:rsidR="008173CF" w:rsidRPr="000E1B7E" w:rsidRDefault="008173CF" w:rsidP="005959B5">
      <w:pPr>
        <w:tabs>
          <w:tab w:val="left" w:pos="1108"/>
        </w:tabs>
        <w:jc w:val="both"/>
        <w:rPr>
          <w:b/>
        </w:rPr>
      </w:pPr>
    </w:p>
    <w:p w14:paraId="790D8F99" w14:textId="77777777" w:rsidR="00F31C31" w:rsidRPr="000E1B7E" w:rsidRDefault="00AE3F0C"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b/>
          <w:sz w:val="24"/>
          <w:szCs w:val="24"/>
        </w:rPr>
        <w:t>Agricultural sector GDP growth</w:t>
      </w:r>
      <w:r w:rsidRPr="000E1B7E">
        <w:rPr>
          <w:rFonts w:ascii="Times New Roman" w:hAnsi="Times New Roman"/>
          <w:sz w:val="24"/>
          <w:szCs w:val="24"/>
        </w:rPr>
        <w:t xml:space="preserve">: </w:t>
      </w:r>
      <w:r w:rsidR="00F31C31" w:rsidRPr="000E1B7E">
        <w:rPr>
          <w:rFonts w:ascii="Times New Roman" w:hAnsi="Times New Roman"/>
          <w:sz w:val="24"/>
          <w:szCs w:val="24"/>
        </w:rPr>
        <w:t xml:space="preserve">For the first three years of NDP II, the Agriculture sector continued to register the </w:t>
      </w:r>
      <w:r w:rsidR="00DE558A" w:rsidRPr="000E1B7E">
        <w:rPr>
          <w:rFonts w:ascii="Times New Roman" w:hAnsi="Times New Roman"/>
          <w:sz w:val="24"/>
          <w:szCs w:val="24"/>
        </w:rPr>
        <w:t xml:space="preserve">lowest </w:t>
      </w:r>
      <w:r w:rsidR="00F31C31" w:rsidRPr="000E1B7E">
        <w:rPr>
          <w:rFonts w:ascii="Times New Roman" w:hAnsi="Times New Roman"/>
          <w:sz w:val="24"/>
          <w:szCs w:val="24"/>
        </w:rPr>
        <w:t>annual growth</w:t>
      </w:r>
      <w:r w:rsidR="00DE558A" w:rsidRPr="000E1B7E">
        <w:rPr>
          <w:rFonts w:ascii="Times New Roman" w:hAnsi="Times New Roman"/>
          <w:sz w:val="24"/>
          <w:szCs w:val="24"/>
        </w:rPr>
        <w:t>,</w:t>
      </w:r>
      <w:r w:rsidR="00F31C31" w:rsidRPr="000E1B7E">
        <w:rPr>
          <w:rFonts w:ascii="Times New Roman" w:hAnsi="Times New Roman"/>
          <w:sz w:val="24"/>
          <w:szCs w:val="24"/>
        </w:rPr>
        <w:t xml:space="preserve"> averaging 2.7%. This reflects an improvement compared to the average annual growth rate of 2.1% registered over NDP I.  Starting at annual growth of 2.8% in 2015/16, agricultural sector GDP dropped to 1.6% in 2016/17 before rebounding to 3.8% in 2017/18.  </w:t>
      </w:r>
      <w:r w:rsidR="00075E02" w:rsidRPr="000E1B7E">
        <w:rPr>
          <w:rFonts w:ascii="Times New Roman" w:hAnsi="Times New Roman"/>
          <w:sz w:val="24"/>
          <w:szCs w:val="24"/>
        </w:rPr>
        <w:t>Growth in the agricultural sector GDP has been driven by:</w:t>
      </w:r>
    </w:p>
    <w:p w14:paraId="184AD459" w14:textId="77777777" w:rsidR="00075E02" w:rsidRPr="000E1B7E" w:rsidRDefault="00075E02" w:rsidP="00F85D24">
      <w:pPr>
        <w:pStyle w:val="ListParagraph"/>
        <w:numPr>
          <w:ilvl w:val="0"/>
          <w:numId w:val="11"/>
        </w:numPr>
        <w:tabs>
          <w:tab w:val="left" w:pos="993"/>
        </w:tabs>
        <w:spacing w:line="360" w:lineRule="auto"/>
        <w:ind w:left="993" w:hanging="426"/>
        <w:rPr>
          <w:rFonts w:ascii="Times New Roman" w:hAnsi="Times New Roman"/>
          <w:sz w:val="24"/>
          <w:szCs w:val="24"/>
        </w:rPr>
      </w:pPr>
      <w:r w:rsidRPr="000E1B7E">
        <w:rPr>
          <w:rFonts w:ascii="Times New Roman" w:hAnsi="Times New Roman"/>
          <w:b/>
          <w:i/>
          <w:sz w:val="24"/>
          <w:szCs w:val="24"/>
        </w:rPr>
        <w:t>Rebound in growth of cash crops</w:t>
      </w:r>
      <w:r w:rsidR="00E47CE8" w:rsidRPr="000E1B7E">
        <w:rPr>
          <w:rFonts w:ascii="Times New Roman" w:hAnsi="Times New Roman"/>
          <w:b/>
          <w:i/>
          <w:sz w:val="24"/>
          <w:szCs w:val="24"/>
        </w:rPr>
        <w:t xml:space="preserve"> output</w:t>
      </w:r>
      <w:r w:rsidRPr="000E1B7E">
        <w:rPr>
          <w:rFonts w:ascii="Times New Roman" w:hAnsi="Times New Roman"/>
          <w:sz w:val="24"/>
          <w:szCs w:val="24"/>
        </w:rPr>
        <w:t>: The GDP from cash crops averages 6.7% over the first three years of NDP II compared to the average of 2.6% over the five year NDP I period.</w:t>
      </w:r>
      <w:r w:rsidR="00C52684" w:rsidRPr="000E1B7E">
        <w:rPr>
          <w:rFonts w:ascii="Times New Roman" w:hAnsi="Times New Roman"/>
          <w:sz w:val="24"/>
          <w:szCs w:val="24"/>
        </w:rPr>
        <w:t xml:space="preserve"> This is a positive result, but not enough to lift the growth rate of the sector overall.</w:t>
      </w:r>
      <w:r w:rsidRPr="000E1B7E">
        <w:rPr>
          <w:rFonts w:ascii="Times New Roman" w:hAnsi="Times New Roman"/>
          <w:sz w:val="24"/>
          <w:szCs w:val="24"/>
        </w:rPr>
        <w:t xml:space="preserve"> This is attributed to Government efforts to revamp key cash crops especially coffee, cocoa and tea. The Government has invested heavily in inputs </w:t>
      </w:r>
      <w:r w:rsidR="00F62729" w:rsidRPr="000E1B7E">
        <w:rPr>
          <w:rFonts w:ascii="Times New Roman" w:hAnsi="Times New Roman"/>
          <w:sz w:val="24"/>
          <w:szCs w:val="24"/>
        </w:rPr>
        <w:t xml:space="preserve">distribution, especially under operation wealth creation, </w:t>
      </w:r>
      <w:r w:rsidRPr="000E1B7E">
        <w:rPr>
          <w:rFonts w:ascii="Times New Roman" w:hAnsi="Times New Roman"/>
          <w:sz w:val="24"/>
          <w:szCs w:val="24"/>
        </w:rPr>
        <w:t xml:space="preserve">and development of value chains of these cash crops, resulting into increases in output. </w:t>
      </w:r>
      <w:r w:rsidR="00F62729" w:rsidRPr="000E1B7E">
        <w:rPr>
          <w:rFonts w:ascii="Times New Roman" w:hAnsi="Times New Roman"/>
          <w:sz w:val="24"/>
          <w:szCs w:val="24"/>
        </w:rPr>
        <w:t xml:space="preserve"> Equally, </w:t>
      </w:r>
      <w:r w:rsidR="00E47CE8" w:rsidRPr="000E1B7E">
        <w:rPr>
          <w:rFonts w:ascii="Times New Roman" w:hAnsi="Times New Roman"/>
          <w:sz w:val="24"/>
          <w:szCs w:val="24"/>
        </w:rPr>
        <w:t>there have been strengthened efforts to controlling pests and diseases especially the coffee wil</w:t>
      </w:r>
      <w:r w:rsidR="005B4E67" w:rsidRPr="000E1B7E">
        <w:rPr>
          <w:rFonts w:ascii="Times New Roman" w:hAnsi="Times New Roman"/>
          <w:sz w:val="24"/>
          <w:szCs w:val="24"/>
        </w:rPr>
        <w:t>t</w:t>
      </w:r>
      <w:r w:rsidR="00E47CE8" w:rsidRPr="000E1B7E">
        <w:rPr>
          <w:rFonts w:ascii="Times New Roman" w:hAnsi="Times New Roman"/>
          <w:sz w:val="24"/>
          <w:szCs w:val="24"/>
        </w:rPr>
        <w:t xml:space="preserve"> through adoption of pest and disease resistant </w:t>
      </w:r>
      <w:r w:rsidR="005B4E67" w:rsidRPr="000E1B7E">
        <w:rPr>
          <w:rFonts w:ascii="Times New Roman" w:hAnsi="Times New Roman"/>
          <w:sz w:val="24"/>
          <w:szCs w:val="24"/>
        </w:rPr>
        <w:t>verities and training farmers on</w:t>
      </w:r>
      <w:r w:rsidR="00E47CE8" w:rsidRPr="000E1B7E">
        <w:rPr>
          <w:rFonts w:ascii="Times New Roman" w:hAnsi="Times New Roman"/>
          <w:sz w:val="24"/>
          <w:szCs w:val="24"/>
        </w:rPr>
        <w:t xml:space="preserve"> recommended crop management practices.</w:t>
      </w:r>
    </w:p>
    <w:p w14:paraId="09C1263D" w14:textId="77777777" w:rsidR="00E47CE8" w:rsidRPr="000E1B7E" w:rsidRDefault="00E47CE8" w:rsidP="00F85D24">
      <w:pPr>
        <w:pStyle w:val="ListParagraph"/>
        <w:numPr>
          <w:ilvl w:val="0"/>
          <w:numId w:val="11"/>
        </w:numPr>
        <w:tabs>
          <w:tab w:val="left" w:pos="993"/>
        </w:tabs>
        <w:spacing w:line="360" w:lineRule="auto"/>
        <w:ind w:left="993" w:hanging="426"/>
        <w:rPr>
          <w:rFonts w:ascii="Times New Roman" w:hAnsi="Times New Roman"/>
          <w:sz w:val="24"/>
          <w:szCs w:val="24"/>
        </w:rPr>
      </w:pPr>
      <w:r w:rsidRPr="000E1B7E">
        <w:rPr>
          <w:rFonts w:ascii="Times New Roman" w:hAnsi="Times New Roman"/>
          <w:b/>
          <w:i/>
          <w:sz w:val="24"/>
          <w:szCs w:val="24"/>
        </w:rPr>
        <w:lastRenderedPageBreak/>
        <w:t>Sluggish but improving growth of food crops output</w:t>
      </w:r>
      <w:r w:rsidRPr="000E1B7E">
        <w:rPr>
          <w:rFonts w:ascii="Times New Roman" w:hAnsi="Times New Roman"/>
          <w:sz w:val="24"/>
          <w:szCs w:val="24"/>
        </w:rPr>
        <w:t xml:space="preserve">: The food crop output growth annual average was 2.9% for the first three years of NDP II compared to 1.1% registered over the NDP I period. Starting at an annual growth rate of 2.2% in 2014/15 (base year), food crop output growth reduced to 1.3% in 2015/16 due to bad weather, before increasing to 2% in 2016/17 and rebounding to 5.3% in 2017/18. The improved growth in the food crop sub-sector is attributed to the good weather experience </w:t>
      </w:r>
      <w:r w:rsidR="00D5613A" w:rsidRPr="000E1B7E">
        <w:rPr>
          <w:rFonts w:ascii="Times New Roman" w:hAnsi="Times New Roman"/>
          <w:sz w:val="24"/>
          <w:szCs w:val="24"/>
        </w:rPr>
        <w:t>in 2017 that lead to a bumper harvest across all the main food crops, increased distribution of quality seeds and planting materials through operation wealth creation. Indeed, the prices of some food crops like maize collapsed because of the high production levels and inadequate storage facilities.</w:t>
      </w:r>
    </w:p>
    <w:p w14:paraId="51E4A5B6" w14:textId="77777777" w:rsidR="00071F51" w:rsidRPr="000E1B7E" w:rsidRDefault="00D5613A" w:rsidP="00F85D24">
      <w:pPr>
        <w:pStyle w:val="ListParagraph"/>
        <w:numPr>
          <w:ilvl w:val="0"/>
          <w:numId w:val="11"/>
        </w:numPr>
        <w:tabs>
          <w:tab w:val="left" w:pos="993"/>
        </w:tabs>
        <w:spacing w:line="360" w:lineRule="auto"/>
        <w:ind w:left="993" w:hanging="426"/>
        <w:rPr>
          <w:rFonts w:ascii="Times New Roman" w:hAnsi="Times New Roman"/>
          <w:sz w:val="24"/>
          <w:szCs w:val="24"/>
        </w:rPr>
      </w:pPr>
      <w:r w:rsidRPr="000E1B7E">
        <w:rPr>
          <w:rFonts w:ascii="Times New Roman" w:hAnsi="Times New Roman"/>
          <w:b/>
          <w:i/>
          <w:sz w:val="24"/>
          <w:szCs w:val="24"/>
        </w:rPr>
        <w:t>Weak growth of livestock, Forestry and Fisheries output</w:t>
      </w:r>
      <w:r w:rsidRPr="000E1B7E">
        <w:rPr>
          <w:rFonts w:ascii="Times New Roman" w:hAnsi="Times New Roman"/>
          <w:sz w:val="24"/>
          <w:szCs w:val="24"/>
        </w:rPr>
        <w:t>: The livestock sub-sector has experienced moderate growth averaging 2.1% over the first three years of NDP II compared to the average annual growth rate of 2.6 registered during NDP I.</w:t>
      </w:r>
      <w:r w:rsidR="00E12176" w:rsidRPr="000E1B7E">
        <w:rPr>
          <w:rFonts w:ascii="Times New Roman" w:hAnsi="Times New Roman"/>
          <w:sz w:val="24"/>
          <w:szCs w:val="24"/>
        </w:rPr>
        <w:t xml:space="preserve"> Equally, the annual growth rates for forestry and fisheries outputs were 1.7% and 1.5% over the first three years of NDP II compared to the average of </w:t>
      </w:r>
      <w:r w:rsidR="00E84666" w:rsidRPr="000E1B7E">
        <w:rPr>
          <w:rFonts w:ascii="Times New Roman" w:hAnsi="Times New Roman"/>
          <w:sz w:val="24"/>
          <w:szCs w:val="24"/>
        </w:rPr>
        <w:t>5.7% and 0.1% during NDP I. The gain in fisheries output is partly attributed to the strengthened regulation and enforcement of sustainable fishing practices especially on lake Victoria, while the declining growth rate of the forestry output is attributed to the increased destruction of the forestry cover.</w:t>
      </w:r>
    </w:p>
    <w:p w14:paraId="4BB60FC2" w14:textId="77777777" w:rsidR="00EE6EAF" w:rsidRPr="000E1B7E" w:rsidRDefault="00EE6EAF"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b/>
          <w:sz w:val="24"/>
          <w:szCs w:val="24"/>
        </w:rPr>
        <w:t>Industry sector GDP growth</w:t>
      </w:r>
      <w:r w:rsidRPr="000E1B7E">
        <w:rPr>
          <w:rFonts w:ascii="Times New Roman" w:hAnsi="Times New Roman"/>
          <w:sz w:val="24"/>
          <w:szCs w:val="24"/>
        </w:rPr>
        <w:t xml:space="preserve">: For the first three years of NDP II, Industry sector growth averaged 4.7%, reflecting a decline compared to the average annual growth rate of 6.1% </w:t>
      </w:r>
      <w:r w:rsidR="0093200F" w:rsidRPr="000E1B7E">
        <w:rPr>
          <w:rFonts w:ascii="Times New Roman" w:hAnsi="Times New Roman"/>
          <w:sz w:val="24"/>
          <w:szCs w:val="24"/>
        </w:rPr>
        <w:t xml:space="preserve">during </w:t>
      </w:r>
      <w:r w:rsidRPr="000E1B7E">
        <w:rPr>
          <w:rFonts w:ascii="Times New Roman" w:hAnsi="Times New Roman"/>
          <w:sz w:val="24"/>
          <w:szCs w:val="24"/>
        </w:rPr>
        <w:t xml:space="preserve">NDP I.  Starting at </w:t>
      </w:r>
      <w:r w:rsidR="005B4E67" w:rsidRPr="000E1B7E">
        <w:rPr>
          <w:rFonts w:ascii="Times New Roman" w:hAnsi="Times New Roman"/>
          <w:sz w:val="24"/>
          <w:szCs w:val="24"/>
        </w:rPr>
        <w:t xml:space="preserve">an </w:t>
      </w:r>
      <w:r w:rsidRPr="000E1B7E">
        <w:rPr>
          <w:rFonts w:ascii="Times New Roman" w:hAnsi="Times New Roman"/>
          <w:sz w:val="24"/>
          <w:szCs w:val="24"/>
        </w:rPr>
        <w:t>annual growth of 4.6% in 2015/16, industrial sector GDP dropped to 3.4% in 2016/17 before rebounding to 6.1% in 2017/18.  Growth in the industry sector GDP has been driven by:</w:t>
      </w:r>
    </w:p>
    <w:p w14:paraId="22875ABF" w14:textId="77777777" w:rsidR="00EE6EAF" w:rsidRPr="000E1B7E" w:rsidRDefault="00667302" w:rsidP="00F85D24">
      <w:pPr>
        <w:pStyle w:val="ListParagraph"/>
        <w:numPr>
          <w:ilvl w:val="0"/>
          <w:numId w:val="28"/>
        </w:numPr>
        <w:tabs>
          <w:tab w:val="left" w:pos="1134"/>
        </w:tabs>
        <w:spacing w:line="360" w:lineRule="auto"/>
        <w:ind w:left="1134" w:hanging="567"/>
        <w:rPr>
          <w:rFonts w:ascii="Times New Roman" w:hAnsi="Times New Roman"/>
          <w:sz w:val="24"/>
          <w:szCs w:val="24"/>
        </w:rPr>
      </w:pPr>
      <w:r w:rsidRPr="000E1B7E">
        <w:rPr>
          <w:rFonts w:ascii="Times New Roman" w:hAnsi="Times New Roman"/>
          <w:b/>
          <w:i/>
          <w:sz w:val="24"/>
          <w:szCs w:val="24"/>
        </w:rPr>
        <w:t>High growth</w:t>
      </w:r>
      <w:r w:rsidR="00EE6EAF" w:rsidRPr="000E1B7E">
        <w:rPr>
          <w:rFonts w:ascii="Times New Roman" w:hAnsi="Times New Roman"/>
          <w:b/>
          <w:i/>
          <w:sz w:val="24"/>
          <w:szCs w:val="24"/>
        </w:rPr>
        <w:t xml:space="preserve"> of </w:t>
      </w:r>
      <w:r w:rsidRPr="000E1B7E">
        <w:rPr>
          <w:rFonts w:ascii="Times New Roman" w:hAnsi="Times New Roman"/>
          <w:b/>
          <w:i/>
          <w:sz w:val="24"/>
          <w:szCs w:val="24"/>
        </w:rPr>
        <w:t>mining and quarrying</w:t>
      </w:r>
      <w:r w:rsidR="00EE6EAF" w:rsidRPr="000E1B7E">
        <w:rPr>
          <w:rFonts w:ascii="Times New Roman" w:hAnsi="Times New Roman"/>
          <w:b/>
          <w:i/>
          <w:sz w:val="24"/>
          <w:szCs w:val="24"/>
        </w:rPr>
        <w:t xml:space="preserve"> output</w:t>
      </w:r>
      <w:r w:rsidR="00EE6EAF" w:rsidRPr="000E1B7E">
        <w:rPr>
          <w:rFonts w:ascii="Times New Roman" w:hAnsi="Times New Roman"/>
          <w:sz w:val="24"/>
          <w:szCs w:val="24"/>
        </w:rPr>
        <w:t xml:space="preserve">: The GDP from </w:t>
      </w:r>
      <w:r w:rsidRPr="000E1B7E">
        <w:rPr>
          <w:rFonts w:ascii="Times New Roman" w:hAnsi="Times New Roman"/>
          <w:sz w:val="24"/>
          <w:szCs w:val="24"/>
        </w:rPr>
        <w:t>mining and quarryingaverages 10.9</w:t>
      </w:r>
      <w:r w:rsidR="00EE6EAF" w:rsidRPr="000E1B7E">
        <w:rPr>
          <w:rFonts w:ascii="Times New Roman" w:hAnsi="Times New Roman"/>
          <w:sz w:val="24"/>
          <w:szCs w:val="24"/>
        </w:rPr>
        <w:t xml:space="preserve">% over the first three years of NDP II compared to the average of </w:t>
      </w:r>
      <w:r w:rsidRPr="000E1B7E">
        <w:rPr>
          <w:rFonts w:ascii="Times New Roman" w:hAnsi="Times New Roman"/>
          <w:sz w:val="24"/>
          <w:szCs w:val="24"/>
        </w:rPr>
        <w:t>11.8</w:t>
      </w:r>
      <w:r w:rsidR="00EE6EAF" w:rsidRPr="000E1B7E">
        <w:rPr>
          <w:rFonts w:ascii="Times New Roman" w:hAnsi="Times New Roman"/>
          <w:sz w:val="24"/>
          <w:szCs w:val="24"/>
        </w:rPr>
        <w:t xml:space="preserve">% over the five year NDP I period.  This is attributed to </w:t>
      </w:r>
      <w:r w:rsidRPr="000E1B7E">
        <w:rPr>
          <w:rFonts w:ascii="Times New Roman" w:hAnsi="Times New Roman"/>
          <w:sz w:val="24"/>
          <w:szCs w:val="24"/>
        </w:rPr>
        <w:t>Government efforts towards attracting private sector investment in the mining and quarrying sub-sector and progress in implementing key oil projects.</w:t>
      </w:r>
      <w:r w:rsidR="0093200F" w:rsidRPr="000E1B7E">
        <w:rPr>
          <w:rFonts w:ascii="Times New Roman" w:hAnsi="Times New Roman"/>
          <w:sz w:val="24"/>
          <w:szCs w:val="24"/>
        </w:rPr>
        <w:t xml:space="preserve"> The mining sub-sector is also growing from a very low base (1.5% of GDP), making high growth rates </w:t>
      </w:r>
      <w:r w:rsidR="005B4E67" w:rsidRPr="000E1B7E">
        <w:rPr>
          <w:rFonts w:ascii="Times New Roman" w:hAnsi="Times New Roman"/>
          <w:sz w:val="24"/>
          <w:szCs w:val="24"/>
        </w:rPr>
        <w:t>un</w:t>
      </w:r>
      <w:r w:rsidR="0093200F" w:rsidRPr="000E1B7E">
        <w:rPr>
          <w:rFonts w:ascii="Times New Roman" w:hAnsi="Times New Roman"/>
          <w:sz w:val="24"/>
          <w:szCs w:val="24"/>
        </w:rPr>
        <w:t>easier to achieve.</w:t>
      </w:r>
    </w:p>
    <w:p w14:paraId="3DB11FFD" w14:textId="77777777" w:rsidR="00EE6EAF" w:rsidRPr="000E1B7E" w:rsidRDefault="00EE6EAF" w:rsidP="00F85D24">
      <w:pPr>
        <w:pStyle w:val="ListParagraph"/>
        <w:numPr>
          <w:ilvl w:val="0"/>
          <w:numId w:val="28"/>
        </w:numPr>
        <w:tabs>
          <w:tab w:val="left" w:pos="1134"/>
        </w:tabs>
        <w:spacing w:line="360" w:lineRule="auto"/>
        <w:ind w:left="1134" w:hanging="567"/>
        <w:rPr>
          <w:rFonts w:ascii="Times New Roman" w:hAnsi="Times New Roman"/>
          <w:sz w:val="24"/>
          <w:szCs w:val="24"/>
        </w:rPr>
      </w:pPr>
      <w:r w:rsidRPr="000E1B7E">
        <w:rPr>
          <w:rFonts w:ascii="Times New Roman" w:hAnsi="Times New Roman"/>
          <w:b/>
          <w:i/>
          <w:sz w:val="24"/>
          <w:szCs w:val="24"/>
        </w:rPr>
        <w:lastRenderedPageBreak/>
        <w:t xml:space="preserve">Sluggish </w:t>
      </w:r>
      <w:r w:rsidR="00667302" w:rsidRPr="000E1B7E">
        <w:rPr>
          <w:rFonts w:ascii="Times New Roman" w:hAnsi="Times New Roman"/>
          <w:b/>
          <w:i/>
          <w:sz w:val="24"/>
          <w:szCs w:val="24"/>
        </w:rPr>
        <w:t xml:space="preserve">and disappointing </w:t>
      </w:r>
      <w:r w:rsidRPr="000E1B7E">
        <w:rPr>
          <w:rFonts w:ascii="Times New Roman" w:hAnsi="Times New Roman"/>
          <w:b/>
          <w:i/>
          <w:sz w:val="24"/>
          <w:szCs w:val="24"/>
        </w:rPr>
        <w:t xml:space="preserve">growth of </w:t>
      </w:r>
      <w:r w:rsidR="00667302" w:rsidRPr="000E1B7E">
        <w:rPr>
          <w:rFonts w:ascii="Times New Roman" w:hAnsi="Times New Roman"/>
          <w:b/>
          <w:i/>
          <w:sz w:val="24"/>
          <w:szCs w:val="24"/>
        </w:rPr>
        <w:t xml:space="preserve">manufacturing </w:t>
      </w:r>
      <w:r w:rsidRPr="000E1B7E">
        <w:rPr>
          <w:rFonts w:ascii="Times New Roman" w:hAnsi="Times New Roman"/>
          <w:b/>
          <w:i/>
          <w:sz w:val="24"/>
          <w:szCs w:val="24"/>
        </w:rPr>
        <w:t>output</w:t>
      </w:r>
      <w:r w:rsidRPr="000E1B7E">
        <w:rPr>
          <w:rFonts w:ascii="Times New Roman" w:hAnsi="Times New Roman"/>
          <w:sz w:val="24"/>
          <w:szCs w:val="24"/>
        </w:rPr>
        <w:t xml:space="preserve">: The </w:t>
      </w:r>
      <w:r w:rsidR="00667302" w:rsidRPr="000E1B7E">
        <w:rPr>
          <w:rFonts w:ascii="Times New Roman" w:hAnsi="Times New Roman"/>
          <w:sz w:val="24"/>
          <w:szCs w:val="24"/>
        </w:rPr>
        <w:t>manufacturing</w:t>
      </w:r>
      <w:r w:rsidRPr="000E1B7E">
        <w:rPr>
          <w:rFonts w:ascii="Times New Roman" w:hAnsi="Times New Roman"/>
          <w:sz w:val="24"/>
          <w:szCs w:val="24"/>
        </w:rPr>
        <w:t xml:space="preserve"> output growth annual average was </w:t>
      </w:r>
      <w:r w:rsidR="00667302" w:rsidRPr="000E1B7E">
        <w:rPr>
          <w:rFonts w:ascii="Times New Roman" w:hAnsi="Times New Roman"/>
          <w:sz w:val="24"/>
          <w:szCs w:val="24"/>
        </w:rPr>
        <w:t>1.5</w:t>
      </w:r>
      <w:r w:rsidRPr="000E1B7E">
        <w:rPr>
          <w:rFonts w:ascii="Times New Roman" w:hAnsi="Times New Roman"/>
          <w:sz w:val="24"/>
          <w:szCs w:val="24"/>
        </w:rPr>
        <w:t xml:space="preserve">% for the first three years of NDP II compared to </w:t>
      </w:r>
      <w:r w:rsidR="00667302" w:rsidRPr="000E1B7E">
        <w:rPr>
          <w:rFonts w:ascii="Times New Roman" w:hAnsi="Times New Roman"/>
          <w:sz w:val="24"/>
          <w:szCs w:val="24"/>
        </w:rPr>
        <w:t>4.4</w:t>
      </w:r>
      <w:r w:rsidRPr="000E1B7E">
        <w:rPr>
          <w:rFonts w:ascii="Times New Roman" w:hAnsi="Times New Roman"/>
          <w:sz w:val="24"/>
          <w:szCs w:val="24"/>
        </w:rPr>
        <w:t xml:space="preserve">% </w:t>
      </w:r>
      <w:r w:rsidR="0093200F" w:rsidRPr="000E1B7E">
        <w:rPr>
          <w:rFonts w:ascii="Times New Roman" w:hAnsi="Times New Roman"/>
          <w:sz w:val="24"/>
          <w:szCs w:val="24"/>
        </w:rPr>
        <w:t xml:space="preserve">during </w:t>
      </w:r>
      <w:r w:rsidRPr="000E1B7E">
        <w:rPr>
          <w:rFonts w:ascii="Times New Roman" w:hAnsi="Times New Roman"/>
          <w:sz w:val="24"/>
          <w:szCs w:val="24"/>
        </w:rPr>
        <w:t xml:space="preserve">NDP I. Starting at an annual growth rate of </w:t>
      </w:r>
      <w:r w:rsidR="00667302" w:rsidRPr="000E1B7E">
        <w:rPr>
          <w:rFonts w:ascii="Times New Roman" w:hAnsi="Times New Roman"/>
          <w:sz w:val="24"/>
          <w:szCs w:val="24"/>
        </w:rPr>
        <w:t>11.6</w:t>
      </w:r>
      <w:r w:rsidRPr="000E1B7E">
        <w:rPr>
          <w:rFonts w:ascii="Times New Roman" w:hAnsi="Times New Roman"/>
          <w:sz w:val="24"/>
          <w:szCs w:val="24"/>
        </w:rPr>
        <w:t xml:space="preserve">% in 2014/15 (base year), </w:t>
      </w:r>
      <w:r w:rsidR="00667302" w:rsidRPr="000E1B7E">
        <w:rPr>
          <w:rFonts w:ascii="Times New Roman" w:hAnsi="Times New Roman"/>
          <w:sz w:val="24"/>
          <w:szCs w:val="24"/>
        </w:rPr>
        <w:t>manufacturing</w:t>
      </w:r>
      <w:r w:rsidRPr="000E1B7E">
        <w:rPr>
          <w:rFonts w:ascii="Times New Roman" w:hAnsi="Times New Roman"/>
          <w:sz w:val="24"/>
          <w:szCs w:val="24"/>
        </w:rPr>
        <w:t xml:space="preserve"> output growth </w:t>
      </w:r>
      <w:r w:rsidR="0093200F" w:rsidRPr="000E1B7E">
        <w:rPr>
          <w:rFonts w:ascii="Times New Roman" w:hAnsi="Times New Roman"/>
          <w:sz w:val="24"/>
          <w:szCs w:val="24"/>
        </w:rPr>
        <w:t xml:space="preserve">fell </w:t>
      </w:r>
      <w:r w:rsidRPr="000E1B7E">
        <w:rPr>
          <w:rFonts w:ascii="Times New Roman" w:hAnsi="Times New Roman"/>
          <w:sz w:val="24"/>
          <w:szCs w:val="24"/>
        </w:rPr>
        <w:t xml:space="preserve">to </w:t>
      </w:r>
      <w:r w:rsidR="00667302" w:rsidRPr="000E1B7E">
        <w:rPr>
          <w:rFonts w:ascii="Times New Roman" w:hAnsi="Times New Roman"/>
          <w:sz w:val="24"/>
          <w:szCs w:val="24"/>
        </w:rPr>
        <w:t>0.6</w:t>
      </w:r>
      <w:r w:rsidRPr="000E1B7E">
        <w:rPr>
          <w:rFonts w:ascii="Times New Roman" w:hAnsi="Times New Roman"/>
          <w:sz w:val="24"/>
          <w:szCs w:val="24"/>
        </w:rPr>
        <w:t>% in 2015/16</w:t>
      </w:r>
      <w:r w:rsidR="00667302" w:rsidRPr="000E1B7E">
        <w:rPr>
          <w:rFonts w:ascii="Times New Roman" w:hAnsi="Times New Roman"/>
          <w:sz w:val="24"/>
          <w:szCs w:val="24"/>
        </w:rPr>
        <w:t>,</w:t>
      </w:r>
      <w:r w:rsidRPr="000E1B7E">
        <w:rPr>
          <w:rFonts w:ascii="Times New Roman" w:hAnsi="Times New Roman"/>
          <w:sz w:val="24"/>
          <w:szCs w:val="24"/>
        </w:rPr>
        <w:t xml:space="preserve"> before increasing to 2</w:t>
      </w:r>
      <w:r w:rsidR="00667302" w:rsidRPr="000E1B7E">
        <w:rPr>
          <w:rFonts w:ascii="Times New Roman" w:hAnsi="Times New Roman"/>
          <w:sz w:val="24"/>
          <w:szCs w:val="24"/>
        </w:rPr>
        <w:t>.2</w:t>
      </w:r>
      <w:r w:rsidRPr="000E1B7E">
        <w:rPr>
          <w:rFonts w:ascii="Times New Roman" w:hAnsi="Times New Roman"/>
          <w:sz w:val="24"/>
          <w:szCs w:val="24"/>
        </w:rPr>
        <w:t xml:space="preserve">% in 2016/17 and </w:t>
      </w:r>
      <w:r w:rsidR="00667302" w:rsidRPr="000E1B7E">
        <w:rPr>
          <w:rFonts w:ascii="Times New Roman" w:hAnsi="Times New Roman"/>
          <w:sz w:val="24"/>
          <w:szCs w:val="24"/>
        </w:rPr>
        <w:t>reducing</w:t>
      </w:r>
      <w:r w:rsidRPr="000E1B7E">
        <w:rPr>
          <w:rFonts w:ascii="Times New Roman" w:hAnsi="Times New Roman"/>
          <w:sz w:val="24"/>
          <w:szCs w:val="24"/>
        </w:rPr>
        <w:t xml:space="preserve"> to </w:t>
      </w:r>
      <w:r w:rsidR="00667302" w:rsidRPr="000E1B7E">
        <w:rPr>
          <w:rFonts w:ascii="Times New Roman" w:hAnsi="Times New Roman"/>
          <w:sz w:val="24"/>
          <w:szCs w:val="24"/>
        </w:rPr>
        <w:t>1.7</w:t>
      </w:r>
      <w:r w:rsidRPr="000E1B7E">
        <w:rPr>
          <w:rFonts w:ascii="Times New Roman" w:hAnsi="Times New Roman"/>
          <w:sz w:val="24"/>
          <w:szCs w:val="24"/>
        </w:rPr>
        <w:t xml:space="preserve">% in 2017/18. The </w:t>
      </w:r>
      <w:r w:rsidR="00667302" w:rsidRPr="000E1B7E">
        <w:rPr>
          <w:rFonts w:ascii="Times New Roman" w:hAnsi="Times New Roman"/>
          <w:sz w:val="24"/>
          <w:szCs w:val="24"/>
        </w:rPr>
        <w:t xml:space="preserve">weak growth of the manufacturing sector is due to a number of business environment challenges facing the manufacturing sector that has hindered its competitiveness, and hence, continues to be outcompeted with imported cheap products. </w:t>
      </w:r>
      <w:r w:rsidR="00410CB7" w:rsidRPr="000E1B7E">
        <w:rPr>
          <w:rFonts w:ascii="Times New Roman" w:hAnsi="Times New Roman"/>
          <w:sz w:val="24"/>
          <w:szCs w:val="24"/>
        </w:rPr>
        <w:t xml:space="preserve">The high costs of utilities (power and water) continue to </w:t>
      </w:r>
      <w:r w:rsidR="007503FF" w:rsidRPr="000E1B7E">
        <w:rPr>
          <w:rFonts w:ascii="Times New Roman" w:hAnsi="Times New Roman"/>
          <w:sz w:val="24"/>
          <w:szCs w:val="24"/>
        </w:rPr>
        <w:t xml:space="preserve">undermine the competitiveness of the Industry sector. The sector is also challenged with use of old inefficient technology, while the business environment (for example </w:t>
      </w:r>
      <w:r w:rsidR="005B4E67" w:rsidRPr="000E1B7E">
        <w:rPr>
          <w:rFonts w:ascii="Times New Roman" w:hAnsi="Times New Roman"/>
          <w:sz w:val="24"/>
          <w:szCs w:val="24"/>
        </w:rPr>
        <w:t>high interest rates that stifle</w:t>
      </w:r>
      <w:r w:rsidR="007503FF" w:rsidRPr="000E1B7E">
        <w:rPr>
          <w:rFonts w:ascii="Times New Roman" w:hAnsi="Times New Roman"/>
          <w:sz w:val="24"/>
          <w:szCs w:val="24"/>
        </w:rPr>
        <w:t xml:space="preserve"> access to credit) also continues to negatively impact the performance of the manufacturing sector.</w:t>
      </w:r>
    </w:p>
    <w:p w14:paraId="4F24F524" w14:textId="77777777" w:rsidR="00EE6EAF" w:rsidRPr="000E1B7E" w:rsidRDefault="007503FF" w:rsidP="00F85D24">
      <w:pPr>
        <w:pStyle w:val="ListParagraph"/>
        <w:numPr>
          <w:ilvl w:val="0"/>
          <w:numId w:val="28"/>
        </w:numPr>
        <w:tabs>
          <w:tab w:val="left" w:pos="1134"/>
        </w:tabs>
        <w:spacing w:line="360" w:lineRule="auto"/>
        <w:ind w:left="1134" w:hanging="567"/>
        <w:rPr>
          <w:rFonts w:ascii="Times New Roman" w:hAnsi="Times New Roman"/>
          <w:sz w:val="24"/>
          <w:szCs w:val="24"/>
        </w:rPr>
      </w:pPr>
      <w:r w:rsidRPr="000E1B7E">
        <w:rPr>
          <w:rFonts w:ascii="Times New Roman" w:hAnsi="Times New Roman"/>
          <w:b/>
          <w:i/>
          <w:sz w:val="24"/>
          <w:szCs w:val="24"/>
        </w:rPr>
        <w:t xml:space="preserve">Moderate </w:t>
      </w:r>
      <w:r w:rsidR="00EE6EAF" w:rsidRPr="000E1B7E">
        <w:rPr>
          <w:rFonts w:ascii="Times New Roman" w:hAnsi="Times New Roman"/>
          <w:b/>
          <w:i/>
          <w:sz w:val="24"/>
          <w:szCs w:val="24"/>
        </w:rPr>
        <w:t xml:space="preserve">growth of </w:t>
      </w:r>
      <w:r w:rsidRPr="000E1B7E">
        <w:rPr>
          <w:rFonts w:ascii="Times New Roman" w:hAnsi="Times New Roman"/>
          <w:b/>
          <w:i/>
          <w:sz w:val="24"/>
          <w:szCs w:val="24"/>
        </w:rPr>
        <w:t xml:space="preserve">Electricity, Water and Construction </w:t>
      </w:r>
      <w:r w:rsidR="0028684D" w:rsidRPr="000E1B7E">
        <w:rPr>
          <w:rFonts w:ascii="Times New Roman" w:hAnsi="Times New Roman"/>
          <w:b/>
          <w:i/>
          <w:sz w:val="24"/>
          <w:szCs w:val="24"/>
        </w:rPr>
        <w:t>sub-</w:t>
      </w:r>
      <w:r w:rsidRPr="000E1B7E">
        <w:rPr>
          <w:rFonts w:ascii="Times New Roman" w:hAnsi="Times New Roman"/>
          <w:b/>
          <w:i/>
          <w:sz w:val="24"/>
          <w:szCs w:val="24"/>
        </w:rPr>
        <w:t xml:space="preserve">Sector </w:t>
      </w:r>
      <w:r w:rsidR="00EE6EAF" w:rsidRPr="000E1B7E">
        <w:rPr>
          <w:rFonts w:ascii="Times New Roman" w:hAnsi="Times New Roman"/>
          <w:b/>
          <w:i/>
          <w:sz w:val="24"/>
          <w:szCs w:val="24"/>
        </w:rPr>
        <w:t>output</w:t>
      </w:r>
      <w:r w:rsidRPr="000E1B7E">
        <w:rPr>
          <w:rFonts w:ascii="Times New Roman" w:hAnsi="Times New Roman"/>
          <w:b/>
          <w:i/>
          <w:sz w:val="24"/>
          <w:szCs w:val="24"/>
        </w:rPr>
        <w:t>s</w:t>
      </w:r>
      <w:r w:rsidR="00EE6EAF" w:rsidRPr="000E1B7E">
        <w:rPr>
          <w:rFonts w:ascii="Times New Roman" w:hAnsi="Times New Roman"/>
          <w:sz w:val="24"/>
          <w:szCs w:val="24"/>
        </w:rPr>
        <w:t xml:space="preserve">: The </w:t>
      </w:r>
      <w:r w:rsidR="0028684D" w:rsidRPr="000E1B7E">
        <w:rPr>
          <w:rFonts w:ascii="Times New Roman" w:hAnsi="Times New Roman"/>
          <w:sz w:val="24"/>
          <w:szCs w:val="24"/>
        </w:rPr>
        <w:t>Electricity, Water and Construction sub</w:t>
      </w:r>
      <w:r w:rsidR="005B4E67" w:rsidRPr="000E1B7E">
        <w:rPr>
          <w:rFonts w:ascii="Times New Roman" w:hAnsi="Times New Roman"/>
          <w:sz w:val="24"/>
          <w:szCs w:val="24"/>
        </w:rPr>
        <w:t>-s</w:t>
      </w:r>
      <w:r w:rsidR="0028684D" w:rsidRPr="000E1B7E">
        <w:rPr>
          <w:rFonts w:ascii="Times New Roman" w:hAnsi="Times New Roman"/>
          <w:sz w:val="24"/>
          <w:szCs w:val="24"/>
        </w:rPr>
        <w:t>ector outputs</w:t>
      </w:r>
      <w:r w:rsidR="00EE6EAF" w:rsidRPr="000E1B7E">
        <w:rPr>
          <w:rFonts w:ascii="Times New Roman" w:hAnsi="Times New Roman"/>
          <w:sz w:val="24"/>
          <w:szCs w:val="24"/>
        </w:rPr>
        <w:t xml:space="preserve"> ha</w:t>
      </w:r>
      <w:r w:rsidR="0028684D" w:rsidRPr="000E1B7E">
        <w:rPr>
          <w:rFonts w:ascii="Times New Roman" w:hAnsi="Times New Roman"/>
          <w:sz w:val="24"/>
          <w:szCs w:val="24"/>
        </w:rPr>
        <w:t>ve</w:t>
      </w:r>
      <w:r w:rsidR="00EE6EAF" w:rsidRPr="000E1B7E">
        <w:rPr>
          <w:rFonts w:ascii="Times New Roman" w:hAnsi="Times New Roman"/>
          <w:sz w:val="24"/>
          <w:szCs w:val="24"/>
        </w:rPr>
        <w:t xml:space="preserve"> experienced moderate growth averaging </w:t>
      </w:r>
      <w:r w:rsidR="0028684D" w:rsidRPr="000E1B7E">
        <w:rPr>
          <w:rFonts w:ascii="Times New Roman" w:hAnsi="Times New Roman"/>
          <w:sz w:val="24"/>
          <w:szCs w:val="24"/>
        </w:rPr>
        <w:t>6.2</w:t>
      </w:r>
      <w:r w:rsidR="002002C9" w:rsidRPr="000E1B7E">
        <w:rPr>
          <w:rFonts w:ascii="Times New Roman" w:hAnsi="Times New Roman"/>
          <w:sz w:val="24"/>
          <w:szCs w:val="24"/>
        </w:rPr>
        <w:t>%,</w:t>
      </w:r>
      <w:r w:rsidR="0028684D" w:rsidRPr="000E1B7E">
        <w:rPr>
          <w:rFonts w:ascii="Times New Roman" w:hAnsi="Times New Roman"/>
          <w:sz w:val="24"/>
          <w:szCs w:val="24"/>
        </w:rPr>
        <w:t xml:space="preserve"> 6.4% and 6.5% </w:t>
      </w:r>
      <w:r w:rsidR="00EE6EAF" w:rsidRPr="000E1B7E">
        <w:rPr>
          <w:rFonts w:ascii="Times New Roman" w:hAnsi="Times New Roman"/>
          <w:sz w:val="24"/>
          <w:szCs w:val="24"/>
        </w:rPr>
        <w:t>over the first three years of NDP II</w:t>
      </w:r>
      <w:r w:rsidR="002002C9" w:rsidRPr="000E1B7E">
        <w:rPr>
          <w:rFonts w:ascii="Times New Roman" w:hAnsi="Times New Roman"/>
          <w:sz w:val="24"/>
          <w:szCs w:val="24"/>
        </w:rPr>
        <w:t xml:space="preserve">, which are consistent to </w:t>
      </w:r>
      <w:r w:rsidR="00EE6EAF" w:rsidRPr="000E1B7E">
        <w:rPr>
          <w:rFonts w:ascii="Times New Roman" w:hAnsi="Times New Roman"/>
          <w:sz w:val="24"/>
          <w:szCs w:val="24"/>
        </w:rPr>
        <w:t xml:space="preserve">the average annual growth rate of </w:t>
      </w:r>
      <w:r w:rsidR="0028684D" w:rsidRPr="000E1B7E">
        <w:rPr>
          <w:rFonts w:ascii="Times New Roman" w:hAnsi="Times New Roman"/>
          <w:sz w:val="24"/>
          <w:szCs w:val="24"/>
        </w:rPr>
        <w:t xml:space="preserve">6.9%, 6.2% and 7.5% respectively </w:t>
      </w:r>
      <w:r w:rsidR="00EE6EAF" w:rsidRPr="000E1B7E">
        <w:rPr>
          <w:rFonts w:ascii="Times New Roman" w:hAnsi="Times New Roman"/>
          <w:sz w:val="24"/>
          <w:szCs w:val="24"/>
        </w:rPr>
        <w:t xml:space="preserve">registered during NDP I. </w:t>
      </w:r>
      <w:r w:rsidR="002002C9" w:rsidRPr="000E1B7E">
        <w:rPr>
          <w:rFonts w:ascii="Times New Roman" w:hAnsi="Times New Roman"/>
          <w:sz w:val="24"/>
          <w:szCs w:val="24"/>
        </w:rPr>
        <w:t xml:space="preserve">Construction of Karuma and </w:t>
      </w:r>
      <w:r w:rsidR="0093200F" w:rsidRPr="000E1B7E">
        <w:rPr>
          <w:rFonts w:ascii="Times New Roman" w:hAnsi="Times New Roman"/>
          <w:sz w:val="24"/>
          <w:szCs w:val="24"/>
        </w:rPr>
        <w:t>I</w:t>
      </w:r>
      <w:r w:rsidR="002002C9" w:rsidRPr="000E1B7E">
        <w:rPr>
          <w:rFonts w:ascii="Times New Roman" w:hAnsi="Times New Roman"/>
          <w:sz w:val="24"/>
          <w:szCs w:val="24"/>
        </w:rPr>
        <w:t xml:space="preserve">simba hydro-electricdams are on course, which </w:t>
      </w:r>
      <w:r w:rsidR="0093200F" w:rsidRPr="000E1B7E">
        <w:rPr>
          <w:rFonts w:ascii="Times New Roman" w:hAnsi="Times New Roman"/>
          <w:sz w:val="24"/>
          <w:szCs w:val="24"/>
        </w:rPr>
        <w:t xml:space="preserve">should </w:t>
      </w:r>
      <w:r w:rsidR="002002C9" w:rsidRPr="000E1B7E">
        <w:rPr>
          <w:rFonts w:ascii="Times New Roman" w:hAnsi="Times New Roman"/>
          <w:sz w:val="24"/>
          <w:szCs w:val="24"/>
        </w:rPr>
        <w:t xml:space="preserve">further improve the performance of the electricity sub-sector. </w:t>
      </w:r>
    </w:p>
    <w:p w14:paraId="57DD43D0" w14:textId="77777777" w:rsidR="007560F0" w:rsidRPr="000E1B7E" w:rsidRDefault="007560F0"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b/>
          <w:sz w:val="24"/>
          <w:szCs w:val="24"/>
        </w:rPr>
        <w:t>Service sector GDP growth</w:t>
      </w:r>
      <w:r w:rsidRPr="000E1B7E">
        <w:rPr>
          <w:rFonts w:ascii="Times New Roman" w:hAnsi="Times New Roman"/>
          <w:sz w:val="24"/>
          <w:szCs w:val="24"/>
        </w:rPr>
        <w:t>: For the first three years of NDP II, the service sector GDP growth averaged 6.4%, which does not significantly differ from the 6.3% average annual growth rate registered over NDP I.  Starting at annual growth of 6.2% in 2015/16, service sector GDP dropped to a minimum of 5.4% in 2016/17 before rebounding to 7.7 % in 2017/18.  Growth in the service sector GDP has been driven by:</w:t>
      </w:r>
    </w:p>
    <w:p w14:paraId="5E7F6551" w14:textId="77777777" w:rsidR="007560F0" w:rsidRPr="000E1B7E" w:rsidRDefault="00255BC2" w:rsidP="00F85D24">
      <w:pPr>
        <w:pStyle w:val="ListParagraph"/>
        <w:numPr>
          <w:ilvl w:val="0"/>
          <w:numId w:val="29"/>
        </w:numPr>
        <w:tabs>
          <w:tab w:val="left" w:pos="1134"/>
        </w:tabs>
        <w:spacing w:line="360" w:lineRule="auto"/>
        <w:ind w:left="1134" w:hanging="567"/>
        <w:rPr>
          <w:rFonts w:ascii="Times New Roman" w:hAnsi="Times New Roman"/>
          <w:sz w:val="24"/>
          <w:szCs w:val="24"/>
        </w:rPr>
      </w:pPr>
      <w:r w:rsidRPr="000E1B7E">
        <w:rPr>
          <w:rFonts w:ascii="Times New Roman" w:hAnsi="Times New Roman"/>
          <w:b/>
          <w:i/>
          <w:sz w:val="24"/>
          <w:szCs w:val="24"/>
        </w:rPr>
        <w:t xml:space="preserve">Strong </w:t>
      </w:r>
      <w:r w:rsidR="007560F0" w:rsidRPr="000E1B7E">
        <w:rPr>
          <w:rFonts w:ascii="Times New Roman" w:hAnsi="Times New Roman"/>
          <w:b/>
          <w:i/>
          <w:sz w:val="24"/>
          <w:szCs w:val="24"/>
        </w:rPr>
        <w:t xml:space="preserve">growth of </w:t>
      </w:r>
      <w:r w:rsidRPr="000E1B7E">
        <w:rPr>
          <w:rFonts w:ascii="Times New Roman" w:eastAsia="Times New Roman" w:hAnsi="Times New Roman"/>
          <w:b/>
          <w:i/>
          <w:sz w:val="24"/>
          <w:szCs w:val="24"/>
          <w:lang w:val="en-US"/>
        </w:rPr>
        <w:t>Information and Communication</w:t>
      </w:r>
      <w:r w:rsidR="0093200F" w:rsidRPr="000E1B7E">
        <w:rPr>
          <w:rFonts w:ascii="Times New Roman" w:eastAsia="Times New Roman" w:hAnsi="Times New Roman"/>
          <w:b/>
          <w:i/>
          <w:sz w:val="24"/>
          <w:szCs w:val="24"/>
          <w:lang w:val="en-US"/>
        </w:rPr>
        <w:t xml:space="preserve">s </w:t>
      </w:r>
      <w:r w:rsidR="007560F0" w:rsidRPr="000E1B7E">
        <w:rPr>
          <w:rFonts w:ascii="Times New Roman" w:hAnsi="Times New Roman"/>
          <w:b/>
          <w:i/>
          <w:sz w:val="24"/>
          <w:szCs w:val="24"/>
        </w:rPr>
        <w:t>output</w:t>
      </w:r>
      <w:r w:rsidR="007560F0" w:rsidRPr="000E1B7E">
        <w:rPr>
          <w:rFonts w:ascii="Times New Roman" w:hAnsi="Times New Roman"/>
          <w:sz w:val="24"/>
          <w:szCs w:val="24"/>
        </w:rPr>
        <w:t xml:space="preserve">: The </w:t>
      </w:r>
      <w:r w:rsidRPr="000E1B7E">
        <w:rPr>
          <w:rFonts w:ascii="Times New Roman" w:hAnsi="Times New Roman"/>
          <w:sz w:val="24"/>
          <w:szCs w:val="24"/>
        </w:rPr>
        <w:t xml:space="preserve">annual </w:t>
      </w:r>
      <w:r w:rsidR="007560F0" w:rsidRPr="000E1B7E">
        <w:rPr>
          <w:rFonts w:ascii="Times New Roman" w:hAnsi="Times New Roman"/>
          <w:sz w:val="24"/>
          <w:szCs w:val="24"/>
        </w:rPr>
        <w:t xml:space="preserve">GDP </w:t>
      </w:r>
      <w:r w:rsidRPr="000E1B7E">
        <w:rPr>
          <w:rFonts w:ascii="Times New Roman" w:hAnsi="Times New Roman"/>
          <w:sz w:val="24"/>
          <w:szCs w:val="24"/>
        </w:rPr>
        <w:t xml:space="preserve">growth </w:t>
      </w:r>
      <w:r w:rsidR="007560F0" w:rsidRPr="000E1B7E">
        <w:rPr>
          <w:rFonts w:ascii="Times New Roman" w:hAnsi="Times New Roman"/>
          <w:sz w:val="24"/>
          <w:szCs w:val="24"/>
        </w:rPr>
        <w:t xml:space="preserve">from </w:t>
      </w:r>
      <w:r w:rsidRPr="000E1B7E">
        <w:rPr>
          <w:rFonts w:ascii="Times New Roman" w:eastAsia="Times New Roman" w:hAnsi="Times New Roman"/>
          <w:sz w:val="24"/>
          <w:szCs w:val="24"/>
          <w:lang w:val="en-US"/>
        </w:rPr>
        <w:t>Information and Communication</w:t>
      </w:r>
      <w:r w:rsidRPr="000E1B7E">
        <w:rPr>
          <w:rFonts w:ascii="Times New Roman" w:hAnsi="Times New Roman"/>
          <w:sz w:val="24"/>
          <w:szCs w:val="24"/>
        </w:rPr>
        <w:t>activities</w:t>
      </w:r>
      <w:r w:rsidR="007560F0" w:rsidRPr="000E1B7E">
        <w:rPr>
          <w:rFonts w:ascii="Times New Roman" w:hAnsi="Times New Roman"/>
          <w:sz w:val="24"/>
          <w:szCs w:val="24"/>
        </w:rPr>
        <w:t>averages</w:t>
      </w:r>
      <w:r w:rsidRPr="000E1B7E">
        <w:rPr>
          <w:rFonts w:ascii="Times New Roman" w:hAnsi="Times New Roman"/>
          <w:sz w:val="24"/>
          <w:szCs w:val="24"/>
        </w:rPr>
        <w:t>14.4</w:t>
      </w:r>
      <w:r w:rsidR="007560F0" w:rsidRPr="000E1B7E">
        <w:rPr>
          <w:rFonts w:ascii="Times New Roman" w:hAnsi="Times New Roman"/>
          <w:sz w:val="24"/>
          <w:szCs w:val="24"/>
        </w:rPr>
        <w:t>% over the first three years of NDP II compared to the average of 1</w:t>
      </w:r>
      <w:r w:rsidRPr="000E1B7E">
        <w:rPr>
          <w:rFonts w:ascii="Times New Roman" w:hAnsi="Times New Roman"/>
          <w:sz w:val="24"/>
          <w:szCs w:val="24"/>
        </w:rPr>
        <w:t>4</w:t>
      </w:r>
      <w:r w:rsidR="007560F0" w:rsidRPr="000E1B7E">
        <w:rPr>
          <w:rFonts w:ascii="Times New Roman" w:hAnsi="Times New Roman"/>
          <w:sz w:val="24"/>
          <w:szCs w:val="24"/>
        </w:rPr>
        <w:t>.</w:t>
      </w:r>
      <w:r w:rsidRPr="000E1B7E">
        <w:rPr>
          <w:rFonts w:ascii="Times New Roman" w:hAnsi="Times New Roman"/>
          <w:sz w:val="24"/>
          <w:szCs w:val="24"/>
        </w:rPr>
        <w:t>1</w:t>
      </w:r>
      <w:r w:rsidR="007560F0" w:rsidRPr="000E1B7E">
        <w:rPr>
          <w:rFonts w:ascii="Times New Roman" w:hAnsi="Times New Roman"/>
          <w:sz w:val="24"/>
          <w:szCs w:val="24"/>
        </w:rPr>
        <w:t>% over the five year NDP I period.  This is attributed to Government efforts</w:t>
      </w:r>
      <w:r w:rsidR="005B4E67" w:rsidRPr="000E1B7E">
        <w:rPr>
          <w:rFonts w:ascii="Times New Roman" w:hAnsi="Times New Roman"/>
          <w:sz w:val="24"/>
          <w:szCs w:val="24"/>
        </w:rPr>
        <w:t xml:space="preserve"> to</w:t>
      </w:r>
      <w:r w:rsidRPr="000E1B7E">
        <w:rPr>
          <w:rFonts w:ascii="Times New Roman" w:hAnsi="Times New Roman"/>
          <w:sz w:val="24"/>
          <w:szCs w:val="24"/>
        </w:rPr>
        <w:t xml:space="preserve">increase access to telephone, internet and development of ICT tools for delivery of goods and services across a wide range of sectors. The laying of the backbone ICT infrastructure has </w:t>
      </w:r>
      <w:r w:rsidRPr="000E1B7E">
        <w:rPr>
          <w:rFonts w:ascii="Times New Roman" w:hAnsi="Times New Roman"/>
          <w:sz w:val="24"/>
          <w:szCs w:val="24"/>
        </w:rPr>
        <w:lastRenderedPageBreak/>
        <w:t xml:space="preserve">slightly reduced the cost of the internet and continues to increase production and productivity of ICT based production and delivery of services. </w:t>
      </w:r>
    </w:p>
    <w:p w14:paraId="585EBDB3" w14:textId="77777777" w:rsidR="007560F0" w:rsidRPr="000E1B7E" w:rsidRDefault="007560F0" w:rsidP="00F85D24">
      <w:pPr>
        <w:pStyle w:val="ListParagraph"/>
        <w:numPr>
          <w:ilvl w:val="0"/>
          <w:numId w:val="29"/>
        </w:numPr>
        <w:tabs>
          <w:tab w:val="left" w:pos="1134"/>
        </w:tabs>
        <w:spacing w:line="360" w:lineRule="auto"/>
        <w:ind w:left="1134" w:hanging="567"/>
        <w:rPr>
          <w:rFonts w:ascii="Times New Roman" w:hAnsi="Times New Roman"/>
          <w:sz w:val="24"/>
          <w:szCs w:val="24"/>
        </w:rPr>
      </w:pPr>
      <w:r w:rsidRPr="000E1B7E">
        <w:rPr>
          <w:rFonts w:ascii="Times New Roman" w:hAnsi="Times New Roman"/>
          <w:b/>
          <w:i/>
          <w:sz w:val="24"/>
          <w:szCs w:val="24"/>
        </w:rPr>
        <w:t xml:space="preserve">Sluggish and disappointing growth of </w:t>
      </w:r>
      <w:r w:rsidR="00255BC2" w:rsidRPr="000E1B7E">
        <w:rPr>
          <w:rFonts w:ascii="Times New Roman" w:hAnsi="Times New Roman"/>
          <w:b/>
          <w:i/>
          <w:sz w:val="24"/>
          <w:szCs w:val="24"/>
        </w:rPr>
        <w:t>trade and repair</w:t>
      </w:r>
      <w:r w:rsidRPr="000E1B7E">
        <w:rPr>
          <w:rFonts w:ascii="Times New Roman" w:hAnsi="Times New Roman"/>
          <w:b/>
          <w:i/>
          <w:sz w:val="24"/>
          <w:szCs w:val="24"/>
        </w:rPr>
        <w:t xml:space="preserve"> output</w:t>
      </w:r>
      <w:r w:rsidRPr="000E1B7E">
        <w:rPr>
          <w:rFonts w:ascii="Times New Roman" w:hAnsi="Times New Roman"/>
          <w:sz w:val="24"/>
          <w:szCs w:val="24"/>
        </w:rPr>
        <w:t xml:space="preserve">: The </w:t>
      </w:r>
      <w:r w:rsidR="00255BC2" w:rsidRPr="000E1B7E">
        <w:rPr>
          <w:rFonts w:ascii="Times New Roman" w:hAnsi="Times New Roman"/>
          <w:b/>
          <w:i/>
          <w:sz w:val="24"/>
          <w:szCs w:val="24"/>
        </w:rPr>
        <w:t>trade and repair</w:t>
      </w:r>
      <w:r w:rsidRPr="000E1B7E">
        <w:rPr>
          <w:rFonts w:ascii="Times New Roman" w:hAnsi="Times New Roman"/>
          <w:sz w:val="24"/>
          <w:szCs w:val="24"/>
        </w:rPr>
        <w:t xml:space="preserve"> output growth annual average was</w:t>
      </w:r>
      <w:r w:rsidR="00255BC2" w:rsidRPr="000E1B7E">
        <w:rPr>
          <w:rFonts w:ascii="Times New Roman" w:hAnsi="Times New Roman"/>
          <w:sz w:val="24"/>
          <w:szCs w:val="24"/>
        </w:rPr>
        <w:t>2.4</w:t>
      </w:r>
      <w:r w:rsidRPr="000E1B7E">
        <w:rPr>
          <w:rFonts w:ascii="Times New Roman" w:hAnsi="Times New Roman"/>
          <w:sz w:val="24"/>
          <w:szCs w:val="24"/>
        </w:rPr>
        <w:t xml:space="preserve">% for the first three years of NDP II compared to </w:t>
      </w:r>
      <w:r w:rsidR="00255BC2" w:rsidRPr="000E1B7E">
        <w:rPr>
          <w:rFonts w:ascii="Times New Roman" w:hAnsi="Times New Roman"/>
          <w:sz w:val="24"/>
          <w:szCs w:val="24"/>
        </w:rPr>
        <w:t>2.9</w:t>
      </w:r>
      <w:r w:rsidRPr="000E1B7E">
        <w:rPr>
          <w:rFonts w:ascii="Times New Roman" w:hAnsi="Times New Roman"/>
          <w:sz w:val="24"/>
          <w:szCs w:val="24"/>
        </w:rPr>
        <w:t xml:space="preserve">% registered over the NDP I period. </w:t>
      </w:r>
      <w:r w:rsidR="00255BC2" w:rsidRPr="000E1B7E">
        <w:rPr>
          <w:rFonts w:ascii="Times New Roman" w:hAnsi="Times New Roman"/>
          <w:sz w:val="24"/>
          <w:szCs w:val="24"/>
        </w:rPr>
        <w:t xml:space="preserve">The slow growth in the trade sector directly impacts the growth in productive sectors of the economy, notably agriculture and manufacturing. Imported </w:t>
      </w:r>
      <w:r w:rsidR="008173CF" w:rsidRPr="000E1B7E">
        <w:rPr>
          <w:rFonts w:ascii="Times New Roman" w:hAnsi="Times New Roman"/>
          <w:sz w:val="24"/>
          <w:szCs w:val="24"/>
        </w:rPr>
        <w:t xml:space="preserve">and cheap sub-standard and counterfeit products </w:t>
      </w:r>
      <w:r w:rsidR="00255BC2" w:rsidRPr="000E1B7E">
        <w:rPr>
          <w:rFonts w:ascii="Times New Roman" w:hAnsi="Times New Roman"/>
          <w:sz w:val="24"/>
          <w:szCs w:val="24"/>
        </w:rPr>
        <w:t>continue to dominate the retail markets</w:t>
      </w:r>
      <w:r w:rsidR="008173CF" w:rsidRPr="000E1B7E">
        <w:rPr>
          <w:rFonts w:ascii="Times New Roman" w:hAnsi="Times New Roman"/>
          <w:sz w:val="24"/>
          <w:szCs w:val="24"/>
        </w:rPr>
        <w:t>, and these stifle the local manufacturing and production sectors.  The slow growth of the trade and repair sub-</w:t>
      </w:r>
      <w:r w:rsidR="005E3A99" w:rsidRPr="000E1B7E">
        <w:rPr>
          <w:rFonts w:ascii="Times New Roman" w:hAnsi="Times New Roman"/>
          <w:sz w:val="24"/>
          <w:szCs w:val="24"/>
        </w:rPr>
        <w:t>sector</w:t>
      </w:r>
      <w:r w:rsidR="008173CF" w:rsidRPr="000E1B7E">
        <w:rPr>
          <w:rFonts w:ascii="Times New Roman" w:hAnsi="Times New Roman"/>
          <w:sz w:val="24"/>
          <w:szCs w:val="24"/>
        </w:rPr>
        <w:t xml:space="preserve"> is attributed to the unfavourable business environment including high costs of utilities and high cost of credit, which stifles expansion. </w:t>
      </w:r>
    </w:p>
    <w:p w14:paraId="45A05DBC" w14:textId="77777777" w:rsidR="00E964C6" w:rsidRPr="000E1B7E" w:rsidRDefault="00E964C6" w:rsidP="00C11847">
      <w:pPr>
        <w:pStyle w:val="DeltaSeched2"/>
      </w:pPr>
      <w:bookmarkStart w:id="61" w:name="_Toc3478374"/>
      <w:bookmarkStart w:id="62" w:name="_Toc11956259"/>
      <w:r w:rsidRPr="000E1B7E">
        <w:t xml:space="preserve">GDP </w:t>
      </w:r>
      <w:r w:rsidR="00220B04" w:rsidRPr="000E1B7E">
        <w:t>per</w:t>
      </w:r>
      <w:r w:rsidRPr="000E1B7E">
        <w:t xml:space="preserve"> Capita</w:t>
      </w:r>
      <w:bookmarkEnd w:id="61"/>
      <w:bookmarkEnd w:id="62"/>
    </w:p>
    <w:p w14:paraId="3438C9BE" w14:textId="77777777" w:rsidR="00D75B6B" w:rsidRPr="000E1B7E" w:rsidRDefault="005E3A99"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NDP II aimed at transforming Uganda to attain lower middle income status, with a</w:t>
      </w:r>
      <w:r w:rsidR="00503970" w:rsidRPr="000E1B7E">
        <w:rPr>
          <w:rFonts w:ascii="Times New Roman" w:hAnsi="Times New Roman"/>
          <w:sz w:val="24"/>
          <w:szCs w:val="24"/>
        </w:rPr>
        <w:t xml:space="preserve">targeted </w:t>
      </w:r>
      <w:r w:rsidRPr="000E1B7E">
        <w:rPr>
          <w:rFonts w:ascii="Times New Roman" w:hAnsi="Times New Roman"/>
          <w:sz w:val="24"/>
          <w:szCs w:val="24"/>
        </w:rPr>
        <w:t xml:space="preserve">GDP per </w:t>
      </w:r>
      <w:r w:rsidR="00503970" w:rsidRPr="000E1B7E">
        <w:rPr>
          <w:rFonts w:ascii="Times New Roman" w:hAnsi="Times New Roman"/>
          <w:sz w:val="24"/>
          <w:szCs w:val="24"/>
        </w:rPr>
        <w:t xml:space="preserve">capita </w:t>
      </w:r>
      <w:r w:rsidRPr="000E1B7E">
        <w:rPr>
          <w:rFonts w:ascii="Times New Roman" w:hAnsi="Times New Roman"/>
          <w:sz w:val="24"/>
          <w:szCs w:val="24"/>
        </w:rPr>
        <w:t xml:space="preserve">of $ 1,033 by 2019/20.  The NDP II ambition was to attain GDP per capita of </w:t>
      </w:r>
      <w:r w:rsidR="00D75B6B" w:rsidRPr="000E1B7E">
        <w:rPr>
          <w:rFonts w:ascii="Times New Roman" w:hAnsi="Times New Roman"/>
          <w:sz w:val="24"/>
          <w:szCs w:val="24"/>
        </w:rPr>
        <w:t xml:space="preserve">$833 in 2015/16and $931 by 2017/18. However, available data from UBOS revealed that GDP per capita for 2017/18 was </w:t>
      </w:r>
      <w:r w:rsidR="00A32CF7" w:rsidRPr="000E1B7E">
        <w:rPr>
          <w:rFonts w:ascii="Times New Roman" w:hAnsi="Times New Roman"/>
          <w:sz w:val="24"/>
          <w:szCs w:val="24"/>
        </w:rPr>
        <w:t xml:space="preserve">only </w:t>
      </w:r>
      <w:r w:rsidR="00D75B6B" w:rsidRPr="000E1B7E">
        <w:rPr>
          <w:rFonts w:ascii="Times New Roman" w:hAnsi="Times New Roman"/>
          <w:sz w:val="24"/>
          <w:szCs w:val="24"/>
        </w:rPr>
        <w:t>$799</w:t>
      </w:r>
      <w:r w:rsidR="00A32CF7" w:rsidRPr="000E1B7E">
        <w:rPr>
          <w:rFonts w:ascii="Times New Roman" w:hAnsi="Times New Roman"/>
          <w:sz w:val="24"/>
          <w:szCs w:val="24"/>
        </w:rPr>
        <w:t>,</w:t>
      </w:r>
      <w:r w:rsidR="00D75B6B" w:rsidRPr="000E1B7E">
        <w:rPr>
          <w:rFonts w:ascii="Times New Roman" w:hAnsi="Times New Roman"/>
          <w:sz w:val="24"/>
          <w:szCs w:val="24"/>
        </w:rPr>
        <w:t xml:space="preserve"> as </w:t>
      </w:r>
      <w:r w:rsidR="00A32CF7" w:rsidRPr="000E1B7E">
        <w:rPr>
          <w:rFonts w:ascii="Times New Roman" w:hAnsi="Times New Roman"/>
          <w:sz w:val="24"/>
          <w:szCs w:val="24"/>
        </w:rPr>
        <w:t xml:space="preserve">shown </w:t>
      </w:r>
      <w:r w:rsidR="00D75B6B" w:rsidRPr="000E1B7E">
        <w:rPr>
          <w:rFonts w:ascii="Times New Roman" w:hAnsi="Times New Roman"/>
          <w:sz w:val="24"/>
          <w:szCs w:val="24"/>
        </w:rPr>
        <w:t xml:space="preserve">in table </w:t>
      </w:r>
      <w:r w:rsidR="004A47A6" w:rsidRPr="000E1B7E">
        <w:rPr>
          <w:rFonts w:ascii="Times New Roman" w:hAnsi="Times New Roman"/>
          <w:sz w:val="24"/>
          <w:szCs w:val="24"/>
        </w:rPr>
        <w:t xml:space="preserve">6 </w:t>
      </w:r>
      <w:r w:rsidR="00D75B6B" w:rsidRPr="000E1B7E">
        <w:rPr>
          <w:rFonts w:ascii="Times New Roman" w:hAnsi="Times New Roman"/>
          <w:sz w:val="24"/>
          <w:szCs w:val="24"/>
        </w:rPr>
        <w:t xml:space="preserve">below. </w:t>
      </w:r>
    </w:p>
    <w:p w14:paraId="01A04CB4" w14:textId="77777777" w:rsidR="007560F0" w:rsidRPr="000E1B7E" w:rsidRDefault="00DA3B42" w:rsidP="00DA3B42">
      <w:pPr>
        <w:pStyle w:val="Caption"/>
        <w:rPr>
          <w:rFonts w:ascii="Times New Roman" w:eastAsia="Calibri" w:hAnsi="Times New Roman" w:cs="Times New Roman"/>
          <w:b/>
          <w:i w:val="0"/>
          <w:iCs w:val="0"/>
          <w:color w:val="auto"/>
          <w:sz w:val="24"/>
          <w:szCs w:val="24"/>
          <w:lang w:val="en-GB"/>
        </w:rPr>
      </w:pPr>
      <w:bookmarkStart w:id="63" w:name="_Toc3483116"/>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6</w:t>
      </w:r>
      <w:r w:rsidR="001232BF" w:rsidRPr="000E1B7E">
        <w:rPr>
          <w:rFonts w:ascii="Times New Roman" w:eastAsia="Calibri" w:hAnsi="Times New Roman" w:cs="Times New Roman"/>
          <w:b/>
          <w:i w:val="0"/>
          <w:iCs w:val="0"/>
          <w:color w:val="auto"/>
          <w:sz w:val="24"/>
          <w:szCs w:val="24"/>
          <w:lang w:val="en-GB"/>
        </w:rPr>
        <w:fldChar w:fldCharType="end"/>
      </w:r>
      <w:r w:rsidR="00D75B6B" w:rsidRPr="000E1B7E">
        <w:rPr>
          <w:rFonts w:ascii="Times New Roman" w:eastAsia="Calibri" w:hAnsi="Times New Roman" w:cs="Times New Roman"/>
          <w:b/>
          <w:i w:val="0"/>
          <w:iCs w:val="0"/>
          <w:color w:val="auto"/>
          <w:sz w:val="24"/>
          <w:szCs w:val="24"/>
          <w:lang w:val="en-GB"/>
        </w:rPr>
        <w:t>: GDP per capita at constant 2009/10 prices</w:t>
      </w:r>
      <w:bookmarkEnd w:id="63"/>
    </w:p>
    <w:tbl>
      <w:tblPr>
        <w:tblStyle w:val="LightShading1"/>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976"/>
        <w:gridCol w:w="976"/>
        <w:gridCol w:w="976"/>
        <w:gridCol w:w="976"/>
        <w:gridCol w:w="1016"/>
      </w:tblGrid>
      <w:tr w:rsidR="005E3A99" w:rsidRPr="000E1B7E" w14:paraId="17567ED2" w14:textId="77777777" w:rsidTr="00DA3B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38" w:type="dxa"/>
            <w:tcBorders>
              <w:top w:val="none" w:sz="0" w:space="0" w:color="auto"/>
              <w:left w:val="none" w:sz="0" w:space="0" w:color="auto"/>
              <w:bottom w:val="none" w:sz="0" w:space="0" w:color="auto"/>
              <w:right w:val="none" w:sz="0" w:space="0" w:color="auto"/>
            </w:tcBorders>
            <w:noWrap/>
            <w:hideMark/>
          </w:tcPr>
          <w:p w14:paraId="7DAB3E39" w14:textId="77777777" w:rsidR="005E3A99" w:rsidRPr="000E1B7E" w:rsidRDefault="005E3A99" w:rsidP="005959B5">
            <w:pPr>
              <w:spacing w:line="360" w:lineRule="auto"/>
              <w:jc w:val="both"/>
              <w:rPr>
                <w:sz w:val="20"/>
                <w:szCs w:val="20"/>
                <w:lang w:val="en-US"/>
              </w:rPr>
            </w:pPr>
          </w:p>
        </w:tc>
        <w:tc>
          <w:tcPr>
            <w:tcW w:w="976" w:type="dxa"/>
            <w:tcBorders>
              <w:top w:val="none" w:sz="0" w:space="0" w:color="auto"/>
              <w:left w:val="none" w:sz="0" w:space="0" w:color="auto"/>
              <w:bottom w:val="none" w:sz="0" w:space="0" w:color="auto"/>
              <w:right w:val="none" w:sz="0" w:space="0" w:color="auto"/>
            </w:tcBorders>
            <w:noWrap/>
            <w:hideMark/>
          </w:tcPr>
          <w:p w14:paraId="2D7F10B0" w14:textId="77777777" w:rsidR="005E3A99" w:rsidRPr="000E1B7E" w:rsidRDefault="005E3A99" w:rsidP="005959B5">
            <w:p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0E1B7E">
              <w:rPr>
                <w:sz w:val="20"/>
                <w:szCs w:val="20"/>
                <w:lang w:val="en-US"/>
              </w:rPr>
              <w:t>2015/16</w:t>
            </w:r>
          </w:p>
        </w:tc>
        <w:tc>
          <w:tcPr>
            <w:tcW w:w="976" w:type="dxa"/>
            <w:tcBorders>
              <w:top w:val="none" w:sz="0" w:space="0" w:color="auto"/>
              <w:left w:val="none" w:sz="0" w:space="0" w:color="auto"/>
              <w:bottom w:val="none" w:sz="0" w:space="0" w:color="auto"/>
              <w:right w:val="none" w:sz="0" w:space="0" w:color="auto"/>
            </w:tcBorders>
            <w:noWrap/>
            <w:hideMark/>
          </w:tcPr>
          <w:p w14:paraId="7EAFF83D" w14:textId="77777777" w:rsidR="005E3A99" w:rsidRPr="000E1B7E" w:rsidRDefault="005E3A99" w:rsidP="005959B5">
            <w:p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0E1B7E">
              <w:rPr>
                <w:sz w:val="20"/>
                <w:szCs w:val="20"/>
                <w:lang w:val="en-US"/>
              </w:rPr>
              <w:t>2016/17</w:t>
            </w:r>
          </w:p>
        </w:tc>
        <w:tc>
          <w:tcPr>
            <w:tcW w:w="976" w:type="dxa"/>
            <w:tcBorders>
              <w:top w:val="none" w:sz="0" w:space="0" w:color="auto"/>
              <w:left w:val="none" w:sz="0" w:space="0" w:color="auto"/>
              <w:bottom w:val="none" w:sz="0" w:space="0" w:color="auto"/>
              <w:right w:val="none" w:sz="0" w:space="0" w:color="auto"/>
            </w:tcBorders>
            <w:noWrap/>
            <w:hideMark/>
          </w:tcPr>
          <w:p w14:paraId="3FD3473A" w14:textId="77777777" w:rsidR="005E3A99" w:rsidRPr="000E1B7E" w:rsidRDefault="005E3A99" w:rsidP="005959B5">
            <w:p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0E1B7E">
              <w:rPr>
                <w:sz w:val="20"/>
                <w:szCs w:val="20"/>
                <w:lang w:val="en-US"/>
              </w:rPr>
              <w:t>2017/18</w:t>
            </w:r>
          </w:p>
        </w:tc>
        <w:tc>
          <w:tcPr>
            <w:tcW w:w="976" w:type="dxa"/>
            <w:tcBorders>
              <w:top w:val="none" w:sz="0" w:space="0" w:color="auto"/>
              <w:left w:val="none" w:sz="0" w:space="0" w:color="auto"/>
              <w:bottom w:val="none" w:sz="0" w:space="0" w:color="auto"/>
              <w:right w:val="none" w:sz="0" w:space="0" w:color="auto"/>
            </w:tcBorders>
            <w:noWrap/>
            <w:hideMark/>
          </w:tcPr>
          <w:p w14:paraId="27605AB5" w14:textId="77777777" w:rsidR="005E3A99" w:rsidRPr="000E1B7E" w:rsidRDefault="005E3A99" w:rsidP="005959B5">
            <w:p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0E1B7E">
              <w:rPr>
                <w:sz w:val="20"/>
                <w:szCs w:val="20"/>
                <w:lang w:val="en-US"/>
              </w:rPr>
              <w:t>2018/19</w:t>
            </w:r>
          </w:p>
        </w:tc>
        <w:tc>
          <w:tcPr>
            <w:tcW w:w="1016" w:type="dxa"/>
            <w:tcBorders>
              <w:top w:val="none" w:sz="0" w:space="0" w:color="auto"/>
              <w:left w:val="none" w:sz="0" w:space="0" w:color="auto"/>
              <w:bottom w:val="none" w:sz="0" w:space="0" w:color="auto"/>
              <w:right w:val="none" w:sz="0" w:space="0" w:color="auto"/>
            </w:tcBorders>
            <w:noWrap/>
            <w:hideMark/>
          </w:tcPr>
          <w:p w14:paraId="3684950A" w14:textId="77777777" w:rsidR="005E3A99" w:rsidRPr="000E1B7E" w:rsidRDefault="005E3A99" w:rsidP="005959B5">
            <w:pPr>
              <w:spacing w:line="360" w:lineRule="auto"/>
              <w:jc w:val="both"/>
              <w:cnfStyle w:val="100000000000" w:firstRow="1" w:lastRow="0" w:firstColumn="0" w:lastColumn="0" w:oddVBand="0" w:evenVBand="0" w:oddHBand="0" w:evenHBand="0" w:firstRowFirstColumn="0" w:firstRowLastColumn="0" w:lastRowFirstColumn="0" w:lastRowLastColumn="0"/>
              <w:rPr>
                <w:sz w:val="20"/>
                <w:szCs w:val="20"/>
                <w:lang w:val="en-US"/>
              </w:rPr>
            </w:pPr>
            <w:r w:rsidRPr="000E1B7E">
              <w:rPr>
                <w:sz w:val="20"/>
                <w:szCs w:val="20"/>
                <w:lang w:val="en-US"/>
              </w:rPr>
              <w:t>2019/20</w:t>
            </w:r>
          </w:p>
        </w:tc>
      </w:tr>
      <w:tr w:rsidR="005E3A99" w:rsidRPr="000E1B7E" w14:paraId="1981953E" w14:textId="77777777" w:rsidTr="00DA3B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38" w:type="dxa"/>
            <w:tcBorders>
              <w:left w:val="none" w:sz="0" w:space="0" w:color="auto"/>
              <w:right w:val="none" w:sz="0" w:space="0" w:color="auto"/>
            </w:tcBorders>
            <w:noWrap/>
            <w:hideMark/>
          </w:tcPr>
          <w:p w14:paraId="6C4BFE20" w14:textId="77777777" w:rsidR="005E3A99" w:rsidRPr="000E1B7E" w:rsidRDefault="005E3A99" w:rsidP="00C63025">
            <w:pPr>
              <w:spacing w:line="360" w:lineRule="auto"/>
              <w:ind w:firstLineChars="100" w:firstLine="201"/>
              <w:jc w:val="both"/>
              <w:rPr>
                <w:color w:val="000000"/>
                <w:sz w:val="20"/>
                <w:szCs w:val="20"/>
                <w:lang w:val="en-US"/>
              </w:rPr>
            </w:pPr>
            <w:r w:rsidRPr="000E1B7E">
              <w:rPr>
                <w:color w:val="000000"/>
                <w:sz w:val="20"/>
                <w:szCs w:val="20"/>
                <w:lang w:val="en-US"/>
              </w:rPr>
              <w:t>GDP per capita (US $)- actual</w:t>
            </w:r>
          </w:p>
        </w:tc>
        <w:tc>
          <w:tcPr>
            <w:tcW w:w="976" w:type="dxa"/>
            <w:tcBorders>
              <w:left w:val="none" w:sz="0" w:space="0" w:color="auto"/>
              <w:right w:val="none" w:sz="0" w:space="0" w:color="auto"/>
            </w:tcBorders>
            <w:noWrap/>
            <w:hideMark/>
          </w:tcPr>
          <w:p w14:paraId="3A610889" w14:textId="77777777" w:rsidR="005E3A99" w:rsidRPr="000E1B7E" w:rsidRDefault="005E3A99"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767</w:t>
            </w:r>
          </w:p>
        </w:tc>
        <w:tc>
          <w:tcPr>
            <w:tcW w:w="976" w:type="dxa"/>
            <w:tcBorders>
              <w:left w:val="none" w:sz="0" w:space="0" w:color="auto"/>
              <w:right w:val="none" w:sz="0" w:space="0" w:color="auto"/>
            </w:tcBorders>
            <w:noWrap/>
            <w:hideMark/>
          </w:tcPr>
          <w:p w14:paraId="379153CD" w14:textId="77777777" w:rsidR="005E3A99" w:rsidRPr="000E1B7E" w:rsidRDefault="005E3A99"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774</w:t>
            </w:r>
          </w:p>
        </w:tc>
        <w:tc>
          <w:tcPr>
            <w:tcW w:w="976" w:type="dxa"/>
            <w:tcBorders>
              <w:left w:val="none" w:sz="0" w:space="0" w:color="auto"/>
              <w:right w:val="none" w:sz="0" w:space="0" w:color="auto"/>
            </w:tcBorders>
            <w:noWrap/>
            <w:hideMark/>
          </w:tcPr>
          <w:p w14:paraId="5D48A5C1" w14:textId="77777777" w:rsidR="005E3A99" w:rsidRPr="000E1B7E" w:rsidRDefault="005E3A99"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799</w:t>
            </w:r>
          </w:p>
        </w:tc>
        <w:tc>
          <w:tcPr>
            <w:tcW w:w="976" w:type="dxa"/>
            <w:tcBorders>
              <w:left w:val="none" w:sz="0" w:space="0" w:color="auto"/>
              <w:right w:val="none" w:sz="0" w:space="0" w:color="auto"/>
            </w:tcBorders>
            <w:noWrap/>
            <w:hideMark/>
          </w:tcPr>
          <w:p w14:paraId="470BC57D" w14:textId="77777777" w:rsidR="005E3A99" w:rsidRPr="000E1B7E" w:rsidRDefault="005E3A99"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016" w:type="dxa"/>
            <w:tcBorders>
              <w:left w:val="none" w:sz="0" w:space="0" w:color="auto"/>
              <w:right w:val="none" w:sz="0" w:space="0" w:color="auto"/>
            </w:tcBorders>
            <w:noWrap/>
            <w:hideMark/>
          </w:tcPr>
          <w:p w14:paraId="29A4273A" w14:textId="77777777" w:rsidR="005E3A99" w:rsidRPr="000E1B7E" w:rsidRDefault="005E3A99" w:rsidP="005959B5">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r>
      <w:tr w:rsidR="005E3A99" w:rsidRPr="000E1B7E" w14:paraId="67847E0B" w14:textId="77777777" w:rsidTr="00DA3B42">
        <w:trPr>
          <w:trHeight w:val="300"/>
        </w:trPr>
        <w:tc>
          <w:tcPr>
            <w:cnfStyle w:val="001000000000" w:firstRow="0" w:lastRow="0" w:firstColumn="1" w:lastColumn="0" w:oddVBand="0" w:evenVBand="0" w:oddHBand="0" w:evenHBand="0" w:firstRowFirstColumn="0" w:firstRowLastColumn="0" w:lastRowFirstColumn="0" w:lastRowLastColumn="0"/>
            <w:tcW w:w="4338" w:type="dxa"/>
            <w:noWrap/>
            <w:hideMark/>
          </w:tcPr>
          <w:p w14:paraId="1B4735B4" w14:textId="77777777" w:rsidR="005E3A99" w:rsidRPr="000E1B7E" w:rsidRDefault="005E3A99" w:rsidP="00C63025">
            <w:pPr>
              <w:spacing w:line="360" w:lineRule="auto"/>
              <w:ind w:firstLineChars="100" w:firstLine="201"/>
              <w:jc w:val="both"/>
              <w:rPr>
                <w:color w:val="000000"/>
                <w:sz w:val="20"/>
                <w:szCs w:val="20"/>
                <w:lang w:val="en-US"/>
              </w:rPr>
            </w:pPr>
            <w:r w:rsidRPr="000E1B7E">
              <w:rPr>
                <w:color w:val="000000"/>
                <w:sz w:val="20"/>
                <w:szCs w:val="20"/>
                <w:lang w:val="en-US"/>
              </w:rPr>
              <w:t xml:space="preserve">GDP per capita (US $)- </w:t>
            </w:r>
            <w:r w:rsidR="00D75B6B" w:rsidRPr="000E1B7E">
              <w:rPr>
                <w:color w:val="000000"/>
                <w:sz w:val="20"/>
                <w:szCs w:val="20"/>
                <w:lang w:val="en-US"/>
              </w:rPr>
              <w:t xml:space="preserve">NDP II </w:t>
            </w:r>
            <w:r w:rsidR="00F0076F" w:rsidRPr="000E1B7E">
              <w:rPr>
                <w:color w:val="000000"/>
                <w:sz w:val="20"/>
                <w:szCs w:val="20"/>
                <w:lang w:val="en-US"/>
              </w:rPr>
              <w:t>targets</w:t>
            </w:r>
          </w:p>
        </w:tc>
        <w:tc>
          <w:tcPr>
            <w:tcW w:w="976" w:type="dxa"/>
            <w:noWrap/>
            <w:hideMark/>
          </w:tcPr>
          <w:p w14:paraId="15E40D7D" w14:textId="77777777" w:rsidR="005E3A99" w:rsidRPr="000E1B7E" w:rsidRDefault="005E3A99" w:rsidP="005959B5">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E1B7E">
              <w:rPr>
                <w:color w:val="000000"/>
                <w:sz w:val="20"/>
                <w:szCs w:val="20"/>
                <w:lang w:val="en-US"/>
              </w:rPr>
              <w:t>833</w:t>
            </w:r>
          </w:p>
        </w:tc>
        <w:tc>
          <w:tcPr>
            <w:tcW w:w="976" w:type="dxa"/>
            <w:noWrap/>
            <w:hideMark/>
          </w:tcPr>
          <w:p w14:paraId="68E638BE" w14:textId="77777777" w:rsidR="005E3A99" w:rsidRPr="000E1B7E" w:rsidRDefault="005E3A99" w:rsidP="005959B5">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E1B7E">
              <w:rPr>
                <w:color w:val="000000"/>
                <w:sz w:val="20"/>
                <w:szCs w:val="20"/>
                <w:lang w:val="en-US"/>
              </w:rPr>
              <w:t>888</w:t>
            </w:r>
          </w:p>
        </w:tc>
        <w:tc>
          <w:tcPr>
            <w:tcW w:w="976" w:type="dxa"/>
            <w:noWrap/>
            <w:hideMark/>
          </w:tcPr>
          <w:p w14:paraId="631BC409" w14:textId="77777777" w:rsidR="005E3A99" w:rsidRPr="000E1B7E" w:rsidRDefault="005E3A99" w:rsidP="005959B5">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E1B7E">
              <w:rPr>
                <w:color w:val="000000"/>
                <w:sz w:val="20"/>
                <w:szCs w:val="20"/>
                <w:lang w:val="en-US"/>
              </w:rPr>
              <w:t>931</w:t>
            </w:r>
          </w:p>
        </w:tc>
        <w:tc>
          <w:tcPr>
            <w:tcW w:w="976" w:type="dxa"/>
            <w:noWrap/>
            <w:hideMark/>
          </w:tcPr>
          <w:p w14:paraId="3B3C8681" w14:textId="77777777" w:rsidR="005E3A99" w:rsidRPr="000E1B7E" w:rsidRDefault="005E3A99" w:rsidP="005959B5">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E1B7E">
              <w:rPr>
                <w:color w:val="000000"/>
                <w:sz w:val="20"/>
                <w:szCs w:val="20"/>
                <w:lang w:val="en-US"/>
              </w:rPr>
              <w:t>982</w:t>
            </w:r>
          </w:p>
        </w:tc>
        <w:tc>
          <w:tcPr>
            <w:tcW w:w="1016" w:type="dxa"/>
            <w:noWrap/>
            <w:hideMark/>
          </w:tcPr>
          <w:p w14:paraId="1C00D8A9" w14:textId="77777777" w:rsidR="005E3A99" w:rsidRPr="000E1B7E" w:rsidRDefault="005E3A99" w:rsidP="005959B5">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0"/>
                <w:szCs w:val="20"/>
                <w:lang w:val="en-US"/>
              </w:rPr>
            </w:pPr>
            <w:r w:rsidRPr="000E1B7E">
              <w:rPr>
                <w:color w:val="000000"/>
                <w:sz w:val="20"/>
                <w:szCs w:val="20"/>
                <w:lang w:val="en-US"/>
              </w:rPr>
              <w:t>1,033</w:t>
            </w:r>
          </w:p>
        </w:tc>
      </w:tr>
    </w:tbl>
    <w:p w14:paraId="60E4641B" w14:textId="77777777" w:rsidR="00E964C6" w:rsidRPr="000E1B7E" w:rsidRDefault="00D75B6B" w:rsidP="005959B5">
      <w:pPr>
        <w:tabs>
          <w:tab w:val="left" w:pos="1108"/>
        </w:tabs>
        <w:spacing w:line="360" w:lineRule="auto"/>
        <w:jc w:val="both"/>
      </w:pPr>
      <w:r w:rsidRPr="000E1B7E">
        <w:t>Source: UBOS</w:t>
      </w:r>
      <w:r w:rsidR="00503970" w:rsidRPr="000E1B7E">
        <w:t xml:space="preserve"> and NDP II</w:t>
      </w:r>
    </w:p>
    <w:p w14:paraId="34E1402B" w14:textId="77777777" w:rsidR="00A40C1E" w:rsidRPr="000E1B7E" w:rsidRDefault="00A32CF7"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first </w:t>
      </w:r>
      <w:r w:rsidR="00D75B6B" w:rsidRPr="000E1B7E">
        <w:rPr>
          <w:rFonts w:ascii="Times New Roman" w:hAnsi="Times New Roman"/>
          <w:sz w:val="24"/>
          <w:szCs w:val="24"/>
        </w:rPr>
        <w:t xml:space="preserve">three years of NDP II have not </w:t>
      </w:r>
      <w:r w:rsidRPr="000E1B7E">
        <w:rPr>
          <w:rFonts w:ascii="Times New Roman" w:hAnsi="Times New Roman"/>
          <w:sz w:val="24"/>
          <w:szCs w:val="24"/>
        </w:rPr>
        <w:t xml:space="preserve">delivered </w:t>
      </w:r>
      <w:r w:rsidR="00D75B6B" w:rsidRPr="000E1B7E">
        <w:rPr>
          <w:rFonts w:ascii="Times New Roman" w:hAnsi="Times New Roman"/>
          <w:sz w:val="24"/>
          <w:szCs w:val="24"/>
        </w:rPr>
        <w:t xml:space="preserve">the rapid growth in GDP per capita </w:t>
      </w:r>
      <w:r w:rsidRPr="000E1B7E">
        <w:rPr>
          <w:rFonts w:ascii="Times New Roman" w:hAnsi="Times New Roman"/>
          <w:sz w:val="24"/>
          <w:szCs w:val="24"/>
        </w:rPr>
        <w:t xml:space="preserve">required </w:t>
      </w:r>
      <w:r w:rsidR="00D75B6B" w:rsidRPr="000E1B7E">
        <w:rPr>
          <w:rFonts w:ascii="Times New Roman" w:hAnsi="Times New Roman"/>
          <w:sz w:val="24"/>
          <w:szCs w:val="24"/>
        </w:rPr>
        <w:t xml:space="preserve">to enable the country </w:t>
      </w:r>
      <w:r w:rsidRPr="000E1B7E">
        <w:rPr>
          <w:rFonts w:ascii="Times New Roman" w:hAnsi="Times New Roman"/>
          <w:sz w:val="24"/>
          <w:szCs w:val="24"/>
        </w:rPr>
        <w:t xml:space="preserve">to achieve </w:t>
      </w:r>
      <w:r w:rsidR="00D75B6B" w:rsidRPr="000E1B7E">
        <w:rPr>
          <w:rFonts w:ascii="Times New Roman" w:hAnsi="Times New Roman"/>
          <w:sz w:val="24"/>
          <w:szCs w:val="24"/>
        </w:rPr>
        <w:t>middle income</w:t>
      </w:r>
      <w:r w:rsidRPr="000E1B7E">
        <w:rPr>
          <w:rFonts w:ascii="Times New Roman" w:hAnsi="Times New Roman"/>
          <w:sz w:val="24"/>
          <w:szCs w:val="24"/>
        </w:rPr>
        <w:t xml:space="preserve"> status</w:t>
      </w:r>
      <w:r w:rsidR="00D75B6B" w:rsidRPr="000E1B7E">
        <w:rPr>
          <w:rFonts w:ascii="Times New Roman" w:hAnsi="Times New Roman"/>
          <w:sz w:val="24"/>
          <w:szCs w:val="24"/>
        </w:rPr>
        <w:t xml:space="preserve">. The GDP per capita value of 2017/18 (three years of NDP II implementation) is still lower than the GDP per capita of $833 that was targeted for attainment in the first year of NDP II. </w:t>
      </w:r>
      <w:r w:rsidR="00F0076F" w:rsidRPr="000E1B7E">
        <w:rPr>
          <w:rFonts w:ascii="Times New Roman" w:hAnsi="Times New Roman"/>
          <w:sz w:val="24"/>
          <w:szCs w:val="24"/>
        </w:rPr>
        <w:t>Between 2015/16 and 2017/18, GDP per capita increased by $32 in absolute terms, while in the last ten years (2008/9 to 2017/18), GDP per capita increased by $149 in absolute terms. To attain the GDP per capita of $1,033 by 2019/20</w:t>
      </w:r>
      <w:r w:rsidR="00C1758E" w:rsidRPr="000E1B7E">
        <w:rPr>
          <w:rFonts w:ascii="Times New Roman" w:hAnsi="Times New Roman"/>
          <w:sz w:val="24"/>
          <w:szCs w:val="24"/>
        </w:rPr>
        <w:t xml:space="preserve">, from the current $799, it requires increasing the GDP per capita by $234 </w:t>
      </w:r>
      <w:r w:rsidR="0083469C" w:rsidRPr="000E1B7E">
        <w:rPr>
          <w:rFonts w:ascii="Times New Roman" w:hAnsi="Times New Roman"/>
          <w:sz w:val="24"/>
          <w:szCs w:val="24"/>
        </w:rPr>
        <w:t xml:space="preserve">in absolute terms </w:t>
      </w:r>
      <w:r w:rsidR="00C1758E" w:rsidRPr="000E1B7E">
        <w:rPr>
          <w:rFonts w:ascii="Times New Roman" w:hAnsi="Times New Roman"/>
          <w:sz w:val="24"/>
          <w:szCs w:val="24"/>
        </w:rPr>
        <w:t>within the remaining two years</w:t>
      </w:r>
      <w:r w:rsidRPr="000E1B7E">
        <w:rPr>
          <w:rFonts w:ascii="Times New Roman" w:hAnsi="Times New Roman"/>
          <w:sz w:val="24"/>
          <w:szCs w:val="24"/>
        </w:rPr>
        <w:t xml:space="preserve"> of NDP II</w:t>
      </w:r>
      <w:r w:rsidR="0083469C" w:rsidRPr="000E1B7E">
        <w:rPr>
          <w:rFonts w:ascii="Times New Roman" w:hAnsi="Times New Roman"/>
          <w:sz w:val="24"/>
          <w:szCs w:val="24"/>
        </w:rPr>
        <w:t xml:space="preserve">, which is ambitious and </w:t>
      </w:r>
      <w:r w:rsidR="005B4E67" w:rsidRPr="000E1B7E">
        <w:rPr>
          <w:rFonts w:ascii="Times New Roman" w:hAnsi="Times New Roman"/>
          <w:sz w:val="24"/>
          <w:szCs w:val="24"/>
        </w:rPr>
        <w:t xml:space="preserve">therefore </w:t>
      </w:r>
      <w:r w:rsidR="0083469C" w:rsidRPr="000E1B7E">
        <w:rPr>
          <w:rFonts w:ascii="Times New Roman" w:hAnsi="Times New Roman"/>
          <w:sz w:val="24"/>
          <w:szCs w:val="24"/>
        </w:rPr>
        <w:t>unlikely</w:t>
      </w:r>
      <w:r w:rsidR="00C1758E" w:rsidRPr="000E1B7E">
        <w:rPr>
          <w:rFonts w:ascii="Times New Roman" w:hAnsi="Times New Roman"/>
          <w:sz w:val="24"/>
          <w:szCs w:val="24"/>
        </w:rPr>
        <w:t xml:space="preserve">. </w:t>
      </w:r>
      <w:r w:rsidR="0083469C" w:rsidRPr="000E1B7E">
        <w:rPr>
          <w:rFonts w:ascii="Times New Roman" w:hAnsi="Times New Roman"/>
          <w:sz w:val="24"/>
          <w:szCs w:val="24"/>
        </w:rPr>
        <w:t xml:space="preserve">Whereas nominal GDP has grown largely </w:t>
      </w:r>
      <w:r w:rsidR="00A40C1E" w:rsidRPr="000E1B7E">
        <w:rPr>
          <w:rFonts w:ascii="Times New Roman" w:hAnsi="Times New Roman"/>
          <w:sz w:val="24"/>
          <w:szCs w:val="24"/>
        </w:rPr>
        <w:t>in line</w:t>
      </w:r>
      <w:r w:rsidR="0083469C" w:rsidRPr="000E1B7E">
        <w:rPr>
          <w:rFonts w:ascii="Times New Roman" w:hAnsi="Times New Roman"/>
          <w:sz w:val="24"/>
          <w:szCs w:val="24"/>
        </w:rPr>
        <w:t xml:space="preserve"> with NDP II </w:t>
      </w:r>
      <w:r w:rsidR="00A40C1E" w:rsidRPr="000E1B7E">
        <w:rPr>
          <w:rFonts w:ascii="Times New Roman" w:hAnsi="Times New Roman"/>
          <w:sz w:val="24"/>
          <w:szCs w:val="24"/>
        </w:rPr>
        <w:t>projections</w:t>
      </w:r>
      <w:r w:rsidR="0083469C" w:rsidRPr="000E1B7E">
        <w:rPr>
          <w:rFonts w:ascii="Times New Roman" w:hAnsi="Times New Roman"/>
          <w:sz w:val="24"/>
          <w:szCs w:val="24"/>
        </w:rPr>
        <w:t xml:space="preserve">, the depreciation of the </w:t>
      </w:r>
      <w:r w:rsidR="00A40C1E" w:rsidRPr="000E1B7E">
        <w:rPr>
          <w:rFonts w:ascii="Times New Roman" w:hAnsi="Times New Roman"/>
          <w:sz w:val="24"/>
          <w:szCs w:val="24"/>
        </w:rPr>
        <w:t>Uganda shilling</w:t>
      </w:r>
      <w:r w:rsidR="0083469C" w:rsidRPr="000E1B7E">
        <w:rPr>
          <w:rFonts w:ascii="Times New Roman" w:hAnsi="Times New Roman"/>
          <w:sz w:val="24"/>
          <w:szCs w:val="24"/>
        </w:rPr>
        <w:t xml:space="preserve"> and the high population growth rate have limited </w:t>
      </w:r>
      <w:r w:rsidR="00A40C1E" w:rsidRPr="000E1B7E">
        <w:rPr>
          <w:rFonts w:ascii="Times New Roman" w:hAnsi="Times New Roman"/>
          <w:sz w:val="24"/>
          <w:szCs w:val="24"/>
        </w:rPr>
        <w:t xml:space="preserve">growth of GDP per capita, and this is likely to </w:t>
      </w:r>
      <w:r w:rsidR="00A40C1E" w:rsidRPr="000E1B7E">
        <w:rPr>
          <w:rFonts w:ascii="Times New Roman" w:hAnsi="Times New Roman"/>
          <w:sz w:val="24"/>
          <w:szCs w:val="24"/>
        </w:rPr>
        <w:lastRenderedPageBreak/>
        <w:t xml:space="preserve">continue in the short to medium term on account of the limited export base. Therefore, the likelihood of achieving the lower middle income status by 2020 is very low. </w:t>
      </w:r>
    </w:p>
    <w:p w14:paraId="40677BBA" w14:textId="77777777" w:rsidR="00A32CF7" w:rsidRPr="000E1B7E" w:rsidRDefault="00A32CF7"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It should also be noted that the target of achieving middle income status during NDP II was </w:t>
      </w:r>
      <w:r w:rsidR="00731DDD" w:rsidRPr="000E1B7E">
        <w:rPr>
          <w:rFonts w:ascii="Times New Roman" w:hAnsi="Times New Roman"/>
          <w:sz w:val="24"/>
          <w:szCs w:val="24"/>
        </w:rPr>
        <w:t xml:space="preserve">perhaps </w:t>
      </w:r>
      <w:r w:rsidRPr="000E1B7E">
        <w:rPr>
          <w:rFonts w:ascii="Times New Roman" w:hAnsi="Times New Roman"/>
          <w:sz w:val="24"/>
          <w:szCs w:val="24"/>
        </w:rPr>
        <w:t xml:space="preserve">unrealistic, and not consistent with other elements of NDP II. For instance, with average real GDP growth during NDP II of </w:t>
      </w:r>
      <w:r w:rsidR="00ED0BFE" w:rsidRPr="000E1B7E">
        <w:rPr>
          <w:rFonts w:ascii="Times New Roman" w:hAnsi="Times New Roman"/>
          <w:sz w:val="24"/>
          <w:szCs w:val="24"/>
        </w:rPr>
        <w:t>6.3</w:t>
      </w:r>
      <w:r w:rsidRPr="000E1B7E">
        <w:rPr>
          <w:rFonts w:ascii="Times New Roman" w:hAnsi="Times New Roman"/>
          <w:sz w:val="24"/>
          <w:szCs w:val="24"/>
        </w:rPr>
        <w:t>%, and average annual population growth of 2.8%, the projected increase in real GDP per capita in UGX terms during NDP II was 3.</w:t>
      </w:r>
      <w:r w:rsidR="00ED0BFE" w:rsidRPr="000E1B7E">
        <w:rPr>
          <w:rFonts w:ascii="Times New Roman" w:hAnsi="Times New Roman"/>
          <w:sz w:val="24"/>
          <w:szCs w:val="24"/>
        </w:rPr>
        <w:t>5</w:t>
      </w:r>
      <w:r w:rsidRPr="000E1B7E">
        <w:rPr>
          <w:rFonts w:ascii="Times New Roman" w:hAnsi="Times New Roman"/>
          <w:sz w:val="24"/>
          <w:szCs w:val="24"/>
        </w:rPr>
        <w:t xml:space="preserve">% a year. However, the increase in per capita GDP in USD terms required to achieve the </w:t>
      </w:r>
      <w:r w:rsidR="00731DDD" w:rsidRPr="000E1B7E">
        <w:rPr>
          <w:rFonts w:ascii="Times New Roman" w:hAnsi="Times New Roman"/>
          <w:sz w:val="24"/>
          <w:szCs w:val="24"/>
        </w:rPr>
        <w:t>lower middle income</w:t>
      </w:r>
      <w:r w:rsidRPr="000E1B7E">
        <w:rPr>
          <w:rFonts w:ascii="Times New Roman" w:hAnsi="Times New Roman"/>
          <w:sz w:val="24"/>
          <w:szCs w:val="24"/>
        </w:rPr>
        <w:t>target by the end of NDP II was 5.5% a year.</w:t>
      </w:r>
      <w:r w:rsidR="00ED0BFE" w:rsidRPr="000E1B7E">
        <w:rPr>
          <w:rFonts w:ascii="Times New Roman" w:hAnsi="Times New Roman"/>
          <w:sz w:val="24"/>
          <w:szCs w:val="24"/>
        </w:rPr>
        <w:t xml:space="preserve">Achieving this would require a high level of stability in the UGX/USD exchange rate, as well as a dramatic reduction in the population growth rate. </w:t>
      </w:r>
    </w:p>
    <w:p w14:paraId="5D025AB2" w14:textId="77777777" w:rsidR="00A40C1E" w:rsidRPr="000E1B7E" w:rsidRDefault="00EB11DF" w:rsidP="00C11847">
      <w:pPr>
        <w:pStyle w:val="DeltaSeched2"/>
      </w:pPr>
      <w:bookmarkStart w:id="64" w:name="_Toc3478375"/>
      <w:bookmarkStart w:id="65" w:name="_Toc11956260"/>
      <w:r w:rsidRPr="000E1B7E">
        <w:t>Improvement in Competitiveness of the Ugandan Economy</w:t>
      </w:r>
      <w:bookmarkEnd w:id="64"/>
      <w:bookmarkEnd w:id="65"/>
    </w:p>
    <w:p w14:paraId="3E5E4D7C" w14:textId="77777777" w:rsidR="00EB11DF" w:rsidRPr="000E1B7E" w:rsidRDefault="00E95DF2"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Global </w:t>
      </w:r>
      <w:r w:rsidR="00E747DE" w:rsidRPr="000E1B7E">
        <w:rPr>
          <w:rFonts w:ascii="Times New Roman" w:hAnsi="Times New Roman"/>
          <w:sz w:val="24"/>
          <w:szCs w:val="24"/>
        </w:rPr>
        <w:t xml:space="preserve">Competitiveness </w:t>
      </w:r>
      <w:r w:rsidRPr="000E1B7E">
        <w:rPr>
          <w:rFonts w:ascii="Times New Roman" w:hAnsi="Times New Roman"/>
          <w:sz w:val="24"/>
          <w:szCs w:val="24"/>
        </w:rPr>
        <w:t xml:space="preserve">and Doing Business indices are useful indicators for </w:t>
      </w:r>
      <w:r w:rsidR="00DC1D3C" w:rsidRPr="000E1B7E">
        <w:rPr>
          <w:rFonts w:ascii="Times New Roman" w:hAnsi="Times New Roman"/>
          <w:sz w:val="24"/>
          <w:szCs w:val="24"/>
        </w:rPr>
        <w:t xml:space="preserve">assessing </w:t>
      </w:r>
      <w:r w:rsidRPr="000E1B7E">
        <w:rPr>
          <w:rFonts w:ascii="Times New Roman" w:hAnsi="Times New Roman"/>
          <w:sz w:val="24"/>
          <w:szCs w:val="24"/>
        </w:rPr>
        <w:t xml:space="preserve">the quality of Uganda’s business environment. The indices are useful in benchmarking the economy’s standing based on </w:t>
      </w:r>
      <w:r w:rsidR="00DC1D3C" w:rsidRPr="000E1B7E">
        <w:rPr>
          <w:rFonts w:ascii="Times New Roman" w:hAnsi="Times New Roman"/>
          <w:sz w:val="24"/>
          <w:szCs w:val="24"/>
        </w:rPr>
        <w:t xml:space="preserve">standardised </w:t>
      </w:r>
      <w:r w:rsidRPr="000E1B7E">
        <w:rPr>
          <w:rFonts w:ascii="Times New Roman" w:hAnsi="Times New Roman"/>
          <w:sz w:val="24"/>
          <w:szCs w:val="24"/>
        </w:rPr>
        <w:t xml:space="preserve">indicators </w:t>
      </w:r>
      <w:r w:rsidR="00DC1D3C" w:rsidRPr="000E1B7E">
        <w:rPr>
          <w:rFonts w:ascii="Times New Roman" w:hAnsi="Times New Roman"/>
          <w:sz w:val="24"/>
          <w:szCs w:val="24"/>
        </w:rPr>
        <w:t xml:space="preserve">across countries </w:t>
      </w:r>
      <w:r w:rsidRPr="000E1B7E">
        <w:rPr>
          <w:rFonts w:ascii="Times New Roman" w:hAnsi="Times New Roman"/>
          <w:sz w:val="24"/>
          <w:szCs w:val="24"/>
        </w:rPr>
        <w:t>and therefore guide where policy and budget allocation</w:t>
      </w:r>
      <w:r w:rsidR="00DC1D3C" w:rsidRPr="000E1B7E">
        <w:rPr>
          <w:rFonts w:ascii="Times New Roman" w:hAnsi="Times New Roman"/>
          <w:sz w:val="24"/>
          <w:szCs w:val="24"/>
        </w:rPr>
        <w:t>s</w:t>
      </w:r>
      <w:r w:rsidRPr="000E1B7E">
        <w:rPr>
          <w:rFonts w:ascii="Times New Roman" w:hAnsi="Times New Roman"/>
          <w:sz w:val="24"/>
          <w:szCs w:val="24"/>
        </w:rPr>
        <w:t xml:space="preserve"> should focus</w:t>
      </w:r>
      <w:r w:rsidR="00DC1D3C" w:rsidRPr="000E1B7E">
        <w:rPr>
          <w:rFonts w:ascii="Times New Roman" w:hAnsi="Times New Roman"/>
          <w:sz w:val="24"/>
          <w:szCs w:val="24"/>
        </w:rPr>
        <w:t>, from the perspective of competitiveness and the business environment</w:t>
      </w:r>
      <w:r w:rsidRPr="000E1B7E">
        <w:rPr>
          <w:rFonts w:ascii="Times New Roman" w:hAnsi="Times New Roman"/>
          <w:sz w:val="24"/>
          <w:szCs w:val="24"/>
        </w:rPr>
        <w:t xml:space="preserve">. </w:t>
      </w:r>
      <w:r w:rsidR="003F28C0" w:rsidRPr="000E1B7E">
        <w:rPr>
          <w:rFonts w:ascii="Times New Roman" w:hAnsi="Times New Roman"/>
          <w:sz w:val="24"/>
          <w:szCs w:val="24"/>
        </w:rPr>
        <w:t xml:space="preserve">The assessment of </w:t>
      </w:r>
      <w:r w:rsidR="00DC1D3C" w:rsidRPr="000E1B7E">
        <w:rPr>
          <w:rFonts w:ascii="Times New Roman" w:hAnsi="Times New Roman"/>
          <w:sz w:val="24"/>
          <w:szCs w:val="24"/>
        </w:rPr>
        <w:t xml:space="preserve">changes </w:t>
      </w:r>
      <w:r w:rsidR="003F28C0" w:rsidRPr="000E1B7E">
        <w:rPr>
          <w:rFonts w:ascii="Times New Roman" w:hAnsi="Times New Roman"/>
          <w:sz w:val="24"/>
          <w:szCs w:val="24"/>
        </w:rPr>
        <w:t xml:space="preserve">in Uganda’s competitiveness </w:t>
      </w:r>
      <w:r w:rsidR="00DC1D3C" w:rsidRPr="000E1B7E">
        <w:rPr>
          <w:rFonts w:ascii="Times New Roman" w:hAnsi="Times New Roman"/>
          <w:sz w:val="24"/>
          <w:szCs w:val="24"/>
        </w:rPr>
        <w:t xml:space="preserve">during </w:t>
      </w:r>
      <w:r w:rsidR="003F28C0" w:rsidRPr="000E1B7E">
        <w:rPr>
          <w:rFonts w:ascii="Times New Roman" w:hAnsi="Times New Roman"/>
          <w:sz w:val="24"/>
          <w:szCs w:val="24"/>
        </w:rPr>
        <w:t xml:space="preserve">NDP II </w:t>
      </w:r>
      <w:r w:rsidR="00DC1D3C" w:rsidRPr="000E1B7E">
        <w:rPr>
          <w:rFonts w:ascii="Times New Roman" w:hAnsi="Times New Roman"/>
          <w:sz w:val="24"/>
          <w:szCs w:val="24"/>
        </w:rPr>
        <w:t xml:space="preserve">to date </w:t>
      </w:r>
      <w:r w:rsidR="003F28C0" w:rsidRPr="000E1B7E">
        <w:rPr>
          <w:rFonts w:ascii="Times New Roman" w:hAnsi="Times New Roman"/>
          <w:sz w:val="24"/>
          <w:szCs w:val="24"/>
        </w:rPr>
        <w:t xml:space="preserve">has been done within the framework of three international indices, explained below. </w:t>
      </w:r>
    </w:p>
    <w:p w14:paraId="42CF5A53" w14:textId="77777777" w:rsidR="00DA3B42" w:rsidRPr="000E1B7E" w:rsidRDefault="003F28C0" w:rsidP="00F85D24">
      <w:pPr>
        <w:pStyle w:val="Heading3"/>
        <w:numPr>
          <w:ilvl w:val="2"/>
          <w:numId w:val="22"/>
        </w:numPr>
        <w:ind w:left="709" w:hanging="709"/>
        <w:rPr>
          <w:rFonts w:ascii="Times New Roman" w:hAnsi="Times New Roman"/>
          <w:iCs/>
          <w:color w:val="auto"/>
          <w:sz w:val="24"/>
          <w:szCs w:val="24"/>
        </w:rPr>
      </w:pPr>
      <w:bookmarkStart w:id="66" w:name="_Toc469396736"/>
      <w:bookmarkStart w:id="67" w:name="_Toc529345713"/>
      <w:bookmarkStart w:id="68" w:name="_Toc3478376"/>
      <w:r w:rsidRPr="000E1B7E">
        <w:rPr>
          <w:rFonts w:ascii="Times New Roman" w:hAnsi="Times New Roman"/>
          <w:iCs/>
          <w:color w:val="auto"/>
          <w:sz w:val="24"/>
          <w:szCs w:val="24"/>
        </w:rPr>
        <w:t>Uganda’s Global Doing Business Rankings</w:t>
      </w:r>
      <w:r w:rsidRPr="000E1B7E">
        <w:rPr>
          <w:rFonts w:ascii="Times New Roman" w:hAnsi="Times New Roman"/>
          <w:iCs/>
          <w:color w:val="auto"/>
          <w:sz w:val="24"/>
          <w:szCs w:val="24"/>
          <w:vertAlign w:val="superscript"/>
        </w:rPr>
        <w:footnoteReference w:id="2"/>
      </w:r>
      <w:bookmarkEnd w:id="66"/>
      <w:bookmarkEnd w:id="67"/>
      <w:bookmarkEnd w:id="68"/>
    </w:p>
    <w:p w14:paraId="27C8F88C" w14:textId="77777777" w:rsidR="003F28C0" w:rsidRPr="000E1B7E" w:rsidRDefault="003F28C0"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Doing Business rankings conducted by the World Bank shows that the business environment in Uganda has improved </w:t>
      </w:r>
      <w:r w:rsidR="00DC1D3C" w:rsidRPr="000E1B7E">
        <w:rPr>
          <w:rFonts w:ascii="Times New Roman" w:hAnsi="Times New Roman"/>
          <w:sz w:val="24"/>
          <w:szCs w:val="24"/>
        </w:rPr>
        <w:t xml:space="preserve">more slowly </w:t>
      </w:r>
      <w:r w:rsidRPr="000E1B7E">
        <w:rPr>
          <w:rFonts w:ascii="Times New Roman" w:hAnsi="Times New Roman"/>
          <w:sz w:val="24"/>
          <w:szCs w:val="24"/>
        </w:rPr>
        <w:t xml:space="preserve">than comparative economies across the world. The rankings </w:t>
      </w:r>
      <w:r w:rsidR="00DC1D3C" w:rsidRPr="000E1B7E">
        <w:rPr>
          <w:rFonts w:ascii="Times New Roman" w:hAnsi="Times New Roman"/>
          <w:sz w:val="24"/>
          <w:szCs w:val="24"/>
        </w:rPr>
        <w:t xml:space="preserve">are </w:t>
      </w:r>
      <w:r w:rsidRPr="000E1B7E">
        <w:rPr>
          <w:rFonts w:ascii="Times New Roman" w:hAnsi="Times New Roman"/>
          <w:sz w:val="24"/>
          <w:szCs w:val="24"/>
        </w:rPr>
        <w:t xml:space="preserve">based on ten topics in the life cycle of a business: starting a business, dealing with construction permits, getting electricity, registering property, getting credit, protecting minority investors, paying taxes, trading across borders, enforcing contracts, resolving insolvency and labour market regulation. </w:t>
      </w:r>
    </w:p>
    <w:p w14:paraId="63F3D6E4" w14:textId="77777777" w:rsidR="003F28C0" w:rsidRPr="000E1B7E" w:rsidRDefault="000D0688"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At the end of NDP I, Uganda’s ease of doing business ranking was 135</w:t>
      </w:r>
      <w:r w:rsidRPr="000E1B7E">
        <w:rPr>
          <w:rFonts w:ascii="Times New Roman" w:hAnsi="Times New Roman"/>
          <w:sz w:val="24"/>
          <w:szCs w:val="24"/>
          <w:vertAlign w:val="superscript"/>
        </w:rPr>
        <w:t>th</w:t>
      </w:r>
      <w:r w:rsidRPr="000E1B7E">
        <w:rPr>
          <w:rFonts w:ascii="Times New Roman" w:hAnsi="Times New Roman"/>
          <w:sz w:val="24"/>
          <w:szCs w:val="24"/>
        </w:rPr>
        <w:t xml:space="preserve"> out of 189 countries. </w:t>
      </w:r>
      <w:r w:rsidR="00DC1D3C" w:rsidRPr="000E1B7E">
        <w:rPr>
          <w:rFonts w:ascii="Times New Roman" w:hAnsi="Times New Roman"/>
          <w:sz w:val="24"/>
          <w:szCs w:val="24"/>
        </w:rPr>
        <w:t xml:space="preserve">The </w:t>
      </w:r>
      <w:r w:rsidR="003F28C0" w:rsidRPr="000E1B7E">
        <w:rPr>
          <w:rFonts w:ascii="Times New Roman" w:hAnsi="Times New Roman"/>
          <w:sz w:val="24"/>
          <w:szCs w:val="24"/>
        </w:rPr>
        <w:t>NDP II target was for Uganda to attain the rank of 120</w:t>
      </w:r>
      <w:r w:rsidR="003F28C0" w:rsidRPr="000E1B7E">
        <w:rPr>
          <w:rFonts w:ascii="Times New Roman" w:hAnsi="Times New Roman"/>
          <w:sz w:val="24"/>
          <w:szCs w:val="24"/>
          <w:vertAlign w:val="superscript"/>
        </w:rPr>
        <w:t>th</w:t>
      </w:r>
      <w:r w:rsidR="003F28C0" w:rsidRPr="000E1B7E">
        <w:rPr>
          <w:rFonts w:ascii="Times New Roman" w:hAnsi="Times New Roman"/>
          <w:sz w:val="24"/>
          <w:szCs w:val="24"/>
        </w:rPr>
        <w:t xml:space="preserve"> out of 189 countries by 2017/18, but according to the 2019 Doing business report, Uganda was ranked 127</w:t>
      </w:r>
      <w:r w:rsidR="003F28C0" w:rsidRPr="000E1B7E">
        <w:rPr>
          <w:rFonts w:ascii="Times New Roman" w:hAnsi="Times New Roman"/>
          <w:sz w:val="24"/>
          <w:szCs w:val="24"/>
          <w:vertAlign w:val="superscript"/>
        </w:rPr>
        <w:t>th</w:t>
      </w:r>
      <w:r w:rsidR="00F5559D" w:rsidRPr="000E1B7E">
        <w:rPr>
          <w:rFonts w:ascii="Times New Roman" w:hAnsi="Times New Roman"/>
          <w:sz w:val="24"/>
          <w:szCs w:val="24"/>
        </w:rPr>
        <w:t xml:space="preserve"> of 190 countries. </w:t>
      </w:r>
      <w:r w:rsidR="00C3202E" w:rsidRPr="000E1B7E">
        <w:rPr>
          <w:rFonts w:ascii="Times New Roman" w:hAnsi="Times New Roman"/>
          <w:sz w:val="24"/>
          <w:szCs w:val="24"/>
        </w:rPr>
        <w:t>Therefore</w:t>
      </w:r>
      <w:r w:rsidR="00F5559D" w:rsidRPr="000E1B7E">
        <w:rPr>
          <w:rFonts w:ascii="Times New Roman" w:hAnsi="Times New Roman"/>
          <w:sz w:val="24"/>
          <w:szCs w:val="24"/>
        </w:rPr>
        <w:t xml:space="preserve">, over the first three years of NDP II, Uganda </w:t>
      </w:r>
      <w:r w:rsidR="00F5559D" w:rsidRPr="000E1B7E">
        <w:rPr>
          <w:rFonts w:ascii="Times New Roman" w:hAnsi="Times New Roman"/>
          <w:sz w:val="24"/>
          <w:szCs w:val="24"/>
        </w:rPr>
        <w:lastRenderedPageBreak/>
        <w:t xml:space="preserve">has improved her ranking by 8 positions but is </w:t>
      </w:r>
      <w:r w:rsidR="00014B68" w:rsidRPr="000E1B7E">
        <w:rPr>
          <w:rFonts w:ascii="Times New Roman" w:hAnsi="Times New Roman"/>
          <w:sz w:val="24"/>
          <w:szCs w:val="24"/>
        </w:rPr>
        <w:t xml:space="preserve">nevertheless </w:t>
      </w:r>
      <w:r w:rsidR="00F5559D" w:rsidRPr="000E1B7E">
        <w:rPr>
          <w:rFonts w:ascii="Times New Roman" w:hAnsi="Times New Roman"/>
          <w:sz w:val="24"/>
          <w:szCs w:val="24"/>
        </w:rPr>
        <w:t xml:space="preserve">lagging behind the target by 7 positions. </w:t>
      </w:r>
      <w:r w:rsidR="00014B68" w:rsidRPr="000E1B7E">
        <w:rPr>
          <w:rFonts w:ascii="Times New Roman" w:hAnsi="Times New Roman"/>
          <w:sz w:val="24"/>
          <w:szCs w:val="24"/>
        </w:rPr>
        <w:t xml:space="preserve">In other words, the quality of the business environment has improved (in relative terms), but not by as much as hoped – perhaps because other countries have improved faster. </w:t>
      </w:r>
      <w:r w:rsidR="003F28C0" w:rsidRPr="000E1B7E">
        <w:rPr>
          <w:rFonts w:ascii="Times New Roman" w:hAnsi="Times New Roman"/>
          <w:sz w:val="24"/>
          <w:szCs w:val="24"/>
        </w:rPr>
        <w:t xml:space="preserve">Uganda’s ranking out of 190 countries over the </w:t>
      </w:r>
      <w:r w:rsidR="00F5559D" w:rsidRPr="000E1B7E">
        <w:rPr>
          <w:rFonts w:ascii="Times New Roman" w:hAnsi="Times New Roman"/>
          <w:sz w:val="24"/>
          <w:szCs w:val="24"/>
        </w:rPr>
        <w:t xml:space="preserve">first three years of NDP II are </w:t>
      </w:r>
      <w:r w:rsidR="003F28C0" w:rsidRPr="000E1B7E">
        <w:rPr>
          <w:rFonts w:ascii="Times New Roman" w:hAnsi="Times New Roman"/>
          <w:sz w:val="24"/>
          <w:szCs w:val="24"/>
        </w:rPr>
        <w:t xml:space="preserve">summarized in the table </w:t>
      </w:r>
      <w:r w:rsidR="004A47A6" w:rsidRPr="000E1B7E">
        <w:rPr>
          <w:rFonts w:ascii="Times New Roman" w:hAnsi="Times New Roman"/>
          <w:sz w:val="24"/>
          <w:szCs w:val="24"/>
        </w:rPr>
        <w:t xml:space="preserve">7 </w:t>
      </w:r>
      <w:r w:rsidR="003F28C0" w:rsidRPr="000E1B7E">
        <w:rPr>
          <w:rFonts w:ascii="Times New Roman" w:hAnsi="Times New Roman"/>
          <w:sz w:val="24"/>
          <w:szCs w:val="24"/>
        </w:rPr>
        <w:t>below.</w:t>
      </w:r>
    </w:p>
    <w:p w14:paraId="1C87E656" w14:textId="77777777" w:rsidR="004A47A6" w:rsidRPr="000E1B7E" w:rsidRDefault="004A47A6" w:rsidP="005959B5">
      <w:pPr>
        <w:jc w:val="both"/>
        <w:rPr>
          <w:b/>
        </w:rPr>
      </w:pPr>
    </w:p>
    <w:p w14:paraId="249C2E3C" w14:textId="77777777" w:rsidR="003F28C0" w:rsidRPr="000E1B7E" w:rsidRDefault="00DA3B42" w:rsidP="00DA3B42">
      <w:pPr>
        <w:pStyle w:val="Caption"/>
        <w:rPr>
          <w:rFonts w:ascii="Times New Roman" w:eastAsia="Calibri" w:hAnsi="Times New Roman" w:cs="Times New Roman"/>
          <w:b/>
          <w:i w:val="0"/>
          <w:iCs w:val="0"/>
          <w:color w:val="auto"/>
          <w:sz w:val="24"/>
          <w:szCs w:val="24"/>
          <w:lang w:val="en-GB"/>
        </w:rPr>
      </w:pPr>
      <w:bookmarkStart w:id="69" w:name="_Toc3483117"/>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7</w:t>
      </w:r>
      <w:r w:rsidR="001232BF" w:rsidRPr="000E1B7E">
        <w:rPr>
          <w:rFonts w:ascii="Times New Roman" w:eastAsia="Calibri" w:hAnsi="Times New Roman" w:cs="Times New Roman"/>
          <w:b/>
          <w:i w:val="0"/>
          <w:iCs w:val="0"/>
          <w:color w:val="auto"/>
          <w:sz w:val="24"/>
          <w:szCs w:val="24"/>
          <w:lang w:val="en-GB"/>
        </w:rPr>
        <w:fldChar w:fldCharType="end"/>
      </w:r>
      <w:r w:rsidR="003F28C0" w:rsidRPr="000E1B7E">
        <w:rPr>
          <w:rFonts w:ascii="Times New Roman" w:eastAsia="Calibri" w:hAnsi="Times New Roman" w:cs="Times New Roman"/>
          <w:b/>
          <w:i w:val="0"/>
          <w:iCs w:val="0"/>
          <w:color w:val="auto"/>
          <w:sz w:val="24"/>
          <w:szCs w:val="24"/>
          <w:lang w:val="en-GB"/>
        </w:rPr>
        <w:t>: Uganda’s Doing Business Ranking Across the Ten Topics</w:t>
      </w:r>
      <w:bookmarkEnd w:id="69"/>
    </w:p>
    <w:tbl>
      <w:tblPr>
        <w:tblStyle w:val="LightGrid2"/>
        <w:tblW w:w="4419" w:type="pct"/>
        <w:tblLook w:val="04A0" w:firstRow="1" w:lastRow="0" w:firstColumn="1" w:lastColumn="0" w:noHBand="0" w:noVBand="1"/>
      </w:tblPr>
      <w:tblGrid>
        <w:gridCol w:w="3293"/>
        <w:gridCol w:w="1619"/>
        <w:gridCol w:w="1446"/>
        <w:gridCol w:w="1602"/>
      </w:tblGrid>
      <w:tr w:rsidR="00F5559D" w:rsidRPr="000E1B7E" w14:paraId="04AC4478" w14:textId="77777777" w:rsidTr="00F555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16A68818" w14:textId="77777777" w:rsidR="00F5559D" w:rsidRPr="000E1B7E" w:rsidRDefault="00F5559D" w:rsidP="005959B5">
            <w:pPr>
              <w:jc w:val="both"/>
              <w:rPr>
                <w:rFonts w:ascii="Times New Roman" w:hAnsi="Times New Roman" w:cs="Times New Roman"/>
                <w:bCs w:val="0"/>
              </w:rPr>
            </w:pPr>
            <w:r w:rsidRPr="000E1B7E">
              <w:rPr>
                <w:rFonts w:ascii="Times New Roman" w:hAnsi="Times New Roman" w:cs="Times New Roman"/>
                <w:bCs w:val="0"/>
              </w:rPr>
              <w:t>Topics</w:t>
            </w:r>
          </w:p>
        </w:tc>
        <w:tc>
          <w:tcPr>
            <w:tcW w:w="1017" w:type="pct"/>
          </w:tcPr>
          <w:p w14:paraId="0DBFC176" w14:textId="77777777" w:rsidR="00F5559D" w:rsidRPr="000E1B7E" w:rsidRDefault="00F5559D" w:rsidP="005959B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bCs w:val="0"/>
              </w:rPr>
              <w:t>DB 2015 Rank</w:t>
            </w:r>
            <w:r w:rsidRPr="000E1B7E">
              <w:rPr>
                <w:rStyle w:val="FootnoteReference"/>
                <w:rFonts w:ascii="Times New Roman" w:hAnsi="Times New Roman" w:cs="Times New Roman"/>
              </w:rPr>
              <w:footnoteReference w:id="3"/>
            </w:r>
            <w:r w:rsidRPr="000E1B7E">
              <w:rPr>
                <w:rFonts w:ascii="Times New Roman" w:hAnsi="Times New Roman" w:cs="Times New Roman"/>
                <w:bCs w:val="0"/>
              </w:rPr>
              <w:t xml:space="preserve"> (end of NDP I)</w:t>
            </w:r>
          </w:p>
        </w:tc>
        <w:tc>
          <w:tcPr>
            <w:tcW w:w="908" w:type="pct"/>
            <w:hideMark/>
          </w:tcPr>
          <w:p w14:paraId="106D7CF3" w14:textId="77777777" w:rsidR="00F5559D" w:rsidRPr="000E1B7E" w:rsidRDefault="00F5559D" w:rsidP="005959B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0E1B7E">
              <w:rPr>
                <w:rFonts w:ascii="Times New Roman" w:hAnsi="Times New Roman" w:cs="Times New Roman"/>
                <w:bCs w:val="0"/>
              </w:rPr>
              <w:t>DB 2019 Rank</w:t>
            </w:r>
          </w:p>
        </w:tc>
        <w:tc>
          <w:tcPr>
            <w:tcW w:w="1006" w:type="pct"/>
            <w:hideMark/>
          </w:tcPr>
          <w:p w14:paraId="535F28C7" w14:textId="77777777" w:rsidR="00F5559D" w:rsidRPr="000E1B7E" w:rsidRDefault="00F5559D" w:rsidP="005959B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sidRPr="000E1B7E">
              <w:rPr>
                <w:rFonts w:ascii="Times New Roman" w:hAnsi="Times New Roman" w:cs="Times New Roman"/>
                <w:bCs w:val="0"/>
              </w:rPr>
              <w:t>Change in Rank</w:t>
            </w:r>
          </w:p>
        </w:tc>
      </w:tr>
      <w:tr w:rsidR="00F5559D" w:rsidRPr="000E1B7E" w14:paraId="5F422A15" w14:textId="77777777" w:rsidTr="00F5559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8" w:type="pct"/>
            <w:hideMark/>
          </w:tcPr>
          <w:p w14:paraId="5FCB71D4"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Doing Business Rank</w:t>
            </w:r>
          </w:p>
        </w:tc>
        <w:tc>
          <w:tcPr>
            <w:tcW w:w="1017" w:type="pct"/>
          </w:tcPr>
          <w:p w14:paraId="1ADAC1BC"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135</w:t>
            </w:r>
          </w:p>
        </w:tc>
        <w:tc>
          <w:tcPr>
            <w:tcW w:w="908" w:type="pct"/>
            <w:hideMark/>
          </w:tcPr>
          <w:p w14:paraId="55471C77"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127</w:t>
            </w:r>
          </w:p>
        </w:tc>
        <w:tc>
          <w:tcPr>
            <w:tcW w:w="1006" w:type="pct"/>
            <w:hideMark/>
          </w:tcPr>
          <w:p w14:paraId="241BF2E6"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8</w:t>
            </w:r>
            <w:r w:rsidRPr="000E1B7E">
              <w:rPr>
                <w:noProof/>
                <w:lang w:eastAsia="en-GB"/>
              </w:rPr>
              <w:drawing>
                <wp:inline distT="0" distB="0" distL="0" distR="0" wp14:anchorId="70BB4BEC" wp14:editId="5C5C9F09">
                  <wp:extent cx="66675" cy="66675"/>
                  <wp:effectExtent l="19050" t="0" r="9525" b="0"/>
                  <wp:docPr id="149"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60AABE1E" w14:textId="77777777" w:rsidTr="00F55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0855613E"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Starting a Business   </w:t>
            </w:r>
          </w:p>
        </w:tc>
        <w:tc>
          <w:tcPr>
            <w:tcW w:w="1017" w:type="pct"/>
          </w:tcPr>
          <w:p w14:paraId="4E80336E"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168</w:t>
            </w:r>
          </w:p>
        </w:tc>
        <w:tc>
          <w:tcPr>
            <w:tcW w:w="908" w:type="pct"/>
            <w:hideMark/>
          </w:tcPr>
          <w:p w14:paraId="2741EDBC"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164</w:t>
            </w:r>
          </w:p>
        </w:tc>
        <w:tc>
          <w:tcPr>
            <w:tcW w:w="1006" w:type="pct"/>
            <w:hideMark/>
          </w:tcPr>
          <w:p w14:paraId="274A18EB"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4</w:t>
            </w:r>
            <w:r w:rsidRPr="000E1B7E">
              <w:rPr>
                <w:noProof/>
                <w:lang w:eastAsia="en-GB"/>
              </w:rPr>
              <w:drawing>
                <wp:inline distT="0" distB="0" distL="0" distR="0" wp14:anchorId="684DF150" wp14:editId="112F6A20">
                  <wp:extent cx="66675" cy="66675"/>
                  <wp:effectExtent l="19050" t="0" r="9525" b="0"/>
                  <wp:docPr id="139"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64D135D7" w14:textId="77777777" w:rsidTr="00F5559D">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068" w:type="pct"/>
            <w:hideMark/>
          </w:tcPr>
          <w:p w14:paraId="114C816F"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Dealing with Construction Permits</w:t>
            </w:r>
          </w:p>
        </w:tc>
        <w:tc>
          <w:tcPr>
            <w:tcW w:w="1017" w:type="pct"/>
          </w:tcPr>
          <w:p w14:paraId="3F0E2E74"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166</w:t>
            </w:r>
          </w:p>
        </w:tc>
        <w:tc>
          <w:tcPr>
            <w:tcW w:w="908" w:type="pct"/>
            <w:hideMark/>
          </w:tcPr>
          <w:p w14:paraId="1E18FBA6"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145</w:t>
            </w:r>
          </w:p>
        </w:tc>
        <w:tc>
          <w:tcPr>
            <w:tcW w:w="1006" w:type="pct"/>
            <w:hideMark/>
          </w:tcPr>
          <w:p w14:paraId="3F7ACB2C"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21</w:t>
            </w:r>
            <w:r w:rsidRPr="000E1B7E">
              <w:rPr>
                <w:noProof/>
                <w:lang w:eastAsia="en-GB"/>
              </w:rPr>
              <w:drawing>
                <wp:inline distT="0" distB="0" distL="0" distR="0" wp14:anchorId="6306FBDB" wp14:editId="1DF8DD2C">
                  <wp:extent cx="66675" cy="66675"/>
                  <wp:effectExtent l="19050" t="0" r="9525" b="0"/>
                  <wp:docPr id="140"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080E9F14" w14:textId="77777777" w:rsidTr="00F55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490B77A9"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Getting Electricity   </w:t>
            </w:r>
          </w:p>
        </w:tc>
        <w:tc>
          <w:tcPr>
            <w:tcW w:w="1017" w:type="pct"/>
          </w:tcPr>
          <w:p w14:paraId="57FA6037"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172</w:t>
            </w:r>
          </w:p>
        </w:tc>
        <w:tc>
          <w:tcPr>
            <w:tcW w:w="908" w:type="pct"/>
            <w:hideMark/>
          </w:tcPr>
          <w:p w14:paraId="3B4A054F"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175</w:t>
            </w:r>
          </w:p>
        </w:tc>
        <w:tc>
          <w:tcPr>
            <w:tcW w:w="1006" w:type="pct"/>
            <w:hideMark/>
          </w:tcPr>
          <w:p w14:paraId="21BA6DAF"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-3</w:t>
            </w:r>
            <w:r w:rsidRPr="000E1B7E">
              <w:rPr>
                <w:noProof/>
                <w:lang w:eastAsia="en-GB"/>
              </w:rPr>
              <w:drawing>
                <wp:inline distT="0" distB="0" distL="0" distR="0" wp14:anchorId="6F49A7F0" wp14:editId="77BCA2E9">
                  <wp:extent cx="66675" cy="66675"/>
                  <wp:effectExtent l="19050" t="0" r="9525" b="0"/>
                  <wp:docPr id="141" name="Picture 4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p"/>
                          <pic:cNvPicPr>
                            <a:picLocks noChangeAspect="1" noChangeArrowheads="1"/>
                          </pic:cNvPicPr>
                        </pic:nvPicPr>
                        <pic:blipFill>
                          <a:blip r:embed="rId20"/>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5C80E5CA" w14:textId="77777777" w:rsidTr="00F55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33F98733"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Registering Property</w:t>
            </w:r>
          </w:p>
        </w:tc>
        <w:tc>
          <w:tcPr>
            <w:tcW w:w="1017" w:type="pct"/>
          </w:tcPr>
          <w:p w14:paraId="06C48D91"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118</w:t>
            </w:r>
          </w:p>
        </w:tc>
        <w:tc>
          <w:tcPr>
            <w:tcW w:w="908" w:type="pct"/>
            <w:hideMark/>
          </w:tcPr>
          <w:p w14:paraId="3D77A594"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126</w:t>
            </w:r>
          </w:p>
        </w:tc>
        <w:tc>
          <w:tcPr>
            <w:tcW w:w="1006" w:type="pct"/>
            <w:hideMark/>
          </w:tcPr>
          <w:p w14:paraId="3217F78F"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-8</w:t>
            </w:r>
            <w:r w:rsidRPr="000E1B7E">
              <w:rPr>
                <w:noProof/>
                <w:lang w:eastAsia="en-GB"/>
              </w:rPr>
              <w:drawing>
                <wp:inline distT="0" distB="0" distL="0" distR="0" wp14:anchorId="1AC2C73F" wp14:editId="3D628671">
                  <wp:extent cx="66675" cy="66675"/>
                  <wp:effectExtent l="19050" t="0" r="9525" b="0"/>
                  <wp:docPr id="142" name="Picture 4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p"/>
                          <pic:cNvPicPr>
                            <a:picLocks noChangeAspect="1" noChangeArrowheads="1"/>
                          </pic:cNvPicPr>
                        </pic:nvPicPr>
                        <pic:blipFill>
                          <a:blip r:embed="rId20"/>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7B8CBD37" w14:textId="77777777" w:rsidTr="00F55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57FC631A"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Getting Credit   </w:t>
            </w:r>
          </w:p>
        </w:tc>
        <w:tc>
          <w:tcPr>
            <w:tcW w:w="1017" w:type="pct"/>
          </w:tcPr>
          <w:p w14:paraId="0872CBCB"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128</w:t>
            </w:r>
          </w:p>
        </w:tc>
        <w:tc>
          <w:tcPr>
            <w:tcW w:w="908" w:type="pct"/>
            <w:hideMark/>
          </w:tcPr>
          <w:p w14:paraId="3700DB13"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73</w:t>
            </w:r>
          </w:p>
        </w:tc>
        <w:tc>
          <w:tcPr>
            <w:tcW w:w="1006" w:type="pct"/>
            <w:hideMark/>
          </w:tcPr>
          <w:p w14:paraId="36E147D0"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55</w:t>
            </w:r>
            <w:r w:rsidRPr="000E1B7E">
              <w:rPr>
                <w:noProof/>
                <w:lang w:eastAsia="en-GB"/>
              </w:rPr>
              <w:drawing>
                <wp:inline distT="0" distB="0" distL="0" distR="0" wp14:anchorId="07CC6CA1" wp14:editId="48700C38">
                  <wp:extent cx="66675" cy="66675"/>
                  <wp:effectExtent l="19050" t="0" r="9525" b="0"/>
                  <wp:docPr id="150"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151C40B8" w14:textId="77777777" w:rsidTr="00F55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6143F232"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Protecting Minority Investors</w:t>
            </w:r>
          </w:p>
        </w:tc>
        <w:tc>
          <w:tcPr>
            <w:tcW w:w="1017" w:type="pct"/>
          </w:tcPr>
          <w:p w14:paraId="06AF54E4"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98</w:t>
            </w:r>
          </w:p>
        </w:tc>
        <w:tc>
          <w:tcPr>
            <w:tcW w:w="908" w:type="pct"/>
            <w:hideMark/>
          </w:tcPr>
          <w:p w14:paraId="0F585173"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110</w:t>
            </w:r>
          </w:p>
        </w:tc>
        <w:tc>
          <w:tcPr>
            <w:tcW w:w="1006" w:type="pct"/>
            <w:hideMark/>
          </w:tcPr>
          <w:p w14:paraId="4A39591B"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-12</w:t>
            </w:r>
            <w:r w:rsidRPr="000E1B7E">
              <w:rPr>
                <w:noProof/>
                <w:lang w:eastAsia="en-GB"/>
              </w:rPr>
              <w:drawing>
                <wp:inline distT="0" distB="0" distL="0" distR="0" wp14:anchorId="0D918EDF" wp14:editId="2422C247">
                  <wp:extent cx="66675" cy="66675"/>
                  <wp:effectExtent l="19050" t="0" r="9525" b="0"/>
                  <wp:docPr id="144" name="Picture 46"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p"/>
                          <pic:cNvPicPr>
                            <a:picLocks noChangeAspect="1" noChangeArrowheads="1"/>
                          </pic:cNvPicPr>
                        </pic:nvPicPr>
                        <pic:blipFill>
                          <a:blip r:embed="rId20"/>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6B4C2809" w14:textId="77777777" w:rsidTr="00F55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77EB997F"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Paying Taxes</w:t>
            </w:r>
          </w:p>
        </w:tc>
        <w:tc>
          <w:tcPr>
            <w:tcW w:w="1017" w:type="pct"/>
          </w:tcPr>
          <w:p w14:paraId="246CA85B"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101</w:t>
            </w:r>
          </w:p>
        </w:tc>
        <w:tc>
          <w:tcPr>
            <w:tcW w:w="908" w:type="pct"/>
            <w:hideMark/>
          </w:tcPr>
          <w:p w14:paraId="7783716A"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87</w:t>
            </w:r>
          </w:p>
        </w:tc>
        <w:tc>
          <w:tcPr>
            <w:tcW w:w="1006" w:type="pct"/>
            <w:hideMark/>
          </w:tcPr>
          <w:p w14:paraId="08A2DEDB"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14</w:t>
            </w:r>
            <w:r w:rsidRPr="000E1B7E">
              <w:rPr>
                <w:noProof/>
                <w:lang w:eastAsia="en-GB"/>
              </w:rPr>
              <w:drawing>
                <wp:inline distT="0" distB="0" distL="0" distR="0" wp14:anchorId="6483D949" wp14:editId="3133A7E7">
                  <wp:extent cx="66675" cy="66675"/>
                  <wp:effectExtent l="19050" t="0" r="9525" b="0"/>
                  <wp:docPr id="151"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6236947C" w14:textId="77777777" w:rsidTr="00F55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63A8CF1D"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Trading Across Borders</w:t>
            </w:r>
          </w:p>
        </w:tc>
        <w:tc>
          <w:tcPr>
            <w:tcW w:w="1017" w:type="pct"/>
          </w:tcPr>
          <w:p w14:paraId="5E1E7076"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126</w:t>
            </w:r>
          </w:p>
        </w:tc>
        <w:tc>
          <w:tcPr>
            <w:tcW w:w="908" w:type="pct"/>
            <w:hideMark/>
          </w:tcPr>
          <w:p w14:paraId="50CD5268"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119</w:t>
            </w:r>
          </w:p>
        </w:tc>
        <w:tc>
          <w:tcPr>
            <w:tcW w:w="1006" w:type="pct"/>
            <w:hideMark/>
          </w:tcPr>
          <w:p w14:paraId="6FDF3D10"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7</w:t>
            </w:r>
            <w:r w:rsidRPr="000E1B7E">
              <w:rPr>
                <w:noProof/>
                <w:lang w:eastAsia="en-GB"/>
              </w:rPr>
              <w:drawing>
                <wp:inline distT="0" distB="0" distL="0" distR="0" wp14:anchorId="25BD0F5A" wp14:editId="6102BFA4">
                  <wp:extent cx="66675" cy="66675"/>
                  <wp:effectExtent l="19050" t="0" r="9525" b="0"/>
                  <wp:docPr id="146"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38C93FC0" w14:textId="77777777" w:rsidTr="00F555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62EB34AF"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Enforcing Contracts</w:t>
            </w:r>
          </w:p>
        </w:tc>
        <w:tc>
          <w:tcPr>
            <w:tcW w:w="1017" w:type="pct"/>
          </w:tcPr>
          <w:p w14:paraId="7450FD08"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78</w:t>
            </w:r>
          </w:p>
        </w:tc>
        <w:tc>
          <w:tcPr>
            <w:tcW w:w="908" w:type="pct"/>
            <w:hideMark/>
          </w:tcPr>
          <w:p w14:paraId="6208057A"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71</w:t>
            </w:r>
          </w:p>
        </w:tc>
        <w:tc>
          <w:tcPr>
            <w:tcW w:w="1006" w:type="pct"/>
            <w:hideMark/>
          </w:tcPr>
          <w:p w14:paraId="68C716F9" w14:textId="77777777" w:rsidR="00F5559D" w:rsidRPr="000E1B7E" w:rsidRDefault="00F5559D"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E1B7E">
              <w:rPr>
                <w:rFonts w:ascii="Times New Roman" w:hAnsi="Times New Roman" w:cs="Times New Roman"/>
              </w:rPr>
              <w:t>7</w:t>
            </w:r>
            <w:r w:rsidRPr="000E1B7E">
              <w:rPr>
                <w:noProof/>
                <w:lang w:eastAsia="en-GB"/>
              </w:rPr>
              <w:drawing>
                <wp:inline distT="0" distB="0" distL="0" distR="0" wp14:anchorId="417EEF83" wp14:editId="3DB754E0">
                  <wp:extent cx="66675" cy="66675"/>
                  <wp:effectExtent l="19050" t="0" r="9525" b="0"/>
                  <wp:docPr id="152"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F5559D" w:rsidRPr="000E1B7E" w14:paraId="5DDDE114" w14:textId="77777777" w:rsidTr="00F555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8" w:type="pct"/>
            <w:hideMark/>
          </w:tcPr>
          <w:p w14:paraId="1B9F74CE" w14:textId="77777777" w:rsidR="00F5559D" w:rsidRPr="000E1B7E" w:rsidRDefault="00F5559D" w:rsidP="005959B5">
            <w:pPr>
              <w:jc w:val="both"/>
              <w:rPr>
                <w:rFonts w:ascii="Times New Roman" w:hAnsi="Times New Roman" w:cs="Times New Roman"/>
                <w:b w:val="0"/>
                <w:bCs w:val="0"/>
              </w:rPr>
            </w:pPr>
            <w:r w:rsidRPr="000E1B7E">
              <w:rPr>
                <w:rFonts w:ascii="Times New Roman" w:hAnsi="Times New Roman" w:cs="Times New Roman"/>
                <w:b w:val="0"/>
                <w:bCs w:val="0"/>
              </w:rPr>
              <w:t>Resolving Insolvency</w:t>
            </w:r>
          </w:p>
        </w:tc>
        <w:tc>
          <w:tcPr>
            <w:tcW w:w="1017" w:type="pct"/>
          </w:tcPr>
          <w:p w14:paraId="4F50C453"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106</w:t>
            </w:r>
          </w:p>
        </w:tc>
        <w:tc>
          <w:tcPr>
            <w:tcW w:w="908" w:type="pct"/>
            <w:hideMark/>
          </w:tcPr>
          <w:p w14:paraId="6888748C"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112</w:t>
            </w:r>
          </w:p>
        </w:tc>
        <w:tc>
          <w:tcPr>
            <w:tcW w:w="1006" w:type="pct"/>
            <w:hideMark/>
          </w:tcPr>
          <w:p w14:paraId="55EC1B3D" w14:textId="77777777" w:rsidR="00F5559D" w:rsidRPr="000E1B7E" w:rsidRDefault="00F5559D"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E1B7E">
              <w:rPr>
                <w:rFonts w:ascii="Times New Roman" w:hAnsi="Times New Roman" w:cs="Times New Roman"/>
              </w:rPr>
              <w:t>-6</w:t>
            </w:r>
            <w:r w:rsidRPr="000E1B7E">
              <w:rPr>
                <w:noProof/>
                <w:lang w:eastAsia="en-GB"/>
              </w:rPr>
              <w:drawing>
                <wp:inline distT="0" distB="0" distL="0" distR="0" wp14:anchorId="3D3FD883" wp14:editId="5561E9D6">
                  <wp:extent cx="66675" cy="66675"/>
                  <wp:effectExtent l="19050" t="0" r="9525" b="0"/>
                  <wp:docPr id="153" name="Picture 46"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up"/>
                          <pic:cNvPicPr>
                            <a:picLocks noChangeAspect="1" noChangeArrowheads="1"/>
                          </pic:cNvPicPr>
                        </pic:nvPicPr>
                        <pic:blipFill>
                          <a:blip r:embed="rId20"/>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bl>
    <w:p w14:paraId="2410A804" w14:textId="77777777" w:rsidR="003F28C0" w:rsidRPr="000E1B7E" w:rsidRDefault="003F28C0" w:rsidP="005959B5">
      <w:pPr>
        <w:pStyle w:val="ListParagraph"/>
        <w:spacing w:after="0" w:line="240" w:lineRule="auto"/>
        <w:ind w:left="0"/>
        <w:rPr>
          <w:rFonts w:ascii="Times New Roman" w:hAnsi="Times New Roman"/>
        </w:rPr>
      </w:pPr>
      <w:r w:rsidRPr="000E1B7E">
        <w:rPr>
          <w:rFonts w:ascii="Times New Roman" w:hAnsi="Times New Roman"/>
        </w:rPr>
        <w:t>Source: 2019 and 2018 Global Doing Business Reports by the World Bank</w:t>
      </w:r>
    </w:p>
    <w:p w14:paraId="2E0A5C93" w14:textId="77777777" w:rsidR="00210FFF" w:rsidRPr="000E1B7E" w:rsidRDefault="00210FFF" w:rsidP="005959B5">
      <w:pPr>
        <w:jc w:val="both"/>
      </w:pPr>
    </w:p>
    <w:p w14:paraId="5E8E32F1" w14:textId="77777777" w:rsidR="003F28C0" w:rsidRPr="000E1B7E" w:rsidRDefault="003F28C0"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Doing Business reforms implemented by Uganda over the years include:</w:t>
      </w:r>
    </w:p>
    <w:p w14:paraId="10452298"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t>Paying Taxes:</w:t>
      </w:r>
      <w:r w:rsidRPr="000E1B7E">
        <w:rPr>
          <w:rFonts w:ascii="Times New Roman" w:hAnsi="Times New Roman"/>
          <w:sz w:val="24"/>
          <w:szCs w:val="24"/>
        </w:rPr>
        <w:t xml:space="preserve"> Uganda eased Paying Taxes by reducing the time required for companies to prepare, file and pay value added tax through improved efficiency of taxpayer services (online portal transactions) and introduced paying taxes through banks. It simplified registration for a tax identification number and different taxes by introducing an online system.</w:t>
      </w:r>
    </w:p>
    <w:p w14:paraId="474CC8EE"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t>Trading across Borders</w:t>
      </w:r>
      <w:r w:rsidRPr="000E1B7E">
        <w:rPr>
          <w:rFonts w:ascii="Times New Roman" w:hAnsi="Times New Roman"/>
          <w:sz w:val="24"/>
          <w:szCs w:val="24"/>
        </w:rPr>
        <w:t xml:space="preserve">: Trading across borders was eased by reducing the time required for trading across borders through expanded operating hours of customs authorities, improvements in customs processes, improved border cooperation with other EAC counterparts with the construction and launch of </w:t>
      </w:r>
      <w:r w:rsidR="00014B68" w:rsidRPr="000E1B7E">
        <w:rPr>
          <w:rFonts w:ascii="Times New Roman" w:hAnsi="Times New Roman"/>
          <w:sz w:val="24"/>
          <w:szCs w:val="24"/>
        </w:rPr>
        <w:t xml:space="preserve">four One </w:t>
      </w:r>
      <w:r w:rsidRPr="000E1B7E">
        <w:rPr>
          <w:rFonts w:ascii="Times New Roman" w:hAnsi="Times New Roman"/>
          <w:sz w:val="24"/>
          <w:szCs w:val="24"/>
        </w:rPr>
        <w:t xml:space="preserve">Stop Border </w:t>
      </w:r>
      <w:r w:rsidRPr="000E1B7E">
        <w:rPr>
          <w:rFonts w:ascii="Times New Roman" w:hAnsi="Times New Roman"/>
          <w:sz w:val="24"/>
          <w:szCs w:val="24"/>
        </w:rPr>
        <w:lastRenderedPageBreak/>
        <w:t xml:space="preserve">Posts- Busia, Mirama Hills, Mutukula, Olegu. Uganda has also implemented the ASYCUDA World electronic system, which </w:t>
      </w:r>
      <w:r w:rsidRPr="000E1B7E">
        <w:rPr>
          <w:rFonts w:ascii="Times New Roman" w:eastAsiaTheme="minorHAnsi" w:hAnsi="Times New Roman"/>
          <w:color w:val="231F20"/>
          <w:sz w:val="24"/>
          <w:szCs w:val="24"/>
          <w:lang w:val="en-US"/>
        </w:rPr>
        <w:t>introduced or improved electronic submission and processing of documents for imports and exports</w:t>
      </w:r>
      <w:r w:rsidR="00014B68" w:rsidRPr="000E1B7E">
        <w:rPr>
          <w:rFonts w:ascii="Times New Roman" w:eastAsiaTheme="minorHAnsi" w:hAnsi="Times New Roman"/>
          <w:color w:val="231F20"/>
          <w:sz w:val="24"/>
          <w:szCs w:val="24"/>
          <w:lang w:val="en-US"/>
        </w:rPr>
        <w:t>.</w:t>
      </w:r>
      <w:r w:rsidRPr="000E1B7E">
        <w:rPr>
          <w:rFonts w:ascii="Times New Roman" w:eastAsiaTheme="minorHAnsi" w:hAnsi="Times New Roman"/>
          <w:color w:val="231F20"/>
          <w:sz w:val="24"/>
          <w:szCs w:val="24"/>
          <w:lang w:val="en-US"/>
        </w:rPr>
        <w:t xml:space="preserve">Uganda also reduced the time needed to export and import by further implementing the Single Customs Territory, as </w:t>
      </w:r>
      <w:r w:rsidR="00014B68" w:rsidRPr="000E1B7E">
        <w:rPr>
          <w:rFonts w:ascii="Times New Roman" w:eastAsiaTheme="minorHAnsi" w:hAnsi="Times New Roman"/>
          <w:color w:val="231F20"/>
          <w:sz w:val="24"/>
          <w:szCs w:val="24"/>
          <w:lang w:val="en-US"/>
        </w:rPr>
        <w:t xml:space="preserve">well </w:t>
      </w:r>
      <w:r w:rsidRPr="000E1B7E">
        <w:rPr>
          <w:rFonts w:ascii="Times New Roman" w:eastAsiaTheme="minorHAnsi" w:hAnsi="Times New Roman"/>
          <w:color w:val="231F20"/>
          <w:sz w:val="24"/>
          <w:szCs w:val="24"/>
          <w:lang w:val="en-US"/>
        </w:rPr>
        <w:t>as by developing the Uganda Electronic Single Window, which allows for electronic submission of documents as well as for exchange of information between trade agencies, developed the Centralized Document Processing Centre, and allowed electronic document submission and processing of certificates of origin online.</w:t>
      </w:r>
    </w:p>
    <w:p w14:paraId="67C536A3"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t>Access to credit:</w:t>
      </w:r>
      <w:r w:rsidRPr="000E1B7E">
        <w:rPr>
          <w:rFonts w:ascii="Times New Roman" w:hAnsi="Times New Roman"/>
          <w:sz w:val="24"/>
          <w:szCs w:val="24"/>
        </w:rPr>
        <w:t xml:space="preserve"> Uganda eased access to credit by establishing a credit reference bureau, and has expanded the credit bureau borrower coverage, thereby improving access to credit information.</w:t>
      </w:r>
    </w:p>
    <w:p w14:paraId="13CE05CD"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t>Enforcing Contracts</w:t>
      </w:r>
      <w:r w:rsidRPr="000E1B7E">
        <w:rPr>
          <w:rFonts w:ascii="Times New Roman" w:hAnsi="Times New Roman"/>
          <w:sz w:val="24"/>
          <w:szCs w:val="24"/>
        </w:rPr>
        <w:t xml:space="preserve">: Uganda implemented reforms that have improved the efficiency of its court system, greatly reducing the time to file and serve a claim. </w:t>
      </w:r>
    </w:p>
    <w:p w14:paraId="61C1433E"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t>Transferring property</w:t>
      </w:r>
      <w:r w:rsidRPr="000E1B7E">
        <w:rPr>
          <w:rFonts w:ascii="Times New Roman" w:hAnsi="Times New Roman"/>
          <w:sz w:val="24"/>
          <w:szCs w:val="24"/>
        </w:rPr>
        <w:t>: Uganda eased Registering Property by increasing the efficiency of property transfers by establishing performance standards and recruiting more officials at the land office, digitizing records at the land title registry, increasing efficiency at the assessor’s office and making it possible for more banks to accept the stamp duty payment.  Uganda also made transferring property easier by eliminating the need to have instruments of land transfer physically embossed to certify payment of the stamp duty.</w:t>
      </w:r>
    </w:p>
    <w:p w14:paraId="4E3D7D16"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t>Resolving insolvency</w:t>
      </w:r>
      <w:r w:rsidRPr="000E1B7E">
        <w:rPr>
          <w:rFonts w:ascii="Times New Roman" w:hAnsi="Times New Roman"/>
          <w:sz w:val="24"/>
          <w:szCs w:val="24"/>
        </w:rPr>
        <w:t>: Uganda strengthened its insolvency process by clarifying rules on the creation of mortgages, establishing the duties of mortgagors and mortgagees, defining priority rules, providing remedies for mortgagors and mortgagees and establishing the powers of receivers. Uganda also made resolving insolvency easier by consolidating all provisions related to corporate insolvency in one law, establishing provisions on the administration of companies (reorganization), clarifying standards on the professional qualifications of insolvency practitioners and introducing provisions allowing the avoidance of undervalued transactions.</w:t>
      </w:r>
    </w:p>
    <w:p w14:paraId="27F48D7C"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lastRenderedPageBreak/>
        <w:t>Starting a Business:</w:t>
      </w:r>
      <w:r w:rsidRPr="000E1B7E">
        <w:rPr>
          <w:rFonts w:ascii="Times New Roman" w:hAnsi="Times New Roman"/>
          <w:sz w:val="24"/>
          <w:szCs w:val="24"/>
        </w:rPr>
        <w:t xml:space="preserve"> Uganda made starting a business easier by introducing an online system for obtaining a trading license and by reducing business incorporation fees. </w:t>
      </w:r>
    </w:p>
    <w:p w14:paraId="6BE49560" w14:textId="77777777" w:rsidR="003F28C0" w:rsidRPr="000E1B7E" w:rsidRDefault="003F28C0" w:rsidP="00F85D24">
      <w:pPr>
        <w:pStyle w:val="ListParagraph"/>
        <w:numPr>
          <w:ilvl w:val="0"/>
          <w:numId w:val="12"/>
        </w:numPr>
        <w:spacing w:after="240" w:line="360" w:lineRule="auto"/>
        <w:ind w:left="1134" w:hanging="567"/>
        <w:rPr>
          <w:rFonts w:ascii="Times New Roman" w:hAnsi="Times New Roman"/>
          <w:sz w:val="24"/>
          <w:szCs w:val="24"/>
        </w:rPr>
      </w:pPr>
      <w:r w:rsidRPr="000E1B7E">
        <w:rPr>
          <w:rFonts w:ascii="Times New Roman" w:hAnsi="Times New Roman"/>
          <w:b/>
          <w:sz w:val="24"/>
          <w:szCs w:val="24"/>
        </w:rPr>
        <w:t>Getting Electricity</w:t>
      </w:r>
      <w:r w:rsidRPr="000E1B7E">
        <w:rPr>
          <w:rFonts w:ascii="Times New Roman" w:hAnsi="Times New Roman"/>
          <w:sz w:val="24"/>
          <w:szCs w:val="24"/>
        </w:rPr>
        <w:t xml:space="preserve">: The utility in Uganda reduced delays for new electricity connections by deploying more customer service engineers and reducing the time needed for the inspection and meter installation. </w:t>
      </w:r>
    </w:p>
    <w:p w14:paraId="3B438115" w14:textId="77777777" w:rsidR="003F28C0" w:rsidRPr="000E1B7E" w:rsidRDefault="003F28C0" w:rsidP="00F85D24">
      <w:pPr>
        <w:pStyle w:val="Heading3"/>
        <w:numPr>
          <w:ilvl w:val="2"/>
          <w:numId w:val="22"/>
        </w:numPr>
        <w:ind w:left="709" w:hanging="709"/>
        <w:rPr>
          <w:rFonts w:ascii="Times New Roman" w:hAnsi="Times New Roman"/>
          <w:color w:val="000000" w:themeColor="text1"/>
          <w:sz w:val="24"/>
          <w:szCs w:val="24"/>
        </w:rPr>
      </w:pPr>
      <w:bookmarkStart w:id="70" w:name="_Toc446709843"/>
      <w:bookmarkStart w:id="71" w:name="_Toc446710032"/>
      <w:bookmarkStart w:id="72" w:name="_Toc469396737"/>
      <w:bookmarkStart w:id="73" w:name="_Toc529345714"/>
      <w:bookmarkStart w:id="74" w:name="_Toc3478377"/>
      <w:r w:rsidRPr="000E1B7E">
        <w:rPr>
          <w:rFonts w:ascii="Times New Roman" w:hAnsi="Times New Roman"/>
          <w:color w:val="000000" w:themeColor="text1"/>
          <w:sz w:val="24"/>
          <w:szCs w:val="24"/>
        </w:rPr>
        <w:t>Global Competitiveness Ranking Index</w:t>
      </w:r>
      <w:bookmarkEnd w:id="70"/>
      <w:bookmarkEnd w:id="71"/>
      <w:r w:rsidRPr="000E1B7E">
        <w:rPr>
          <w:rStyle w:val="FootnoteReference"/>
          <w:rFonts w:ascii="Times New Roman" w:hAnsi="Times New Roman"/>
          <w:color w:val="000000" w:themeColor="text1"/>
          <w:sz w:val="24"/>
          <w:szCs w:val="24"/>
        </w:rPr>
        <w:footnoteReference w:id="4"/>
      </w:r>
      <w:bookmarkEnd w:id="72"/>
      <w:bookmarkEnd w:id="73"/>
      <w:bookmarkEnd w:id="74"/>
    </w:p>
    <w:p w14:paraId="27BBCA30" w14:textId="77777777" w:rsidR="003F28C0" w:rsidRPr="000E1B7E" w:rsidRDefault="003F28C0"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The Global Competitiveness Index (GCI) report</w:t>
      </w:r>
      <w:r w:rsidR="00014B68" w:rsidRPr="000E1B7E">
        <w:rPr>
          <w:rFonts w:ascii="Times New Roman" w:hAnsi="Times New Roman"/>
          <w:sz w:val="24"/>
          <w:szCs w:val="24"/>
        </w:rPr>
        <w:t>,</w:t>
      </w:r>
      <w:r w:rsidRPr="000E1B7E">
        <w:rPr>
          <w:rFonts w:ascii="Times New Roman" w:hAnsi="Times New Roman"/>
          <w:sz w:val="24"/>
          <w:szCs w:val="24"/>
        </w:rPr>
        <w:t xml:space="preserve"> which is published by the World Economic Forum (WEF)</w:t>
      </w:r>
      <w:r w:rsidR="00014B68" w:rsidRPr="000E1B7E">
        <w:rPr>
          <w:rFonts w:ascii="Times New Roman" w:hAnsi="Times New Roman"/>
          <w:sz w:val="24"/>
          <w:szCs w:val="24"/>
        </w:rPr>
        <w:t>,</w:t>
      </w:r>
      <w:r w:rsidRPr="000E1B7E">
        <w:rPr>
          <w:rFonts w:ascii="Times New Roman" w:hAnsi="Times New Roman"/>
          <w:sz w:val="24"/>
          <w:szCs w:val="24"/>
        </w:rPr>
        <w:t xml:space="preserve"> measures the micro and macroeconomic foundation of national competitiveness, drivers of their productivity and prosperity across 12 parameters. </w:t>
      </w:r>
      <w:r w:rsidR="001E0C08" w:rsidRPr="000E1B7E">
        <w:rPr>
          <w:rFonts w:ascii="Times New Roman" w:hAnsi="Times New Roman"/>
          <w:sz w:val="24"/>
          <w:szCs w:val="24"/>
        </w:rPr>
        <w:t xml:space="preserve">The </w:t>
      </w:r>
      <w:r w:rsidR="007506AE" w:rsidRPr="000E1B7E">
        <w:rPr>
          <w:rFonts w:ascii="Times New Roman" w:hAnsi="Times New Roman"/>
          <w:sz w:val="24"/>
          <w:szCs w:val="24"/>
        </w:rPr>
        <w:t>NDP II target was for Uganda to attain the rank of 110 out of 148 countries by 2017/18, but according to the 201</w:t>
      </w:r>
      <w:r w:rsidR="00656640" w:rsidRPr="000E1B7E">
        <w:rPr>
          <w:rFonts w:ascii="Times New Roman" w:hAnsi="Times New Roman"/>
          <w:sz w:val="24"/>
          <w:szCs w:val="24"/>
        </w:rPr>
        <w:t>8 GCI</w:t>
      </w:r>
      <w:r w:rsidR="007506AE" w:rsidRPr="000E1B7E">
        <w:rPr>
          <w:rFonts w:ascii="Times New Roman" w:hAnsi="Times New Roman"/>
          <w:sz w:val="24"/>
          <w:szCs w:val="24"/>
        </w:rPr>
        <w:t xml:space="preserve"> report, Uganda was ranked </w:t>
      </w:r>
      <w:r w:rsidR="00656640" w:rsidRPr="000E1B7E">
        <w:rPr>
          <w:rFonts w:ascii="Times New Roman" w:hAnsi="Times New Roman"/>
          <w:sz w:val="24"/>
          <w:szCs w:val="24"/>
        </w:rPr>
        <w:t>117</w:t>
      </w:r>
      <w:r w:rsidR="007506AE" w:rsidRPr="000E1B7E">
        <w:rPr>
          <w:rFonts w:ascii="Times New Roman" w:hAnsi="Times New Roman"/>
          <w:sz w:val="24"/>
          <w:szCs w:val="24"/>
          <w:vertAlign w:val="superscript"/>
        </w:rPr>
        <w:t>th</w:t>
      </w:r>
      <w:r w:rsidR="007506AE" w:rsidRPr="000E1B7E">
        <w:rPr>
          <w:rFonts w:ascii="Times New Roman" w:hAnsi="Times New Roman"/>
          <w:sz w:val="24"/>
          <w:szCs w:val="24"/>
        </w:rPr>
        <w:t xml:space="preserve"> of</w:t>
      </w:r>
      <w:r w:rsidR="00656640" w:rsidRPr="000E1B7E">
        <w:rPr>
          <w:rFonts w:ascii="Times New Roman" w:hAnsi="Times New Roman"/>
          <w:sz w:val="24"/>
          <w:szCs w:val="24"/>
        </w:rPr>
        <w:t xml:space="preserve"> 14</w:t>
      </w:r>
      <w:r w:rsidR="007506AE" w:rsidRPr="000E1B7E">
        <w:rPr>
          <w:rFonts w:ascii="Times New Roman" w:hAnsi="Times New Roman"/>
          <w:sz w:val="24"/>
          <w:szCs w:val="24"/>
        </w:rPr>
        <w:t xml:space="preserve">0 countries, </w:t>
      </w:r>
      <w:r w:rsidR="00014B68" w:rsidRPr="000E1B7E">
        <w:rPr>
          <w:rFonts w:ascii="Times New Roman" w:hAnsi="Times New Roman"/>
          <w:sz w:val="24"/>
          <w:szCs w:val="24"/>
        </w:rPr>
        <w:t xml:space="preserve">showing </w:t>
      </w:r>
      <w:r w:rsidR="007506AE" w:rsidRPr="000E1B7E">
        <w:rPr>
          <w:rFonts w:ascii="Times New Roman" w:hAnsi="Times New Roman"/>
          <w:sz w:val="24"/>
          <w:szCs w:val="24"/>
        </w:rPr>
        <w:t>that the country is lagging behind target by 7 position</w:t>
      </w:r>
      <w:r w:rsidR="001E0C08" w:rsidRPr="000E1B7E">
        <w:rPr>
          <w:rFonts w:ascii="Times New Roman" w:hAnsi="Times New Roman"/>
          <w:sz w:val="24"/>
          <w:szCs w:val="24"/>
        </w:rPr>
        <w:t>s,</w:t>
      </w:r>
      <w:r w:rsidR="00656640" w:rsidRPr="000E1B7E">
        <w:rPr>
          <w:rFonts w:ascii="Times New Roman" w:hAnsi="Times New Roman"/>
          <w:sz w:val="24"/>
          <w:szCs w:val="24"/>
        </w:rPr>
        <w:t xml:space="preserve">even </w:t>
      </w:r>
      <w:r w:rsidR="001E0C08" w:rsidRPr="000E1B7E">
        <w:rPr>
          <w:rFonts w:ascii="Times New Roman" w:hAnsi="Times New Roman"/>
          <w:sz w:val="24"/>
          <w:szCs w:val="24"/>
        </w:rPr>
        <w:t>with</w:t>
      </w:r>
      <w:r w:rsidR="00656640" w:rsidRPr="000E1B7E">
        <w:rPr>
          <w:rFonts w:ascii="Times New Roman" w:hAnsi="Times New Roman"/>
          <w:sz w:val="24"/>
          <w:szCs w:val="24"/>
        </w:rPr>
        <w:t>the number of comparators reduced by 8 countries</w:t>
      </w:r>
      <w:r w:rsidR="007506AE" w:rsidRPr="000E1B7E">
        <w:rPr>
          <w:rFonts w:ascii="Times New Roman" w:hAnsi="Times New Roman"/>
          <w:sz w:val="24"/>
          <w:szCs w:val="24"/>
        </w:rPr>
        <w:t>.</w:t>
      </w:r>
      <w:r w:rsidRPr="000E1B7E">
        <w:rPr>
          <w:rFonts w:ascii="Times New Roman" w:hAnsi="Times New Roman"/>
          <w:sz w:val="24"/>
          <w:szCs w:val="24"/>
        </w:rPr>
        <w:t xml:space="preserve">Uganda’s competitiveness ranking has </w:t>
      </w:r>
      <w:r w:rsidR="00656640" w:rsidRPr="000E1B7E">
        <w:rPr>
          <w:rFonts w:ascii="Times New Roman" w:hAnsi="Times New Roman"/>
          <w:sz w:val="24"/>
          <w:szCs w:val="24"/>
        </w:rPr>
        <w:t>deteriorated</w:t>
      </w:r>
      <w:r w:rsidRPr="000E1B7E">
        <w:rPr>
          <w:rFonts w:ascii="Times New Roman" w:hAnsi="Times New Roman"/>
          <w:sz w:val="24"/>
          <w:szCs w:val="24"/>
        </w:rPr>
        <w:t xml:space="preserve"> over the review period. Uganda’s GCI</w:t>
      </w:r>
      <w:r w:rsidR="001E0C08" w:rsidRPr="000E1B7E">
        <w:rPr>
          <w:rFonts w:ascii="Times New Roman" w:hAnsi="Times New Roman"/>
          <w:sz w:val="24"/>
          <w:szCs w:val="24"/>
        </w:rPr>
        <w:t xml:space="preserve"> rank was </w:t>
      </w:r>
      <w:r w:rsidR="0093115E" w:rsidRPr="000E1B7E">
        <w:rPr>
          <w:rFonts w:ascii="Times New Roman" w:hAnsi="Times New Roman"/>
          <w:color w:val="333333"/>
          <w:sz w:val="24"/>
          <w:szCs w:val="24"/>
          <w:lang w:val="en-US"/>
        </w:rPr>
        <w:t xml:space="preserve">113 out of 135 countries in </w:t>
      </w:r>
      <w:r w:rsidR="001E0C08" w:rsidRPr="000E1B7E">
        <w:rPr>
          <w:rFonts w:ascii="Times New Roman" w:hAnsi="Times New Roman"/>
          <w:color w:val="333333"/>
          <w:sz w:val="24"/>
          <w:szCs w:val="24"/>
          <w:lang w:val="en-US"/>
        </w:rPr>
        <w:t xml:space="preserve">the </w:t>
      </w:r>
      <w:r w:rsidR="0093115E" w:rsidRPr="000E1B7E">
        <w:rPr>
          <w:rFonts w:ascii="Times New Roman" w:hAnsi="Times New Roman"/>
          <w:color w:val="333333"/>
          <w:sz w:val="24"/>
          <w:szCs w:val="24"/>
          <w:lang w:val="en-US"/>
        </w:rPr>
        <w:t xml:space="preserve">2017 GCI report and </w:t>
      </w:r>
      <w:r w:rsidR="0093115E" w:rsidRPr="000E1B7E">
        <w:rPr>
          <w:rFonts w:ascii="Times New Roman" w:hAnsi="Times New Roman"/>
          <w:sz w:val="24"/>
          <w:szCs w:val="24"/>
        </w:rPr>
        <w:t xml:space="preserve">115 out of 140 countries </w:t>
      </w:r>
      <w:r w:rsidRPr="000E1B7E">
        <w:rPr>
          <w:rFonts w:ascii="Times New Roman" w:hAnsi="Times New Roman"/>
          <w:sz w:val="24"/>
          <w:szCs w:val="24"/>
        </w:rPr>
        <w:t xml:space="preserve">2016 </w:t>
      </w:r>
      <w:r w:rsidR="0093115E" w:rsidRPr="000E1B7E">
        <w:rPr>
          <w:rFonts w:ascii="Times New Roman" w:hAnsi="Times New Roman"/>
          <w:sz w:val="24"/>
          <w:szCs w:val="24"/>
        </w:rPr>
        <w:t>GCI report</w:t>
      </w:r>
      <w:r w:rsidRPr="000E1B7E">
        <w:rPr>
          <w:rFonts w:ascii="Times New Roman" w:hAnsi="Times New Roman"/>
          <w:sz w:val="24"/>
          <w:szCs w:val="24"/>
        </w:rPr>
        <w:t xml:space="preserve">. </w:t>
      </w:r>
      <w:r w:rsidR="004A660A" w:rsidRPr="000E1B7E">
        <w:rPr>
          <w:rFonts w:ascii="Times New Roman" w:hAnsi="Times New Roman"/>
          <w:sz w:val="24"/>
          <w:szCs w:val="24"/>
        </w:rPr>
        <w:t>Four</w:t>
      </w:r>
      <w:r w:rsidRPr="000E1B7E">
        <w:rPr>
          <w:rFonts w:ascii="Times New Roman" w:hAnsi="Times New Roman"/>
          <w:sz w:val="24"/>
          <w:szCs w:val="24"/>
        </w:rPr>
        <w:t xml:space="preserve"> out of the 12 pillars registered a decline in the scores, indicating reduced competitiveness,</w:t>
      </w:r>
      <w:r w:rsidR="004A660A" w:rsidRPr="000E1B7E">
        <w:rPr>
          <w:rFonts w:ascii="Times New Roman" w:hAnsi="Times New Roman"/>
          <w:sz w:val="24"/>
          <w:szCs w:val="24"/>
        </w:rPr>
        <w:t xml:space="preserve"> as summarized in table </w:t>
      </w:r>
      <w:r w:rsidR="004A47A6" w:rsidRPr="000E1B7E">
        <w:rPr>
          <w:rFonts w:ascii="Times New Roman" w:hAnsi="Times New Roman"/>
          <w:sz w:val="24"/>
          <w:szCs w:val="24"/>
        </w:rPr>
        <w:t>8</w:t>
      </w:r>
      <w:r w:rsidR="004A660A" w:rsidRPr="000E1B7E">
        <w:rPr>
          <w:rFonts w:ascii="Times New Roman" w:hAnsi="Times New Roman"/>
          <w:sz w:val="24"/>
          <w:szCs w:val="24"/>
        </w:rPr>
        <w:t>.</w:t>
      </w:r>
    </w:p>
    <w:p w14:paraId="6A4858D2" w14:textId="77777777" w:rsidR="003F28C0" w:rsidRPr="000E1B7E" w:rsidRDefault="00C97C0E" w:rsidP="00C97C0E">
      <w:pPr>
        <w:pStyle w:val="Caption"/>
        <w:keepNext/>
        <w:jc w:val="both"/>
        <w:rPr>
          <w:rFonts w:ascii="Times New Roman" w:eastAsia="Calibri" w:hAnsi="Times New Roman" w:cs="Times New Roman"/>
          <w:b/>
          <w:i w:val="0"/>
          <w:iCs w:val="0"/>
          <w:color w:val="auto"/>
          <w:sz w:val="24"/>
          <w:szCs w:val="24"/>
          <w:lang w:val="en-GB"/>
        </w:rPr>
      </w:pPr>
      <w:bookmarkStart w:id="75" w:name="_Toc3483118"/>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8</w:t>
      </w:r>
      <w:r w:rsidR="001232BF" w:rsidRPr="000E1B7E">
        <w:rPr>
          <w:rFonts w:ascii="Times New Roman" w:eastAsia="Calibri" w:hAnsi="Times New Roman" w:cs="Times New Roman"/>
          <w:b/>
          <w:i w:val="0"/>
          <w:iCs w:val="0"/>
          <w:color w:val="auto"/>
          <w:sz w:val="24"/>
          <w:szCs w:val="24"/>
          <w:lang w:val="en-GB"/>
        </w:rPr>
        <w:fldChar w:fldCharType="end"/>
      </w:r>
      <w:r w:rsidR="003F28C0" w:rsidRPr="000E1B7E">
        <w:rPr>
          <w:rFonts w:ascii="Times New Roman" w:eastAsia="Calibri" w:hAnsi="Times New Roman" w:cs="Times New Roman"/>
          <w:b/>
          <w:i w:val="0"/>
          <w:iCs w:val="0"/>
          <w:color w:val="auto"/>
          <w:sz w:val="24"/>
          <w:szCs w:val="24"/>
          <w:lang w:val="en-GB"/>
        </w:rPr>
        <w:t>: Uganda Global Competitiveness Index Ranking Index</w:t>
      </w:r>
      <w:bookmarkEnd w:id="75"/>
    </w:p>
    <w:tbl>
      <w:tblPr>
        <w:tblStyle w:val="LightGrid1"/>
        <w:tblW w:w="9242" w:type="dxa"/>
        <w:tblLook w:val="04A0" w:firstRow="1" w:lastRow="0" w:firstColumn="1" w:lastColumn="0" w:noHBand="0" w:noVBand="1"/>
      </w:tblPr>
      <w:tblGrid>
        <w:gridCol w:w="3320"/>
        <w:gridCol w:w="1158"/>
        <w:gridCol w:w="1030"/>
        <w:gridCol w:w="3734"/>
      </w:tblGrid>
      <w:tr w:rsidR="004A660A" w:rsidRPr="000E1B7E" w14:paraId="601A4EA1" w14:textId="77777777" w:rsidTr="004A660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748451C5" w14:textId="77777777" w:rsidR="004A660A" w:rsidRPr="000E1B7E" w:rsidRDefault="004A660A"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color w:val="000000"/>
                <w:sz w:val="20"/>
                <w:szCs w:val="20"/>
              </w:rPr>
              <w:t> </w:t>
            </w:r>
          </w:p>
        </w:tc>
        <w:tc>
          <w:tcPr>
            <w:tcW w:w="5922" w:type="dxa"/>
            <w:gridSpan w:val="3"/>
            <w:hideMark/>
          </w:tcPr>
          <w:p w14:paraId="1341D879" w14:textId="77777777" w:rsidR="004A660A" w:rsidRPr="000E1B7E" w:rsidRDefault="004A660A" w:rsidP="005959B5">
            <w:pPr>
              <w:ind w:left="-3" w:right="-11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sidRPr="000E1B7E">
              <w:rPr>
                <w:rFonts w:ascii="Times New Roman" w:hAnsi="Times New Roman" w:cs="Times New Roman"/>
                <w:color w:val="000000"/>
                <w:sz w:val="20"/>
                <w:szCs w:val="20"/>
              </w:rPr>
              <w:t>2018 GCI Ranking for Uganda</w:t>
            </w:r>
          </w:p>
        </w:tc>
      </w:tr>
      <w:tr w:rsidR="0093115E" w:rsidRPr="000E1B7E" w14:paraId="6BAFC128" w14:textId="77777777" w:rsidTr="004A660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20" w:type="dxa"/>
            <w:hideMark/>
          </w:tcPr>
          <w:p w14:paraId="6C476AED" w14:textId="77777777" w:rsidR="0093115E" w:rsidRPr="000E1B7E" w:rsidRDefault="0093115E"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color w:val="000000"/>
                <w:sz w:val="20"/>
                <w:szCs w:val="20"/>
              </w:rPr>
              <w:t>Pillar</w:t>
            </w:r>
          </w:p>
        </w:tc>
        <w:tc>
          <w:tcPr>
            <w:tcW w:w="1158" w:type="dxa"/>
            <w:hideMark/>
          </w:tcPr>
          <w:p w14:paraId="0ADDEA48"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0E1B7E">
              <w:rPr>
                <w:b/>
                <w:bCs/>
                <w:color w:val="000000"/>
                <w:sz w:val="20"/>
                <w:szCs w:val="20"/>
              </w:rPr>
              <w:t>Rank/140</w:t>
            </w:r>
          </w:p>
        </w:tc>
        <w:tc>
          <w:tcPr>
            <w:tcW w:w="1030" w:type="dxa"/>
            <w:hideMark/>
          </w:tcPr>
          <w:p w14:paraId="7E717A15"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0E1B7E">
              <w:rPr>
                <w:b/>
                <w:bCs/>
                <w:color w:val="000000"/>
                <w:sz w:val="20"/>
                <w:szCs w:val="20"/>
              </w:rPr>
              <w:t>Score out of 100</w:t>
            </w:r>
          </w:p>
        </w:tc>
        <w:tc>
          <w:tcPr>
            <w:tcW w:w="3734" w:type="dxa"/>
          </w:tcPr>
          <w:p w14:paraId="62658517"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r w:rsidRPr="000E1B7E">
              <w:rPr>
                <w:b/>
                <w:bCs/>
                <w:color w:val="000000"/>
                <w:sz w:val="20"/>
                <w:szCs w:val="20"/>
              </w:rPr>
              <w:t>Direction of  change in score from previous score</w:t>
            </w:r>
          </w:p>
        </w:tc>
      </w:tr>
      <w:tr w:rsidR="00A614E4" w:rsidRPr="000E1B7E" w14:paraId="56B347CA"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shd w:val="clear" w:color="auto" w:fill="FBD4B4" w:themeFill="accent6" w:themeFillTint="66"/>
            <w:hideMark/>
          </w:tcPr>
          <w:p w14:paraId="50921AC2" w14:textId="77777777" w:rsidR="00A614E4" w:rsidRPr="000E1B7E" w:rsidRDefault="00A614E4" w:rsidP="005959B5">
            <w:pPr>
              <w:autoSpaceDE w:val="0"/>
              <w:autoSpaceDN w:val="0"/>
              <w:adjustRightInd w:val="0"/>
              <w:jc w:val="both"/>
              <w:rPr>
                <w:rFonts w:ascii="Times New Roman" w:hAnsi="Times New Roman" w:cs="Times New Roman"/>
                <w:bCs w:val="0"/>
                <w:color w:val="000000"/>
                <w:sz w:val="20"/>
                <w:szCs w:val="20"/>
              </w:rPr>
            </w:pPr>
            <w:r w:rsidRPr="000E1B7E">
              <w:rPr>
                <w:rFonts w:ascii="Times New Roman" w:eastAsia="Times New Roman" w:hAnsi="Times New Roman" w:cs="Times New Roman"/>
                <w:bCs w:val="0"/>
                <w:color w:val="000000"/>
                <w:sz w:val="20"/>
                <w:szCs w:val="20"/>
                <w:lang w:val="en-US"/>
              </w:rPr>
              <w:t>Enabling Environment</w:t>
            </w:r>
          </w:p>
        </w:tc>
        <w:tc>
          <w:tcPr>
            <w:tcW w:w="1158" w:type="dxa"/>
            <w:shd w:val="clear" w:color="auto" w:fill="FBD4B4" w:themeFill="accent6" w:themeFillTint="66"/>
            <w:hideMark/>
          </w:tcPr>
          <w:p w14:paraId="10196ECE" w14:textId="77777777" w:rsidR="00A614E4" w:rsidRPr="000E1B7E" w:rsidRDefault="00A614E4" w:rsidP="005959B5">
            <w:pPr>
              <w:ind w:left="-89" w:right="-115"/>
              <w:jc w:val="both"/>
              <w:cnfStyle w:val="000000010000" w:firstRow="0" w:lastRow="0" w:firstColumn="0" w:lastColumn="0" w:oddVBand="0" w:evenVBand="0" w:oddHBand="0" w:evenHBand="1" w:firstRowFirstColumn="0" w:firstRowLastColumn="0" w:lastRowFirstColumn="0" w:lastRowLastColumn="0"/>
              <w:rPr>
                <w:b/>
                <w:bCs/>
                <w:color w:val="000000"/>
                <w:sz w:val="20"/>
                <w:szCs w:val="20"/>
                <w:lang w:val="en-US"/>
              </w:rPr>
            </w:pPr>
          </w:p>
        </w:tc>
        <w:tc>
          <w:tcPr>
            <w:tcW w:w="1030" w:type="dxa"/>
            <w:shd w:val="clear" w:color="auto" w:fill="FBD4B4" w:themeFill="accent6" w:themeFillTint="66"/>
            <w:hideMark/>
          </w:tcPr>
          <w:p w14:paraId="3ABC7EA6" w14:textId="77777777" w:rsidR="00A614E4" w:rsidRPr="000E1B7E" w:rsidRDefault="00A614E4" w:rsidP="005959B5">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b/>
                <w:bCs/>
                <w:color w:val="333333"/>
                <w:sz w:val="20"/>
                <w:szCs w:val="20"/>
                <w:lang w:val="en-US"/>
              </w:rPr>
            </w:pPr>
          </w:p>
        </w:tc>
        <w:tc>
          <w:tcPr>
            <w:tcW w:w="3734" w:type="dxa"/>
            <w:shd w:val="clear" w:color="auto" w:fill="FBD4B4" w:themeFill="accent6" w:themeFillTint="66"/>
          </w:tcPr>
          <w:p w14:paraId="6C53676A" w14:textId="77777777" w:rsidR="00A614E4" w:rsidRPr="000E1B7E" w:rsidRDefault="00A614E4" w:rsidP="005959B5">
            <w:pPr>
              <w:ind w:left="-89" w:right="-115"/>
              <w:jc w:val="both"/>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r>
      <w:tr w:rsidR="0093115E" w:rsidRPr="000E1B7E" w14:paraId="7E91E8E2" w14:textId="77777777" w:rsidTr="004A660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36D5FB02" w14:textId="77777777" w:rsidR="0093115E" w:rsidRPr="000E1B7E" w:rsidRDefault="0093115E"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color w:val="000000"/>
                <w:sz w:val="20"/>
                <w:szCs w:val="20"/>
              </w:rPr>
              <w:t>1st pillar: Institutions</w:t>
            </w:r>
          </w:p>
        </w:tc>
        <w:tc>
          <w:tcPr>
            <w:tcW w:w="1158" w:type="dxa"/>
            <w:hideMark/>
          </w:tcPr>
          <w:p w14:paraId="4A0B4169"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000000"/>
                <w:sz w:val="20"/>
                <w:szCs w:val="20"/>
                <w:lang w:val="en-US"/>
              </w:rPr>
              <w:t>104</w:t>
            </w:r>
          </w:p>
        </w:tc>
        <w:tc>
          <w:tcPr>
            <w:tcW w:w="1030" w:type="dxa"/>
            <w:hideMark/>
          </w:tcPr>
          <w:p w14:paraId="2CD93023" w14:textId="77777777" w:rsidR="0093115E" w:rsidRPr="000E1B7E" w:rsidRDefault="0093115E" w:rsidP="005959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333333"/>
                <w:sz w:val="20"/>
                <w:szCs w:val="20"/>
                <w:lang w:val="en-US"/>
              </w:rPr>
            </w:pPr>
            <w:r w:rsidRPr="000E1B7E">
              <w:rPr>
                <w:bCs/>
                <w:color w:val="333333"/>
                <w:sz w:val="20"/>
                <w:szCs w:val="20"/>
                <w:lang w:val="en-US"/>
              </w:rPr>
              <w:t>47.9</w:t>
            </w:r>
          </w:p>
        </w:tc>
        <w:tc>
          <w:tcPr>
            <w:tcW w:w="3734" w:type="dxa"/>
          </w:tcPr>
          <w:p w14:paraId="23188423"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2854A530" wp14:editId="5251F23C">
                  <wp:extent cx="151200" cy="151200"/>
                  <wp:effectExtent l="0" t="0" r="1200" b="0"/>
                  <wp:docPr id="5"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4AC21568"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3EA032D1" w14:textId="77777777" w:rsidR="0093115E" w:rsidRPr="000E1B7E" w:rsidRDefault="0093115E"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color w:val="000000"/>
                <w:sz w:val="20"/>
                <w:szCs w:val="20"/>
              </w:rPr>
              <w:t>2nd pillar: Infrastructure</w:t>
            </w:r>
          </w:p>
        </w:tc>
        <w:tc>
          <w:tcPr>
            <w:tcW w:w="1158" w:type="dxa"/>
            <w:hideMark/>
          </w:tcPr>
          <w:p w14:paraId="22CA5A90" w14:textId="77777777" w:rsidR="0093115E" w:rsidRPr="000E1B7E" w:rsidRDefault="0093115E"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000000"/>
                <w:sz w:val="20"/>
                <w:szCs w:val="20"/>
                <w:lang w:val="en-US"/>
              </w:rPr>
              <w:t>121</w:t>
            </w:r>
          </w:p>
        </w:tc>
        <w:tc>
          <w:tcPr>
            <w:tcW w:w="1030" w:type="dxa"/>
            <w:hideMark/>
          </w:tcPr>
          <w:p w14:paraId="48010999" w14:textId="77777777" w:rsidR="0093115E" w:rsidRPr="000E1B7E" w:rsidRDefault="0093115E"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333333"/>
                <w:sz w:val="20"/>
                <w:szCs w:val="20"/>
                <w:lang w:val="en-US"/>
              </w:rPr>
              <w:t>43.2</w:t>
            </w:r>
          </w:p>
        </w:tc>
        <w:tc>
          <w:tcPr>
            <w:tcW w:w="3734" w:type="dxa"/>
          </w:tcPr>
          <w:p w14:paraId="6ADA10C4" w14:textId="77777777" w:rsidR="0093115E" w:rsidRPr="000E1B7E" w:rsidRDefault="0093115E"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2CC6D2CC" wp14:editId="62919E45">
                  <wp:extent cx="151200" cy="151200"/>
                  <wp:effectExtent l="0" t="0" r="1200" b="0"/>
                  <wp:docPr id="6" name="Picture 4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p"/>
                          <pic:cNvPicPr>
                            <a:picLocks noChangeAspect="1" noChangeArrowheads="1"/>
                          </pic:cNvPicPr>
                        </pic:nvPicPr>
                        <pic:blipFill>
                          <a:blip r:embed="rId20"/>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7259E2" w:rsidRPr="000E1B7E" w14:paraId="2C0587C1" w14:textId="77777777" w:rsidTr="004A660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12BC0755" w14:textId="77777777" w:rsidR="007259E2" w:rsidRPr="000E1B7E" w:rsidRDefault="007259E2" w:rsidP="005959B5">
            <w:pPr>
              <w:autoSpaceDE w:val="0"/>
              <w:autoSpaceDN w:val="0"/>
              <w:adjustRightInd w:val="0"/>
              <w:jc w:val="both"/>
              <w:rPr>
                <w:rFonts w:ascii="Times New Roman" w:eastAsia="Times New Roman" w:hAnsi="Times New Roman" w:cs="Times New Roman"/>
                <w:b w:val="0"/>
                <w:bCs w:val="0"/>
                <w:sz w:val="20"/>
                <w:szCs w:val="20"/>
                <w:lang w:val="en-US"/>
              </w:rPr>
            </w:pPr>
            <w:r w:rsidRPr="000E1B7E">
              <w:rPr>
                <w:rFonts w:ascii="Times New Roman" w:hAnsi="Times New Roman" w:cs="Times New Roman"/>
                <w:b w:val="0"/>
                <w:color w:val="000000"/>
                <w:sz w:val="20"/>
                <w:szCs w:val="20"/>
              </w:rPr>
              <w:t>3rd pillar</w:t>
            </w:r>
            <w:r w:rsidRPr="000E1B7E">
              <w:rPr>
                <w:rFonts w:ascii="Times New Roman" w:eastAsia="Times New Roman" w:hAnsi="Times New Roman" w:cs="Times New Roman"/>
                <w:b w:val="0"/>
                <w:bCs w:val="0"/>
                <w:color w:val="333333"/>
                <w:sz w:val="20"/>
                <w:szCs w:val="20"/>
                <w:lang w:val="en-US"/>
              </w:rPr>
              <w:t>: ICT adoption</w:t>
            </w:r>
          </w:p>
        </w:tc>
        <w:tc>
          <w:tcPr>
            <w:tcW w:w="1158" w:type="dxa"/>
            <w:hideMark/>
          </w:tcPr>
          <w:p w14:paraId="52720578" w14:textId="77777777" w:rsidR="007259E2"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lang w:val="en-US"/>
              </w:rPr>
            </w:pPr>
            <w:r w:rsidRPr="000E1B7E">
              <w:rPr>
                <w:bCs/>
                <w:color w:val="000000"/>
                <w:sz w:val="20"/>
                <w:szCs w:val="20"/>
                <w:lang w:val="en-US"/>
              </w:rPr>
              <w:t>126</w:t>
            </w:r>
          </w:p>
        </w:tc>
        <w:tc>
          <w:tcPr>
            <w:tcW w:w="1030" w:type="dxa"/>
            <w:hideMark/>
          </w:tcPr>
          <w:p w14:paraId="7B48B245" w14:textId="77777777" w:rsidR="007259E2"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333333"/>
                <w:sz w:val="20"/>
                <w:szCs w:val="20"/>
                <w:lang w:val="en-US"/>
              </w:rPr>
              <w:t>24.5</w:t>
            </w:r>
          </w:p>
        </w:tc>
        <w:tc>
          <w:tcPr>
            <w:tcW w:w="3734" w:type="dxa"/>
          </w:tcPr>
          <w:p w14:paraId="2EEBED90" w14:textId="77777777" w:rsidR="007259E2"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0771A5D2" wp14:editId="2DF31A38">
                  <wp:extent cx="151200" cy="151200"/>
                  <wp:effectExtent l="0" t="0" r="1200" b="0"/>
                  <wp:docPr id="11"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22B53941"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6B35B3CE" w14:textId="77777777" w:rsidR="0093115E" w:rsidRPr="000E1B7E" w:rsidRDefault="007259E2"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color w:val="000000"/>
                <w:sz w:val="20"/>
                <w:szCs w:val="20"/>
              </w:rPr>
              <w:t xml:space="preserve">4th </w:t>
            </w:r>
            <w:r w:rsidR="0093115E" w:rsidRPr="000E1B7E">
              <w:rPr>
                <w:rFonts w:ascii="Times New Roman" w:hAnsi="Times New Roman" w:cs="Times New Roman"/>
                <w:b w:val="0"/>
                <w:color w:val="000000"/>
                <w:sz w:val="20"/>
                <w:szCs w:val="20"/>
              </w:rPr>
              <w:t>pillar: Macroeconomic stability</w:t>
            </w:r>
          </w:p>
        </w:tc>
        <w:tc>
          <w:tcPr>
            <w:tcW w:w="1158" w:type="dxa"/>
            <w:hideMark/>
          </w:tcPr>
          <w:p w14:paraId="063FC4A0"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000000"/>
                <w:sz w:val="20"/>
                <w:szCs w:val="20"/>
                <w:lang w:val="en-US"/>
              </w:rPr>
              <w:t>93</w:t>
            </w:r>
          </w:p>
        </w:tc>
        <w:tc>
          <w:tcPr>
            <w:tcW w:w="1030" w:type="dxa"/>
            <w:hideMark/>
          </w:tcPr>
          <w:p w14:paraId="5766D90F"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333333"/>
                <w:sz w:val="20"/>
                <w:szCs w:val="20"/>
                <w:lang w:val="en-US"/>
              </w:rPr>
              <w:t>71.6</w:t>
            </w:r>
          </w:p>
        </w:tc>
        <w:tc>
          <w:tcPr>
            <w:tcW w:w="3734" w:type="dxa"/>
          </w:tcPr>
          <w:p w14:paraId="1FA1F15D"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6241A145" wp14:editId="0AD4C67C">
                  <wp:extent cx="151200" cy="151200"/>
                  <wp:effectExtent l="0" t="0" r="1200" b="0"/>
                  <wp:docPr id="13" name="Picture 4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p"/>
                          <pic:cNvPicPr>
                            <a:picLocks noChangeAspect="1" noChangeArrowheads="1"/>
                          </pic:cNvPicPr>
                        </pic:nvPicPr>
                        <pic:blipFill>
                          <a:blip r:embed="rId20"/>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A614E4" w:rsidRPr="000E1B7E" w14:paraId="4F0433CE" w14:textId="77777777" w:rsidTr="004A660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shd w:val="clear" w:color="auto" w:fill="FBD4B4" w:themeFill="accent6" w:themeFillTint="66"/>
            <w:hideMark/>
          </w:tcPr>
          <w:p w14:paraId="1D623C7F" w14:textId="77777777" w:rsidR="00A614E4" w:rsidRPr="000E1B7E" w:rsidRDefault="00A614E4" w:rsidP="005959B5">
            <w:pPr>
              <w:autoSpaceDE w:val="0"/>
              <w:autoSpaceDN w:val="0"/>
              <w:adjustRightInd w:val="0"/>
              <w:jc w:val="both"/>
              <w:rPr>
                <w:rFonts w:ascii="Times New Roman" w:eastAsia="Times New Roman" w:hAnsi="Times New Roman" w:cs="Times New Roman"/>
                <w:bCs w:val="0"/>
                <w:color w:val="000000"/>
                <w:sz w:val="20"/>
                <w:szCs w:val="20"/>
                <w:lang w:val="en-US"/>
              </w:rPr>
            </w:pPr>
            <w:r w:rsidRPr="000E1B7E">
              <w:rPr>
                <w:rFonts w:ascii="Times New Roman" w:eastAsia="Times New Roman" w:hAnsi="Times New Roman" w:cs="Times New Roman"/>
                <w:bCs w:val="0"/>
                <w:color w:val="000000"/>
                <w:sz w:val="20"/>
                <w:szCs w:val="20"/>
                <w:lang w:val="en-US"/>
              </w:rPr>
              <w:t>Human Capital</w:t>
            </w:r>
          </w:p>
        </w:tc>
        <w:tc>
          <w:tcPr>
            <w:tcW w:w="1158" w:type="dxa"/>
            <w:shd w:val="clear" w:color="auto" w:fill="FBD4B4" w:themeFill="accent6" w:themeFillTint="66"/>
            <w:hideMark/>
          </w:tcPr>
          <w:p w14:paraId="5CB78B5C" w14:textId="77777777" w:rsidR="00A614E4" w:rsidRPr="000E1B7E" w:rsidRDefault="00A614E4"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lang w:val="en-US"/>
              </w:rPr>
            </w:pPr>
          </w:p>
        </w:tc>
        <w:tc>
          <w:tcPr>
            <w:tcW w:w="1030" w:type="dxa"/>
            <w:shd w:val="clear" w:color="auto" w:fill="FBD4B4" w:themeFill="accent6" w:themeFillTint="66"/>
            <w:hideMark/>
          </w:tcPr>
          <w:p w14:paraId="086A1D3F" w14:textId="77777777" w:rsidR="00A614E4" w:rsidRPr="000E1B7E" w:rsidRDefault="00A614E4"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333333"/>
                <w:sz w:val="20"/>
                <w:szCs w:val="20"/>
                <w:lang w:val="en-US"/>
              </w:rPr>
            </w:pPr>
          </w:p>
        </w:tc>
        <w:tc>
          <w:tcPr>
            <w:tcW w:w="3734" w:type="dxa"/>
            <w:shd w:val="clear" w:color="auto" w:fill="FBD4B4" w:themeFill="accent6" w:themeFillTint="66"/>
          </w:tcPr>
          <w:p w14:paraId="69F09EAD" w14:textId="77777777" w:rsidR="00A614E4" w:rsidRPr="000E1B7E" w:rsidRDefault="00A614E4"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r>
      <w:tr w:rsidR="0093115E" w:rsidRPr="000E1B7E" w14:paraId="029D6835"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6F444152" w14:textId="77777777" w:rsidR="0093115E" w:rsidRPr="000E1B7E" w:rsidRDefault="00A614E4"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5</w:t>
            </w:r>
            <w:r w:rsidR="0093115E" w:rsidRPr="000E1B7E">
              <w:rPr>
                <w:rFonts w:ascii="Times New Roman" w:hAnsi="Times New Roman" w:cs="Times New Roman"/>
                <w:b w:val="0"/>
                <w:color w:val="000000"/>
                <w:sz w:val="20"/>
                <w:szCs w:val="20"/>
              </w:rPr>
              <w:t xml:space="preserve">th pillar: Health </w:t>
            </w:r>
          </w:p>
        </w:tc>
        <w:tc>
          <w:tcPr>
            <w:tcW w:w="1158" w:type="dxa"/>
            <w:hideMark/>
          </w:tcPr>
          <w:p w14:paraId="288ADEAD"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000000"/>
                <w:sz w:val="20"/>
                <w:szCs w:val="20"/>
                <w:lang w:val="en-US"/>
              </w:rPr>
              <w:t>124</w:t>
            </w:r>
          </w:p>
        </w:tc>
        <w:tc>
          <w:tcPr>
            <w:tcW w:w="1030" w:type="dxa"/>
            <w:hideMark/>
          </w:tcPr>
          <w:p w14:paraId="728D5E4C"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333333"/>
                <w:sz w:val="20"/>
                <w:szCs w:val="20"/>
                <w:lang w:val="en-US"/>
              </w:rPr>
              <w:t>44.8</w:t>
            </w:r>
          </w:p>
        </w:tc>
        <w:tc>
          <w:tcPr>
            <w:tcW w:w="3734" w:type="dxa"/>
          </w:tcPr>
          <w:p w14:paraId="34678671"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1FCF4489" wp14:editId="6D850C2A">
                  <wp:extent cx="151200" cy="151200"/>
                  <wp:effectExtent l="0" t="0" r="1200" b="0"/>
                  <wp:docPr id="14"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6F9038DA" w14:textId="77777777" w:rsidTr="004A660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6BB373D8" w14:textId="77777777" w:rsidR="0093115E" w:rsidRPr="000E1B7E" w:rsidRDefault="00A614E4"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6</w:t>
            </w:r>
            <w:r w:rsidR="0093115E" w:rsidRPr="000E1B7E">
              <w:rPr>
                <w:rFonts w:ascii="Times New Roman" w:hAnsi="Times New Roman" w:cs="Times New Roman"/>
                <w:b w:val="0"/>
                <w:color w:val="000000"/>
                <w:sz w:val="20"/>
                <w:szCs w:val="20"/>
              </w:rPr>
              <w:t xml:space="preserve">th pillar: </w:t>
            </w:r>
            <w:r w:rsidR="007259E2" w:rsidRPr="000E1B7E">
              <w:rPr>
                <w:rFonts w:ascii="Times New Roman" w:hAnsi="Times New Roman" w:cs="Times New Roman"/>
                <w:b w:val="0"/>
                <w:bCs w:val="0"/>
                <w:color w:val="000000"/>
                <w:sz w:val="20"/>
                <w:szCs w:val="20"/>
              </w:rPr>
              <w:t>Skills</w:t>
            </w:r>
          </w:p>
        </w:tc>
        <w:tc>
          <w:tcPr>
            <w:tcW w:w="1158" w:type="dxa"/>
            <w:hideMark/>
          </w:tcPr>
          <w:p w14:paraId="5E702752"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000000"/>
                <w:sz w:val="20"/>
                <w:szCs w:val="20"/>
                <w:lang w:val="en-US"/>
              </w:rPr>
              <w:t>122</w:t>
            </w:r>
          </w:p>
        </w:tc>
        <w:tc>
          <w:tcPr>
            <w:tcW w:w="1030" w:type="dxa"/>
            <w:hideMark/>
          </w:tcPr>
          <w:p w14:paraId="0FA15D51"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333333"/>
                <w:sz w:val="20"/>
                <w:szCs w:val="20"/>
                <w:lang w:val="en-US"/>
              </w:rPr>
              <w:t>40.9</w:t>
            </w:r>
          </w:p>
        </w:tc>
        <w:tc>
          <w:tcPr>
            <w:tcW w:w="3734" w:type="dxa"/>
          </w:tcPr>
          <w:p w14:paraId="3C85AED0"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2430A3A4" wp14:editId="79029222">
                  <wp:extent cx="151200" cy="151200"/>
                  <wp:effectExtent l="0" t="0" r="1200" b="0"/>
                  <wp:docPr id="15"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A614E4" w:rsidRPr="000E1B7E" w14:paraId="7AEFB48A"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shd w:val="clear" w:color="auto" w:fill="FBD4B4" w:themeFill="accent6" w:themeFillTint="66"/>
            <w:hideMark/>
          </w:tcPr>
          <w:p w14:paraId="0AE1F47E" w14:textId="77777777" w:rsidR="00A614E4" w:rsidRPr="000E1B7E" w:rsidRDefault="00A614E4" w:rsidP="005959B5">
            <w:pPr>
              <w:autoSpaceDE w:val="0"/>
              <w:autoSpaceDN w:val="0"/>
              <w:adjustRightInd w:val="0"/>
              <w:jc w:val="both"/>
              <w:rPr>
                <w:rFonts w:ascii="Times New Roman" w:eastAsia="Times New Roman" w:hAnsi="Times New Roman" w:cs="Times New Roman"/>
                <w:bCs w:val="0"/>
                <w:sz w:val="20"/>
                <w:szCs w:val="20"/>
                <w:lang w:val="en-US"/>
              </w:rPr>
            </w:pPr>
            <w:r w:rsidRPr="000E1B7E">
              <w:rPr>
                <w:rFonts w:ascii="Times New Roman" w:eastAsia="Times New Roman" w:hAnsi="Times New Roman" w:cs="Times New Roman"/>
                <w:bCs w:val="0"/>
                <w:color w:val="000000"/>
                <w:sz w:val="20"/>
                <w:szCs w:val="20"/>
                <w:lang w:val="en-US"/>
              </w:rPr>
              <w:t>Markets</w:t>
            </w:r>
          </w:p>
        </w:tc>
        <w:tc>
          <w:tcPr>
            <w:tcW w:w="1158" w:type="dxa"/>
            <w:shd w:val="clear" w:color="auto" w:fill="FBD4B4" w:themeFill="accent6" w:themeFillTint="66"/>
            <w:hideMark/>
          </w:tcPr>
          <w:p w14:paraId="196D2B77" w14:textId="77777777" w:rsidR="00A614E4" w:rsidRPr="000E1B7E" w:rsidRDefault="00A614E4" w:rsidP="005959B5">
            <w:pPr>
              <w:ind w:left="-89" w:right="-115"/>
              <w:jc w:val="both"/>
              <w:cnfStyle w:val="000000010000" w:firstRow="0" w:lastRow="0" w:firstColumn="0" w:lastColumn="0" w:oddVBand="0" w:evenVBand="0" w:oddHBand="0" w:evenHBand="1" w:firstRowFirstColumn="0" w:firstRowLastColumn="0" w:lastRowFirstColumn="0" w:lastRowLastColumn="0"/>
              <w:rPr>
                <w:b/>
                <w:bCs/>
                <w:color w:val="000000"/>
                <w:sz w:val="20"/>
                <w:szCs w:val="20"/>
                <w:lang w:val="en-US"/>
              </w:rPr>
            </w:pPr>
          </w:p>
        </w:tc>
        <w:tc>
          <w:tcPr>
            <w:tcW w:w="1030" w:type="dxa"/>
            <w:shd w:val="clear" w:color="auto" w:fill="FBD4B4" w:themeFill="accent6" w:themeFillTint="66"/>
            <w:hideMark/>
          </w:tcPr>
          <w:p w14:paraId="0C2935B9" w14:textId="77777777" w:rsidR="00A614E4" w:rsidRPr="000E1B7E" w:rsidRDefault="00A614E4" w:rsidP="005959B5">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b/>
                <w:bCs/>
                <w:color w:val="333333"/>
                <w:sz w:val="20"/>
                <w:szCs w:val="20"/>
                <w:lang w:val="en-US"/>
              </w:rPr>
            </w:pPr>
          </w:p>
        </w:tc>
        <w:tc>
          <w:tcPr>
            <w:tcW w:w="3734" w:type="dxa"/>
            <w:shd w:val="clear" w:color="auto" w:fill="FBD4B4" w:themeFill="accent6" w:themeFillTint="66"/>
          </w:tcPr>
          <w:p w14:paraId="23FEA43E" w14:textId="77777777" w:rsidR="00A614E4" w:rsidRPr="000E1B7E" w:rsidRDefault="00A614E4" w:rsidP="005959B5">
            <w:pPr>
              <w:ind w:left="-89" w:right="-115"/>
              <w:jc w:val="both"/>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r>
      <w:tr w:rsidR="0093115E" w:rsidRPr="000E1B7E" w14:paraId="3BD0EB14" w14:textId="77777777" w:rsidTr="004A660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58EE000D" w14:textId="77777777" w:rsidR="0093115E" w:rsidRPr="000E1B7E" w:rsidRDefault="00A614E4"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7</w:t>
            </w:r>
            <w:r w:rsidR="007259E2" w:rsidRPr="000E1B7E">
              <w:rPr>
                <w:rFonts w:ascii="Times New Roman" w:hAnsi="Times New Roman" w:cs="Times New Roman"/>
                <w:b w:val="0"/>
                <w:bCs w:val="0"/>
                <w:color w:val="000000"/>
                <w:sz w:val="20"/>
                <w:szCs w:val="20"/>
              </w:rPr>
              <w:t>th pillar: Product</w:t>
            </w:r>
            <w:r w:rsidR="0093115E" w:rsidRPr="000E1B7E">
              <w:rPr>
                <w:rFonts w:ascii="Times New Roman" w:hAnsi="Times New Roman" w:cs="Times New Roman"/>
                <w:b w:val="0"/>
                <w:color w:val="000000"/>
                <w:sz w:val="20"/>
                <w:szCs w:val="20"/>
              </w:rPr>
              <w:t xml:space="preserve"> market </w:t>
            </w:r>
          </w:p>
        </w:tc>
        <w:tc>
          <w:tcPr>
            <w:tcW w:w="1158" w:type="dxa"/>
            <w:hideMark/>
          </w:tcPr>
          <w:p w14:paraId="3D84DE8C"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000000"/>
                <w:sz w:val="20"/>
                <w:szCs w:val="20"/>
                <w:lang w:val="en-US"/>
              </w:rPr>
              <w:t>118</w:t>
            </w:r>
          </w:p>
        </w:tc>
        <w:tc>
          <w:tcPr>
            <w:tcW w:w="1030" w:type="dxa"/>
            <w:hideMark/>
          </w:tcPr>
          <w:p w14:paraId="2D5A62F3" w14:textId="77777777" w:rsidR="0093115E" w:rsidRPr="000E1B7E" w:rsidRDefault="007259E2" w:rsidP="005959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333333"/>
                <w:sz w:val="20"/>
                <w:szCs w:val="20"/>
                <w:lang w:val="en-US"/>
              </w:rPr>
            </w:pPr>
            <w:r w:rsidRPr="000E1B7E">
              <w:rPr>
                <w:bCs/>
                <w:color w:val="333333"/>
                <w:sz w:val="20"/>
                <w:szCs w:val="20"/>
                <w:lang w:val="en-US"/>
              </w:rPr>
              <w:t>48.7</w:t>
            </w:r>
          </w:p>
        </w:tc>
        <w:tc>
          <w:tcPr>
            <w:tcW w:w="3734" w:type="dxa"/>
          </w:tcPr>
          <w:p w14:paraId="7F92BFB1"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72AD0E18" wp14:editId="7402B6B6">
                  <wp:extent cx="151200" cy="151200"/>
                  <wp:effectExtent l="0" t="0" r="1200" b="0"/>
                  <wp:docPr id="16" name="Picture 4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p"/>
                          <pic:cNvPicPr>
                            <a:picLocks noChangeAspect="1" noChangeArrowheads="1"/>
                          </pic:cNvPicPr>
                        </pic:nvPicPr>
                        <pic:blipFill>
                          <a:blip r:embed="rId20"/>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10505A78"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58D728D1" w14:textId="77777777" w:rsidR="0093115E" w:rsidRPr="000E1B7E" w:rsidRDefault="00A614E4"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8</w:t>
            </w:r>
            <w:r w:rsidR="0093115E" w:rsidRPr="000E1B7E">
              <w:rPr>
                <w:rFonts w:ascii="Times New Roman" w:hAnsi="Times New Roman" w:cs="Times New Roman"/>
                <w:b w:val="0"/>
                <w:color w:val="000000"/>
                <w:sz w:val="20"/>
                <w:szCs w:val="20"/>
              </w:rPr>
              <w:t xml:space="preserve">th pillar: </w:t>
            </w:r>
            <w:r w:rsidR="007259E2" w:rsidRPr="000E1B7E">
              <w:rPr>
                <w:rFonts w:ascii="Times New Roman" w:hAnsi="Times New Roman" w:cs="Times New Roman"/>
                <w:b w:val="0"/>
                <w:bCs w:val="0"/>
                <w:color w:val="000000"/>
                <w:sz w:val="20"/>
                <w:szCs w:val="20"/>
              </w:rPr>
              <w:t>Labour</w:t>
            </w:r>
            <w:r w:rsidR="0093115E" w:rsidRPr="000E1B7E">
              <w:rPr>
                <w:rFonts w:ascii="Times New Roman" w:hAnsi="Times New Roman" w:cs="Times New Roman"/>
                <w:b w:val="0"/>
                <w:color w:val="000000"/>
                <w:sz w:val="20"/>
                <w:szCs w:val="20"/>
              </w:rPr>
              <w:t xml:space="preserve"> market </w:t>
            </w:r>
          </w:p>
        </w:tc>
        <w:tc>
          <w:tcPr>
            <w:tcW w:w="1158" w:type="dxa"/>
            <w:hideMark/>
          </w:tcPr>
          <w:p w14:paraId="5145CFDD"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000000"/>
                <w:sz w:val="20"/>
                <w:szCs w:val="20"/>
                <w:lang w:val="en-US"/>
              </w:rPr>
              <w:t>63</w:t>
            </w:r>
          </w:p>
        </w:tc>
        <w:tc>
          <w:tcPr>
            <w:tcW w:w="1030" w:type="dxa"/>
            <w:hideMark/>
          </w:tcPr>
          <w:p w14:paraId="7E442760"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333333"/>
                <w:sz w:val="20"/>
                <w:szCs w:val="20"/>
                <w:lang w:val="en-US"/>
              </w:rPr>
              <w:t>59.8</w:t>
            </w:r>
          </w:p>
        </w:tc>
        <w:tc>
          <w:tcPr>
            <w:tcW w:w="3734" w:type="dxa"/>
          </w:tcPr>
          <w:p w14:paraId="17A782C4"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27285808" wp14:editId="51C604BF">
                  <wp:extent cx="151200" cy="151200"/>
                  <wp:effectExtent l="0" t="0" r="1200" b="0"/>
                  <wp:docPr id="17"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340D3AC4" w14:textId="77777777" w:rsidTr="004A660A">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3320" w:type="dxa"/>
            <w:hideMark/>
          </w:tcPr>
          <w:p w14:paraId="75AB6915" w14:textId="77777777" w:rsidR="0093115E" w:rsidRPr="000E1B7E" w:rsidRDefault="00A614E4"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9</w:t>
            </w:r>
            <w:r w:rsidR="0093115E" w:rsidRPr="000E1B7E">
              <w:rPr>
                <w:rFonts w:ascii="Times New Roman" w:hAnsi="Times New Roman" w:cs="Times New Roman"/>
                <w:b w:val="0"/>
                <w:color w:val="000000"/>
                <w:sz w:val="20"/>
                <w:szCs w:val="20"/>
              </w:rPr>
              <w:t xml:space="preserve">th pillar: Financial </w:t>
            </w:r>
            <w:r w:rsidR="007259E2" w:rsidRPr="000E1B7E">
              <w:rPr>
                <w:rFonts w:ascii="Times New Roman" w:hAnsi="Times New Roman" w:cs="Times New Roman"/>
                <w:b w:val="0"/>
                <w:bCs w:val="0"/>
                <w:color w:val="000000"/>
                <w:sz w:val="20"/>
                <w:szCs w:val="20"/>
              </w:rPr>
              <w:t>system</w:t>
            </w:r>
          </w:p>
        </w:tc>
        <w:tc>
          <w:tcPr>
            <w:tcW w:w="1158" w:type="dxa"/>
            <w:hideMark/>
          </w:tcPr>
          <w:p w14:paraId="4BEB535F"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000000"/>
                <w:sz w:val="20"/>
                <w:szCs w:val="20"/>
                <w:lang w:val="en-US"/>
              </w:rPr>
              <w:t>119</w:t>
            </w:r>
          </w:p>
        </w:tc>
        <w:tc>
          <w:tcPr>
            <w:tcW w:w="1030" w:type="dxa"/>
            <w:hideMark/>
          </w:tcPr>
          <w:p w14:paraId="1DEA5063"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333333"/>
                <w:sz w:val="20"/>
                <w:szCs w:val="20"/>
                <w:lang w:val="en-US"/>
              </w:rPr>
              <w:t>48.5</w:t>
            </w:r>
          </w:p>
        </w:tc>
        <w:tc>
          <w:tcPr>
            <w:tcW w:w="3734" w:type="dxa"/>
          </w:tcPr>
          <w:p w14:paraId="411A9685" w14:textId="77777777" w:rsidR="0093115E" w:rsidRPr="000E1B7E" w:rsidRDefault="007259E2"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34B0E50F" wp14:editId="015049D8">
                  <wp:extent cx="151200" cy="151200"/>
                  <wp:effectExtent l="0" t="0" r="1200" b="0"/>
                  <wp:docPr id="18" name="Picture 43"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p"/>
                          <pic:cNvPicPr>
                            <a:picLocks noChangeAspect="1" noChangeArrowheads="1"/>
                          </pic:cNvPicPr>
                        </pic:nvPicPr>
                        <pic:blipFill>
                          <a:blip r:embed="rId20"/>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15E9F827"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7A9451DB" w14:textId="77777777" w:rsidR="0093115E" w:rsidRPr="000E1B7E" w:rsidRDefault="0093115E"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color w:val="000000"/>
                <w:sz w:val="20"/>
                <w:szCs w:val="20"/>
              </w:rPr>
              <w:lastRenderedPageBreak/>
              <w:t>10th pillar: Market size</w:t>
            </w:r>
          </w:p>
        </w:tc>
        <w:tc>
          <w:tcPr>
            <w:tcW w:w="1158" w:type="dxa"/>
            <w:hideMark/>
          </w:tcPr>
          <w:p w14:paraId="27154AE7"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000000"/>
                <w:sz w:val="20"/>
                <w:szCs w:val="20"/>
                <w:lang w:val="en-US"/>
              </w:rPr>
              <w:t>85</w:t>
            </w:r>
          </w:p>
        </w:tc>
        <w:tc>
          <w:tcPr>
            <w:tcW w:w="1030" w:type="dxa"/>
            <w:hideMark/>
          </w:tcPr>
          <w:p w14:paraId="76E73BA2" w14:textId="77777777" w:rsidR="0093115E" w:rsidRPr="000E1B7E" w:rsidRDefault="007259E2" w:rsidP="005959B5">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bCs/>
                <w:color w:val="333333"/>
                <w:sz w:val="20"/>
                <w:szCs w:val="20"/>
                <w:lang w:val="en-US"/>
              </w:rPr>
            </w:pPr>
            <w:r w:rsidRPr="000E1B7E">
              <w:rPr>
                <w:bCs/>
                <w:color w:val="333333"/>
                <w:sz w:val="20"/>
                <w:szCs w:val="20"/>
                <w:lang w:val="en-US"/>
              </w:rPr>
              <w:t>46.4</w:t>
            </w:r>
          </w:p>
        </w:tc>
        <w:tc>
          <w:tcPr>
            <w:tcW w:w="3734" w:type="dxa"/>
          </w:tcPr>
          <w:p w14:paraId="1FE7AD24"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002D8B56" wp14:editId="6E4707A1">
                  <wp:extent cx="151200" cy="151200"/>
                  <wp:effectExtent l="0" t="0" r="1200" b="0"/>
                  <wp:docPr id="20"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13FFDD3C" w14:textId="77777777" w:rsidTr="004A660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shd w:val="clear" w:color="auto" w:fill="FBD4B4" w:themeFill="accent6" w:themeFillTint="66"/>
            <w:hideMark/>
          </w:tcPr>
          <w:p w14:paraId="4BE19AE0" w14:textId="77777777" w:rsidR="0093115E" w:rsidRPr="000E1B7E" w:rsidRDefault="00A614E4" w:rsidP="005959B5">
            <w:pPr>
              <w:autoSpaceDE w:val="0"/>
              <w:autoSpaceDN w:val="0"/>
              <w:adjustRightInd w:val="0"/>
              <w:jc w:val="both"/>
              <w:rPr>
                <w:rFonts w:ascii="Times New Roman" w:hAnsi="Times New Roman" w:cs="Times New Roman"/>
                <w:color w:val="000000"/>
                <w:sz w:val="20"/>
                <w:szCs w:val="20"/>
              </w:rPr>
            </w:pPr>
            <w:r w:rsidRPr="000E1B7E">
              <w:rPr>
                <w:rFonts w:ascii="Times New Roman" w:eastAsia="Times New Roman" w:hAnsi="Times New Roman" w:cs="Times New Roman"/>
                <w:bCs w:val="0"/>
                <w:color w:val="000000"/>
                <w:sz w:val="20"/>
                <w:szCs w:val="20"/>
                <w:lang w:val="en-US"/>
              </w:rPr>
              <w:t>Innovation Ecosystem</w:t>
            </w:r>
          </w:p>
        </w:tc>
        <w:tc>
          <w:tcPr>
            <w:tcW w:w="1158" w:type="dxa"/>
            <w:shd w:val="clear" w:color="auto" w:fill="FBD4B4" w:themeFill="accent6" w:themeFillTint="66"/>
            <w:hideMark/>
          </w:tcPr>
          <w:p w14:paraId="28FF71BF"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1030" w:type="dxa"/>
            <w:shd w:val="clear" w:color="auto" w:fill="FBD4B4" w:themeFill="accent6" w:themeFillTint="66"/>
            <w:hideMark/>
          </w:tcPr>
          <w:p w14:paraId="6ABB7537"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c>
          <w:tcPr>
            <w:tcW w:w="3734" w:type="dxa"/>
            <w:shd w:val="clear" w:color="auto" w:fill="FBD4B4" w:themeFill="accent6" w:themeFillTint="66"/>
          </w:tcPr>
          <w:p w14:paraId="348CAE1A" w14:textId="77777777" w:rsidR="0093115E" w:rsidRPr="000E1B7E" w:rsidRDefault="0093115E" w:rsidP="005959B5">
            <w:pPr>
              <w:ind w:left="-89" w:right="-115"/>
              <w:jc w:val="both"/>
              <w:cnfStyle w:val="000000100000" w:firstRow="0" w:lastRow="0" w:firstColumn="0" w:lastColumn="0" w:oddVBand="0" w:evenVBand="0" w:oddHBand="1" w:evenHBand="0" w:firstRowFirstColumn="0" w:firstRowLastColumn="0" w:lastRowFirstColumn="0" w:lastRowLastColumn="0"/>
              <w:rPr>
                <w:b/>
                <w:bCs/>
                <w:color w:val="000000"/>
                <w:sz w:val="20"/>
                <w:szCs w:val="20"/>
              </w:rPr>
            </w:pPr>
          </w:p>
        </w:tc>
      </w:tr>
      <w:tr w:rsidR="0093115E" w:rsidRPr="000E1B7E" w14:paraId="51D7C09E"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59D70CB4" w14:textId="77777777" w:rsidR="0093115E" w:rsidRPr="000E1B7E" w:rsidRDefault="007259E2"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bCs w:val="0"/>
                <w:color w:val="000000"/>
                <w:sz w:val="20"/>
                <w:szCs w:val="20"/>
              </w:rPr>
              <w:t>11th pillar: Business</w:t>
            </w:r>
            <w:r w:rsidRPr="000E1B7E">
              <w:rPr>
                <w:rFonts w:ascii="Times New Roman" w:eastAsia="Times New Roman" w:hAnsi="Times New Roman" w:cs="Times New Roman"/>
                <w:b w:val="0"/>
                <w:bCs w:val="0"/>
                <w:color w:val="333333"/>
                <w:sz w:val="20"/>
                <w:szCs w:val="20"/>
                <w:lang w:val="en-US"/>
              </w:rPr>
              <w:t xml:space="preserve"> dynamism</w:t>
            </w:r>
          </w:p>
        </w:tc>
        <w:tc>
          <w:tcPr>
            <w:tcW w:w="1158" w:type="dxa"/>
            <w:hideMark/>
          </w:tcPr>
          <w:p w14:paraId="2A0F414A"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000000"/>
                <w:sz w:val="20"/>
                <w:szCs w:val="20"/>
                <w:lang w:val="en-US"/>
              </w:rPr>
              <w:t>82</w:t>
            </w:r>
          </w:p>
        </w:tc>
        <w:tc>
          <w:tcPr>
            <w:tcW w:w="1030" w:type="dxa"/>
            <w:hideMark/>
          </w:tcPr>
          <w:p w14:paraId="26487CF1"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color w:val="333333"/>
                <w:sz w:val="20"/>
                <w:szCs w:val="20"/>
                <w:lang w:val="en-US"/>
              </w:rPr>
              <w:t>55.5</w:t>
            </w:r>
          </w:p>
        </w:tc>
        <w:tc>
          <w:tcPr>
            <w:tcW w:w="3734" w:type="dxa"/>
          </w:tcPr>
          <w:p w14:paraId="45EDE0D9" w14:textId="77777777" w:rsidR="0093115E" w:rsidRPr="000E1B7E" w:rsidRDefault="007259E2" w:rsidP="005959B5">
            <w:pPr>
              <w:ind w:left="-89" w:right="-115"/>
              <w:jc w:val="both"/>
              <w:cnfStyle w:val="000000010000" w:firstRow="0" w:lastRow="0" w:firstColumn="0" w:lastColumn="0" w:oddVBand="0" w:evenVBand="0" w:oddHBand="0" w:evenHBand="1"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35FCA954" wp14:editId="38F8D701">
                  <wp:extent cx="151200" cy="151200"/>
                  <wp:effectExtent l="0" t="0" r="1200" b="0"/>
                  <wp:docPr id="22"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316895CF" w14:textId="77777777" w:rsidTr="004A660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hideMark/>
          </w:tcPr>
          <w:p w14:paraId="5D055ACB" w14:textId="77777777" w:rsidR="0093115E" w:rsidRPr="000E1B7E" w:rsidRDefault="0093115E"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b w:val="0"/>
                <w:color w:val="000000"/>
                <w:sz w:val="20"/>
                <w:szCs w:val="20"/>
              </w:rPr>
              <w:t>12th pillar: Innovation</w:t>
            </w:r>
            <w:r w:rsidR="00A614E4" w:rsidRPr="000E1B7E">
              <w:rPr>
                <w:rFonts w:ascii="Times New Roman" w:hAnsi="Times New Roman" w:cs="Times New Roman"/>
                <w:b w:val="0"/>
                <w:bCs w:val="0"/>
                <w:color w:val="000000"/>
                <w:sz w:val="20"/>
                <w:szCs w:val="20"/>
              </w:rPr>
              <w:t xml:space="preserve"> Capability</w:t>
            </w:r>
          </w:p>
        </w:tc>
        <w:tc>
          <w:tcPr>
            <w:tcW w:w="1158" w:type="dxa"/>
            <w:hideMark/>
          </w:tcPr>
          <w:p w14:paraId="3178FF14" w14:textId="77777777" w:rsidR="0093115E" w:rsidRPr="000E1B7E" w:rsidRDefault="00A614E4"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color w:val="000000"/>
                <w:sz w:val="20"/>
                <w:szCs w:val="20"/>
                <w:lang w:val="en-US"/>
              </w:rPr>
              <w:t>107</w:t>
            </w:r>
          </w:p>
        </w:tc>
        <w:tc>
          <w:tcPr>
            <w:tcW w:w="1030" w:type="dxa"/>
            <w:hideMark/>
          </w:tcPr>
          <w:p w14:paraId="09DE7A3C" w14:textId="77777777" w:rsidR="0093115E" w:rsidRPr="000E1B7E" w:rsidRDefault="00A614E4" w:rsidP="005959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333333"/>
                <w:sz w:val="20"/>
                <w:szCs w:val="20"/>
                <w:lang w:val="en-US"/>
              </w:rPr>
            </w:pPr>
            <w:r w:rsidRPr="000E1B7E">
              <w:rPr>
                <w:bCs/>
                <w:color w:val="333333"/>
                <w:sz w:val="20"/>
                <w:szCs w:val="20"/>
                <w:lang w:val="en-US"/>
              </w:rPr>
              <w:t>29.8</w:t>
            </w:r>
          </w:p>
        </w:tc>
        <w:tc>
          <w:tcPr>
            <w:tcW w:w="3734" w:type="dxa"/>
          </w:tcPr>
          <w:p w14:paraId="37040CB7" w14:textId="77777777" w:rsidR="0093115E" w:rsidRPr="000E1B7E" w:rsidRDefault="00A614E4" w:rsidP="005959B5">
            <w:pPr>
              <w:ind w:left="-89" w:right="-115"/>
              <w:jc w:val="both"/>
              <w:cnfStyle w:val="000000100000" w:firstRow="0" w:lastRow="0" w:firstColumn="0" w:lastColumn="0" w:oddVBand="0" w:evenVBand="0" w:oddHBand="1" w:evenHBand="0" w:firstRowFirstColumn="0" w:firstRowLastColumn="0" w:lastRowFirstColumn="0" w:lastRowLastColumn="0"/>
              <w:rPr>
                <w:bCs/>
                <w:color w:val="000000"/>
                <w:sz w:val="20"/>
                <w:szCs w:val="20"/>
              </w:rPr>
            </w:pPr>
            <w:r w:rsidRPr="000E1B7E">
              <w:rPr>
                <w:bCs/>
                <w:noProof/>
                <w:color w:val="000000"/>
                <w:sz w:val="20"/>
                <w:szCs w:val="20"/>
                <w:lang w:eastAsia="en-GB"/>
              </w:rPr>
              <w:drawing>
                <wp:inline distT="0" distB="0" distL="0" distR="0" wp14:anchorId="3D5D12E3" wp14:editId="36AA59EB">
                  <wp:extent cx="151200" cy="151200"/>
                  <wp:effectExtent l="0" t="0" r="1200" b="0"/>
                  <wp:docPr id="23"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p"/>
                          <pic:cNvPicPr>
                            <a:picLocks noChangeAspect="1" noChangeArrowheads="1"/>
                          </pic:cNvPicPr>
                        </pic:nvPicPr>
                        <pic:blipFill>
                          <a:blip r:embed="rId19"/>
                          <a:srcRect/>
                          <a:stretch>
                            <a:fillRect/>
                          </a:stretch>
                        </pic:blipFill>
                        <pic:spPr bwMode="auto">
                          <a:xfrm>
                            <a:off x="0" y="0"/>
                            <a:ext cx="155575" cy="155575"/>
                          </a:xfrm>
                          <a:prstGeom prst="rect">
                            <a:avLst/>
                          </a:prstGeom>
                          <a:noFill/>
                          <a:ln w="9525">
                            <a:noFill/>
                            <a:miter lim="800000"/>
                            <a:headEnd/>
                            <a:tailEnd/>
                          </a:ln>
                        </pic:spPr>
                      </pic:pic>
                    </a:graphicData>
                  </a:graphic>
                </wp:inline>
              </w:drawing>
            </w:r>
          </w:p>
        </w:tc>
      </w:tr>
      <w:tr w:rsidR="0093115E" w:rsidRPr="000E1B7E" w14:paraId="5D74CD8B" w14:textId="77777777" w:rsidTr="004A660A">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20" w:type="dxa"/>
            <w:shd w:val="clear" w:color="auto" w:fill="FBD4B4" w:themeFill="accent6" w:themeFillTint="66"/>
            <w:hideMark/>
          </w:tcPr>
          <w:p w14:paraId="1447EB10" w14:textId="77777777" w:rsidR="0093115E" w:rsidRPr="000E1B7E" w:rsidRDefault="0093115E" w:rsidP="005959B5">
            <w:pPr>
              <w:ind w:left="-3" w:right="-115"/>
              <w:jc w:val="both"/>
              <w:rPr>
                <w:rFonts w:ascii="Times New Roman" w:hAnsi="Times New Roman" w:cs="Times New Roman"/>
                <w:b w:val="0"/>
                <w:bCs w:val="0"/>
                <w:color w:val="000000"/>
                <w:sz w:val="20"/>
                <w:szCs w:val="20"/>
              </w:rPr>
            </w:pPr>
            <w:r w:rsidRPr="000E1B7E">
              <w:rPr>
                <w:rFonts w:ascii="Times New Roman" w:hAnsi="Times New Roman" w:cs="Times New Roman"/>
                <w:color w:val="000000"/>
                <w:sz w:val="20"/>
                <w:szCs w:val="20"/>
              </w:rPr>
              <w:t>Overall rank</w:t>
            </w:r>
          </w:p>
        </w:tc>
        <w:tc>
          <w:tcPr>
            <w:tcW w:w="1158" w:type="dxa"/>
            <w:shd w:val="clear" w:color="auto" w:fill="FBD4B4" w:themeFill="accent6" w:themeFillTint="66"/>
            <w:hideMark/>
          </w:tcPr>
          <w:p w14:paraId="26117585" w14:textId="77777777" w:rsidR="0093115E" w:rsidRPr="000E1B7E" w:rsidRDefault="0093115E" w:rsidP="005959B5">
            <w:pPr>
              <w:ind w:left="-89" w:right="-115"/>
              <w:jc w:val="both"/>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0E1B7E">
              <w:rPr>
                <w:b/>
                <w:bCs/>
                <w:color w:val="000000"/>
                <w:sz w:val="20"/>
                <w:szCs w:val="20"/>
              </w:rPr>
              <w:t>117</w:t>
            </w:r>
          </w:p>
        </w:tc>
        <w:tc>
          <w:tcPr>
            <w:tcW w:w="1030" w:type="dxa"/>
            <w:shd w:val="clear" w:color="auto" w:fill="FBD4B4" w:themeFill="accent6" w:themeFillTint="66"/>
            <w:hideMark/>
          </w:tcPr>
          <w:p w14:paraId="06D62558" w14:textId="77777777" w:rsidR="0093115E" w:rsidRPr="000E1B7E" w:rsidRDefault="0093115E" w:rsidP="005959B5">
            <w:pPr>
              <w:ind w:left="-89" w:right="-115"/>
              <w:jc w:val="both"/>
              <w:cnfStyle w:val="000000010000" w:firstRow="0" w:lastRow="0" w:firstColumn="0" w:lastColumn="0" w:oddVBand="0" w:evenVBand="0" w:oddHBand="0" w:evenHBand="1" w:firstRowFirstColumn="0" w:firstRowLastColumn="0" w:lastRowFirstColumn="0" w:lastRowLastColumn="0"/>
              <w:rPr>
                <w:b/>
                <w:bCs/>
                <w:color w:val="000000"/>
                <w:sz w:val="20"/>
                <w:szCs w:val="20"/>
              </w:rPr>
            </w:pPr>
            <w:r w:rsidRPr="000E1B7E">
              <w:rPr>
                <w:b/>
                <w:bCs/>
                <w:color w:val="000000"/>
                <w:sz w:val="20"/>
                <w:szCs w:val="20"/>
              </w:rPr>
              <w:t>47</w:t>
            </w:r>
          </w:p>
        </w:tc>
        <w:tc>
          <w:tcPr>
            <w:tcW w:w="3734" w:type="dxa"/>
            <w:shd w:val="clear" w:color="auto" w:fill="FBD4B4" w:themeFill="accent6" w:themeFillTint="66"/>
          </w:tcPr>
          <w:p w14:paraId="60635305" w14:textId="77777777" w:rsidR="0093115E" w:rsidRPr="000E1B7E" w:rsidRDefault="0093115E" w:rsidP="005959B5">
            <w:pPr>
              <w:ind w:left="-89" w:right="-115"/>
              <w:jc w:val="both"/>
              <w:cnfStyle w:val="000000010000" w:firstRow="0" w:lastRow="0" w:firstColumn="0" w:lastColumn="0" w:oddVBand="0" w:evenVBand="0" w:oddHBand="0" w:evenHBand="1" w:firstRowFirstColumn="0" w:firstRowLastColumn="0" w:lastRowFirstColumn="0" w:lastRowLastColumn="0"/>
              <w:rPr>
                <w:b/>
                <w:bCs/>
                <w:color w:val="000000"/>
                <w:sz w:val="20"/>
                <w:szCs w:val="20"/>
              </w:rPr>
            </w:pPr>
          </w:p>
        </w:tc>
      </w:tr>
    </w:tbl>
    <w:p w14:paraId="64FE2875" w14:textId="77777777" w:rsidR="003F28C0" w:rsidRPr="000E1B7E" w:rsidRDefault="00547072" w:rsidP="005959B5">
      <w:pPr>
        <w:jc w:val="both"/>
      </w:pPr>
      <w:r w:rsidRPr="000E1B7E">
        <w:t>Source: Global Competitiveness Index report (2018) by the World Economic Forum</w:t>
      </w:r>
    </w:p>
    <w:p w14:paraId="0562FDFA" w14:textId="77777777" w:rsidR="00547072" w:rsidRPr="000E1B7E" w:rsidRDefault="00547072" w:rsidP="005959B5">
      <w:pPr>
        <w:spacing w:line="360" w:lineRule="auto"/>
        <w:jc w:val="both"/>
      </w:pPr>
    </w:p>
    <w:p w14:paraId="41B621C2" w14:textId="77777777" w:rsidR="003F28C0" w:rsidRPr="000E1B7E" w:rsidRDefault="003F28C0"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most problematic </w:t>
      </w:r>
      <w:r w:rsidR="004A660A" w:rsidRPr="000E1B7E">
        <w:rPr>
          <w:rFonts w:ascii="Times New Roman" w:hAnsi="Times New Roman"/>
          <w:sz w:val="24"/>
          <w:szCs w:val="24"/>
        </w:rPr>
        <w:t>pillars</w:t>
      </w:r>
      <w:r w:rsidR="00E95DF2" w:rsidRPr="000E1B7E">
        <w:rPr>
          <w:rFonts w:ascii="Times New Roman" w:hAnsi="Times New Roman"/>
          <w:sz w:val="24"/>
          <w:szCs w:val="24"/>
        </w:rPr>
        <w:t xml:space="preserve"> and areas of weakness requiring</w:t>
      </w:r>
      <w:r w:rsidRPr="000E1B7E">
        <w:rPr>
          <w:rFonts w:ascii="Times New Roman" w:hAnsi="Times New Roman"/>
          <w:sz w:val="24"/>
          <w:szCs w:val="24"/>
        </w:rPr>
        <w:t xml:space="preserve"> expedited efforts to move the economy to a higher competitivenes</w:t>
      </w:r>
      <w:r w:rsidR="00E95DF2" w:rsidRPr="000E1B7E">
        <w:rPr>
          <w:rFonts w:ascii="Times New Roman" w:hAnsi="Times New Roman"/>
          <w:sz w:val="24"/>
          <w:szCs w:val="24"/>
        </w:rPr>
        <w:t>s level were:</w:t>
      </w:r>
    </w:p>
    <w:p w14:paraId="0339E353" w14:textId="77777777" w:rsidR="00AE3E34" w:rsidRPr="000E1B7E" w:rsidRDefault="00AE3E34"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Under Pillar 1</w:t>
      </w:r>
      <w:r w:rsidRPr="000E1B7E">
        <w:rPr>
          <w:rFonts w:ascii="Times New Roman" w:hAnsi="Times New Roman"/>
          <w:sz w:val="24"/>
          <w:szCs w:val="24"/>
        </w:rPr>
        <w:t xml:space="preserve">: Institutions, </w:t>
      </w:r>
      <w:r w:rsidR="00297256" w:rsidRPr="000E1B7E">
        <w:rPr>
          <w:rFonts w:ascii="Times New Roman" w:hAnsi="Times New Roman"/>
          <w:sz w:val="24"/>
          <w:szCs w:val="24"/>
        </w:rPr>
        <w:t xml:space="preserve">the leading challenging factors to competiveness were organized crime, reliability of police services , incidence of corruption and intellectual property protection, quality of land administration, strength of auditing and reporting standards and conﬂict of interest regulation. </w:t>
      </w:r>
    </w:p>
    <w:p w14:paraId="5ED2A471" w14:textId="77777777" w:rsidR="00AE3E34" w:rsidRPr="000E1B7E" w:rsidRDefault="00AE3E34"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Under Pillar 2</w:t>
      </w:r>
      <w:r w:rsidRPr="000E1B7E">
        <w:rPr>
          <w:rFonts w:ascii="Times New Roman" w:hAnsi="Times New Roman"/>
          <w:sz w:val="24"/>
          <w:szCs w:val="24"/>
        </w:rPr>
        <w:t>: Infrastructure, the leading challenging factors to competiveness were</w:t>
      </w:r>
      <w:r w:rsidR="00E95DF2" w:rsidRPr="000E1B7E">
        <w:rPr>
          <w:rFonts w:ascii="Times New Roman" w:hAnsi="Times New Roman"/>
          <w:sz w:val="24"/>
          <w:szCs w:val="24"/>
        </w:rPr>
        <w:t xml:space="preserve"> efficiency</w:t>
      </w:r>
      <w:r w:rsidRPr="000E1B7E">
        <w:rPr>
          <w:rFonts w:ascii="Times New Roman" w:hAnsi="Times New Roman"/>
          <w:sz w:val="24"/>
          <w:szCs w:val="24"/>
        </w:rPr>
        <w:t xml:space="preserve"> of train services</w:t>
      </w:r>
      <w:r w:rsidR="007C2F66" w:rsidRPr="000E1B7E">
        <w:rPr>
          <w:rFonts w:ascii="Times New Roman" w:hAnsi="Times New Roman"/>
          <w:sz w:val="24"/>
          <w:szCs w:val="24"/>
        </w:rPr>
        <w:t xml:space="preserve">, </w:t>
      </w:r>
      <w:r w:rsidR="00E95DF2" w:rsidRPr="000E1B7E">
        <w:rPr>
          <w:rFonts w:ascii="Times New Roman" w:hAnsi="Times New Roman"/>
          <w:sz w:val="24"/>
          <w:szCs w:val="24"/>
        </w:rPr>
        <w:t>a</w:t>
      </w:r>
      <w:r w:rsidR="007C2F66" w:rsidRPr="000E1B7E">
        <w:rPr>
          <w:rFonts w:ascii="Times New Roman" w:hAnsi="Times New Roman"/>
          <w:sz w:val="24"/>
          <w:szCs w:val="24"/>
        </w:rPr>
        <w:t>irport connectivity, efficiency</w:t>
      </w:r>
      <w:r w:rsidRPr="000E1B7E">
        <w:rPr>
          <w:rFonts w:ascii="Times New Roman" w:hAnsi="Times New Roman"/>
          <w:sz w:val="24"/>
          <w:szCs w:val="24"/>
        </w:rPr>
        <w:t xml:space="preserve"> of air transport services</w:t>
      </w:r>
      <w:r w:rsidR="007C2F66" w:rsidRPr="000E1B7E">
        <w:rPr>
          <w:rFonts w:ascii="Times New Roman" w:hAnsi="Times New Roman"/>
          <w:sz w:val="24"/>
          <w:szCs w:val="24"/>
        </w:rPr>
        <w:t xml:space="preserve">, low </w:t>
      </w:r>
      <w:r w:rsidR="00E95DF2" w:rsidRPr="000E1B7E">
        <w:rPr>
          <w:rFonts w:ascii="Times New Roman" w:hAnsi="Times New Roman"/>
          <w:sz w:val="24"/>
          <w:szCs w:val="24"/>
        </w:rPr>
        <w:t>e</w:t>
      </w:r>
      <w:r w:rsidRPr="000E1B7E">
        <w:rPr>
          <w:rFonts w:ascii="Times New Roman" w:hAnsi="Times New Roman"/>
          <w:sz w:val="24"/>
          <w:szCs w:val="24"/>
        </w:rPr>
        <w:t>lectriﬁcation</w:t>
      </w:r>
      <w:r w:rsidR="007C2F66" w:rsidRPr="000E1B7E">
        <w:rPr>
          <w:rFonts w:ascii="Times New Roman" w:hAnsi="Times New Roman"/>
          <w:sz w:val="24"/>
          <w:szCs w:val="24"/>
        </w:rPr>
        <w:t xml:space="preserve">, </w:t>
      </w:r>
      <w:r w:rsidR="00E95DF2" w:rsidRPr="000E1B7E">
        <w:rPr>
          <w:rFonts w:ascii="Times New Roman" w:hAnsi="Times New Roman"/>
          <w:sz w:val="24"/>
          <w:szCs w:val="24"/>
        </w:rPr>
        <w:t>e</w:t>
      </w:r>
      <w:r w:rsidRPr="000E1B7E">
        <w:rPr>
          <w:rFonts w:ascii="Times New Roman" w:hAnsi="Times New Roman"/>
          <w:sz w:val="24"/>
          <w:szCs w:val="24"/>
        </w:rPr>
        <w:t xml:space="preserve">xposure to unsafe drinking water </w:t>
      </w:r>
      <w:r w:rsidR="007C2F66" w:rsidRPr="000E1B7E">
        <w:rPr>
          <w:rFonts w:ascii="Times New Roman" w:hAnsi="Times New Roman"/>
          <w:sz w:val="24"/>
          <w:szCs w:val="24"/>
        </w:rPr>
        <w:t xml:space="preserve"> and low r</w:t>
      </w:r>
      <w:r w:rsidRPr="000E1B7E">
        <w:rPr>
          <w:rFonts w:ascii="Times New Roman" w:hAnsi="Times New Roman"/>
          <w:sz w:val="24"/>
          <w:szCs w:val="24"/>
        </w:rPr>
        <w:t>eliability of water supply</w:t>
      </w:r>
      <w:r w:rsidR="007C2F66" w:rsidRPr="000E1B7E">
        <w:rPr>
          <w:rFonts w:ascii="Times New Roman" w:hAnsi="Times New Roman"/>
          <w:sz w:val="24"/>
          <w:szCs w:val="24"/>
        </w:rPr>
        <w:t>.</w:t>
      </w:r>
    </w:p>
    <w:p w14:paraId="51FB7338" w14:textId="77777777" w:rsidR="00AE3E34" w:rsidRPr="000E1B7E" w:rsidRDefault="007C2F66"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 xml:space="preserve">Under </w:t>
      </w:r>
      <w:r w:rsidR="00AE3E34" w:rsidRPr="000E1B7E">
        <w:rPr>
          <w:rFonts w:ascii="Times New Roman" w:hAnsi="Times New Roman"/>
          <w:b/>
          <w:sz w:val="24"/>
          <w:szCs w:val="24"/>
        </w:rPr>
        <w:t>Pillar 3</w:t>
      </w:r>
      <w:r w:rsidR="00AE3E34" w:rsidRPr="000E1B7E">
        <w:rPr>
          <w:rFonts w:ascii="Times New Roman" w:hAnsi="Times New Roman"/>
          <w:sz w:val="24"/>
          <w:szCs w:val="24"/>
        </w:rPr>
        <w:t xml:space="preserve">: ICT </w:t>
      </w:r>
      <w:r w:rsidR="00E95DF2" w:rsidRPr="000E1B7E">
        <w:rPr>
          <w:rFonts w:ascii="Times New Roman" w:hAnsi="Times New Roman"/>
          <w:sz w:val="24"/>
          <w:szCs w:val="24"/>
        </w:rPr>
        <w:t xml:space="preserve">adoption, </w:t>
      </w:r>
      <w:r w:rsidR="00297256" w:rsidRPr="000E1B7E">
        <w:rPr>
          <w:rFonts w:ascii="Times New Roman" w:hAnsi="Times New Roman"/>
          <w:sz w:val="24"/>
          <w:szCs w:val="24"/>
        </w:rPr>
        <w:t xml:space="preserve">the leading challenging factors to competiveness was low subscriptions to mobile-cellular telephone and internet services. </w:t>
      </w:r>
    </w:p>
    <w:p w14:paraId="368018F7" w14:textId="77777777" w:rsidR="003F28C0" w:rsidRPr="000E1B7E" w:rsidRDefault="007C2F66"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 xml:space="preserve">Under </w:t>
      </w:r>
      <w:r w:rsidR="00AE3E34" w:rsidRPr="000E1B7E">
        <w:rPr>
          <w:rFonts w:ascii="Times New Roman" w:hAnsi="Times New Roman"/>
          <w:b/>
          <w:sz w:val="24"/>
          <w:szCs w:val="24"/>
        </w:rPr>
        <w:t>Pillar 6</w:t>
      </w:r>
      <w:r w:rsidR="00AE3E34" w:rsidRPr="000E1B7E">
        <w:rPr>
          <w:rFonts w:ascii="Times New Roman" w:hAnsi="Times New Roman"/>
          <w:sz w:val="24"/>
          <w:szCs w:val="24"/>
        </w:rPr>
        <w:t>: Skills</w:t>
      </w:r>
      <w:r w:rsidRPr="000E1B7E">
        <w:rPr>
          <w:rFonts w:ascii="Times New Roman" w:hAnsi="Times New Roman"/>
          <w:sz w:val="24"/>
          <w:szCs w:val="24"/>
        </w:rPr>
        <w:t xml:space="preserve">, </w:t>
      </w:r>
      <w:r w:rsidR="00297256" w:rsidRPr="000E1B7E">
        <w:rPr>
          <w:rFonts w:ascii="Times New Roman" w:hAnsi="Times New Roman"/>
          <w:sz w:val="24"/>
          <w:szCs w:val="24"/>
        </w:rPr>
        <w:t xml:space="preserve">the leading challenging factors to competiveness were quality of vocational training, skills set of graduates, digital skills among population, critical thinking in teaching and high pupil-to-teacher ratio in primary education </w:t>
      </w:r>
    </w:p>
    <w:p w14:paraId="6B4A8B9A" w14:textId="77777777" w:rsidR="00AE3E34" w:rsidRPr="000E1B7E" w:rsidRDefault="007C2F66"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sz w:val="24"/>
          <w:szCs w:val="24"/>
        </w:rPr>
        <w:t xml:space="preserve">Under </w:t>
      </w:r>
      <w:r w:rsidR="00AE3E34" w:rsidRPr="000E1B7E">
        <w:rPr>
          <w:rFonts w:ascii="Times New Roman" w:hAnsi="Times New Roman"/>
          <w:sz w:val="24"/>
          <w:szCs w:val="24"/>
        </w:rPr>
        <w:t>Pillar 7: Product market</w:t>
      </w:r>
      <w:r w:rsidRPr="000E1B7E">
        <w:rPr>
          <w:rFonts w:ascii="Times New Roman" w:hAnsi="Times New Roman"/>
          <w:sz w:val="24"/>
          <w:szCs w:val="24"/>
        </w:rPr>
        <w:t>, the leading challenging factors to competivenesswere</w:t>
      </w:r>
      <w:r w:rsidR="00297256" w:rsidRPr="000E1B7E">
        <w:rPr>
          <w:rFonts w:ascii="Times New Roman" w:hAnsi="Times New Roman"/>
          <w:sz w:val="24"/>
          <w:szCs w:val="24"/>
        </w:rPr>
        <w:t xml:space="preserve">distortive effect of taxes and subsidies on competition, extent of market dominance, trade tariffs </w:t>
      </w:r>
    </w:p>
    <w:p w14:paraId="25DA84EA" w14:textId="77777777" w:rsidR="00AE3E34" w:rsidRPr="000E1B7E" w:rsidRDefault="001B632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 xml:space="preserve">Under </w:t>
      </w:r>
      <w:r w:rsidR="00AE3E34" w:rsidRPr="000E1B7E">
        <w:rPr>
          <w:rFonts w:ascii="Times New Roman" w:hAnsi="Times New Roman"/>
          <w:b/>
          <w:sz w:val="24"/>
          <w:szCs w:val="24"/>
        </w:rPr>
        <w:t>Pillar 8</w:t>
      </w:r>
      <w:r w:rsidR="00AE3E34" w:rsidRPr="000E1B7E">
        <w:rPr>
          <w:rFonts w:ascii="Times New Roman" w:hAnsi="Times New Roman"/>
          <w:sz w:val="24"/>
          <w:szCs w:val="24"/>
        </w:rPr>
        <w:t>: Labour market</w:t>
      </w:r>
      <w:r w:rsidRPr="000E1B7E">
        <w:rPr>
          <w:rFonts w:ascii="Times New Roman" w:hAnsi="Times New Roman"/>
          <w:sz w:val="24"/>
          <w:szCs w:val="24"/>
        </w:rPr>
        <w:t xml:space="preserve">, </w:t>
      </w:r>
      <w:r w:rsidR="00297256" w:rsidRPr="000E1B7E">
        <w:rPr>
          <w:rFonts w:ascii="Times New Roman" w:hAnsi="Times New Roman"/>
          <w:sz w:val="24"/>
          <w:szCs w:val="24"/>
        </w:rPr>
        <w:t xml:space="preserve">the leading challenging factors to competiveness were low active labour policies, pay and productivity </w:t>
      </w:r>
    </w:p>
    <w:p w14:paraId="4B29C31F" w14:textId="77777777" w:rsidR="00AE3E34" w:rsidRPr="000E1B7E" w:rsidRDefault="001B632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 xml:space="preserve">Under </w:t>
      </w:r>
      <w:r w:rsidR="00AE3E34" w:rsidRPr="000E1B7E">
        <w:rPr>
          <w:rFonts w:ascii="Times New Roman" w:hAnsi="Times New Roman"/>
          <w:b/>
          <w:sz w:val="24"/>
          <w:szCs w:val="24"/>
        </w:rPr>
        <w:t>Pillar 9</w:t>
      </w:r>
      <w:r w:rsidR="00AE3E34" w:rsidRPr="000E1B7E">
        <w:rPr>
          <w:rFonts w:ascii="Times New Roman" w:hAnsi="Times New Roman"/>
          <w:sz w:val="24"/>
          <w:szCs w:val="24"/>
        </w:rPr>
        <w:t xml:space="preserve">: Financial </w:t>
      </w:r>
      <w:r w:rsidR="00297256" w:rsidRPr="000E1B7E">
        <w:rPr>
          <w:rFonts w:ascii="Times New Roman" w:hAnsi="Times New Roman"/>
          <w:sz w:val="24"/>
          <w:szCs w:val="24"/>
        </w:rPr>
        <w:t xml:space="preserve">system, the leading challenging factors to competiveness were low domestic credit to private sector, venture capital availability, low market capitalization, low insurance coverage, </w:t>
      </w:r>
    </w:p>
    <w:p w14:paraId="1C2F6C5B" w14:textId="77777777" w:rsidR="00AE3E34" w:rsidRPr="000E1B7E" w:rsidRDefault="001B632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lastRenderedPageBreak/>
        <w:t xml:space="preserve">Under </w:t>
      </w:r>
      <w:r w:rsidR="00AE3E34" w:rsidRPr="000E1B7E">
        <w:rPr>
          <w:rFonts w:ascii="Times New Roman" w:hAnsi="Times New Roman"/>
          <w:b/>
          <w:sz w:val="24"/>
          <w:szCs w:val="24"/>
        </w:rPr>
        <w:t>Pillar 10</w:t>
      </w:r>
      <w:r w:rsidR="00AE3E34" w:rsidRPr="000E1B7E">
        <w:rPr>
          <w:rFonts w:ascii="Times New Roman" w:hAnsi="Times New Roman"/>
          <w:sz w:val="24"/>
          <w:szCs w:val="24"/>
        </w:rPr>
        <w:t>: Market size</w:t>
      </w:r>
      <w:r w:rsidRPr="000E1B7E">
        <w:rPr>
          <w:rFonts w:ascii="Times New Roman" w:hAnsi="Times New Roman"/>
          <w:sz w:val="24"/>
          <w:szCs w:val="24"/>
        </w:rPr>
        <w:t xml:space="preserve">, the leading challenging factor to competiveness was high dependence on </w:t>
      </w:r>
      <w:r w:rsidR="00AE3E34" w:rsidRPr="000E1B7E">
        <w:rPr>
          <w:rFonts w:ascii="Times New Roman" w:hAnsi="Times New Roman"/>
          <w:sz w:val="24"/>
          <w:szCs w:val="24"/>
        </w:rPr>
        <w:t xml:space="preserve">Imports </w:t>
      </w:r>
    </w:p>
    <w:p w14:paraId="625CAEB5" w14:textId="77777777" w:rsidR="00AE3E34" w:rsidRPr="000E1B7E" w:rsidRDefault="001B632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 xml:space="preserve">Under </w:t>
      </w:r>
      <w:r w:rsidR="00AE3E34" w:rsidRPr="000E1B7E">
        <w:rPr>
          <w:rFonts w:ascii="Times New Roman" w:hAnsi="Times New Roman"/>
          <w:b/>
          <w:sz w:val="24"/>
          <w:szCs w:val="24"/>
        </w:rPr>
        <w:t>Pillar 11</w:t>
      </w:r>
      <w:r w:rsidR="00AE3E34" w:rsidRPr="000E1B7E">
        <w:rPr>
          <w:rFonts w:ascii="Times New Roman" w:hAnsi="Times New Roman"/>
          <w:sz w:val="24"/>
          <w:szCs w:val="24"/>
        </w:rPr>
        <w:t xml:space="preserve">: Business </w:t>
      </w:r>
      <w:r w:rsidR="00297256" w:rsidRPr="000E1B7E">
        <w:rPr>
          <w:rFonts w:ascii="Times New Roman" w:hAnsi="Times New Roman"/>
          <w:sz w:val="24"/>
          <w:szCs w:val="24"/>
        </w:rPr>
        <w:t xml:space="preserve">dynamism, the leading challenging factors to competiveness were cost of starting a business, time to start a business, insolvency regulatory framework </w:t>
      </w:r>
    </w:p>
    <w:p w14:paraId="18A732D1" w14:textId="77777777" w:rsidR="00AE3E34" w:rsidRPr="000E1B7E" w:rsidRDefault="001B632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sz w:val="24"/>
          <w:szCs w:val="24"/>
        </w:rPr>
        <w:t xml:space="preserve">Under </w:t>
      </w:r>
      <w:r w:rsidR="00AE3E34" w:rsidRPr="000E1B7E">
        <w:rPr>
          <w:rFonts w:ascii="Times New Roman" w:hAnsi="Times New Roman"/>
          <w:b/>
          <w:sz w:val="24"/>
          <w:szCs w:val="24"/>
        </w:rPr>
        <w:t>Pillar 12</w:t>
      </w:r>
      <w:r w:rsidR="00AE3E34" w:rsidRPr="000E1B7E">
        <w:rPr>
          <w:rFonts w:ascii="Times New Roman" w:hAnsi="Times New Roman"/>
          <w:sz w:val="24"/>
          <w:szCs w:val="24"/>
        </w:rPr>
        <w:t xml:space="preserve">: Innovation </w:t>
      </w:r>
      <w:r w:rsidRPr="000E1B7E">
        <w:rPr>
          <w:rFonts w:ascii="Times New Roman" w:hAnsi="Times New Roman"/>
          <w:sz w:val="24"/>
          <w:szCs w:val="24"/>
        </w:rPr>
        <w:t>capability, the leading challenging factors to competiveness was limited i</w:t>
      </w:r>
      <w:r w:rsidR="00AE3E34" w:rsidRPr="000E1B7E">
        <w:rPr>
          <w:rFonts w:ascii="Times New Roman" w:hAnsi="Times New Roman"/>
          <w:sz w:val="24"/>
          <w:szCs w:val="24"/>
        </w:rPr>
        <w:t>nternational co-inventions</w:t>
      </w:r>
      <w:r w:rsidRPr="000E1B7E">
        <w:rPr>
          <w:rFonts w:ascii="Times New Roman" w:hAnsi="Times New Roman"/>
          <w:sz w:val="24"/>
          <w:szCs w:val="24"/>
        </w:rPr>
        <w:t>, low p</w:t>
      </w:r>
      <w:r w:rsidR="00AE3E34" w:rsidRPr="000E1B7E">
        <w:rPr>
          <w:rFonts w:ascii="Times New Roman" w:hAnsi="Times New Roman"/>
          <w:sz w:val="24"/>
          <w:szCs w:val="24"/>
        </w:rPr>
        <w:t xml:space="preserve">atent </w:t>
      </w:r>
      <w:r w:rsidRPr="000E1B7E">
        <w:rPr>
          <w:rFonts w:ascii="Times New Roman" w:hAnsi="Times New Roman"/>
          <w:sz w:val="24"/>
          <w:szCs w:val="24"/>
        </w:rPr>
        <w:t>applications and b</w:t>
      </w:r>
      <w:r w:rsidR="00AE3E34" w:rsidRPr="000E1B7E">
        <w:rPr>
          <w:rFonts w:ascii="Times New Roman" w:hAnsi="Times New Roman"/>
          <w:sz w:val="24"/>
          <w:szCs w:val="24"/>
        </w:rPr>
        <w:t>uyer sophistication</w:t>
      </w:r>
      <w:r w:rsidRPr="000E1B7E">
        <w:rPr>
          <w:rFonts w:ascii="Times New Roman" w:hAnsi="Times New Roman"/>
          <w:sz w:val="24"/>
          <w:szCs w:val="24"/>
        </w:rPr>
        <w:t>.</w:t>
      </w:r>
    </w:p>
    <w:p w14:paraId="61554654" w14:textId="77777777" w:rsidR="00655672" w:rsidRPr="000E1B7E" w:rsidRDefault="003F28C0" w:rsidP="00F85D24">
      <w:pPr>
        <w:pStyle w:val="DeltaBodytext"/>
        <w:numPr>
          <w:ilvl w:val="0"/>
          <w:numId w:val="26"/>
        </w:numPr>
        <w:spacing w:line="360" w:lineRule="auto"/>
        <w:ind w:left="567" w:hanging="567"/>
        <w:rPr>
          <w:rFonts w:ascii="Times New Roman" w:hAnsi="Times New Roman"/>
        </w:rPr>
      </w:pPr>
      <w:r w:rsidRPr="000E1B7E">
        <w:rPr>
          <w:rFonts w:ascii="Times New Roman" w:hAnsi="Times New Roman"/>
          <w:sz w:val="24"/>
          <w:szCs w:val="24"/>
        </w:rPr>
        <w:t>The Government has initiated a number of projects to improve the competitiveness of the Economy. Many infrastructure projects</w:t>
      </w:r>
      <w:r w:rsidR="00014B68" w:rsidRPr="000E1B7E">
        <w:rPr>
          <w:rFonts w:ascii="Times New Roman" w:hAnsi="Times New Roman"/>
          <w:sz w:val="24"/>
          <w:szCs w:val="24"/>
        </w:rPr>
        <w:t xml:space="preserve"> - including </w:t>
      </w:r>
      <w:r w:rsidR="001E0C08" w:rsidRPr="000E1B7E">
        <w:rPr>
          <w:rFonts w:ascii="Times New Roman" w:hAnsi="Times New Roman"/>
          <w:sz w:val="24"/>
          <w:szCs w:val="24"/>
        </w:rPr>
        <w:t>roads</w:t>
      </w:r>
      <w:r w:rsidRPr="000E1B7E">
        <w:rPr>
          <w:rFonts w:ascii="Times New Roman" w:hAnsi="Times New Roman"/>
          <w:sz w:val="24"/>
          <w:szCs w:val="24"/>
        </w:rPr>
        <w:t xml:space="preserve">, </w:t>
      </w:r>
      <w:r w:rsidR="00014B68" w:rsidRPr="000E1B7E">
        <w:rPr>
          <w:rFonts w:ascii="Times New Roman" w:hAnsi="Times New Roman"/>
          <w:sz w:val="24"/>
          <w:szCs w:val="24"/>
        </w:rPr>
        <w:t xml:space="preserve">the </w:t>
      </w:r>
      <w:r w:rsidR="001E0C08" w:rsidRPr="000E1B7E">
        <w:rPr>
          <w:rFonts w:ascii="Times New Roman" w:hAnsi="Times New Roman"/>
          <w:sz w:val="24"/>
          <w:szCs w:val="24"/>
        </w:rPr>
        <w:t xml:space="preserve">Standard Gauge </w:t>
      </w:r>
      <w:r w:rsidRPr="000E1B7E">
        <w:rPr>
          <w:rFonts w:ascii="Times New Roman" w:hAnsi="Times New Roman"/>
          <w:sz w:val="24"/>
          <w:szCs w:val="24"/>
        </w:rPr>
        <w:t xml:space="preserve">Railway, </w:t>
      </w:r>
      <w:r w:rsidR="00210FFF" w:rsidRPr="000E1B7E">
        <w:rPr>
          <w:rFonts w:ascii="Times New Roman" w:hAnsi="Times New Roman"/>
          <w:sz w:val="24"/>
          <w:szCs w:val="24"/>
        </w:rPr>
        <w:t xml:space="preserve">airport expansion, </w:t>
      </w:r>
      <w:r w:rsidR="001E0C08" w:rsidRPr="000E1B7E">
        <w:rPr>
          <w:rFonts w:ascii="Times New Roman" w:hAnsi="Times New Roman"/>
          <w:sz w:val="24"/>
          <w:szCs w:val="24"/>
        </w:rPr>
        <w:t xml:space="preserve">energy </w:t>
      </w:r>
      <w:r w:rsidRPr="000E1B7E">
        <w:rPr>
          <w:rFonts w:ascii="Times New Roman" w:hAnsi="Times New Roman"/>
          <w:sz w:val="24"/>
          <w:szCs w:val="24"/>
        </w:rPr>
        <w:t>and ICT projects</w:t>
      </w:r>
      <w:r w:rsidR="001E0C08" w:rsidRPr="000E1B7E">
        <w:rPr>
          <w:rFonts w:ascii="Times New Roman" w:hAnsi="Times New Roman"/>
          <w:sz w:val="24"/>
          <w:szCs w:val="24"/>
        </w:rPr>
        <w:t>,</w:t>
      </w:r>
      <w:r w:rsidRPr="000E1B7E">
        <w:rPr>
          <w:rFonts w:ascii="Times New Roman" w:hAnsi="Times New Roman"/>
          <w:sz w:val="24"/>
          <w:szCs w:val="24"/>
        </w:rPr>
        <w:t xml:space="preserve"> as well </w:t>
      </w:r>
      <w:r w:rsidR="001E0C08" w:rsidRPr="000E1B7E">
        <w:rPr>
          <w:rFonts w:ascii="Times New Roman" w:hAnsi="Times New Roman"/>
          <w:sz w:val="24"/>
          <w:szCs w:val="24"/>
        </w:rPr>
        <w:t xml:space="preserve">education </w:t>
      </w:r>
      <w:r w:rsidRPr="000E1B7E">
        <w:rPr>
          <w:rFonts w:ascii="Times New Roman" w:hAnsi="Times New Roman"/>
          <w:sz w:val="24"/>
          <w:szCs w:val="24"/>
        </w:rPr>
        <w:t xml:space="preserve">and health infrastructure projects </w:t>
      </w:r>
      <w:r w:rsidR="001E0C08" w:rsidRPr="000E1B7E">
        <w:rPr>
          <w:rFonts w:ascii="Times New Roman" w:hAnsi="Times New Roman"/>
          <w:sz w:val="24"/>
          <w:szCs w:val="24"/>
        </w:rPr>
        <w:t xml:space="preserve">- </w:t>
      </w:r>
      <w:r w:rsidR="00210FFF" w:rsidRPr="000E1B7E">
        <w:rPr>
          <w:rFonts w:ascii="Times New Roman" w:hAnsi="Times New Roman"/>
          <w:sz w:val="24"/>
          <w:szCs w:val="24"/>
        </w:rPr>
        <w:t xml:space="preserve">were </w:t>
      </w:r>
      <w:r w:rsidR="001E0C08" w:rsidRPr="000E1B7E">
        <w:rPr>
          <w:rFonts w:ascii="Times New Roman" w:hAnsi="Times New Roman"/>
          <w:sz w:val="24"/>
          <w:szCs w:val="24"/>
        </w:rPr>
        <w:t xml:space="preserve">supposed to be </w:t>
      </w:r>
      <w:r w:rsidR="00210FFF" w:rsidRPr="000E1B7E">
        <w:rPr>
          <w:rFonts w:ascii="Times New Roman" w:hAnsi="Times New Roman"/>
          <w:sz w:val="24"/>
          <w:szCs w:val="24"/>
        </w:rPr>
        <w:t>prioritised under NDP II</w:t>
      </w:r>
      <w:r w:rsidR="001E0C08" w:rsidRPr="000E1B7E">
        <w:rPr>
          <w:rFonts w:ascii="Times New Roman" w:hAnsi="Times New Roman"/>
          <w:sz w:val="24"/>
          <w:szCs w:val="24"/>
        </w:rPr>
        <w:t>,</w:t>
      </w:r>
      <w:r w:rsidR="00210FFF" w:rsidRPr="000E1B7E">
        <w:rPr>
          <w:rFonts w:ascii="Times New Roman" w:hAnsi="Times New Roman"/>
          <w:sz w:val="24"/>
          <w:szCs w:val="24"/>
        </w:rPr>
        <w:t xml:space="preserve"> but implementation of </w:t>
      </w:r>
      <w:r w:rsidR="00014B68" w:rsidRPr="000E1B7E">
        <w:rPr>
          <w:rFonts w:ascii="Times New Roman" w:hAnsi="Times New Roman"/>
          <w:sz w:val="24"/>
          <w:szCs w:val="24"/>
        </w:rPr>
        <w:t xml:space="preserve">many </w:t>
      </w:r>
      <w:r w:rsidR="00210FFF" w:rsidRPr="000E1B7E">
        <w:rPr>
          <w:rFonts w:ascii="Times New Roman" w:hAnsi="Times New Roman"/>
          <w:sz w:val="24"/>
          <w:szCs w:val="24"/>
        </w:rPr>
        <w:t xml:space="preserve">of the projects has been </w:t>
      </w:r>
      <w:r w:rsidR="00655672" w:rsidRPr="000E1B7E">
        <w:rPr>
          <w:rFonts w:ascii="Times New Roman" w:hAnsi="Times New Roman"/>
          <w:sz w:val="24"/>
          <w:szCs w:val="24"/>
        </w:rPr>
        <w:t xml:space="preserve">slow. </w:t>
      </w:r>
      <w:r w:rsidR="001E0C08" w:rsidRPr="000E1B7E">
        <w:rPr>
          <w:rFonts w:ascii="Times New Roman" w:hAnsi="Times New Roman"/>
          <w:sz w:val="24"/>
          <w:szCs w:val="24"/>
        </w:rPr>
        <w:t>However, o</w:t>
      </w:r>
      <w:r w:rsidRPr="000E1B7E">
        <w:rPr>
          <w:rFonts w:ascii="Times New Roman" w:hAnsi="Times New Roman"/>
          <w:sz w:val="24"/>
          <w:szCs w:val="24"/>
        </w:rPr>
        <w:t xml:space="preserve">nce </w:t>
      </w:r>
      <w:r w:rsidR="001E0C08" w:rsidRPr="000E1B7E">
        <w:rPr>
          <w:rFonts w:ascii="Times New Roman" w:hAnsi="Times New Roman"/>
          <w:sz w:val="24"/>
          <w:szCs w:val="24"/>
        </w:rPr>
        <w:t xml:space="preserve">these projects are </w:t>
      </w:r>
      <w:r w:rsidRPr="000E1B7E">
        <w:rPr>
          <w:rFonts w:ascii="Times New Roman" w:hAnsi="Times New Roman"/>
          <w:sz w:val="24"/>
          <w:szCs w:val="24"/>
        </w:rPr>
        <w:t>completed, Uganda’s rankings are expected to improve.</w:t>
      </w:r>
    </w:p>
    <w:p w14:paraId="1F77EC85" w14:textId="77777777" w:rsidR="003F28C0" w:rsidRPr="000E1B7E" w:rsidRDefault="003F28C0" w:rsidP="00C11847">
      <w:pPr>
        <w:pStyle w:val="DeltaSeched2"/>
      </w:pPr>
      <w:bookmarkStart w:id="76" w:name="_Toc410916059"/>
      <w:bookmarkStart w:id="77" w:name="_Toc450559570"/>
      <w:bookmarkStart w:id="78" w:name="_Toc481437628"/>
      <w:bookmarkStart w:id="79" w:name="_Toc529345715"/>
      <w:bookmarkStart w:id="80" w:name="_Toc3478378"/>
      <w:bookmarkStart w:id="81" w:name="_Toc11956261"/>
      <w:r w:rsidRPr="000E1B7E">
        <w:t>Competitiveness Ranking of Uganda’s Logistics Sector</w:t>
      </w:r>
      <w:bookmarkEnd w:id="76"/>
      <w:bookmarkEnd w:id="77"/>
      <w:bookmarkEnd w:id="78"/>
      <w:bookmarkEnd w:id="79"/>
      <w:bookmarkEnd w:id="80"/>
      <w:bookmarkEnd w:id="81"/>
    </w:p>
    <w:p w14:paraId="56B96249" w14:textId="77777777" w:rsidR="003F28C0" w:rsidRPr="000E1B7E" w:rsidRDefault="003F28C0" w:rsidP="00F85D24">
      <w:pPr>
        <w:pStyle w:val="DeltaBodytext"/>
        <w:numPr>
          <w:ilvl w:val="0"/>
          <w:numId w:val="26"/>
        </w:numPr>
        <w:spacing w:line="360" w:lineRule="auto"/>
        <w:ind w:left="567" w:hanging="567"/>
        <w:rPr>
          <w:rFonts w:ascii="Times New Roman" w:hAnsi="Times New Roman"/>
          <w:sz w:val="24"/>
          <w:szCs w:val="24"/>
        </w:rPr>
      </w:pPr>
      <w:r w:rsidRPr="000E1B7E">
        <w:rPr>
          <w:rFonts w:ascii="Times New Roman" w:hAnsi="Times New Roman"/>
          <w:sz w:val="24"/>
          <w:szCs w:val="24"/>
        </w:rPr>
        <w:t xml:space="preserve">The Logistics Performance Index (LPI), an interactive benchmarking tool by the World Bank, offers a comprehensive measure of the efficiency of international supply chains. It helps countries to identify the challenges and opportunities they face in their performance on trade logistics and what they can do to improve their performance. The LPI 2018 ranked Uganda 72thout of 167 countries, lagging behind Kenya at 63nd, Rwanda at 65st and Tanzania at 67nd, but better than DRC ranked at 143rd and Burundi at 154th out of the 167 countries as summarised in the table </w:t>
      </w:r>
      <w:r w:rsidR="004A47A6" w:rsidRPr="000E1B7E">
        <w:rPr>
          <w:rFonts w:ascii="Times New Roman" w:hAnsi="Times New Roman"/>
          <w:sz w:val="24"/>
          <w:szCs w:val="24"/>
        </w:rPr>
        <w:t xml:space="preserve">9 </w:t>
      </w:r>
      <w:r w:rsidRPr="000E1B7E">
        <w:rPr>
          <w:rFonts w:ascii="Times New Roman" w:hAnsi="Times New Roman"/>
          <w:sz w:val="24"/>
          <w:szCs w:val="24"/>
        </w:rPr>
        <w:t>below.</w:t>
      </w:r>
    </w:p>
    <w:p w14:paraId="20FC7EA9" w14:textId="77777777" w:rsidR="003F28C0" w:rsidRPr="000E1B7E" w:rsidRDefault="00C97C0E" w:rsidP="00C97C0E">
      <w:pPr>
        <w:pStyle w:val="Caption"/>
        <w:rPr>
          <w:rFonts w:ascii="Times New Roman" w:eastAsia="Calibri" w:hAnsi="Times New Roman" w:cs="Times New Roman"/>
          <w:b/>
          <w:i w:val="0"/>
          <w:iCs w:val="0"/>
          <w:color w:val="auto"/>
          <w:sz w:val="24"/>
          <w:szCs w:val="24"/>
          <w:lang w:val="en-GB"/>
        </w:rPr>
      </w:pPr>
      <w:bookmarkStart w:id="82" w:name="_Toc3483119"/>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9</w:t>
      </w:r>
      <w:r w:rsidR="001232BF" w:rsidRPr="000E1B7E">
        <w:rPr>
          <w:rFonts w:ascii="Times New Roman" w:eastAsia="Calibri" w:hAnsi="Times New Roman" w:cs="Times New Roman"/>
          <w:b/>
          <w:i w:val="0"/>
          <w:iCs w:val="0"/>
          <w:color w:val="auto"/>
          <w:sz w:val="24"/>
          <w:szCs w:val="24"/>
          <w:lang w:val="en-GB"/>
        </w:rPr>
        <w:fldChar w:fldCharType="end"/>
      </w:r>
      <w:r w:rsidR="003F28C0" w:rsidRPr="000E1B7E">
        <w:rPr>
          <w:rFonts w:ascii="Times New Roman" w:eastAsia="Calibri" w:hAnsi="Times New Roman" w:cs="Times New Roman"/>
          <w:b/>
          <w:i w:val="0"/>
          <w:iCs w:val="0"/>
          <w:color w:val="auto"/>
          <w:sz w:val="24"/>
          <w:szCs w:val="24"/>
          <w:lang w:val="en-GB"/>
        </w:rPr>
        <w:t>: LPI ranking of Uganda and other regional countries</w:t>
      </w:r>
      <w:bookmarkEnd w:id="82"/>
    </w:p>
    <w:tbl>
      <w:tblPr>
        <w:tblStyle w:val="LightGrid1"/>
        <w:tblW w:w="9935" w:type="dxa"/>
        <w:tblLayout w:type="fixed"/>
        <w:tblLook w:val="04A0" w:firstRow="1" w:lastRow="0" w:firstColumn="1" w:lastColumn="0" w:noHBand="0" w:noVBand="1"/>
      </w:tblPr>
      <w:tblGrid>
        <w:gridCol w:w="1241"/>
        <w:gridCol w:w="779"/>
        <w:gridCol w:w="1216"/>
        <w:gridCol w:w="1267"/>
        <w:gridCol w:w="1678"/>
        <w:gridCol w:w="1604"/>
        <w:gridCol w:w="1212"/>
        <w:gridCol w:w="938"/>
      </w:tblGrid>
      <w:tr w:rsidR="003F28C0" w:rsidRPr="000E1B7E" w14:paraId="28A99360" w14:textId="77777777" w:rsidTr="002873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dxa"/>
            <w:hideMark/>
          </w:tcPr>
          <w:p w14:paraId="1193E1B4" w14:textId="77777777" w:rsidR="003F28C0" w:rsidRPr="000E1B7E" w:rsidRDefault="003F28C0" w:rsidP="005959B5">
            <w:pPr>
              <w:jc w:val="both"/>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Country</w:t>
            </w:r>
          </w:p>
        </w:tc>
        <w:tc>
          <w:tcPr>
            <w:tcW w:w="779" w:type="dxa"/>
            <w:hideMark/>
          </w:tcPr>
          <w:p w14:paraId="714674BA" w14:textId="77777777" w:rsidR="003F28C0" w:rsidRPr="000E1B7E" w:rsidRDefault="003F28C0"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Rank</w:t>
            </w:r>
          </w:p>
        </w:tc>
        <w:tc>
          <w:tcPr>
            <w:tcW w:w="1216" w:type="dxa"/>
            <w:hideMark/>
          </w:tcPr>
          <w:p w14:paraId="36F90892" w14:textId="77777777" w:rsidR="003F28C0" w:rsidRPr="000E1B7E" w:rsidRDefault="003F28C0"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Customs</w:t>
            </w:r>
          </w:p>
        </w:tc>
        <w:tc>
          <w:tcPr>
            <w:tcW w:w="1267" w:type="dxa"/>
            <w:hideMark/>
          </w:tcPr>
          <w:p w14:paraId="0ACA8C67" w14:textId="77777777" w:rsidR="003F28C0" w:rsidRPr="000E1B7E" w:rsidRDefault="003F28C0"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Infrastructure</w:t>
            </w:r>
          </w:p>
        </w:tc>
        <w:tc>
          <w:tcPr>
            <w:tcW w:w="1678" w:type="dxa"/>
            <w:hideMark/>
          </w:tcPr>
          <w:p w14:paraId="17790A36" w14:textId="77777777" w:rsidR="003F28C0" w:rsidRPr="000E1B7E" w:rsidRDefault="003F28C0"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International shipments</w:t>
            </w:r>
          </w:p>
        </w:tc>
        <w:tc>
          <w:tcPr>
            <w:tcW w:w="1604" w:type="dxa"/>
            <w:hideMark/>
          </w:tcPr>
          <w:p w14:paraId="19897556" w14:textId="77777777" w:rsidR="003F28C0" w:rsidRPr="000E1B7E" w:rsidRDefault="003F28C0"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Logistics competence</w:t>
            </w:r>
          </w:p>
        </w:tc>
        <w:tc>
          <w:tcPr>
            <w:tcW w:w="1212" w:type="dxa"/>
            <w:hideMark/>
          </w:tcPr>
          <w:p w14:paraId="4967352A" w14:textId="77777777" w:rsidR="003F28C0" w:rsidRPr="000E1B7E" w:rsidRDefault="003F28C0"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Tracking &amp; tracing</w:t>
            </w:r>
          </w:p>
        </w:tc>
        <w:tc>
          <w:tcPr>
            <w:tcW w:w="938" w:type="dxa"/>
            <w:hideMark/>
          </w:tcPr>
          <w:p w14:paraId="176F6CB1" w14:textId="77777777" w:rsidR="003F28C0" w:rsidRPr="000E1B7E" w:rsidRDefault="003F28C0"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Timeliness</w:t>
            </w:r>
          </w:p>
        </w:tc>
      </w:tr>
      <w:tr w:rsidR="003F28C0" w:rsidRPr="000E1B7E" w14:paraId="2340B862" w14:textId="77777777" w:rsidTr="00287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dxa"/>
            <w:hideMark/>
          </w:tcPr>
          <w:p w14:paraId="0C8791E2" w14:textId="77777777" w:rsidR="003F28C0" w:rsidRPr="000E1B7E" w:rsidRDefault="003F28C0" w:rsidP="005959B5">
            <w:pPr>
              <w:jc w:val="both"/>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Kenya</w:t>
            </w:r>
          </w:p>
        </w:tc>
        <w:tc>
          <w:tcPr>
            <w:tcW w:w="779" w:type="dxa"/>
            <w:hideMark/>
          </w:tcPr>
          <w:p w14:paraId="47F453EF"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63</w:t>
            </w:r>
          </w:p>
        </w:tc>
        <w:tc>
          <w:tcPr>
            <w:tcW w:w="1216" w:type="dxa"/>
            <w:hideMark/>
          </w:tcPr>
          <w:p w14:paraId="0344C095"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67</w:t>
            </w:r>
          </w:p>
        </w:tc>
        <w:tc>
          <w:tcPr>
            <w:tcW w:w="1267" w:type="dxa"/>
            <w:hideMark/>
          </w:tcPr>
          <w:p w14:paraId="7F9CD5EA"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67</w:t>
            </w:r>
          </w:p>
        </w:tc>
        <w:tc>
          <w:tcPr>
            <w:tcW w:w="1678" w:type="dxa"/>
            <w:hideMark/>
          </w:tcPr>
          <w:p w14:paraId="3EC75E48"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70</w:t>
            </w:r>
          </w:p>
        </w:tc>
        <w:tc>
          <w:tcPr>
            <w:tcW w:w="1604" w:type="dxa"/>
            <w:hideMark/>
          </w:tcPr>
          <w:p w14:paraId="0178CCB2"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60</w:t>
            </w:r>
          </w:p>
        </w:tc>
        <w:tc>
          <w:tcPr>
            <w:tcW w:w="1212" w:type="dxa"/>
            <w:hideMark/>
          </w:tcPr>
          <w:p w14:paraId="125188A8"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53</w:t>
            </w:r>
          </w:p>
        </w:tc>
        <w:tc>
          <w:tcPr>
            <w:tcW w:w="938" w:type="dxa"/>
            <w:hideMark/>
          </w:tcPr>
          <w:p w14:paraId="5CF44D27"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61</w:t>
            </w:r>
          </w:p>
        </w:tc>
      </w:tr>
      <w:tr w:rsidR="003F28C0" w:rsidRPr="000E1B7E" w14:paraId="12057BFD" w14:textId="77777777" w:rsidTr="00287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dxa"/>
            <w:hideMark/>
          </w:tcPr>
          <w:p w14:paraId="04EE5648" w14:textId="77777777" w:rsidR="003F28C0" w:rsidRPr="000E1B7E" w:rsidRDefault="003F28C0" w:rsidP="005959B5">
            <w:pPr>
              <w:jc w:val="both"/>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Uganda</w:t>
            </w:r>
          </w:p>
        </w:tc>
        <w:tc>
          <w:tcPr>
            <w:tcW w:w="779" w:type="dxa"/>
            <w:hideMark/>
          </w:tcPr>
          <w:p w14:paraId="4670B0FE"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72</w:t>
            </w:r>
          </w:p>
        </w:tc>
        <w:tc>
          <w:tcPr>
            <w:tcW w:w="1216" w:type="dxa"/>
            <w:hideMark/>
          </w:tcPr>
          <w:p w14:paraId="6C42D9E3"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53</w:t>
            </w:r>
          </w:p>
        </w:tc>
        <w:tc>
          <w:tcPr>
            <w:tcW w:w="1267" w:type="dxa"/>
            <w:hideMark/>
          </w:tcPr>
          <w:p w14:paraId="5BADBC98"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96</w:t>
            </w:r>
          </w:p>
        </w:tc>
        <w:tc>
          <w:tcPr>
            <w:tcW w:w="1678" w:type="dxa"/>
            <w:hideMark/>
          </w:tcPr>
          <w:p w14:paraId="3328F90C"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74</w:t>
            </w:r>
          </w:p>
        </w:tc>
        <w:tc>
          <w:tcPr>
            <w:tcW w:w="1604" w:type="dxa"/>
            <w:hideMark/>
          </w:tcPr>
          <w:p w14:paraId="45E7156E"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78</w:t>
            </w:r>
          </w:p>
        </w:tc>
        <w:tc>
          <w:tcPr>
            <w:tcW w:w="1212" w:type="dxa"/>
            <w:hideMark/>
          </w:tcPr>
          <w:p w14:paraId="4D2DEF28"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86</w:t>
            </w:r>
          </w:p>
        </w:tc>
        <w:tc>
          <w:tcPr>
            <w:tcW w:w="938" w:type="dxa"/>
            <w:hideMark/>
          </w:tcPr>
          <w:p w14:paraId="763CB555"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68</w:t>
            </w:r>
          </w:p>
        </w:tc>
      </w:tr>
      <w:tr w:rsidR="003F28C0" w:rsidRPr="000E1B7E" w14:paraId="56D38000" w14:textId="77777777" w:rsidTr="00287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dxa"/>
            <w:hideMark/>
          </w:tcPr>
          <w:p w14:paraId="777240FE" w14:textId="77777777" w:rsidR="003F28C0" w:rsidRPr="000E1B7E" w:rsidRDefault="003F28C0" w:rsidP="005959B5">
            <w:pPr>
              <w:jc w:val="both"/>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Tanzania</w:t>
            </w:r>
          </w:p>
        </w:tc>
        <w:tc>
          <w:tcPr>
            <w:tcW w:w="779" w:type="dxa"/>
            <w:hideMark/>
          </w:tcPr>
          <w:p w14:paraId="7534574B"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67</w:t>
            </w:r>
          </w:p>
        </w:tc>
        <w:tc>
          <w:tcPr>
            <w:tcW w:w="1216" w:type="dxa"/>
            <w:hideMark/>
          </w:tcPr>
          <w:p w14:paraId="7405BE5F"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69</w:t>
            </w:r>
          </w:p>
        </w:tc>
        <w:tc>
          <w:tcPr>
            <w:tcW w:w="1267" w:type="dxa"/>
            <w:hideMark/>
          </w:tcPr>
          <w:p w14:paraId="1B653288"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63</w:t>
            </w:r>
          </w:p>
        </w:tc>
        <w:tc>
          <w:tcPr>
            <w:tcW w:w="1678" w:type="dxa"/>
            <w:hideMark/>
          </w:tcPr>
          <w:p w14:paraId="1450542A"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66</w:t>
            </w:r>
          </w:p>
        </w:tc>
        <w:tc>
          <w:tcPr>
            <w:tcW w:w="1604" w:type="dxa"/>
            <w:hideMark/>
          </w:tcPr>
          <w:p w14:paraId="68B9910B"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65</w:t>
            </w:r>
          </w:p>
        </w:tc>
        <w:tc>
          <w:tcPr>
            <w:tcW w:w="1212" w:type="dxa"/>
            <w:hideMark/>
          </w:tcPr>
          <w:p w14:paraId="31FE3F45"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69</w:t>
            </w:r>
          </w:p>
        </w:tc>
        <w:tc>
          <w:tcPr>
            <w:tcW w:w="938" w:type="dxa"/>
            <w:hideMark/>
          </w:tcPr>
          <w:p w14:paraId="01CDFF9B"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62</w:t>
            </w:r>
          </w:p>
        </w:tc>
      </w:tr>
      <w:tr w:rsidR="003F28C0" w:rsidRPr="000E1B7E" w14:paraId="653FD3DE" w14:textId="77777777" w:rsidTr="00287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dxa"/>
            <w:hideMark/>
          </w:tcPr>
          <w:p w14:paraId="0AE25DAB" w14:textId="77777777" w:rsidR="003F28C0" w:rsidRPr="000E1B7E" w:rsidRDefault="003F28C0" w:rsidP="005959B5">
            <w:pPr>
              <w:jc w:val="both"/>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Rwanda</w:t>
            </w:r>
          </w:p>
        </w:tc>
        <w:tc>
          <w:tcPr>
            <w:tcW w:w="779" w:type="dxa"/>
            <w:hideMark/>
          </w:tcPr>
          <w:p w14:paraId="29300F30"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65</w:t>
            </w:r>
          </w:p>
        </w:tc>
        <w:tc>
          <w:tcPr>
            <w:tcW w:w="1216" w:type="dxa"/>
            <w:hideMark/>
          </w:tcPr>
          <w:p w14:paraId="33C36267"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64</w:t>
            </w:r>
          </w:p>
        </w:tc>
        <w:tc>
          <w:tcPr>
            <w:tcW w:w="1267" w:type="dxa"/>
            <w:hideMark/>
          </w:tcPr>
          <w:p w14:paraId="69A2EB92"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76</w:t>
            </w:r>
          </w:p>
        </w:tc>
        <w:tc>
          <w:tcPr>
            <w:tcW w:w="1678" w:type="dxa"/>
            <w:hideMark/>
          </w:tcPr>
          <w:p w14:paraId="2A343E4B"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47</w:t>
            </w:r>
          </w:p>
        </w:tc>
        <w:tc>
          <w:tcPr>
            <w:tcW w:w="1604" w:type="dxa"/>
            <w:hideMark/>
          </w:tcPr>
          <w:p w14:paraId="31469F8F"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69</w:t>
            </w:r>
          </w:p>
        </w:tc>
        <w:tc>
          <w:tcPr>
            <w:tcW w:w="1212" w:type="dxa"/>
            <w:hideMark/>
          </w:tcPr>
          <w:p w14:paraId="7D640265"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73</w:t>
            </w:r>
          </w:p>
        </w:tc>
        <w:tc>
          <w:tcPr>
            <w:tcW w:w="938" w:type="dxa"/>
            <w:hideMark/>
          </w:tcPr>
          <w:p w14:paraId="00BCC78B"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64</w:t>
            </w:r>
          </w:p>
        </w:tc>
      </w:tr>
      <w:tr w:rsidR="003F28C0" w:rsidRPr="000E1B7E" w14:paraId="2737F2FB" w14:textId="77777777" w:rsidTr="0028736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dxa"/>
            <w:hideMark/>
          </w:tcPr>
          <w:p w14:paraId="5CAFEA94" w14:textId="77777777" w:rsidR="003F28C0" w:rsidRPr="000E1B7E" w:rsidRDefault="003F28C0" w:rsidP="005959B5">
            <w:pPr>
              <w:jc w:val="both"/>
              <w:rPr>
                <w:rFonts w:ascii="Times New Roman" w:eastAsia="Times New Roman" w:hAnsi="Times New Roman" w:cs="Times New Roman"/>
                <w:color w:val="000000"/>
                <w:lang w:eastAsia="en-GB"/>
              </w:rPr>
            </w:pPr>
            <w:r w:rsidRPr="000E1B7E">
              <w:rPr>
                <w:rFonts w:ascii="Times New Roman" w:eastAsia="Times New Roman" w:hAnsi="Times New Roman" w:cs="Times New Roman"/>
                <w:color w:val="000000"/>
                <w:lang w:eastAsia="en-GB"/>
              </w:rPr>
              <w:t>Burundi</w:t>
            </w:r>
          </w:p>
        </w:tc>
        <w:tc>
          <w:tcPr>
            <w:tcW w:w="779" w:type="dxa"/>
            <w:hideMark/>
          </w:tcPr>
          <w:p w14:paraId="63C70987"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154</w:t>
            </w:r>
          </w:p>
        </w:tc>
        <w:tc>
          <w:tcPr>
            <w:tcW w:w="1216" w:type="dxa"/>
            <w:hideMark/>
          </w:tcPr>
          <w:p w14:paraId="65C5711C"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163</w:t>
            </w:r>
          </w:p>
        </w:tc>
        <w:tc>
          <w:tcPr>
            <w:tcW w:w="1267" w:type="dxa"/>
            <w:hideMark/>
          </w:tcPr>
          <w:p w14:paraId="62911CAE"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157</w:t>
            </w:r>
          </w:p>
        </w:tc>
        <w:tc>
          <w:tcPr>
            <w:tcW w:w="1678" w:type="dxa"/>
            <w:hideMark/>
          </w:tcPr>
          <w:p w14:paraId="7406336C"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147</w:t>
            </w:r>
          </w:p>
        </w:tc>
        <w:tc>
          <w:tcPr>
            <w:tcW w:w="1604" w:type="dxa"/>
            <w:hideMark/>
          </w:tcPr>
          <w:p w14:paraId="2CEFABE0"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127</w:t>
            </w:r>
          </w:p>
        </w:tc>
        <w:tc>
          <w:tcPr>
            <w:tcW w:w="1212" w:type="dxa"/>
            <w:hideMark/>
          </w:tcPr>
          <w:p w14:paraId="01A16AC0"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147</w:t>
            </w:r>
          </w:p>
        </w:tc>
        <w:tc>
          <w:tcPr>
            <w:tcW w:w="938" w:type="dxa"/>
            <w:hideMark/>
          </w:tcPr>
          <w:p w14:paraId="2888E7F9" w14:textId="77777777" w:rsidR="003F28C0" w:rsidRPr="000E1B7E" w:rsidRDefault="003F28C0" w:rsidP="005959B5">
            <w:pPr>
              <w:jc w:val="both"/>
              <w:cnfStyle w:val="000000100000" w:firstRow="0" w:lastRow="0" w:firstColumn="0" w:lastColumn="0" w:oddVBand="0" w:evenVBand="0" w:oddHBand="1" w:evenHBand="0" w:firstRowFirstColumn="0" w:firstRowLastColumn="0" w:lastRowFirstColumn="0" w:lastRowLastColumn="0"/>
              <w:rPr>
                <w:color w:val="000000"/>
                <w:lang w:eastAsia="en-GB"/>
              </w:rPr>
            </w:pPr>
            <w:r w:rsidRPr="000E1B7E">
              <w:rPr>
                <w:color w:val="000000"/>
                <w:lang w:eastAsia="en-GB"/>
              </w:rPr>
              <w:t>154</w:t>
            </w:r>
          </w:p>
        </w:tc>
      </w:tr>
      <w:tr w:rsidR="003F28C0" w:rsidRPr="000E1B7E" w14:paraId="68323EC5" w14:textId="77777777" w:rsidTr="0028736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1" w:type="dxa"/>
            <w:hideMark/>
          </w:tcPr>
          <w:p w14:paraId="28715D04" w14:textId="77777777" w:rsidR="003F28C0" w:rsidRPr="000E1B7E" w:rsidRDefault="003F28C0" w:rsidP="005959B5">
            <w:pPr>
              <w:jc w:val="both"/>
              <w:rPr>
                <w:rFonts w:ascii="Times New Roman" w:eastAsia="Times New Roman" w:hAnsi="Times New Roman" w:cs="Times New Roman"/>
                <w:color w:val="000000"/>
                <w:lang w:eastAsia="en-GB"/>
              </w:rPr>
            </w:pPr>
            <w:r w:rsidRPr="000E1B7E">
              <w:rPr>
                <w:rFonts w:ascii="Times New Roman" w:eastAsia="Times New Roman" w:hAnsi="Times New Roman" w:cs="Times New Roman"/>
                <w:bCs w:val="0"/>
                <w:color w:val="000000"/>
                <w:lang w:eastAsia="en-GB"/>
              </w:rPr>
              <w:t>DRC</w:t>
            </w:r>
          </w:p>
        </w:tc>
        <w:tc>
          <w:tcPr>
            <w:tcW w:w="779" w:type="dxa"/>
            <w:hideMark/>
          </w:tcPr>
          <w:p w14:paraId="200A2BC6"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143</w:t>
            </w:r>
          </w:p>
        </w:tc>
        <w:tc>
          <w:tcPr>
            <w:tcW w:w="1216" w:type="dxa"/>
            <w:hideMark/>
          </w:tcPr>
          <w:p w14:paraId="413E076F"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135</w:t>
            </w:r>
          </w:p>
        </w:tc>
        <w:tc>
          <w:tcPr>
            <w:tcW w:w="1267" w:type="dxa"/>
            <w:hideMark/>
          </w:tcPr>
          <w:p w14:paraId="03B00DE0"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152</w:t>
            </w:r>
          </w:p>
        </w:tc>
        <w:tc>
          <w:tcPr>
            <w:tcW w:w="1678" w:type="dxa"/>
            <w:hideMark/>
          </w:tcPr>
          <w:p w14:paraId="1410EC65"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149</w:t>
            </w:r>
          </w:p>
        </w:tc>
        <w:tc>
          <w:tcPr>
            <w:tcW w:w="1604" w:type="dxa"/>
            <w:hideMark/>
          </w:tcPr>
          <w:p w14:paraId="6849A3FF"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126</w:t>
            </w:r>
          </w:p>
        </w:tc>
        <w:tc>
          <w:tcPr>
            <w:tcW w:w="1212" w:type="dxa"/>
            <w:hideMark/>
          </w:tcPr>
          <w:p w14:paraId="6C256E83"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127</w:t>
            </w:r>
          </w:p>
        </w:tc>
        <w:tc>
          <w:tcPr>
            <w:tcW w:w="938" w:type="dxa"/>
            <w:hideMark/>
          </w:tcPr>
          <w:p w14:paraId="730D819C" w14:textId="77777777" w:rsidR="003F28C0" w:rsidRPr="000E1B7E" w:rsidRDefault="003F28C0" w:rsidP="005959B5">
            <w:pPr>
              <w:jc w:val="both"/>
              <w:cnfStyle w:val="000000010000" w:firstRow="0" w:lastRow="0" w:firstColumn="0" w:lastColumn="0" w:oddVBand="0" w:evenVBand="0" w:oddHBand="0" w:evenHBand="1" w:firstRowFirstColumn="0" w:firstRowLastColumn="0" w:lastRowFirstColumn="0" w:lastRowLastColumn="0"/>
              <w:rPr>
                <w:color w:val="000000"/>
                <w:lang w:eastAsia="en-GB"/>
              </w:rPr>
            </w:pPr>
            <w:r w:rsidRPr="000E1B7E">
              <w:rPr>
                <w:color w:val="000000"/>
                <w:lang w:eastAsia="en-GB"/>
              </w:rPr>
              <w:t>141</w:t>
            </w:r>
          </w:p>
        </w:tc>
      </w:tr>
    </w:tbl>
    <w:p w14:paraId="6A9F0A91" w14:textId="77777777" w:rsidR="003F28C0" w:rsidRPr="000E1B7E" w:rsidRDefault="003F28C0" w:rsidP="005959B5">
      <w:pPr>
        <w:autoSpaceDE w:val="0"/>
        <w:autoSpaceDN w:val="0"/>
        <w:adjustRightInd w:val="0"/>
        <w:jc w:val="both"/>
      </w:pPr>
      <w:r w:rsidRPr="000E1B7E">
        <w:t>Source: LPI Report 2018, World Bank</w:t>
      </w:r>
    </w:p>
    <w:p w14:paraId="7265584E" w14:textId="77777777" w:rsidR="003F28C0" w:rsidRPr="000E1B7E" w:rsidRDefault="003F28C0"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lastRenderedPageBreak/>
        <w:t>The LPI revealed that Uganda performs relatively better on areas for policy regulation that covers three core areas, namely:</w:t>
      </w:r>
    </w:p>
    <w:p w14:paraId="34F99D4D" w14:textId="77777777" w:rsidR="003F28C0" w:rsidRPr="000E1B7E" w:rsidRDefault="003F28C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i/>
          <w:sz w:val="24"/>
          <w:szCs w:val="24"/>
        </w:rPr>
        <w:t>Efficiency of customs and border management clearance</w:t>
      </w:r>
      <w:r w:rsidRPr="000E1B7E">
        <w:rPr>
          <w:rFonts w:ascii="Times New Roman" w:hAnsi="Times New Roman"/>
          <w:sz w:val="24"/>
          <w:szCs w:val="24"/>
        </w:rPr>
        <w:t>: On this pillar, Uganda was ranked 53</w:t>
      </w:r>
      <w:r w:rsidRPr="000E1B7E">
        <w:rPr>
          <w:rFonts w:ascii="Times New Roman" w:hAnsi="Times New Roman"/>
          <w:sz w:val="24"/>
          <w:szCs w:val="24"/>
          <w:vertAlign w:val="superscript"/>
        </w:rPr>
        <w:t>st</w:t>
      </w:r>
      <w:r w:rsidRPr="000E1B7E">
        <w:rPr>
          <w:rFonts w:ascii="Times New Roman" w:hAnsi="Times New Roman"/>
          <w:sz w:val="24"/>
          <w:szCs w:val="24"/>
        </w:rPr>
        <w:t xml:space="preserve">out of 167 countries, with a score of 2.78 out of a maximum of 5, where 1 represents very low and 5 represents very high. This suggests that Uganda’scustoms and border management clearance processes are by far the best in the region </w:t>
      </w:r>
      <w:r w:rsidR="00297256" w:rsidRPr="000E1B7E">
        <w:rPr>
          <w:rFonts w:ascii="Times New Roman" w:hAnsi="Times New Roman"/>
          <w:sz w:val="24"/>
          <w:szCs w:val="24"/>
        </w:rPr>
        <w:t>however;</w:t>
      </w:r>
      <w:r w:rsidRPr="000E1B7E">
        <w:rPr>
          <w:rFonts w:ascii="Times New Roman" w:hAnsi="Times New Roman"/>
          <w:sz w:val="24"/>
          <w:szCs w:val="24"/>
        </w:rPr>
        <w:t xml:space="preserve"> it requires further improvement in terms of speed, simplicity and predictability of formalities if further improvementsin the efficiency of customs and border management clearance are to be realised. Logistics associations have an advocacy role to play in achieving the improvement in efficiency. </w:t>
      </w:r>
    </w:p>
    <w:p w14:paraId="67145B47" w14:textId="77777777" w:rsidR="003F28C0" w:rsidRPr="000E1B7E" w:rsidRDefault="003F28C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i/>
          <w:sz w:val="24"/>
          <w:szCs w:val="24"/>
        </w:rPr>
        <w:t>Quality of trade and transport infrastructure</w:t>
      </w:r>
      <w:r w:rsidRPr="000E1B7E">
        <w:rPr>
          <w:rFonts w:ascii="Times New Roman" w:hAnsi="Times New Roman"/>
          <w:sz w:val="24"/>
          <w:szCs w:val="24"/>
        </w:rPr>
        <w:t>: On this pillar, Uganda was ranked 96</w:t>
      </w:r>
      <w:r w:rsidRPr="000E1B7E">
        <w:rPr>
          <w:rFonts w:ascii="Times New Roman" w:hAnsi="Times New Roman"/>
          <w:sz w:val="24"/>
          <w:szCs w:val="24"/>
          <w:vertAlign w:val="superscript"/>
        </w:rPr>
        <w:t>th</w:t>
      </w:r>
      <w:r w:rsidRPr="000E1B7E">
        <w:rPr>
          <w:rFonts w:ascii="Times New Roman" w:hAnsi="Times New Roman"/>
          <w:sz w:val="24"/>
          <w:szCs w:val="24"/>
        </w:rPr>
        <w:t xml:space="preserve"> out of 167 countries, with a score of 2.45 out of a maximum of 5, rated from very low (1) to very high (5). This suggests that the quality of Uganda’s trade and transport infrastructure is still poor and quite below average, and therefore needs further improvements of trade and transport infrastructure, including railway, roads, Warehousing and trans-loading and information technology to enhance the efficiency of logistics industry. </w:t>
      </w:r>
    </w:p>
    <w:p w14:paraId="12FE9780" w14:textId="77777777" w:rsidR="003F28C0" w:rsidRPr="000E1B7E" w:rsidRDefault="003F28C0" w:rsidP="00F85D24">
      <w:pPr>
        <w:pStyle w:val="DeltaBodytext"/>
        <w:numPr>
          <w:ilvl w:val="1"/>
          <w:numId w:val="26"/>
        </w:numPr>
        <w:spacing w:line="360" w:lineRule="auto"/>
        <w:ind w:left="1418" w:hanging="698"/>
        <w:rPr>
          <w:rFonts w:ascii="Times New Roman" w:hAnsi="Times New Roman"/>
          <w:sz w:val="24"/>
          <w:szCs w:val="24"/>
        </w:rPr>
      </w:pPr>
      <w:r w:rsidRPr="000E1B7E">
        <w:rPr>
          <w:rFonts w:ascii="Times New Roman" w:hAnsi="Times New Roman"/>
          <w:b/>
          <w:i/>
          <w:sz w:val="24"/>
          <w:szCs w:val="24"/>
        </w:rPr>
        <w:t>The ease of arranging competitively priced shipments</w:t>
      </w:r>
      <w:r w:rsidRPr="000E1B7E">
        <w:rPr>
          <w:rFonts w:ascii="Times New Roman" w:hAnsi="Times New Roman"/>
          <w:sz w:val="24"/>
          <w:szCs w:val="24"/>
        </w:rPr>
        <w:t>: On this pillar, Uganda was ranked 74</w:t>
      </w:r>
      <w:r w:rsidRPr="000E1B7E">
        <w:rPr>
          <w:rFonts w:ascii="Times New Roman" w:hAnsi="Times New Roman"/>
          <w:sz w:val="24"/>
          <w:szCs w:val="24"/>
          <w:vertAlign w:val="superscript"/>
        </w:rPr>
        <w:t>th</w:t>
      </w:r>
      <w:r w:rsidRPr="000E1B7E">
        <w:rPr>
          <w:rFonts w:ascii="Times New Roman" w:hAnsi="Times New Roman"/>
          <w:sz w:val="24"/>
          <w:szCs w:val="24"/>
        </w:rPr>
        <w:t>, with a score of 2.84 out of a maximum of 5, rated from very difficult (1) to very easy (5). This suggests that Uganda needs further improvements on the systems and structures for arranging competitively priced shipments. Logistics associations have an advocacy role to play in easing of arranging competitively priced shipments.</w:t>
      </w:r>
    </w:p>
    <w:p w14:paraId="4C06C1C5" w14:textId="77777777" w:rsidR="003F28C0" w:rsidRPr="000E1B7E" w:rsidRDefault="003F28C0"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On the other hand, Uganda was ranked relatively poor on supply chain performance outcomes, corresponding to logistics performance indicators of time and reliability (timeliness, international shipments, and tracking and tracing) as summarised below.</w:t>
      </w:r>
    </w:p>
    <w:p w14:paraId="3A448C37" w14:textId="77777777" w:rsidR="003F28C0" w:rsidRPr="000E1B7E" w:rsidRDefault="003F28C0" w:rsidP="00F85D24">
      <w:pPr>
        <w:pStyle w:val="ListParagraph"/>
        <w:numPr>
          <w:ilvl w:val="0"/>
          <w:numId w:val="13"/>
        </w:numPr>
        <w:autoSpaceDE w:val="0"/>
        <w:autoSpaceDN w:val="0"/>
        <w:adjustRightInd w:val="0"/>
        <w:spacing w:after="240" w:line="360" w:lineRule="auto"/>
        <w:ind w:left="1134" w:hanging="567"/>
        <w:rPr>
          <w:rFonts w:ascii="Times New Roman" w:hAnsi="Times New Roman"/>
          <w:sz w:val="24"/>
          <w:szCs w:val="24"/>
        </w:rPr>
      </w:pPr>
      <w:r w:rsidRPr="000E1B7E">
        <w:rPr>
          <w:rFonts w:ascii="Times New Roman" w:hAnsi="Times New Roman"/>
          <w:b/>
          <w:i/>
          <w:sz w:val="24"/>
          <w:szCs w:val="24"/>
        </w:rPr>
        <w:t>Competence and quality of logistics service:</w:t>
      </w:r>
      <w:r w:rsidRPr="000E1B7E">
        <w:rPr>
          <w:rFonts w:ascii="Times New Roman" w:hAnsi="Times New Roman"/>
          <w:sz w:val="24"/>
          <w:szCs w:val="24"/>
        </w:rPr>
        <w:t>On this pillar, Uganda was ranked 78</w:t>
      </w:r>
      <w:r w:rsidRPr="000E1B7E">
        <w:rPr>
          <w:rFonts w:ascii="Times New Roman" w:hAnsi="Times New Roman"/>
          <w:sz w:val="24"/>
          <w:szCs w:val="24"/>
          <w:vertAlign w:val="superscript"/>
        </w:rPr>
        <w:t>th</w:t>
      </w:r>
      <w:r w:rsidRPr="000E1B7E">
        <w:rPr>
          <w:rFonts w:ascii="Times New Roman" w:hAnsi="Times New Roman"/>
          <w:sz w:val="24"/>
          <w:szCs w:val="24"/>
        </w:rPr>
        <w:t xml:space="preserve"> out of the 167 countries with a score of 2.70 out of the maximum of 5, rated from very low (1) to very high (5). This suggests that Uganda needs to make improvements through capacity building and training, the logistics associations can </w:t>
      </w:r>
      <w:r w:rsidRPr="000E1B7E">
        <w:rPr>
          <w:rFonts w:ascii="Times New Roman" w:hAnsi="Times New Roman"/>
          <w:sz w:val="24"/>
          <w:szCs w:val="24"/>
        </w:rPr>
        <w:lastRenderedPageBreak/>
        <w:t>contribute to enhancing competences and quality of services by logistics services providers in Uganda.</w:t>
      </w:r>
    </w:p>
    <w:p w14:paraId="72C3F82A" w14:textId="77777777" w:rsidR="003F28C0" w:rsidRPr="000E1B7E" w:rsidRDefault="003F28C0" w:rsidP="00F85D24">
      <w:pPr>
        <w:pStyle w:val="ListParagraph"/>
        <w:numPr>
          <w:ilvl w:val="0"/>
          <w:numId w:val="13"/>
        </w:numPr>
        <w:autoSpaceDE w:val="0"/>
        <w:autoSpaceDN w:val="0"/>
        <w:adjustRightInd w:val="0"/>
        <w:spacing w:after="240" w:line="360" w:lineRule="auto"/>
        <w:ind w:left="1134" w:hanging="567"/>
        <w:rPr>
          <w:rFonts w:ascii="Times New Roman" w:hAnsi="Times New Roman"/>
          <w:sz w:val="24"/>
          <w:szCs w:val="24"/>
        </w:rPr>
      </w:pPr>
      <w:r w:rsidRPr="000E1B7E">
        <w:rPr>
          <w:rFonts w:ascii="Times New Roman" w:hAnsi="Times New Roman"/>
          <w:b/>
          <w:i/>
          <w:sz w:val="24"/>
          <w:szCs w:val="24"/>
        </w:rPr>
        <w:t>Ability to track and trace consignments</w:t>
      </w:r>
      <w:r w:rsidRPr="000E1B7E">
        <w:rPr>
          <w:rFonts w:ascii="Times New Roman" w:hAnsi="Times New Roman"/>
          <w:sz w:val="24"/>
          <w:szCs w:val="24"/>
        </w:rPr>
        <w:t>: On this pillar, Uganda was ranked 86</w:t>
      </w:r>
      <w:r w:rsidRPr="000E1B7E">
        <w:rPr>
          <w:rFonts w:ascii="Times New Roman" w:hAnsi="Times New Roman"/>
          <w:sz w:val="24"/>
          <w:szCs w:val="24"/>
          <w:vertAlign w:val="superscript"/>
        </w:rPr>
        <w:t>th</w:t>
      </w:r>
      <w:r w:rsidRPr="000E1B7E">
        <w:rPr>
          <w:rFonts w:ascii="Times New Roman" w:hAnsi="Times New Roman"/>
          <w:sz w:val="24"/>
          <w:szCs w:val="24"/>
        </w:rPr>
        <w:t xml:space="preserve"> out of the 167 countries with a score of 2.69 out of the maximum of 5, rated from very low (1) to very high (5). Ability to track and trace consignments increasingly depends on the reliability and affordability of ICT infrastructure, and the quality of support services from regulatory agencies like URA and policy. To maintain the relatively good performance and even do better, there is need to improve working arrangements between the authorities and the sector players for effective communication and coordination at all times when goods are in transit and logistics associations are pivotal to this good working relationship.</w:t>
      </w:r>
    </w:p>
    <w:p w14:paraId="63144975" w14:textId="77777777" w:rsidR="003F28C0" w:rsidRPr="000E1B7E" w:rsidRDefault="003F28C0" w:rsidP="00F85D24">
      <w:pPr>
        <w:pStyle w:val="ListParagraph"/>
        <w:numPr>
          <w:ilvl w:val="0"/>
          <w:numId w:val="13"/>
        </w:numPr>
        <w:autoSpaceDE w:val="0"/>
        <w:autoSpaceDN w:val="0"/>
        <w:adjustRightInd w:val="0"/>
        <w:spacing w:after="240" w:line="360" w:lineRule="auto"/>
        <w:ind w:left="1134" w:hanging="567"/>
        <w:rPr>
          <w:rFonts w:ascii="Times New Roman" w:hAnsi="Times New Roman"/>
          <w:sz w:val="24"/>
          <w:szCs w:val="24"/>
        </w:rPr>
      </w:pPr>
      <w:r w:rsidRPr="000E1B7E">
        <w:rPr>
          <w:rFonts w:ascii="Times New Roman" w:hAnsi="Times New Roman"/>
          <w:b/>
          <w:i/>
          <w:sz w:val="24"/>
          <w:szCs w:val="24"/>
        </w:rPr>
        <w:t>Frequency with which shipments reach consignees within scheduled or expected delivery times</w:t>
      </w:r>
      <w:r w:rsidRPr="000E1B7E">
        <w:rPr>
          <w:rFonts w:ascii="Times New Roman" w:hAnsi="Times New Roman"/>
          <w:sz w:val="24"/>
          <w:szCs w:val="24"/>
        </w:rPr>
        <w:t>: On this pillar, Uganda was ranked 68</w:t>
      </w:r>
      <w:r w:rsidRPr="000E1B7E">
        <w:rPr>
          <w:rFonts w:ascii="Times New Roman" w:hAnsi="Times New Roman"/>
          <w:sz w:val="24"/>
          <w:szCs w:val="24"/>
          <w:vertAlign w:val="superscript"/>
        </w:rPr>
        <w:t>th</w:t>
      </w:r>
      <w:r w:rsidRPr="000E1B7E">
        <w:rPr>
          <w:rFonts w:ascii="Times New Roman" w:hAnsi="Times New Roman"/>
          <w:sz w:val="24"/>
          <w:szCs w:val="24"/>
        </w:rPr>
        <w:t xml:space="preserve"> out of the 167 countries with a score of 3.27 out of the maximum of 5, rated from hardly ever (1) to nearly always (5).There is still need for improvement in the timeliness of deliveries which is subject to both internal capacities like the quality of trucks and professionalism of truck drivers to external factors like the quality of road infrastructure, therefore if further improvements are to be realised these areas need to be put into consideration. Logistics associations also have a key role to play in increasing the frequency with which shipments reach consignees within schedule or expected time.</w:t>
      </w:r>
    </w:p>
    <w:p w14:paraId="1C53046B" w14:textId="77777777" w:rsidR="001607A2" w:rsidRPr="000E1B7E" w:rsidRDefault="001607A2" w:rsidP="00C11847">
      <w:pPr>
        <w:pStyle w:val="DeltaSeched2"/>
      </w:pPr>
      <w:bookmarkStart w:id="83" w:name="_Toc3478379"/>
      <w:bookmarkStart w:id="84" w:name="_Toc11956262"/>
      <w:r w:rsidRPr="000E1B7E">
        <w:t xml:space="preserve">Government Efforts to Leverage Private Sector Investment </w:t>
      </w:r>
      <w:r w:rsidR="00014B68" w:rsidRPr="000E1B7E">
        <w:t xml:space="preserve">in </w:t>
      </w:r>
      <w:r w:rsidRPr="000E1B7E">
        <w:t>productive sectors of the Economy</w:t>
      </w:r>
      <w:bookmarkEnd w:id="83"/>
      <w:bookmarkEnd w:id="84"/>
    </w:p>
    <w:p w14:paraId="37DD3A77" w14:textId="77777777" w:rsidR="001607A2" w:rsidRPr="000E1B7E" w:rsidRDefault="001607A2"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As part of the strategy for implementing NDP II, the Government has undertaken initiatives in key strategic areas of the economy. The achievements and challenges for some of the initiatives are briefly discussed below.</w:t>
      </w:r>
    </w:p>
    <w:p w14:paraId="3D18A68C" w14:textId="77777777" w:rsidR="0027780B" w:rsidRPr="000E1B7E" w:rsidRDefault="001607A2"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i/>
          <w:sz w:val="24"/>
          <w:szCs w:val="24"/>
        </w:rPr>
        <w:t>Uganda Development Corporation revitalised but is yet to bankroll key investment projects</w:t>
      </w:r>
      <w:r w:rsidRPr="000E1B7E">
        <w:rPr>
          <w:rFonts w:ascii="Times New Roman" w:hAnsi="Times New Roman"/>
          <w:sz w:val="24"/>
          <w:szCs w:val="24"/>
        </w:rPr>
        <w:t>.</w:t>
      </w:r>
      <w:r w:rsidR="0027780B" w:rsidRPr="000E1B7E">
        <w:rPr>
          <w:rFonts w:ascii="Times New Roman" w:hAnsi="Times New Roman"/>
          <w:sz w:val="24"/>
          <w:szCs w:val="24"/>
        </w:rPr>
        <w:t xml:space="preserve"> Following Government appreciation of the challenges that came with privatisation, especially, failure to attract private sector investment in critical but high risk investments and those requiring large </w:t>
      </w:r>
      <w:r w:rsidR="0082149A" w:rsidRPr="000E1B7E">
        <w:rPr>
          <w:rFonts w:ascii="Times New Roman" w:hAnsi="Times New Roman"/>
          <w:sz w:val="24"/>
          <w:szCs w:val="24"/>
        </w:rPr>
        <w:t xml:space="preserve">capital </w:t>
      </w:r>
      <w:r w:rsidR="0027780B" w:rsidRPr="000E1B7E">
        <w:rPr>
          <w:rFonts w:ascii="Times New Roman" w:hAnsi="Times New Roman"/>
          <w:sz w:val="24"/>
          <w:szCs w:val="24"/>
        </w:rPr>
        <w:t xml:space="preserve">investment, Government re-established the Uganda Development Corporation (UDC) to serve as the investment arm of </w:t>
      </w:r>
      <w:r w:rsidR="0027780B" w:rsidRPr="000E1B7E">
        <w:rPr>
          <w:rFonts w:ascii="Times New Roman" w:hAnsi="Times New Roman"/>
          <w:sz w:val="24"/>
          <w:szCs w:val="24"/>
        </w:rPr>
        <w:lastRenderedPageBreak/>
        <w:t xml:space="preserve">Government. The UDC </w:t>
      </w:r>
      <w:r w:rsidR="004F20B1" w:rsidRPr="000E1B7E">
        <w:rPr>
          <w:rFonts w:ascii="Times New Roman" w:hAnsi="Times New Roman"/>
          <w:sz w:val="24"/>
          <w:szCs w:val="24"/>
        </w:rPr>
        <w:t>A</w:t>
      </w:r>
      <w:r w:rsidR="0027780B" w:rsidRPr="000E1B7E">
        <w:rPr>
          <w:rFonts w:ascii="Times New Roman" w:hAnsi="Times New Roman"/>
          <w:sz w:val="24"/>
          <w:szCs w:val="24"/>
        </w:rPr>
        <w:t xml:space="preserve">ct was passed and </w:t>
      </w:r>
      <w:r w:rsidR="004F20B1" w:rsidRPr="000E1B7E">
        <w:rPr>
          <w:rFonts w:ascii="Times New Roman" w:hAnsi="Times New Roman"/>
          <w:sz w:val="24"/>
          <w:szCs w:val="24"/>
        </w:rPr>
        <w:t xml:space="preserve">assented </w:t>
      </w:r>
      <w:r w:rsidR="0027780B" w:rsidRPr="000E1B7E">
        <w:rPr>
          <w:rFonts w:ascii="Times New Roman" w:hAnsi="Times New Roman"/>
          <w:sz w:val="24"/>
          <w:szCs w:val="24"/>
        </w:rPr>
        <w:t>to by the President in 2016. From NDP 1 to NDP 11, UDC has been executing projects in the agro-processing, tourism, energy and mineral development. These include:</w:t>
      </w:r>
    </w:p>
    <w:p w14:paraId="75BA0EFD" w14:textId="77777777" w:rsidR="0027780B" w:rsidRPr="000E1B7E" w:rsidRDefault="0027780B" w:rsidP="005959B5">
      <w:pPr>
        <w:spacing w:line="360" w:lineRule="auto"/>
        <w:jc w:val="both"/>
        <w:rPr>
          <w:b/>
        </w:rPr>
      </w:pPr>
      <w:r w:rsidRPr="000E1B7E">
        <w:rPr>
          <w:b/>
        </w:rPr>
        <w:t>Agro-processing</w:t>
      </w:r>
    </w:p>
    <w:p w14:paraId="7DDE00B5" w14:textId="77777777" w:rsidR="0027780B" w:rsidRPr="000E1B7E" w:rsidRDefault="0027780B" w:rsidP="00F85D24">
      <w:pPr>
        <w:pStyle w:val="ListParagraph"/>
        <w:numPr>
          <w:ilvl w:val="0"/>
          <w:numId w:val="17"/>
        </w:numPr>
        <w:spacing w:after="240" w:line="360" w:lineRule="auto"/>
        <w:ind w:left="1134" w:hanging="567"/>
        <w:rPr>
          <w:rFonts w:ascii="Times New Roman" w:hAnsi="Times New Roman"/>
          <w:sz w:val="24"/>
          <w:szCs w:val="24"/>
        </w:rPr>
      </w:pPr>
      <w:r w:rsidRPr="000E1B7E">
        <w:rPr>
          <w:rFonts w:ascii="Times New Roman" w:hAnsi="Times New Roman"/>
          <w:b/>
          <w:sz w:val="24"/>
          <w:szCs w:val="24"/>
        </w:rPr>
        <w:t>Soroti Fruit Factory</w:t>
      </w:r>
      <w:r w:rsidRPr="000E1B7E">
        <w:rPr>
          <w:rFonts w:ascii="Times New Roman" w:hAnsi="Times New Roman"/>
          <w:sz w:val="24"/>
          <w:szCs w:val="24"/>
        </w:rPr>
        <w:t>: this started in FY2009/10 with the expected completion date of FY2017/18, however, due to intermittent financing, the project experienced implementation delays. The factory will produce 6 MT and 2 MT per hour of Orange and Mango juice respectively. The project is joint venture between the government of Uganda (80%) and government of South Korea (20%).</w:t>
      </w:r>
      <w:r w:rsidR="009E4929" w:rsidRPr="000E1B7E">
        <w:rPr>
          <w:rFonts w:ascii="Times New Roman" w:hAnsi="Times New Roman"/>
          <w:sz w:val="24"/>
          <w:szCs w:val="24"/>
        </w:rPr>
        <w:t xml:space="preserve"> The project is expected to be commissioned in 2019.</w:t>
      </w:r>
    </w:p>
    <w:p w14:paraId="48CE293F" w14:textId="77777777" w:rsidR="0027780B" w:rsidRPr="000E1B7E" w:rsidRDefault="0027780B" w:rsidP="00F85D24">
      <w:pPr>
        <w:pStyle w:val="ListParagraph"/>
        <w:numPr>
          <w:ilvl w:val="0"/>
          <w:numId w:val="17"/>
        </w:numPr>
        <w:spacing w:after="240" w:line="360" w:lineRule="auto"/>
        <w:ind w:left="1134" w:hanging="567"/>
        <w:rPr>
          <w:rFonts w:ascii="Times New Roman" w:hAnsi="Times New Roman"/>
          <w:sz w:val="24"/>
          <w:szCs w:val="24"/>
        </w:rPr>
      </w:pPr>
      <w:r w:rsidRPr="000E1B7E">
        <w:rPr>
          <w:rFonts w:ascii="Times New Roman" w:hAnsi="Times New Roman"/>
          <w:b/>
          <w:sz w:val="24"/>
          <w:szCs w:val="24"/>
        </w:rPr>
        <w:t>Luwero Fruit Factory</w:t>
      </w:r>
      <w:r w:rsidRPr="000E1B7E">
        <w:rPr>
          <w:rFonts w:ascii="Times New Roman" w:hAnsi="Times New Roman"/>
          <w:sz w:val="24"/>
          <w:szCs w:val="24"/>
        </w:rPr>
        <w:t xml:space="preserve">. This project was conceived in FY2010/11 with expected commissioning in FY2018/19. However, because of intermittent financing, it is expected to be completed in FY2021/22. The project seeks to produce 12 MT per hour of pineapple and mango juice.  </w:t>
      </w:r>
      <w:r w:rsidR="009E4929" w:rsidRPr="000E1B7E">
        <w:rPr>
          <w:rFonts w:ascii="Times New Roman" w:hAnsi="Times New Roman"/>
          <w:sz w:val="24"/>
          <w:szCs w:val="24"/>
        </w:rPr>
        <w:t>The project is at the engineering design stage</w:t>
      </w:r>
      <w:r w:rsidR="0000444F" w:rsidRPr="000E1B7E">
        <w:rPr>
          <w:rFonts w:ascii="Times New Roman" w:hAnsi="Times New Roman"/>
          <w:sz w:val="24"/>
          <w:szCs w:val="24"/>
        </w:rPr>
        <w:t xml:space="preserve"> and </w:t>
      </w:r>
      <w:r w:rsidRPr="000E1B7E">
        <w:rPr>
          <w:rFonts w:ascii="Times New Roman" w:hAnsi="Times New Roman"/>
          <w:sz w:val="24"/>
          <w:szCs w:val="24"/>
        </w:rPr>
        <w:t>GoU owns the factory 100 percent.</w:t>
      </w:r>
    </w:p>
    <w:p w14:paraId="28113BB7" w14:textId="77777777" w:rsidR="0027780B" w:rsidRPr="000E1B7E" w:rsidRDefault="0027780B" w:rsidP="00F85D24">
      <w:pPr>
        <w:pStyle w:val="ListParagraph"/>
        <w:numPr>
          <w:ilvl w:val="0"/>
          <w:numId w:val="17"/>
        </w:numPr>
        <w:spacing w:after="240" w:line="360" w:lineRule="auto"/>
        <w:ind w:left="1134" w:hanging="567"/>
        <w:rPr>
          <w:rFonts w:ascii="Times New Roman" w:hAnsi="Times New Roman"/>
          <w:sz w:val="24"/>
          <w:szCs w:val="24"/>
        </w:rPr>
      </w:pPr>
      <w:r w:rsidRPr="000E1B7E">
        <w:rPr>
          <w:rFonts w:ascii="Times New Roman" w:hAnsi="Times New Roman"/>
          <w:b/>
          <w:sz w:val="24"/>
          <w:szCs w:val="24"/>
        </w:rPr>
        <w:t>Tea</w:t>
      </w:r>
      <w:r w:rsidR="0000444F" w:rsidRPr="000E1B7E">
        <w:rPr>
          <w:rFonts w:ascii="Times New Roman" w:hAnsi="Times New Roman"/>
          <w:b/>
          <w:sz w:val="24"/>
          <w:szCs w:val="24"/>
        </w:rPr>
        <w:t xml:space="preserve"> Factories</w:t>
      </w:r>
      <w:r w:rsidR="0000444F" w:rsidRPr="000E1B7E">
        <w:rPr>
          <w:rFonts w:ascii="Times New Roman" w:hAnsi="Times New Roman"/>
          <w:sz w:val="24"/>
          <w:szCs w:val="24"/>
        </w:rPr>
        <w:t>. UDC</w:t>
      </w:r>
      <w:r w:rsidRPr="000E1B7E">
        <w:rPr>
          <w:rFonts w:ascii="Times New Roman" w:hAnsi="Times New Roman"/>
          <w:sz w:val="24"/>
          <w:szCs w:val="24"/>
        </w:rPr>
        <w:t xml:space="preserve"> in 2018 extend</w:t>
      </w:r>
      <w:r w:rsidR="0000444F" w:rsidRPr="000E1B7E">
        <w:rPr>
          <w:rFonts w:ascii="Times New Roman" w:hAnsi="Times New Roman"/>
          <w:sz w:val="24"/>
          <w:szCs w:val="24"/>
        </w:rPr>
        <w:t>ed</w:t>
      </w:r>
      <w:r w:rsidRPr="000E1B7E">
        <w:rPr>
          <w:rFonts w:ascii="Times New Roman" w:hAnsi="Times New Roman"/>
          <w:sz w:val="24"/>
          <w:szCs w:val="24"/>
        </w:rPr>
        <w:t xml:space="preserve"> financial support to tea factories in Western Uganda</w:t>
      </w:r>
      <w:r w:rsidR="0000444F" w:rsidRPr="000E1B7E">
        <w:rPr>
          <w:rFonts w:ascii="Times New Roman" w:hAnsi="Times New Roman"/>
          <w:sz w:val="24"/>
          <w:szCs w:val="24"/>
        </w:rPr>
        <w:t xml:space="preserve"> through a </w:t>
      </w:r>
      <w:r w:rsidRPr="000E1B7E">
        <w:rPr>
          <w:rFonts w:ascii="Times New Roman" w:hAnsi="Times New Roman"/>
          <w:sz w:val="24"/>
          <w:szCs w:val="24"/>
        </w:rPr>
        <w:t>10 year</w:t>
      </w:r>
      <w:r w:rsidR="0000444F" w:rsidRPr="000E1B7E">
        <w:rPr>
          <w:rFonts w:ascii="Times New Roman" w:hAnsi="Times New Roman"/>
          <w:sz w:val="24"/>
          <w:szCs w:val="24"/>
        </w:rPr>
        <w:t xml:space="preserve">equipment </w:t>
      </w:r>
      <w:r w:rsidRPr="000E1B7E">
        <w:rPr>
          <w:rFonts w:ascii="Times New Roman" w:hAnsi="Times New Roman"/>
          <w:sz w:val="24"/>
          <w:szCs w:val="24"/>
        </w:rPr>
        <w:t>lease financing</w:t>
      </w:r>
      <w:r w:rsidR="0000444F" w:rsidRPr="000E1B7E">
        <w:rPr>
          <w:rFonts w:ascii="Times New Roman" w:hAnsi="Times New Roman"/>
          <w:sz w:val="24"/>
          <w:szCs w:val="24"/>
        </w:rPr>
        <w:t xml:space="preserve"> for </w:t>
      </w:r>
      <w:r w:rsidRPr="000E1B7E">
        <w:rPr>
          <w:rFonts w:ascii="Times New Roman" w:hAnsi="Times New Roman"/>
          <w:sz w:val="24"/>
          <w:szCs w:val="24"/>
        </w:rPr>
        <w:t xml:space="preserve">KigeziHighland Tea Co. Limited,KayonzaGrowers Tea Factory and Mabale Growers Tea Factory Ltd. </w:t>
      </w:r>
      <w:r w:rsidR="0000444F" w:rsidRPr="000E1B7E">
        <w:rPr>
          <w:rFonts w:ascii="Times New Roman" w:hAnsi="Times New Roman"/>
          <w:sz w:val="24"/>
          <w:szCs w:val="24"/>
        </w:rPr>
        <w:t xml:space="preserve">UDC investment has increased production capacity factories, to enable them absorb increased tea production resulting from the increased supply of tea seedlings through OWC. </w:t>
      </w:r>
      <w:r w:rsidRPr="000E1B7E">
        <w:rPr>
          <w:rFonts w:ascii="Times New Roman" w:hAnsi="Times New Roman"/>
          <w:sz w:val="24"/>
          <w:szCs w:val="24"/>
        </w:rPr>
        <w:t>The factories are expected to have a combined potential of 2,400 MT of ready-made tea per year worth $4.8m in export earnings</w:t>
      </w:r>
      <w:r w:rsidR="0000444F" w:rsidRPr="000E1B7E">
        <w:rPr>
          <w:rFonts w:ascii="Times New Roman" w:hAnsi="Times New Roman"/>
          <w:sz w:val="24"/>
          <w:szCs w:val="24"/>
        </w:rPr>
        <w:t>.</w:t>
      </w:r>
    </w:p>
    <w:p w14:paraId="382CAF8D" w14:textId="77777777" w:rsidR="0027780B" w:rsidRPr="000E1B7E" w:rsidRDefault="0000444F" w:rsidP="00F85D24">
      <w:pPr>
        <w:pStyle w:val="ListParagraph"/>
        <w:numPr>
          <w:ilvl w:val="0"/>
          <w:numId w:val="17"/>
        </w:numPr>
        <w:spacing w:after="240" w:line="360" w:lineRule="auto"/>
        <w:ind w:left="1134" w:hanging="567"/>
        <w:rPr>
          <w:rFonts w:ascii="Times New Roman" w:hAnsi="Times New Roman"/>
          <w:sz w:val="24"/>
          <w:szCs w:val="24"/>
        </w:rPr>
      </w:pPr>
      <w:r w:rsidRPr="000E1B7E">
        <w:rPr>
          <w:rFonts w:ascii="Times New Roman" w:hAnsi="Times New Roman"/>
          <w:b/>
          <w:sz w:val="24"/>
          <w:szCs w:val="24"/>
        </w:rPr>
        <w:t>Atiak Sugar Factory.</w:t>
      </w:r>
      <w:r w:rsidRPr="000E1B7E">
        <w:rPr>
          <w:rFonts w:ascii="Times New Roman" w:hAnsi="Times New Roman"/>
          <w:sz w:val="24"/>
          <w:szCs w:val="24"/>
        </w:rPr>
        <w:t xml:space="preserve"> Government through UDC </w:t>
      </w:r>
      <w:r w:rsidR="0027780B" w:rsidRPr="000E1B7E">
        <w:rPr>
          <w:rFonts w:ascii="Times New Roman" w:hAnsi="Times New Roman"/>
          <w:sz w:val="24"/>
          <w:szCs w:val="24"/>
        </w:rPr>
        <w:t xml:space="preserve">in June 2017 took up a 32 percent stake in Atiak Sugar Factory. This was partly aimed </w:t>
      </w:r>
      <w:r w:rsidR="001E6A20" w:rsidRPr="000E1B7E">
        <w:rPr>
          <w:rFonts w:ascii="Times New Roman" w:hAnsi="Times New Roman"/>
          <w:sz w:val="24"/>
          <w:szCs w:val="24"/>
        </w:rPr>
        <w:t xml:space="preserve">at </w:t>
      </w:r>
      <w:r w:rsidR="0027780B" w:rsidRPr="000E1B7E">
        <w:rPr>
          <w:rFonts w:ascii="Times New Roman" w:hAnsi="Times New Roman"/>
          <w:sz w:val="24"/>
          <w:szCs w:val="24"/>
        </w:rPr>
        <w:t>enabling the Atiak Sugar Factory takeoff after proprietors had become financially constrained. The factory is expected to be commissioned in May 2019. The factory has a nucleus farm and an outgrower scheme.</w:t>
      </w:r>
    </w:p>
    <w:p w14:paraId="2557866C" w14:textId="77777777" w:rsidR="0027780B" w:rsidRPr="000E1B7E" w:rsidRDefault="0027780B" w:rsidP="005959B5">
      <w:pPr>
        <w:spacing w:line="360" w:lineRule="auto"/>
        <w:ind w:left="360"/>
        <w:jc w:val="both"/>
      </w:pPr>
      <w:r w:rsidRPr="000E1B7E">
        <w:rPr>
          <w:b/>
        </w:rPr>
        <w:t>Mineral development</w:t>
      </w:r>
    </w:p>
    <w:p w14:paraId="29CC9AAD" w14:textId="77777777" w:rsidR="001E6A20" w:rsidRPr="000E1B7E" w:rsidRDefault="0027780B" w:rsidP="00F85D24">
      <w:pPr>
        <w:pStyle w:val="ListParagraph"/>
        <w:numPr>
          <w:ilvl w:val="0"/>
          <w:numId w:val="30"/>
        </w:numPr>
        <w:spacing w:after="240" w:line="360" w:lineRule="auto"/>
        <w:ind w:left="1134" w:hanging="567"/>
        <w:rPr>
          <w:rFonts w:ascii="Times New Roman" w:hAnsi="Times New Roman"/>
          <w:sz w:val="24"/>
          <w:szCs w:val="24"/>
        </w:rPr>
      </w:pPr>
      <w:r w:rsidRPr="000E1B7E">
        <w:rPr>
          <w:rFonts w:ascii="Times New Roman" w:hAnsi="Times New Roman"/>
          <w:b/>
          <w:sz w:val="24"/>
          <w:szCs w:val="24"/>
        </w:rPr>
        <w:t>Cement:</w:t>
      </w:r>
      <w:r w:rsidRPr="000E1B7E">
        <w:rPr>
          <w:rFonts w:ascii="Times New Roman" w:hAnsi="Times New Roman"/>
          <w:sz w:val="24"/>
          <w:szCs w:val="24"/>
        </w:rPr>
        <w:t xml:space="preserve"> GoU in FY2017/18 embarked on setting up an Integrated Cement Plant which is expected to be completed in FY2020/21.  The plant is expected to produce cement, marble and lime at 1250 MT per day, 11,000 squares meters per month, </w:t>
      </w:r>
      <w:r w:rsidRPr="000E1B7E">
        <w:rPr>
          <w:rFonts w:ascii="Times New Roman" w:hAnsi="Times New Roman"/>
          <w:sz w:val="24"/>
          <w:szCs w:val="24"/>
        </w:rPr>
        <w:lastRenderedPageBreak/>
        <w:t>and 300 MT per day respectively.  The project is expected to process clinker which will be used locally in the domestic cement industry thereby saving the country of millions of dollars spent on clinker importation. At the moment exploration license, feasibility study and land acquisition have been undertaken. Both exploration and geo-technical studies are on-going. The project is a joint venture between GoU (45</w:t>
      </w:r>
      <w:r w:rsidR="004F20B1" w:rsidRPr="000E1B7E">
        <w:rPr>
          <w:rFonts w:ascii="Times New Roman" w:hAnsi="Times New Roman"/>
          <w:sz w:val="24"/>
          <w:szCs w:val="24"/>
        </w:rPr>
        <w:t>%</w:t>
      </w:r>
      <w:r w:rsidRPr="000E1B7E">
        <w:rPr>
          <w:rFonts w:ascii="Times New Roman" w:hAnsi="Times New Roman"/>
          <w:sz w:val="24"/>
          <w:szCs w:val="24"/>
        </w:rPr>
        <w:t>) and the private sector.</w:t>
      </w:r>
    </w:p>
    <w:p w14:paraId="2956B697" w14:textId="77777777" w:rsidR="001E6A20" w:rsidRPr="000E1B7E" w:rsidRDefault="0027780B" w:rsidP="00F85D24">
      <w:pPr>
        <w:pStyle w:val="ListParagraph"/>
        <w:numPr>
          <w:ilvl w:val="0"/>
          <w:numId w:val="30"/>
        </w:numPr>
        <w:spacing w:after="240" w:line="360" w:lineRule="auto"/>
        <w:ind w:left="1134" w:hanging="567"/>
        <w:rPr>
          <w:rFonts w:ascii="Times New Roman" w:hAnsi="Times New Roman"/>
          <w:sz w:val="24"/>
          <w:szCs w:val="24"/>
        </w:rPr>
      </w:pPr>
      <w:r w:rsidRPr="000E1B7E">
        <w:rPr>
          <w:rFonts w:ascii="Times New Roman" w:hAnsi="Times New Roman"/>
          <w:b/>
          <w:sz w:val="24"/>
          <w:szCs w:val="24"/>
        </w:rPr>
        <w:t>Glass:</w:t>
      </w:r>
      <w:r w:rsidRPr="000E1B7E">
        <w:rPr>
          <w:rFonts w:ascii="Times New Roman" w:hAnsi="Times New Roman"/>
          <w:sz w:val="24"/>
          <w:szCs w:val="24"/>
        </w:rPr>
        <w:t xml:space="preserve"> this project started in FY2017/18 and expected to be commissioned in FY2020/21</w:t>
      </w:r>
      <w:r w:rsidR="004F20B1" w:rsidRPr="000E1B7E">
        <w:rPr>
          <w:rFonts w:ascii="Times New Roman" w:hAnsi="Times New Roman"/>
          <w:sz w:val="24"/>
          <w:szCs w:val="24"/>
        </w:rPr>
        <w:t>;</w:t>
      </w:r>
      <w:r w:rsidRPr="000E1B7E">
        <w:rPr>
          <w:rFonts w:ascii="Times New Roman" w:hAnsi="Times New Roman"/>
          <w:sz w:val="24"/>
          <w:szCs w:val="24"/>
        </w:rPr>
        <w:t xml:space="preserve"> it </w:t>
      </w:r>
      <w:r w:rsidR="004F20B1" w:rsidRPr="000E1B7E">
        <w:rPr>
          <w:rFonts w:ascii="Times New Roman" w:hAnsi="Times New Roman"/>
          <w:sz w:val="24"/>
          <w:szCs w:val="24"/>
        </w:rPr>
        <w:t xml:space="preserve">is </w:t>
      </w:r>
      <w:r w:rsidRPr="000E1B7E">
        <w:rPr>
          <w:rFonts w:ascii="Times New Roman" w:hAnsi="Times New Roman"/>
          <w:sz w:val="24"/>
          <w:szCs w:val="24"/>
        </w:rPr>
        <w:t>70% government owned.</w:t>
      </w:r>
      <w:r w:rsidR="005B4E67" w:rsidRPr="000E1B7E">
        <w:rPr>
          <w:rFonts w:ascii="Times New Roman" w:hAnsi="Times New Roman"/>
          <w:sz w:val="24"/>
          <w:szCs w:val="24"/>
        </w:rPr>
        <w:t xml:space="preserve"> The project is expected to use</w:t>
      </w:r>
      <w:r w:rsidRPr="000E1B7E">
        <w:rPr>
          <w:rFonts w:ascii="Times New Roman" w:hAnsi="Times New Roman"/>
          <w:sz w:val="24"/>
          <w:szCs w:val="24"/>
        </w:rPr>
        <w:t xml:space="preserve"> white silica sand in Masaka district as the raw material in the making of glass. The project is expected to produce 200 MT of glass per day. At the moment both exploration license and feasibility study have been undertaken. Exploration and geo-technical studies are on-going. </w:t>
      </w:r>
    </w:p>
    <w:p w14:paraId="7EA78D3A" w14:textId="77777777" w:rsidR="001E6A20" w:rsidRPr="000E1B7E" w:rsidRDefault="0027780B" w:rsidP="00F85D24">
      <w:pPr>
        <w:pStyle w:val="ListParagraph"/>
        <w:numPr>
          <w:ilvl w:val="0"/>
          <w:numId w:val="30"/>
        </w:numPr>
        <w:spacing w:after="240" w:line="360" w:lineRule="auto"/>
        <w:ind w:left="1134" w:hanging="567"/>
        <w:rPr>
          <w:rFonts w:ascii="Times New Roman" w:hAnsi="Times New Roman"/>
          <w:sz w:val="24"/>
          <w:szCs w:val="24"/>
        </w:rPr>
      </w:pPr>
      <w:r w:rsidRPr="000E1B7E">
        <w:rPr>
          <w:rFonts w:ascii="Times New Roman" w:hAnsi="Times New Roman"/>
          <w:b/>
          <w:sz w:val="24"/>
          <w:szCs w:val="24"/>
        </w:rPr>
        <w:t>Salt:</w:t>
      </w:r>
      <w:r w:rsidRPr="000E1B7E">
        <w:rPr>
          <w:rFonts w:ascii="Times New Roman" w:hAnsi="Times New Roman"/>
          <w:sz w:val="24"/>
          <w:szCs w:val="24"/>
        </w:rPr>
        <w:t xml:space="preserve"> GoU is to set up the Lake Katwe Salt Chemical Plant using brine as a raw material. Explorations works on the project are done and its 70 percent government owned.</w:t>
      </w:r>
    </w:p>
    <w:p w14:paraId="7CE1EA1F" w14:textId="77777777" w:rsidR="0027780B" w:rsidRPr="000E1B7E" w:rsidRDefault="0027780B" w:rsidP="00F85D24">
      <w:pPr>
        <w:pStyle w:val="ListParagraph"/>
        <w:numPr>
          <w:ilvl w:val="0"/>
          <w:numId w:val="30"/>
        </w:numPr>
        <w:spacing w:after="240" w:line="360" w:lineRule="auto"/>
        <w:ind w:left="1134" w:hanging="567"/>
        <w:rPr>
          <w:rFonts w:ascii="Times New Roman" w:hAnsi="Times New Roman"/>
          <w:sz w:val="24"/>
          <w:szCs w:val="24"/>
        </w:rPr>
      </w:pPr>
      <w:r w:rsidRPr="000E1B7E">
        <w:rPr>
          <w:rFonts w:ascii="Times New Roman" w:hAnsi="Times New Roman"/>
          <w:b/>
          <w:sz w:val="24"/>
          <w:szCs w:val="24"/>
        </w:rPr>
        <w:t>Iron Ore:</w:t>
      </w:r>
      <w:r w:rsidRPr="000E1B7E">
        <w:rPr>
          <w:rFonts w:ascii="Times New Roman" w:hAnsi="Times New Roman"/>
          <w:sz w:val="24"/>
          <w:szCs w:val="24"/>
        </w:rPr>
        <w:t xml:space="preserve"> this is one of the GoU priorities investment areas. At moment UDC is working with NPA and a group of steel companies in Uganda to </w:t>
      </w:r>
      <w:r w:rsidR="001E6A20" w:rsidRPr="000E1B7E">
        <w:rPr>
          <w:rFonts w:ascii="Times New Roman" w:hAnsi="Times New Roman"/>
          <w:sz w:val="24"/>
          <w:szCs w:val="24"/>
        </w:rPr>
        <w:t>conduct</w:t>
      </w:r>
      <w:r w:rsidRPr="000E1B7E">
        <w:rPr>
          <w:rFonts w:ascii="Times New Roman" w:hAnsi="Times New Roman"/>
          <w:sz w:val="24"/>
          <w:szCs w:val="24"/>
        </w:rPr>
        <w:t xml:space="preserve"> a feasibility study</w:t>
      </w:r>
    </w:p>
    <w:p w14:paraId="01DF9170" w14:textId="77777777" w:rsidR="0027780B" w:rsidRPr="000E1B7E" w:rsidRDefault="0027780B" w:rsidP="005959B5">
      <w:pPr>
        <w:spacing w:line="360" w:lineRule="auto"/>
        <w:jc w:val="both"/>
      </w:pPr>
      <w:r w:rsidRPr="000E1B7E">
        <w:rPr>
          <w:b/>
        </w:rPr>
        <w:t>Infrastructure development</w:t>
      </w:r>
    </w:p>
    <w:p w14:paraId="78DB37FF" w14:textId="77777777" w:rsidR="0027780B" w:rsidRPr="000E1B7E" w:rsidRDefault="0027780B" w:rsidP="00F85D24">
      <w:pPr>
        <w:pStyle w:val="ListParagraph"/>
        <w:numPr>
          <w:ilvl w:val="0"/>
          <w:numId w:val="31"/>
        </w:numPr>
        <w:spacing w:after="0" w:line="360" w:lineRule="auto"/>
        <w:ind w:left="1134" w:hanging="567"/>
        <w:contextualSpacing/>
        <w:rPr>
          <w:rFonts w:ascii="Times New Roman" w:hAnsi="Times New Roman"/>
          <w:sz w:val="24"/>
          <w:szCs w:val="24"/>
        </w:rPr>
      </w:pPr>
      <w:r w:rsidRPr="000E1B7E">
        <w:rPr>
          <w:rFonts w:ascii="Times New Roman" w:hAnsi="Times New Roman"/>
          <w:sz w:val="24"/>
          <w:szCs w:val="24"/>
        </w:rPr>
        <w:t xml:space="preserve">Kalangala Infrastructure Services, this is a government initiative aimed at enabling economic development in Kalangala. It is </w:t>
      </w:r>
      <w:r w:rsidR="005B4E67" w:rsidRPr="000E1B7E">
        <w:rPr>
          <w:rFonts w:ascii="Times New Roman" w:hAnsi="Times New Roman"/>
          <w:sz w:val="24"/>
          <w:szCs w:val="24"/>
        </w:rPr>
        <w:t xml:space="preserve">a </w:t>
      </w:r>
      <w:r w:rsidRPr="000E1B7E">
        <w:rPr>
          <w:rFonts w:ascii="Times New Roman" w:hAnsi="Times New Roman"/>
          <w:sz w:val="24"/>
          <w:szCs w:val="24"/>
        </w:rPr>
        <w:t>joint venture between GoU and the private sector with GoU having 45 percent shareholding. The project brought on board two ferries that offer transport services between Bukakata (Masaka district) and Luuku landing site in Kalangala. The project also brought on board 66 kilometers of roads paid for by GoU. Also the project brought on board 1.6MW of electricity (solar and diesel) on the Kalangala island. Also the project ferries portable safe water to the fishing communities.</w:t>
      </w:r>
    </w:p>
    <w:p w14:paraId="0D002854" w14:textId="77777777" w:rsidR="00632D15" w:rsidRPr="000E1B7E" w:rsidRDefault="0098248C"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i/>
          <w:sz w:val="24"/>
          <w:szCs w:val="24"/>
        </w:rPr>
        <w:t>Uganda Free Zone Authority (UFZA) operational</w:t>
      </w:r>
      <w:r w:rsidR="00547072" w:rsidRPr="000E1B7E">
        <w:rPr>
          <w:rFonts w:ascii="Times New Roman" w:hAnsi="Times New Roman"/>
          <w:b/>
          <w:i/>
          <w:sz w:val="24"/>
          <w:szCs w:val="24"/>
        </w:rPr>
        <w:t>i</w:t>
      </w:r>
      <w:r w:rsidRPr="000E1B7E">
        <w:rPr>
          <w:rFonts w:ascii="Times New Roman" w:hAnsi="Times New Roman"/>
          <w:b/>
          <w:i/>
          <w:sz w:val="24"/>
          <w:szCs w:val="24"/>
        </w:rPr>
        <w:t>sed</w:t>
      </w:r>
      <w:r w:rsidR="00FF78FC" w:rsidRPr="000E1B7E">
        <w:rPr>
          <w:rFonts w:ascii="Times New Roman" w:hAnsi="Times New Roman"/>
          <w:b/>
          <w:i/>
          <w:sz w:val="24"/>
          <w:szCs w:val="24"/>
        </w:rPr>
        <w:t xml:space="preserve">; first </w:t>
      </w:r>
      <w:r w:rsidRPr="000E1B7E">
        <w:rPr>
          <w:rFonts w:ascii="Times New Roman" w:hAnsi="Times New Roman"/>
          <w:b/>
          <w:i/>
          <w:sz w:val="24"/>
          <w:szCs w:val="24"/>
        </w:rPr>
        <w:t xml:space="preserve">export processing zones </w:t>
      </w:r>
      <w:r w:rsidR="00FF78FC" w:rsidRPr="000E1B7E">
        <w:rPr>
          <w:rFonts w:ascii="Times New Roman" w:hAnsi="Times New Roman"/>
          <w:b/>
          <w:i/>
          <w:sz w:val="24"/>
          <w:szCs w:val="24"/>
        </w:rPr>
        <w:t>established</w:t>
      </w:r>
      <w:r w:rsidRPr="000E1B7E">
        <w:rPr>
          <w:rFonts w:ascii="Times New Roman" w:hAnsi="Times New Roman"/>
          <w:b/>
          <w:i/>
          <w:sz w:val="24"/>
          <w:szCs w:val="24"/>
        </w:rPr>
        <w:t xml:space="preserve">.  </w:t>
      </w:r>
      <w:r w:rsidR="00F03970" w:rsidRPr="000E1B7E">
        <w:rPr>
          <w:rFonts w:ascii="Times New Roman" w:hAnsi="Times New Roman"/>
          <w:sz w:val="24"/>
          <w:szCs w:val="24"/>
        </w:rPr>
        <w:t xml:space="preserve">Following theFree Zone Act 2014, </w:t>
      </w:r>
      <w:r w:rsidR="00FF78FC" w:rsidRPr="000E1B7E">
        <w:rPr>
          <w:rFonts w:ascii="Times New Roman" w:hAnsi="Times New Roman"/>
          <w:sz w:val="24"/>
          <w:szCs w:val="24"/>
        </w:rPr>
        <w:t xml:space="preserve">and </w:t>
      </w:r>
      <w:r w:rsidR="00F03970" w:rsidRPr="000E1B7E">
        <w:rPr>
          <w:rFonts w:ascii="Times New Roman" w:hAnsi="Times New Roman"/>
          <w:sz w:val="24"/>
          <w:szCs w:val="24"/>
        </w:rPr>
        <w:t xml:space="preserve">in accordance with the EAC Customs Union Protocol, the </w:t>
      </w:r>
      <w:r w:rsidRPr="000E1B7E">
        <w:rPr>
          <w:rFonts w:ascii="Times New Roman" w:hAnsi="Times New Roman"/>
          <w:sz w:val="24"/>
          <w:szCs w:val="24"/>
        </w:rPr>
        <w:t xml:space="preserve">UFZA </w:t>
      </w:r>
      <w:r w:rsidR="00F03970" w:rsidRPr="000E1B7E">
        <w:rPr>
          <w:rFonts w:ascii="Times New Roman" w:hAnsi="Times New Roman"/>
          <w:sz w:val="24"/>
          <w:szCs w:val="24"/>
        </w:rPr>
        <w:t xml:space="preserve">has been operationalised with the mandate </w:t>
      </w:r>
      <w:r w:rsidRPr="000E1B7E">
        <w:rPr>
          <w:rFonts w:ascii="Times New Roman" w:hAnsi="Times New Roman"/>
          <w:sz w:val="24"/>
          <w:szCs w:val="24"/>
        </w:rPr>
        <w:t xml:space="preserve">to establish, development, market and supervise export zones. </w:t>
      </w:r>
      <w:r w:rsidR="00F03970" w:rsidRPr="000E1B7E">
        <w:rPr>
          <w:rFonts w:ascii="Times New Roman" w:hAnsi="Times New Roman"/>
          <w:sz w:val="24"/>
          <w:szCs w:val="24"/>
        </w:rPr>
        <w:t xml:space="preserve">This was aimed at facilitating </w:t>
      </w:r>
      <w:r w:rsidR="00F03970" w:rsidRPr="000E1B7E">
        <w:rPr>
          <w:rFonts w:ascii="Times New Roman" w:hAnsi="Times New Roman"/>
          <w:sz w:val="24"/>
          <w:szCs w:val="24"/>
        </w:rPr>
        <w:lastRenderedPageBreak/>
        <w:t xml:space="preserve">increased production for exports. </w:t>
      </w:r>
      <w:r w:rsidRPr="000E1B7E">
        <w:rPr>
          <w:rFonts w:ascii="Times New Roman" w:hAnsi="Times New Roman"/>
          <w:sz w:val="24"/>
          <w:szCs w:val="24"/>
        </w:rPr>
        <w:t xml:space="preserve">For an entity </w:t>
      </w:r>
      <w:r w:rsidR="00F03970" w:rsidRPr="000E1B7E">
        <w:rPr>
          <w:rFonts w:ascii="Times New Roman" w:hAnsi="Times New Roman"/>
          <w:sz w:val="24"/>
          <w:szCs w:val="24"/>
        </w:rPr>
        <w:t xml:space="preserve">in the </w:t>
      </w:r>
      <w:r w:rsidRPr="000E1B7E">
        <w:rPr>
          <w:rFonts w:ascii="Times New Roman" w:hAnsi="Times New Roman"/>
          <w:sz w:val="24"/>
          <w:szCs w:val="24"/>
        </w:rPr>
        <w:t xml:space="preserve">export free zone, </w:t>
      </w:r>
      <w:r w:rsidR="009E7033" w:rsidRPr="000E1B7E">
        <w:rPr>
          <w:rFonts w:ascii="Times New Roman" w:hAnsi="Times New Roman"/>
          <w:sz w:val="24"/>
          <w:szCs w:val="24"/>
        </w:rPr>
        <w:t xml:space="preserve">at most </w:t>
      </w:r>
      <w:r w:rsidRPr="000E1B7E">
        <w:rPr>
          <w:rFonts w:ascii="Times New Roman" w:hAnsi="Times New Roman"/>
          <w:sz w:val="24"/>
          <w:szCs w:val="24"/>
        </w:rPr>
        <w:t xml:space="preserve">20 percent of its output </w:t>
      </w:r>
      <w:r w:rsidR="009E7033" w:rsidRPr="000E1B7E">
        <w:rPr>
          <w:rFonts w:ascii="Times New Roman" w:hAnsi="Times New Roman"/>
          <w:sz w:val="24"/>
          <w:szCs w:val="24"/>
        </w:rPr>
        <w:t xml:space="preserve">can be </w:t>
      </w:r>
      <w:r w:rsidRPr="000E1B7E">
        <w:rPr>
          <w:rFonts w:ascii="Times New Roman" w:hAnsi="Times New Roman"/>
          <w:sz w:val="24"/>
          <w:szCs w:val="24"/>
        </w:rPr>
        <w:t xml:space="preserve">sold domestically (including the EAC) with 80 percent of its output exported outside the EAC. </w:t>
      </w:r>
      <w:r w:rsidR="009E7033" w:rsidRPr="000E1B7E">
        <w:rPr>
          <w:rFonts w:ascii="Times New Roman" w:hAnsi="Times New Roman"/>
          <w:sz w:val="24"/>
          <w:szCs w:val="24"/>
        </w:rPr>
        <w:t>F</w:t>
      </w:r>
      <w:r w:rsidRPr="000E1B7E">
        <w:rPr>
          <w:rFonts w:ascii="Times New Roman" w:hAnsi="Times New Roman"/>
          <w:sz w:val="24"/>
          <w:szCs w:val="24"/>
        </w:rPr>
        <w:t xml:space="preserve">or the 80 percent of the exported goods and services, customs duties do not apply on any raw materials imported and this has been extended to VAT on imports as well. However, for the 20 percent of output sold domestically, the imported </w:t>
      </w:r>
      <w:r w:rsidR="00F03970" w:rsidRPr="000E1B7E">
        <w:rPr>
          <w:rFonts w:ascii="Times New Roman" w:hAnsi="Times New Roman"/>
          <w:sz w:val="24"/>
          <w:szCs w:val="24"/>
        </w:rPr>
        <w:t>inputs towards producing such output attract</w:t>
      </w:r>
      <w:r w:rsidRPr="000E1B7E">
        <w:rPr>
          <w:rFonts w:ascii="Times New Roman" w:hAnsi="Times New Roman"/>
          <w:sz w:val="24"/>
          <w:szCs w:val="24"/>
        </w:rPr>
        <w:t xml:space="preserve"> customs duties.</w:t>
      </w:r>
    </w:p>
    <w:p w14:paraId="5A17DE47" w14:textId="77777777" w:rsidR="009E7033" w:rsidRPr="000E1B7E" w:rsidRDefault="00632D15"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Since star</w:t>
      </w:r>
      <w:r w:rsidR="009E7033" w:rsidRPr="000E1B7E">
        <w:rPr>
          <w:rFonts w:ascii="Times New Roman" w:hAnsi="Times New Roman"/>
          <w:sz w:val="24"/>
          <w:szCs w:val="24"/>
        </w:rPr>
        <w:t>t</w:t>
      </w:r>
      <w:r w:rsidRPr="000E1B7E">
        <w:rPr>
          <w:rFonts w:ascii="Times New Roman" w:hAnsi="Times New Roman"/>
          <w:sz w:val="24"/>
          <w:szCs w:val="24"/>
        </w:rPr>
        <w:t xml:space="preserve">ing operations in 2014/15, </w:t>
      </w:r>
      <w:r w:rsidR="00F03970" w:rsidRPr="000E1B7E">
        <w:rPr>
          <w:rFonts w:ascii="Times New Roman" w:hAnsi="Times New Roman"/>
          <w:sz w:val="24"/>
          <w:szCs w:val="24"/>
        </w:rPr>
        <w:t xml:space="preserve">14 export processing </w:t>
      </w:r>
      <w:r w:rsidR="009E7033" w:rsidRPr="000E1B7E">
        <w:rPr>
          <w:rFonts w:ascii="Times New Roman" w:hAnsi="Times New Roman"/>
          <w:sz w:val="24"/>
          <w:szCs w:val="24"/>
        </w:rPr>
        <w:t>free</w:t>
      </w:r>
      <w:r w:rsidR="00F03970" w:rsidRPr="000E1B7E">
        <w:rPr>
          <w:rFonts w:ascii="Times New Roman" w:hAnsi="Times New Roman"/>
          <w:sz w:val="24"/>
          <w:szCs w:val="24"/>
        </w:rPr>
        <w:t>z</w:t>
      </w:r>
      <w:r w:rsidR="0098248C" w:rsidRPr="000E1B7E">
        <w:rPr>
          <w:rFonts w:ascii="Times New Roman" w:hAnsi="Times New Roman"/>
          <w:sz w:val="24"/>
          <w:szCs w:val="24"/>
        </w:rPr>
        <w:t>ones</w:t>
      </w:r>
      <w:r w:rsidRPr="000E1B7E">
        <w:rPr>
          <w:rFonts w:ascii="Times New Roman" w:hAnsi="Times New Roman"/>
          <w:sz w:val="24"/>
          <w:szCs w:val="24"/>
        </w:rPr>
        <w:t>have been licensed</w:t>
      </w:r>
      <w:r w:rsidR="009E7033" w:rsidRPr="000E1B7E">
        <w:rPr>
          <w:rFonts w:ascii="Times New Roman" w:hAnsi="Times New Roman"/>
          <w:sz w:val="24"/>
          <w:szCs w:val="24"/>
        </w:rPr>
        <w:t>, of which 13 are operational</w:t>
      </w:r>
      <w:r w:rsidR="0098248C" w:rsidRPr="000E1B7E">
        <w:rPr>
          <w:rFonts w:ascii="Times New Roman" w:hAnsi="Times New Roman"/>
          <w:sz w:val="24"/>
          <w:szCs w:val="24"/>
        </w:rPr>
        <w:t xml:space="preserve">. </w:t>
      </w:r>
      <w:r w:rsidRPr="000E1B7E">
        <w:rPr>
          <w:rFonts w:ascii="Times New Roman" w:hAnsi="Times New Roman"/>
          <w:sz w:val="24"/>
          <w:szCs w:val="24"/>
        </w:rPr>
        <w:t>Key among these are</w:t>
      </w:r>
      <w:r w:rsidR="0098248C" w:rsidRPr="000E1B7E">
        <w:rPr>
          <w:rFonts w:ascii="Times New Roman" w:hAnsi="Times New Roman"/>
          <w:sz w:val="24"/>
          <w:szCs w:val="24"/>
        </w:rPr>
        <w:t>: China-Africa Industrial Cooperation Company</w:t>
      </w:r>
      <w:r w:rsidR="009E7033" w:rsidRPr="000E1B7E">
        <w:rPr>
          <w:rFonts w:ascii="Times New Roman" w:hAnsi="Times New Roman"/>
          <w:sz w:val="24"/>
          <w:szCs w:val="24"/>
        </w:rPr>
        <w:t>,</w:t>
      </w:r>
      <w:r w:rsidR="0098248C" w:rsidRPr="000E1B7E">
        <w:rPr>
          <w:rFonts w:ascii="Times New Roman" w:hAnsi="Times New Roman"/>
          <w:sz w:val="24"/>
          <w:szCs w:val="24"/>
        </w:rPr>
        <w:t xml:space="preserve"> which commissioned a fertilizer processing plant in FY2017/18</w:t>
      </w:r>
      <w:r w:rsidR="009E7033" w:rsidRPr="000E1B7E">
        <w:rPr>
          <w:rFonts w:ascii="Times New Roman" w:hAnsi="Times New Roman"/>
          <w:sz w:val="24"/>
          <w:szCs w:val="24"/>
        </w:rPr>
        <w:t>,</w:t>
      </w:r>
      <w:r w:rsidR="0098248C" w:rsidRPr="000E1B7E">
        <w:rPr>
          <w:rFonts w:ascii="Times New Roman" w:hAnsi="Times New Roman"/>
          <w:sz w:val="24"/>
          <w:szCs w:val="24"/>
        </w:rPr>
        <w:t xml:space="preserve"> with </w:t>
      </w:r>
      <w:r w:rsidR="009E7033" w:rsidRPr="000E1B7E">
        <w:rPr>
          <w:rFonts w:ascii="Times New Roman" w:hAnsi="Times New Roman"/>
          <w:sz w:val="24"/>
          <w:szCs w:val="24"/>
        </w:rPr>
        <w:t xml:space="preserve">a </w:t>
      </w:r>
      <w:r w:rsidR="0098248C" w:rsidRPr="000E1B7E">
        <w:rPr>
          <w:rFonts w:ascii="Times New Roman" w:hAnsi="Times New Roman"/>
          <w:sz w:val="24"/>
          <w:szCs w:val="24"/>
        </w:rPr>
        <w:t xml:space="preserve">steel plant to be commissioned next year; Nilus Group Limited set up the Tobacco processing plant in Jinja district; and Simba Gold a gold processing Free Zone in Bubolobi, Kampala District. The aforementioned Free Zones together contributed 90 percent of the US$ 61 million investments that the Free Zones have attracted. </w:t>
      </w:r>
    </w:p>
    <w:p w14:paraId="60B739BC" w14:textId="77777777" w:rsidR="00FF78FC" w:rsidRPr="000E1B7E" w:rsidRDefault="00FF78FC"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A key challenge now is to use the base of export activity established in the export zones to extend industrialisation and manufacturing</w:t>
      </w:r>
      <w:r w:rsidR="005626D6" w:rsidRPr="000E1B7E">
        <w:rPr>
          <w:rFonts w:ascii="Times New Roman" w:hAnsi="Times New Roman"/>
          <w:sz w:val="24"/>
          <w:szCs w:val="24"/>
        </w:rPr>
        <w:t xml:space="preserve"> beyond the zones</w:t>
      </w:r>
      <w:r w:rsidRPr="000E1B7E">
        <w:rPr>
          <w:rFonts w:ascii="Times New Roman" w:hAnsi="Times New Roman"/>
          <w:sz w:val="24"/>
          <w:szCs w:val="24"/>
        </w:rPr>
        <w:t xml:space="preserve">. The parameters facing the firms operating in the export zones are quite restrictive, due to the nature of the EAC Customs Union, </w:t>
      </w:r>
      <w:r w:rsidR="005626D6" w:rsidRPr="000E1B7E">
        <w:rPr>
          <w:rFonts w:ascii="Times New Roman" w:hAnsi="Times New Roman"/>
          <w:sz w:val="24"/>
          <w:szCs w:val="24"/>
        </w:rPr>
        <w:t>for instance:</w:t>
      </w:r>
    </w:p>
    <w:p w14:paraId="702EC95F" w14:textId="77777777" w:rsidR="005621E1" w:rsidRPr="000E1B7E" w:rsidRDefault="005621E1"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Exports have to be outside the EAC market, yet the EAC market account</w:t>
      </w:r>
      <w:r w:rsidR="005626D6" w:rsidRPr="000E1B7E">
        <w:rPr>
          <w:rFonts w:ascii="Times New Roman" w:hAnsi="Times New Roman"/>
          <w:sz w:val="24"/>
          <w:szCs w:val="24"/>
        </w:rPr>
        <w:t>s</w:t>
      </w:r>
      <w:r w:rsidRPr="000E1B7E">
        <w:rPr>
          <w:rFonts w:ascii="Times New Roman" w:hAnsi="Times New Roman"/>
          <w:sz w:val="24"/>
          <w:szCs w:val="24"/>
        </w:rPr>
        <w:t xml:space="preserve"> for the biggest market for Uganda. The main exports outside the EAC are primary unprocessed products especially coffee, flowers, fish, etc. Export processing zones as a tool for industrialisation and export growth is constrained by the requirement of 80% of the output having to be exported outside the EAC region.</w:t>
      </w:r>
    </w:p>
    <w:p w14:paraId="4DF026D0" w14:textId="77777777" w:rsidR="00893042" w:rsidRPr="000E1B7E" w:rsidRDefault="005626D6"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Some of the goods being produced in the export zones would also be useful in the domestic economy, and yet only a small proportion of output (20%) can be sold domestically. E</w:t>
      </w:r>
      <w:r w:rsidR="00893042" w:rsidRPr="000E1B7E">
        <w:rPr>
          <w:rFonts w:ascii="Times New Roman" w:hAnsi="Times New Roman"/>
          <w:sz w:val="24"/>
          <w:szCs w:val="24"/>
        </w:rPr>
        <w:t>xample</w:t>
      </w:r>
      <w:r w:rsidRPr="000E1B7E">
        <w:rPr>
          <w:rFonts w:ascii="Times New Roman" w:hAnsi="Times New Roman"/>
          <w:sz w:val="24"/>
          <w:szCs w:val="24"/>
        </w:rPr>
        <w:t xml:space="preserve">s include </w:t>
      </w:r>
      <w:r w:rsidR="00893042" w:rsidRPr="000E1B7E">
        <w:rPr>
          <w:rFonts w:ascii="Times New Roman" w:hAnsi="Times New Roman"/>
          <w:sz w:val="24"/>
          <w:szCs w:val="24"/>
        </w:rPr>
        <w:t xml:space="preserve">fertilizer </w:t>
      </w:r>
      <w:r w:rsidRPr="000E1B7E">
        <w:rPr>
          <w:rFonts w:ascii="Times New Roman" w:hAnsi="Times New Roman"/>
          <w:sz w:val="24"/>
          <w:szCs w:val="24"/>
        </w:rPr>
        <w:t xml:space="preserve">and glass, both of which are imported into Uganda. The challenge will be to encourage the firms producing in the export zones to use their experience there to establish similar operations outside of the zones to supply the dometic and EAC markets. </w:t>
      </w:r>
    </w:p>
    <w:p w14:paraId="110DE995" w14:textId="77777777" w:rsidR="005621E1" w:rsidRPr="000E1B7E" w:rsidRDefault="00893042"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 xml:space="preserve">Free zones largely exclude SMEs, who may not afford the </w:t>
      </w:r>
      <w:r w:rsidR="005626D6" w:rsidRPr="000E1B7E">
        <w:rPr>
          <w:rFonts w:ascii="Times New Roman" w:hAnsi="Times New Roman"/>
          <w:sz w:val="24"/>
          <w:szCs w:val="24"/>
        </w:rPr>
        <w:t xml:space="preserve">high </w:t>
      </w:r>
      <w:r w:rsidRPr="000E1B7E">
        <w:rPr>
          <w:rFonts w:ascii="Times New Roman" w:hAnsi="Times New Roman"/>
          <w:sz w:val="24"/>
          <w:szCs w:val="24"/>
        </w:rPr>
        <w:t>capital requirement</w:t>
      </w:r>
      <w:r w:rsidR="005626D6" w:rsidRPr="000E1B7E">
        <w:rPr>
          <w:rFonts w:ascii="Times New Roman" w:hAnsi="Times New Roman"/>
          <w:sz w:val="24"/>
          <w:szCs w:val="24"/>
        </w:rPr>
        <w:t>s</w:t>
      </w:r>
      <w:r w:rsidRPr="000E1B7E">
        <w:rPr>
          <w:rFonts w:ascii="Times New Roman" w:hAnsi="Times New Roman"/>
          <w:sz w:val="24"/>
          <w:szCs w:val="24"/>
        </w:rPr>
        <w:t xml:space="preserve">. </w:t>
      </w:r>
      <w:r w:rsidR="00472A2D" w:rsidRPr="000E1B7E">
        <w:rPr>
          <w:rFonts w:ascii="Times New Roman" w:hAnsi="Times New Roman"/>
          <w:sz w:val="24"/>
          <w:szCs w:val="24"/>
        </w:rPr>
        <w:t xml:space="preserve">For SMEs to participate, the Government needs to invest in </w:t>
      </w:r>
      <w:r w:rsidR="00472A2D" w:rsidRPr="000E1B7E">
        <w:rPr>
          <w:rFonts w:ascii="Times New Roman" w:hAnsi="Times New Roman"/>
          <w:sz w:val="24"/>
          <w:szCs w:val="24"/>
        </w:rPr>
        <w:lastRenderedPageBreak/>
        <w:t xml:space="preserve">warehousing facilities so that local SMEs only acquire equipment and engage in production for export. </w:t>
      </w:r>
    </w:p>
    <w:p w14:paraId="5DC6C1CF" w14:textId="77777777" w:rsidR="00694E7D" w:rsidRPr="000E1B7E" w:rsidRDefault="00472A2D"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i/>
          <w:sz w:val="24"/>
          <w:szCs w:val="24"/>
        </w:rPr>
        <w:t xml:space="preserve">Uganda Development Bank (UDB)re-orients operations to support NDP II priorities but </w:t>
      </w:r>
      <w:r w:rsidR="005626D6" w:rsidRPr="000E1B7E">
        <w:rPr>
          <w:rFonts w:ascii="Times New Roman" w:hAnsi="Times New Roman"/>
          <w:b/>
          <w:i/>
          <w:sz w:val="24"/>
          <w:szCs w:val="24"/>
        </w:rPr>
        <w:t xml:space="preserve">is </w:t>
      </w:r>
      <w:r w:rsidRPr="000E1B7E">
        <w:rPr>
          <w:rFonts w:ascii="Times New Roman" w:hAnsi="Times New Roman"/>
          <w:b/>
          <w:i/>
          <w:sz w:val="24"/>
          <w:szCs w:val="24"/>
        </w:rPr>
        <w:t>significantly undercapitalised.</w:t>
      </w:r>
      <w:r w:rsidR="00694E7D" w:rsidRPr="000E1B7E">
        <w:rPr>
          <w:rFonts w:ascii="Times New Roman" w:hAnsi="Times New Roman"/>
          <w:sz w:val="24"/>
          <w:szCs w:val="24"/>
        </w:rPr>
        <w:t>This has involved:</w:t>
      </w:r>
    </w:p>
    <w:p w14:paraId="2D060362" w14:textId="77777777" w:rsidR="00694E7D" w:rsidRPr="000E1B7E" w:rsidRDefault="0018420C"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b/>
          <w:i/>
          <w:sz w:val="24"/>
          <w:szCs w:val="24"/>
        </w:rPr>
        <w:t xml:space="preserve">UDB reviewed its </w:t>
      </w:r>
      <w:r w:rsidR="00902827" w:rsidRPr="000E1B7E">
        <w:rPr>
          <w:rFonts w:ascii="Times New Roman" w:hAnsi="Times New Roman"/>
          <w:b/>
          <w:i/>
          <w:sz w:val="24"/>
          <w:szCs w:val="24"/>
        </w:rPr>
        <w:t>priorities to align them with NDP II priorities</w:t>
      </w:r>
      <w:r w:rsidR="00694E7D" w:rsidRPr="000E1B7E">
        <w:rPr>
          <w:rFonts w:ascii="Times New Roman" w:hAnsi="Times New Roman"/>
          <w:b/>
          <w:i/>
          <w:sz w:val="24"/>
          <w:szCs w:val="24"/>
        </w:rPr>
        <w:t>.</w:t>
      </w:r>
      <w:r w:rsidR="00694E7D" w:rsidRPr="000E1B7E">
        <w:rPr>
          <w:rFonts w:ascii="Times New Roman" w:hAnsi="Times New Roman"/>
          <w:sz w:val="24"/>
          <w:szCs w:val="24"/>
        </w:rPr>
        <w:t>Under the current strategic plan, areas of financing in tandem with NDP 11 were identified as: a) Agriculture and agro-processing b) Tourism c) Industrialisation d) Infrastructure development, and e) Human capital development. As a result of resource constraints, UDB has until now overlooked infrastructure investment while focusing more on agriculture and agro-processing</w:t>
      </w:r>
      <w:r w:rsidRPr="000E1B7E">
        <w:rPr>
          <w:rFonts w:ascii="Times New Roman" w:hAnsi="Times New Roman"/>
          <w:sz w:val="24"/>
          <w:szCs w:val="24"/>
        </w:rPr>
        <w:t>,</w:t>
      </w:r>
      <w:r w:rsidR="00694E7D" w:rsidRPr="000E1B7E">
        <w:rPr>
          <w:rFonts w:ascii="Times New Roman" w:hAnsi="Times New Roman"/>
          <w:sz w:val="24"/>
          <w:szCs w:val="24"/>
        </w:rPr>
        <w:t xml:space="preserve"> which together take up 46 percent of UDB’s loan portfolio. Of recent, UDB has ventured into heavy industries</w:t>
      </w:r>
      <w:r w:rsidRPr="000E1B7E">
        <w:rPr>
          <w:rFonts w:ascii="Times New Roman" w:hAnsi="Times New Roman"/>
          <w:sz w:val="24"/>
          <w:szCs w:val="24"/>
        </w:rPr>
        <w:t>,</w:t>
      </w:r>
      <w:r w:rsidR="00694E7D" w:rsidRPr="000E1B7E">
        <w:rPr>
          <w:rFonts w:ascii="Times New Roman" w:hAnsi="Times New Roman"/>
          <w:sz w:val="24"/>
          <w:szCs w:val="24"/>
        </w:rPr>
        <w:t xml:space="preserve"> for example </w:t>
      </w:r>
      <w:r w:rsidRPr="000E1B7E">
        <w:rPr>
          <w:rFonts w:ascii="Times New Roman" w:hAnsi="Times New Roman"/>
          <w:sz w:val="24"/>
          <w:szCs w:val="24"/>
        </w:rPr>
        <w:t xml:space="preserve">the steel </w:t>
      </w:r>
      <w:r w:rsidR="00694E7D" w:rsidRPr="000E1B7E">
        <w:rPr>
          <w:rFonts w:ascii="Times New Roman" w:hAnsi="Times New Roman"/>
          <w:sz w:val="24"/>
          <w:szCs w:val="24"/>
        </w:rPr>
        <w:t xml:space="preserve">and </w:t>
      </w:r>
      <w:r w:rsidRPr="000E1B7E">
        <w:rPr>
          <w:rFonts w:ascii="Times New Roman" w:hAnsi="Times New Roman"/>
          <w:sz w:val="24"/>
          <w:szCs w:val="24"/>
        </w:rPr>
        <w:t xml:space="preserve">tube </w:t>
      </w:r>
      <w:r w:rsidR="00694E7D" w:rsidRPr="000E1B7E">
        <w:rPr>
          <w:rFonts w:ascii="Times New Roman" w:hAnsi="Times New Roman"/>
          <w:sz w:val="24"/>
          <w:szCs w:val="24"/>
        </w:rPr>
        <w:t>industries</w:t>
      </w:r>
      <w:r w:rsidRPr="000E1B7E">
        <w:rPr>
          <w:rFonts w:ascii="Times New Roman" w:hAnsi="Times New Roman"/>
          <w:sz w:val="24"/>
          <w:szCs w:val="24"/>
        </w:rPr>
        <w:t>,</w:t>
      </w:r>
      <w:r w:rsidR="00694E7D" w:rsidRPr="000E1B7E">
        <w:rPr>
          <w:rFonts w:ascii="Times New Roman" w:hAnsi="Times New Roman"/>
          <w:sz w:val="24"/>
          <w:szCs w:val="24"/>
        </w:rPr>
        <w:t xml:space="preserve"> which today has installed capacity that can produce Standard Gauge Railway grade steel. Taken together </w:t>
      </w:r>
      <w:r w:rsidRPr="000E1B7E">
        <w:rPr>
          <w:rFonts w:ascii="Times New Roman" w:hAnsi="Times New Roman"/>
          <w:sz w:val="24"/>
          <w:szCs w:val="24"/>
        </w:rPr>
        <w:t xml:space="preserve">with </w:t>
      </w:r>
      <w:r w:rsidR="00694E7D" w:rsidRPr="000E1B7E">
        <w:rPr>
          <w:rFonts w:ascii="Times New Roman" w:hAnsi="Times New Roman"/>
          <w:sz w:val="24"/>
          <w:szCs w:val="24"/>
        </w:rPr>
        <w:t>financing to agriculture, agro-processing and other industries constitutes about 60 percent of the UDB loan portfolio. UDB has also recently supported the tourism industry</w:t>
      </w:r>
      <w:r w:rsidRPr="000E1B7E">
        <w:rPr>
          <w:rFonts w:ascii="Times New Roman" w:hAnsi="Times New Roman"/>
          <w:sz w:val="24"/>
          <w:szCs w:val="24"/>
        </w:rPr>
        <w:t>,</w:t>
      </w:r>
      <w:r w:rsidR="00694E7D" w:rsidRPr="000E1B7E">
        <w:rPr>
          <w:rFonts w:ascii="Times New Roman" w:hAnsi="Times New Roman"/>
          <w:sz w:val="24"/>
          <w:szCs w:val="24"/>
        </w:rPr>
        <w:t xml:space="preserve"> for example </w:t>
      </w:r>
      <w:r w:rsidRPr="000E1B7E">
        <w:rPr>
          <w:rFonts w:ascii="Times New Roman" w:hAnsi="Times New Roman"/>
          <w:sz w:val="24"/>
          <w:szCs w:val="24"/>
        </w:rPr>
        <w:t xml:space="preserve">the </w:t>
      </w:r>
      <w:r w:rsidR="00694E7D" w:rsidRPr="000E1B7E">
        <w:rPr>
          <w:rFonts w:ascii="Times New Roman" w:hAnsi="Times New Roman"/>
          <w:sz w:val="24"/>
          <w:szCs w:val="24"/>
        </w:rPr>
        <w:t xml:space="preserve">Boma hotel in Northern Uganda and </w:t>
      </w:r>
      <w:r w:rsidRPr="000E1B7E">
        <w:rPr>
          <w:rFonts w:ascii="Times New Roman" w:hAnsi="Times New Roman"/>
          <w:sz w:val="24"/>
          <w:szCs w:val="24"/>
        </w:rPr>
        <w:t xml:space="preserve">a </w:t>
      </w:r>
      <w:r w:rsidR="00694E7D" w:rsidRPr="000E1B7E">
        <w:rPr>
          <w:rFonts w:ascii="Times New Roman" w:hAnsi="Times New Roman"/>
          <w:sz w:val="24"/>
          <w:szCs w:val="24"/>
        </w:rPr>
        <w:t xml:space="preserve">hotel in Karamoja. UDB has also supported human capital development through enabling private hospitals </w:t>
      </w:r>
      <w:r w:rsidRPr="000E1B7E">
        <w:rPr>
          <w:rFonts w:ascii="Times New Roman" w:hAnsi="Times New Roman"/>
          <w:sz w:val="24"/>
          <w:szCs w:val="24"/>
        </w:rPr>
        <w:t xml:space="preserve">to </w:t>
      </w:r>
      <w:r w:rsidR="00694E7D" w:rsidRPr="000E1B7E">
        <w:rPr>
          <w:rFonts w:ascii="Times New Roman" w:hAnsi="Times New Roman"/>
          <w:sz w:val="24"/>
          <w:szCs w:val="24"/>
        </w:rPr>
        <w:t xml:space="preserve">acquire medical equipment and </w:t>
      </w:r>
      <w:r w:rsidRPr="000E1B7E">
        <w:rPr>
          <w:rFonts w:ascii="Times New Roman" w:hAnsi="Times New Roman"/>
          <w:sz w:val="24"/>
          <w:szCs w:val="24"/>
        </w:rPr>
        <w:t xml:space="preserve">expand </w:t>
      </w:r>
      <w:r w:rsidR="00694E7D" w:rsidRPr="000E1B7E">
        <w:rPr>
          <w:rFonts w:ascii="Times New Roman" w:hAnsi="Times New Roman"/>
          <w:sz w:val="24"/>
          <w:szCs w:val="24"/>
        </w:rPr>
        <w:t xml:space="preserve">physical infrastructure. Similarly, it has also financed education infrastructure developments. With regard to infrastructural and oil related investments, UDB has not been engaged to date. However, an infrastructure development function has been established within the bank. </w:t>
      </w:r>
    </w:p>
    <w:p w14:paraId="5ABC90A1" w14:textId="77777777" w:rsidR="00472A2D" w:rsidRPr="000E1B7E" w:rsidRDefault="00694E7D"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Transitioned</w:t>
      </w:r>
      <w:r w:rsidR="00902827" w:rsidRPr="000E1B7E">
        <w:rPr>
          <w:rFonts w:ascii="Times New Roman" w:hAnsi="Times New Roman"/>
          <w:sz w:val="24"/>
          <w:szCs w:val="24"/>
        </w:rPr>
        <w:t xml:space="preserve"> from short term lending to medium and long term lending. The longest tenure that UDB can lend is 15 years although there is effort to increase it further to at least 25 years. In essence UDB has practically evolved into </w:t>
      </w:r>
      <w:r w:rsidR="0018420C" w:rsidRPr="000E1B7E">
        <w:rPr>
          <w:rFonts w:ascii="Times New Roman" w:hAnsi="Times New Roman"/>
          <w:sz w:val="24"/>
          <w:szCs w:val="24"/>
        </w:rPr>
        <w:t xml:space="preserve">a </w:t>
      </w:r>
      <w:r w:rsidR="00902827" w:rsidRPr="000E1B7E">
        <w:rPr>
          <w:rFonts w:ascii="Times New Roman" w:hAnsi="Times New Roman"/>
          <w:sz w:val="24"/>
          <w:szCs w:val="24"/>
        </w:rPr>
        <w:t xml:space="preserve">development financial institution </w:t>
      </w:r>
      <w:r w:rsidR="0018420C" w:rsidRPr="000E1B7E">
        <w:rPr>
          <w:rFonts w:ascii="Times New Roman" w:hAnsi="Times New Roman"/>
          <w:sz w:val="24"/>
          <w:szCs w:val="24"/>
        </w:rPr>
        <w:t xml:space="preserve">(DFI), </w:t>
      </w:r>
      <w:r w:rsidR="00902827" w:rsidRPr="000E1B7E">
        <w:rPr>
          <w:rFonts w:ascii="Times New Roman" w:hAnsi="Times New Roman"/>
          <w:sz w:val="24"/>
          <w:szCs w:val="24"/>
        </w:rPr>
        <w:t>unlike before where it was more interested in financing for example trade.</w:t>
      </w:r>
    </w:p>
    <w:p w14:paraId="0F055C04" w14:textId="77777777" w:rsidR="00472A2D" w:rsidRPr="000E1B7E" w:rsidRDefault="00472A2D"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sz w:val="24"/>
          <w:szCs w:val="24"/>
        </w:rPr>
        <w:t>Demand for credit and capitalisation</w:t>
      </w:r>
      <w:r w:rsidR="0018420C" w:rsidRPr="000E1B7E">
        <w:rPr>
          <w:rFonts w:ascii="Times New Roman" w:hAnsi="Times New Roman"/>
          <w:b/>
          <w:sz w:val="24"/>
          <w:szCs w:val="24"/>
        </w:rPr>
        <w:t xml:space="preserve">: </w:t>
      </w:r>
      <w:r w:rsidRPr="000E1B7E">
        <w:rPr>
          <w:rFonts w:ascii="Times New Roman" w:hAnsi="Times New Roman"/>
          <w:sz w:val="24"/>
          <w:szCs w:val="24"/>
        </w:rPr>
        <w:t>Demand for credit stands at UGX 306 billion</w:t>
      </w:r>
      <w:r w:rsidR="00694E7D" w:rsidRPr="000E1B7E">
        <w:rPr>
          <w:rFonts w:ascii="Times New Roman" w:hAnsi="Times New Roman"/>
          <w:sz w:val="24"/>
          <w:szCs w:val="24"/>
        </w:rPr>
        <w:t xml:space="preserve"> monthly</w:t>
      </w:r>
      <w:r w:rsidRPr="000E1B7E">
        <w:rPr>
          <w:rFonts w:ascii="Times New Roman" w:hAnsi="Times New Roman"/>
          <w:sz w:val="24"/>
          <w:szCs w:val="24"/>
        </w:rPr>
        <w:t xml:space="preserve">, however, UDB can only lend to 30 percent of the demand. </w:t>
      </w:r>
      <w:r w:rsidR="00694E7D" w:rsidRPr="000E1B7E">
        <w:rPr>
          <w:rFonts w:ascii="Times New Roman" w:hAnsi="Times New Roman"/>
          <w:sz w:val="24"/>
          <w:szCs w:val="24"/>
        </w:rPr>
        <w:t xml:space="preserve">Whereas at establishment, Government </w:t>
      </w:r>
      <w:r w:rsidR="00E7326B" w:rsidRPr="000E1B7E">
        <w:rPr>
          <w:rFonts w:ascii="Times New Roman" w:hAnsi="Times New Roman"/>
          <w:sz w:val="24"/>
          <w:szCs w:val="24"/>
        </w:rPr>
        <w:t>committed</w:t>
      </w:r>
      <w:r w:rsidR="00694E7D" w:rsidRPr="000E1B7E">
        <w:rPr>
          <w:rFonts w:ascii="Times New Roman" w:hAnsi="Times New Roman"/>
          <w:sz w:val="24"/>
          <w:szCs w:val="24"/>
        </w:rPr>
        <w:t xml:space="preserve"> to </w:t>
      </w:r>
      <w:r w:rsidRPr="000E1B7E">
        <w:rPr>
          <w:rFonts w:ascii="Times New Roman" w:hAnsi="Times New Roman"/>
          <w:sz w:val="24"/>
          <w:szCs w:val="24"/>
        </w:rPr>
        <w:t xml:space="preserve">capitalisation </w:t>
      </w:r>
      <w:r w:rsidR="00E7326B" w:rsidRPr="000E1B7E">
        <w:rPr>
          <w:rFonts w:ascii="Times New Roman" w:hAnsi="Times New Roman"/>
          <w:sz w:val="24"/>
          <w:szCs w:val="24"/>
        </w:rPr>
        <w:t>of</w:t>
      </w:r>
      <w:r w:rsidRPr="000E1B7E">
        <w:rPr>
          <w:rFonts w:ascii="Times New Roman" w:hAnsi="Times New Roman"/>
          <w:sz w:val="24"/>
          <w:szCs w:val="24"/>
        </w:rPr>
        <w:t xml:space="preserve"> 500 billion</w:t>
      </w:r>
      <w:r w:rsidR="00E7326B" w:rsidRPr="000E1B7E">
        <w:rPr>
          <w:rFonts w:ascii="Times New Roman" w:hAnsi="Times New Roman"/>
          <w:sz w:val="24"/>
          <w:szCs w:val="24"/>
        </w:rPr>
        <w:t xml:space="preserve"> shillings, only 174 billion has been </w:t>
      </w:r>
      <w:r w:rsidRPr="000E1B7E">
        <w:rPr>
          <w:rFonts w:ascii="Times New Roman" w:hAnsi="Times New Roman"/>
          <w:sz w:val="24"/>
          <w:szCs w:val="24"/>
        </w:rPr>
        <w:t xml:space="preserve">availed. Unfortunately, the optimal capitalisation of UGX 500 billion has been overtaken by events as small development financial institutions within the </w:t>
      </w:r>
      <w:r w:rsidRPr="000E1B7E">
        <w:rPr>
          <w:rFonts w:ascii="Times New Roman" w:hAnsi="Times New Roman"/>
          <w:sz w:val="24"/>
          <w:szCs w:val="24"/>
        </w:rPr>
        <w:lastRenderedPageBreak/>
        <w:t>region deemed to operate at the minimum capitalisation of US$ 1 billion (UGX 3.7 trillion). Suggesting that UDB is overly undercapitalized. The</w:t>
      </w:r>
      <w:r w:rsidR="00910179" w:rsidRPr="000E1B7E">
        <w:rPr>
          <w:rFonts w:ascii="Times New Roman" w:hAnsi="Times New Roman"/>
          <w:sz w:val="24"/>
          <w:szCs w:val="24"/>
        </w:rPr>
        <w:t xml:space="preserve"> under capitalisation of UDB </w:t>
      </w:r>
      <w:r w:rsidRPr="000E1B7E">
        <w:rPr>
          <w:rFonts w:ascii="Times New Roman" w:hAnsi="Times New Roman"/>
          <w:sz w:val="24"/>
          <w:szCs w:val="24"/>
        </w:rPr>
        <w:t>partly explains why 46 percent of its portfolio is biased towards agriculture and agro-processing.</w:t>
      </w:r>
    </w:p>
    <w:p w14:paraId="5BA7ABAA" w14:textId="77777777" w:rsidR="00472A2D" w:rsidRPr="000E1B7E" w:rsidRDefault="00472A2D"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In spite of the low funding, UDB is positioning itself as a lead arranger of credit facilities in the country. In this case</w:t>
      </w:r>
      <w:r w:rsidR="00E7326B" w:rsidRPr="000E1B7E">
        <w:rPr>
          <w:rFonts w:ascii="Times New Roman" w:hAnsi="Times New Roman"/>
          <w:sz w:val="24"/>
          <w:szCs w:val="24"/>
        </w:rPr>
        <w:t>,if</w:t>
      </w:r>
      <w:r w:rsidRPr="000E1B7E">
        <w:rPr>
          <w:rFonts w:ascii="Times New Roman" w:hAnsi="Times New Roman"/>
          <w:sz w:val="24"/>
          <w:szCs w:val="24"/>
        </w:rPr>
        <w:t xml:space="preserve">it deems a project bankable, it engages in the creation of a special purpose vehicle where different funding agencies pool funds together with UDB contributing a certain fraction of the project cost. An example of this kind of the project is the Nyagak III Hydro Power Project. </w:t>
      </w:r>
    </w:p>
    <w:p w14:paraId="4A718B06" w14:textId="77777777" w:rsidR="0084600C" w:rsidRPr="000E1B7E" w:rsidRDefault="008A2966" w:rsidP="00F85D24">
      <w:pPr>
        <w:pStyle w:val="DeltaBodytext"/>
        <w:numPr>
          <w:ilvl w:val="0"/>
          <w:numId w:val="26"/>
        </w:numPr>
        <w:spacing w:before="240" w:line="360" w:lineRule="auto"/>
        <w:ind w:left="567" w:hanging="567"/>
        <w:rPr>
          <w:rFonts w:ascii="Times New Roman" w:hAnsi="Times New Roman"/>
          <w:bCs/>
          <w:color w:val="231F20"/>
          <w:sz w:val="24"/>
          <w:szCs w:val="24"/>
          <w:lang w:val="en-US"/>
        </w:rPr>
      </w:pPr>
      <w:r w:rsidRPr="000E1B7E">
        <w:rPr>
          <w:rFonts w:ascii="Times New Roman" w:hAnsi="Times New Roman"/>
          <w:b/>
          <w:i/>
          <w:sz w:val="24"/>
          <w:szCs w:val="24"/>
        </w:rPr>
        <w:t>Oil and Gas</w:t>
      </w:r>
      <w:r w:rsidR="00C52B90" w:rsidRPr="000E1B7E">
        <w:rPr>
          <w:rFonts w:ascii="Times New Roman" w:hAnsi="Times New Roman"/>
          <w:b/>
          <w:i/>
          <w:sz w:val="24"/>
          <w:szCs w:val="24"/>
        </w:rPr>
        <w:t>development continues but a</w:t>
      </w:r>
      <w:r w:rsidR="00D70327" w:rsidRPr="000E1B7E">
        <w:rPr>
          <w:rFonts w:ascii="Times New Roman" w:hAnsi="Times New Roman"/>
          <w:b/>
          <w:i/>
          <w:sz w:val="24"/>
          <w:szCs w:val="24"/>
        </w:rPr>
        <w:t>t</w:t>
      </w:r>
      <w:r w:rsidR="00C52B90" w:rsidRPr="000E1B7E">
        <w:rPr>
          <w:rFonts w:ascii="Times New Roman" w:hAnsi="Times New Roman"/>
          <w:b/>
          <w:i/>
          <w:sz w:val="24"/>
          <w:szCs w:val="24"/>
        </w:rPr>
        <w:t xml:space="preserve"> slower rate that estimated under NDP II. Production now estimated to start in 2021</w:t>
      </w:r>
      <w:r w:rsidR="00140A02" w:rsidRPr="000E1B7E">
        <w:rPr>
          <w:rFonts w:ascii="Times New Roman" w:hAnsi="Times New Roman"/>
          <w:sz w:val="24"/>
          <w:szCs w:val="24"/>
        </w:rPr>
        <w:t>:</w:t>
      </w:r>
      <w:r w:rsidR="0084600C" w:rsidRPr="000E1B7E">
        <w:rPr>
          <w:rFonts w:ascii="Times New Roman" w:hAnsi="Times New Roman"/>
          <w:bCs/>
          <w:color w:val="231F20"/>
          <w:sz w:val="24"/>
          <w:szCs w:val="24"/>
          <w:lang w:val="en-US"/>
        </w:rPr>
        <w:t>Oil and Gas was prioritised by NDP II among the five priority investment areas. In the Oil and Gas development priority area, the exploitation of an estimated resource of 6.5 billion barrels of oil with a recoverable potential of 1.4 billion barrels was prioritized.  Key investments in this area include: Development of geological surveys; investment in more survey and exploration; faster acquisition of land; construction of 3 pipelines to transport crude oil to Lamu and Mombasa; refined products to Kampala, Eldoret and Kigali, and Liquefied Petroleum Gas (LPG) to Kampala and Gulu; construction of an oil and gas refinery. Key elements of the oil and gas comercialisation plan prioritized in NDP II were:</w:t>
      </w:r>
    </w:p>
    <w:p w14:paraId="00EF3F19" w14:textId="77777777" w:rsidR="0084600C" w:rsidRPr="000E1B7E" w:rsidRDefault="0084600C"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Development of a green field refinery of 60,000 BOPD to be located in Hoima District was projected for commissioning in 2018/19. During the NDP II MTR, Government had signed the Project Framework Agreement (PFA) with the Albertine Graben Refinery Consortium (AGRC) aimed at accelerating the construction of the oil refinery in Hoima. Oil production is now projected to start in 2021.</w:t>
      </w:r>
    </w:p>
    <w:p w14:paraId="7554545B" w14:textId="77777777" w:rsidR="0084600C" w:rsidRPr="000E1B7E" w:rsidRDefault="0084600C"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Commence construction of a 22-inch diameter, 1,300Km long oil pipeline from Hoima via Lokichar to Lamu in Kenya. During the NDP II MTR, identification of a lead investor for the East African Crude Oil pipeline was ongoing and negotiations for partnership with the republic of Tanzania in developing the pipeline were on-going.  The pipeline is not expected to be completed before end of NDP II.</w:t>
      </w:r>
    </w:p>
    <w:p w14:paraId="3F3522B1" w14:textId="77777777" w:rsidR="0084600C" w:rsidRPr="000E1B7E" w:rsidRDefault="0084600C"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lastRenderedPageBreak/>
        <w:t>Development of Albertine Region Airport:  Four Bilateral Air Services Agreements (BASAs) were negotiated (Qatar, Switzerland, Canada and Saudi Arabia), and the feasibility study to undertake an Economic, Financial and Investment appraisal of the proposed development of Kabaale Airport was prepared.</w:t>
      </w:r>
    </w:p>
    <w:p w14:paraId="7480BA70" w14:textId="77777777" w:rsidR="0084600C" w:rsidRPr="000E1B7E" w:rsidRDefault="0084600C"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Development of Albertine region roads: Progress in the development of the roads has been registered. This includes:</w:t>
      </w:r>
    </w:p>
    <w:p w14:paraId="097D483D" w14:textId="77777777" w:rsidR="0084600C" w:rsidRPr="000E1B7E" w:rsidRDefault="0084600C"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Civil works contracts for package 1 (Masindi (Kisanja)-Park Junction Road Upgrading Project (84km) Pakwach (Tangict) -Paraa-Buliisa Road Upgrading Project) package 2 (Hoima- Bukumi-Butiaba Road (55Km) Bukumi-Wanseko Road (56Km)) and package 3 (Buhimba- Nalweyo-Kakindu-Kakumiro – Mubende Road Upgrading Project (51km) to Bulamagi-Igayaza- Kakumiro Road Upgrading Project (42km)) have been signed and commencement of civil works expected this month</w:t>
      </w:r>
    </w:p>
    <w:p w14:paraId="2648EEDB" w14:textId="77777777" w:rsidR="0084600C" w:rsidRPr="000E1B7E" w:rsidRDefault="0084600C" w:rsidP="00F85D24">
      <w:pPr>
        <w:pStyle w:val="ListParagraph"/>
        <w:numPr>
          <w:ilvl w:val="1"/>
          <w:numId w:val="26"/>
        </w:numPr>
        <w:spacing w:line="360" w:lineRule="auto"/>
        <w:ind w:hanging="513"/>
        <w:rPr>
          <w:rFonts w:ascii="Times New Roman" w:hAnsi="Times New Roman"/>
          <w:sz w:val="24"/>
          <w:szCs w:val="24"/>
        </w:rPr>
      </w:pPr>
      <w:r w:rsidRPr="000E1B7E">
        <w:rPr>
          <w:rFonts w:ascii="Times New Roman" w:hAnsi="Times New Roman"/>
          <w:sz w:val="24"/>
          <w:szCs w:val="24"/>
        </w:rPr>
        <w:t xml:space="preserve"> As for package 4 (Lusalira-Nkonge-Ntusi (55KM) to Lumegere- Ssembabule and Kyotera-Rakai Road Upgrading Project (60km)) and package 5(Masindi- Biiso Road Upgrading Project (54km) Kabale-Kiziranfumbi, Hohwa-Nyairongo-Kyarushesha- Butole and Kaseeta-Lwera Road Upgrading Project (68km)), procurement was projected to be completed in 2018</w:t>
      </w:r>
    </w:p>
    <w:p w14:paraId="56FFFEDB" w14:textId="77777777" w:rsidR="004D1334" w:rsidRPr="000E1B7E" w:rsidRDefault="004D1334" w:rsidP="00C11847">
      <w:pPr>
        <w:pStyle w:val="DeltaSeched2"/>
      </w:pPr>
      <w:bookmarkStart w:id="85" w:name="_Toc3478380"/>
      <w:bookmarkStart w:id="86" w:name="_Toc11956263"/>
      <w:r w:rsidRPr="000E1B7E">
        <w:t>Conclusions</w:t>
      </w:r>
      <w:bookmarkEnd w:id="85"/>
      <w:bookmarkEnd w:id="86"/>
    </w:p>
    <w:p w14:paraId="35E0F359" w14:textId="77777777" w:rsidR="004D1334" w:rsidRPr="000E1B7E" w:rsidRDefault="00277ED8" w:rsidP="00F85D24">
      <w:pPr>
        <w:pStyle w:val="DeltaBodytext"/>
        <w:numPr>
          <w:ilvl w:val="0"/>
          <w:numId w:val="26"/>
        </w:numPr>
        <w:spacing w:before="240" w:line="360" w:lineRule="auto"/>
        <w:ind w:left="567" w:hanging="567"/>
        <w:rPr>
          <w:rFonts w:ascii="Times New Roman" w:hAnsi="Times New Roman"/>
          <w:sz w:val="24"/>
          <w:szCs w:val="24"/>
        </w:rPr>
        <w:sectPr w:rsidR="004D1334" w:rsidRPr="000E1B7E" w:rsidSect="00B20AC0">
          <w:pgSz w:w="11906" w:h="16838" w:code="9"/>
          <w:pgMar w:top="1440" w:right="1440" w:bottom="1440" w:left="1440" w:header="706" w:footer="14" w:gutter="0"/>
          <w:cols w:space="708"/>
          <w:docGrid w:linePitch="360"/>
        </w:sectPr>
      </w:pPr>
      <w:r w:rsidRPr="000E1B7E">
        <w:rPr>
          <w:rFonts w:ascii="Times New Roman" w:hAnsi="Times New Roman"/>
          <w:sz w:val="24"/>
          <w:szCs w:val="24"/>
        </w:rPr>
        <w:t>Various factors have seemingly contributed to the lower than expected growth performance during the first half of NDP II: these include drought,</w:t>
      </w:r>
      <w:r w:rsidR="004D3DE3" w:rsidRPr="000E1B7E">
        <w:rPr>
          <w:rFonts w:ascii="Times New Roman" w:hAnsi="Times New Roman"/>
          <w:sz w:val="24"/>
          <w:szCs w:val="24"/>
        </w:rPr>
        <w:t xml:space="preserve"> the slow implementation of infrastructure and energy projects, and delays in achieving improvements in the business environment and global competitiveness.  This has been compou</w:t>
      </w:r>
      <w:r w:rsidR="00F856F8" w:rsidRPr="000E1B7E">
        <w:rPr>
          <w:rFonts w:ascii="Times New Roman" w:hAnsi="Times New Roman"/>
          <w:sz w:val="24"/>
          <w:szCs w:val="24"/>
        </w:rPr>
        <w:t xml:space="preserve">nded by the very high costs of </w:t>
      </w:r>
      <w:r w:rsidR="004D3DE3" w:rsidRPr="000E1B7E">
        <w:rPr>
          <w:rFonts w:ascii="Times New Roman" w:hAnsi="Times New Roman"/>
          <w:sz w:val="24"/>
          <w:szCs w:val="24"/>
        </w:rPr>
        <w:t>domestic credit (discussed in chapter 4).</w:t>
      </w:r>
    </w:p>
    <w:p w14:paraId="11E4645E" w14:textId="77777777" w:rsidR="00E92F2C" w:rsidRPr="000E1B7E" w:rsidRDefault="00E92F2C" w:rsidP="00F85D24">
      <w:pPr>
        <w:pStyle w:val="Heading1"/>
        <w:numPr>
          <w:ilvl w:val="0"/>
          <w:numId w:val="22"/>
        </w:numPr>
        <w:ind w:left="709" w:hanging="709"/>
      </w:pPr>
      <w:bookmarkStart w:id="87" w:name="_Toc3478381"/>
      <w:bookmarkStart w:id="88" w:name="_Toc11956264"/>
      <w:r w:rsidRPr="000E1B7E">
        <w:lastRenderedPageBreak/>
        <w:t>Fiscal Strategy</w:t>
      </w:r>
      <w:bookmarkEnd w:id="87"/>
      <w:bookmarkEnd w:id="88"/>
    </w:p>
    <w:p w14:paraId="01EB251F" w14:textId="77777777" w:rsidR="00FE2173" w:rsidRPr="000E1B7E" w:rsidRDefault="00FE2173" w:rsidP="00C11847">
      <w:pPr>
        <w:pStyle w:val="DeltaSeched2"/>
      </w:pPr>
      <w:bookmarkStart w:id="89" w:name="_Toc3478382"/>
      <w:bookmarkStart w:id="90" w:name="_Toc11956265"/>
      <w:r w:rsidRPr="000E1B7E">
        <w:t>Fiscal Performance</w:t>
      </w:r>
      <w:bookmarkEnd w:id="89"/>
      <w:bookmarkEnd w:id="90"/>
    </w:p>
    <w:p w14:paraId="34FBC7DE" w14:textId="77777777" w:rsidR="00E92F2C" w:rsidRPr="000E1B7E" w:rsidRDefault="00E92F2C" w:rsidP="00F85D24">
      <w:pPr>
        <w:pStyle w:val="DeltaBodytext"/>
        <w:numPr>
          <w:ilvl w:val="0"/>
          <w:numId w:val="26"/>
        </w:numPr>
        <w:spacing w:before="240" w:line="360" w:lineRule="auto"/>
        <w:ind w:left="567" w:hanging="567"/>
        <w:rPr>
          <w:rFonts w:ascii="Times New Roman" w:hAnsi="Times New Roman"/>
          <w:color w:val="000000"/>
          <w:sz w:val="24"/>
          <w:szCs w:val="24"/>
        </w:rPr>
      </w:pPr>
      <w:r w:rsidRPr="000E1B7E">
        <w:rPr>
          <w:rFonts w:ascii="Times New Roman" w:hAnsi="Times New Roman"/>
          <w:color w:val="000000"/>
          <w:sz w:val="24"/>
          <w:szCs w:val="24"/>
        </w:rPr>
        <w:t xml:space="preserve">The fiscal strategy of the NDPII is underpinned by the need to maintain macroeconomic stability </w:t>
      </w:r>
      <w:r w:rsidR="00B10646" w:rsidRPr="000E1B7E">
        <w:rPr>
          <w:rFonts w:ascii="Times New Roman" w:hAnsi="Times New Roman"/>
          <w:color w:val="000000"/>
          <w:sz w:val="24"/>
          <w:szCs w:val="24"/>
        </w:rPr>
        <w:t xml:space="preserve">while supporting economic growth </w:t>
      </w:r>
      <w:r w:rsidRPr="000E1B7E">
        <w:rPr>
          <w:rFonts w:ascii="Times New Roman" w:hAnsi="Times New Roman"/>
          <w:color w:val="000000"/>
          <w:sz w:val="24"/>
          <w:szCs w:val="24"/>
        </w:rPr>
        <w:t xml:space="preserve">and </w:t>
      </w:r>
      <w:r w:rsidR="00B10646" w:rsidRPr="000E1B7E">
        <w:rPr>
          <w:rFonts w:ascii="Times New Roman" w:hAnsi="Times New Roman"/>
          <w:color w:val="000000"/>
          <w:sz w:val="24"/>
          <w:szCs w:val="24"/>
        </w:rPr>
        <w:t xml:space="preserve">building competitiveness to enable </w:t>
      </w:r>
      <w:r w:rsidRPr="000E1B7E">
        <w:rPr>
          <w:rFonts w:ascii="Times New Roman" w:hAnsi="Times New Roman"/>
          <w:color w:val="000000"/>
          <w:sz w:val="24"/>
          <w:szCs w:val="24"/>
        </w:rPr>
        <w:t xml:space="preserve">Uganda to fully benefit from the </w:t>
      </w:r>
      <w:r w:rsidR="00272449" w:rsidRPr="000E1B7E">
        <w:rPr>
          <w:rFonts w:ascii="Times New Roman" w:hAnsi="Times New Roman"/>
          <w:color w:val="000000"/>
          <w:sz w:val="24"/>
          <w:szCs w:val="24"/>
        </w:rPr>
        <w:t>regional</w:t>
      </w:r>
      <w:r w:rsidR="00B10646" w:rsidRPr="000E1B7E">
        <w:rPr>
          <w:rFonts w:ascii="Times New Roman" w:hAnsi="Times New Roman"/>
          <w:color w:val="000000"/>
          <w:sz w:val="24"/>
          <w:szCs w:val="24"/>
        </w:rPr>
        <w:t xml:space="preserve">and international </w:t>
      </w:r>
      <w:r w:rsidR="004D1334" w:rsidRPr="000E1B7E">
        <w:rPr>
          <w:rFonts w:ascii="Times New Roman" w:hAnsi="Times New Roman"/>
          <w:color w:val="000000"/>
          <w:sz w:val="24"/>
          <w:szCs w:val="24"/>
        </w:rPr>
        <w:t>market</w:t>
      </w:r>
      <w:r w:rsidR="00B10646" w:rsidRPr="000E1B7E">
        <w:rPr>
          <w:rFonts w:ascii="Times New Roman" w:hAnsi="Times New Roman"/>
          <w:color w:val="000000"/>
          <w:sz w:val="24"/>
          <w:szCs w:val="24"/>
        </w:rPr>
        <w:t>s</w:t>
      </w:r>
      <w:r w:rsidRPr="000E1B7E">
        <w:rPr>
          <w:rFonts w:ascii="Times New Roman" w:hAnsi="Times New Roman"/>
          <w:color w:val="000000"/>
          <w:sz w:val="24"/>
          <w:szCs w:val="24"/>
        </w:rPr>
        <w:t xml:space="preserve">. For this to be realized, </w:t>
      </w:r>
      <w:r w:rsidR="00B10646" w:rsidRPr="000E1B7E">
        <w:rPr>
          <w:rFonts w:ascii="Times New Roman" w:hAnsi="Times New Roman"/>
          <w:color w:val="000000"/>
          <w:sz w:val="24"/>
          <w:szCs w:val="24"/>
        </w:rPr>
        <w:t xml:space="preserve">NDP II fiscal policy aimed at </w:t>
      </w:r>
      <w:r w:rsidRPr="000E1B7E">
        <w:rPr>
          <w:rFonts w:ascii="Times New Roman" w:hAnsi="Times New Roman"/>
          <w:color w:val="000000"/>
          <w:sz w:val="24"/>
          <w:szCs w:val="24"/>
        </w:rPr>
        <w:t>address</w:t>
      </w:r>
      <w:r w:rsidR="00B10646" w:rsidRPr="000E1B7E">
        <w:rPr>
          <w:rFonts w:ascii="Times New Roman" w:hAnsi="Times New Roman"/>
          <w:color w:val="000000"/>
          <w:sz w:val="24"/>
          <w:szCs w:val="24"/>
        </w:rPr>
        <w:t xml:space="preserve">ingsome of </w:t>
      </w:r>
      <w:r w:rsidRPr="000E1B7E">
        <w:rPr>
          <w:rFonts w:ascii="Times New Roman" w:hAnsi="Times New Roman"/>
          <w:color w:val="000000"/>
          <w:sz w:val="24"/>
          <w:szCs w:val="24"/>
        </w:rPr>
        <w:t>the key binding constraints to growth</w:t>
      </w:r>
      <w:r w:rsidR="00B10646" w:rsidRPr="000E1B7E">
        <w:rPr>
          <w:rFonts w:ascii="Times New Roman" w:hAnsi="Times New Roman"/>
          <w:color w:val="000000"/>
          <w:sz w:val="24"/>
          <w:szCs w:val="24"/>
        </w:rPr>
        <w:t xml:space="preserve">,as well as </w:t>
      </w:r>
      <w:r w:rsidRPr="000E1B7E">
        <w:rPr>
          <w:rFonts w:ascii="Times New Roman" w:hAnsi="Times New Roman"/>
          <w:color w:val="000000"/>
          <w:sz w:val="24"/>
          <w:szCs w:val="24"/>
        </w:rPr>
        <w:t>reduc</w:t>
      </w:r>
      <w:r w:rsidR="00B10646" w:rsidRPr="000E1B7E">
        <w:rPr>
          <w:rFonts w:ascii="Times New Roman" w:hAnsi="Times New Roman"/>
          <w:color w:val="000000"/>
          <w:sz w:val="24"/>
          <w:szCs w:val="24"/>
        </w:rPr>
        <w:t>ing</w:t>
      </w:r>
      <w:r w:rsidRPr="000E1B7E">
        <w:rPr>
          <w:rFonts w:ascii="Times New Roman" w:hAnsi="Times New Roman"/>
          <w:color w:val="000000"/>
          <w:sz w:val="24"/>
          <w:szCs w:val="24"/>
        </w:rPr>
        <w:t xml:space="preserve"> the costs of doing business. </w:t>
      </w:r>
      <w:r w:rsidR="00B10646" w:rsidRPr="000E1B7E">
        <w:rPr>
          <w:rFonts w:ascii="Times New Roman" w:hAnsi="Times New Roman"/>
          <w:color w:val="000000"/>
          <w:sz w:val="24"/>
          <w:szCs w:val="24"/>
        </w:rPr>
        <w:t xml:space="preserve">The </w:t>
      </w:r>
      <w:r w:rsidR="00272449" w:rsidRPr="000E1B7E">
        <w:rPr>
          <w:rFonts w:ascii="Times New Roman" w:hAnsi="Times New Roman"/>
          <w:color w:val="000000"/>
          <w:sz w:val="24"/>
          <w:szCs w:val="24"/>
        </w:rPr>
        <w:t xml:space="preserve">NDP II </w:t>
      </w:r>
      <w:r w:rsidR="00B10646" w:rsidRPr="000E1B7E">
        <w:rPr>
          <w:rFonts w:ascii="Times New Roman" w:hAnsi="Times New Roman"/>
          <w:color w:val="000000"/>
          <w:sz w:val="24"/>
          <w:szCs w:val="24"/>
        </w:rPr>
        <w:t xml:space="preserve">fiscal </w:t>
      </w:r>
      <w:r w:rsidR="00DC14B5" w:rsidRPr="000E1B7E">
        <w:rPr>
          <w:rFonts w:ascii="Times New Roman" w:hAnsi="Times New Roman"/>
          <w:color w:val="000000"/>
          <w:sz w:val="24"/>
          <w:szCs w:val="24"/>
        </w:rPr>
        <w:t>strategy focuses on a</w:t>
      </w:r>
      <w:r w:rsidRPr="000E1B7E">
        <w:rPr>
          <w:rFonts w:ascii="Times New Roman" w:hAnsi="Times New Roman"/>
          <w:color w:val="000000"/>
          <w:sz w:val="24"/>
          <w:szCs w:val="24"/>
        </w:rPr>
        <w:t>ddressing the infrastructure deficit while consolidating the gains in human capital develo</w:t>
      </w:r>
      <w:r w:rsidR="00DC14B5" w:rsidRPr="000E1B7E">
        <w:rPr>
          <w:rFonts w:ascii="Times New Roman" w:hAnsi="Times New Roman"/>
          <w:color w:val="000000"/>
          <w:sz w:val="24"/>
          <w:szCs w:val="24"/>
        </w:rPr>
        <w:t xml:space="preserve">pment, </w:t>
      </w:r>
      <w:r w:rsidR="00B10646" w:rsidRPr="000E1B7E">
        <w:rPr>
          <w:rFonts w:ascii="Times New Roman" w:hAnsi="Times New Roman"/>
          <w:color w:val="000000"/>
          <w:sz w:val="24"/>
          <w:szCs w:val="24"/>
        </w:rPr>
        <w:t xml:space="preserve">with </w:t>
      </w:r>
      <w:r w:rsidR="00DC14B5" w:rsidRPr="000E1B7E">
        <w:rPr>
          <w:rFonts w:ascii="Times New Roman" w:hAnsi="Times New Roman"/>
          <w:color w:val="000000"/>
          <w:sz w:val="24"/>
          <w:szCs w:val="24"/>
        </w:rPr>
        <w:t>resource mobilisation to raise sufficient revenues to finance development</w:t>
      </w:r>
      <w:r w:rsidRPr="000E1B7E">
        <w:rPr>
          <w:rFonts w:ascii="Times New Roman" w:hAnsi="Times New Roman"/>
          <w:color w:val="000000"/>
          <w:sz w:val="24"/>
          <w:szCs w:val="24"/>
        </w:rPr>
        <w:t xml:space="preserve">. The </w:t>
      </w:r>
      <w:r w:rsidR="00B10646" w:rsidRPr="000E1B7E">
        <w:rPr>
          <w:rFonts w:ascii="Times New Roman" w:hAnsi="Times New Roman"/>
          <w:color w:val="000000"/>
          <w:sz w:val="24"/>
          <w:szCs w:val="24"/>
        </w:rPr>
        <w:t xml:space="preserve">resulting </w:t>
      </w:r>
      <w:r w:rsidRPr="000E1B7E">
        <w:rPr>
          <w:rFonts w:ascii="Times New Roman" w:hAnsi="Times New Roman"/>
          <w:color w:val="000000"/>
          <w:sz w:val="24"/>
          <w:szCs w:val="24"/>
        </w:rPr>
        <w:t xml:space="preserve">fiscal deficit </w:t>
      </w:r>
      <w:r w:rsidR="00B10646" w:rsidRPr="000E1B7E">
        <w:rPr>
          <w:rFonts w:ascii="Times New Roman" w:hAnsi="Times New Roman"/>
          <w:color w:val="000000"/>
          <w:sz w:val="24"/>
          <w:szCs w:val="24"/>
        </w:rPr>
        <w:t xml:space="preserve">would </w:t>
      </w:r>
      <w:r w:rsidRPr="000E1B7E">
        <w:rPr>
          <w:rFonts w:ascii="Times New Roman" w:hAnsi="Times New Roman"/>
          <w:color w:val="000000"/>
          <w:sz w:val="24"/>
          <w:szCs w:val="24"/>
        </w:rPr>
        <w:t>be mainly driven by additional resources required for infrastructure and human capital development</w:t>
      </w:r>
      <w:r w:rsidR="004D1334" w:rsidRPr="000E1B7E">
        <w:rPr>
          <w:rFonts w:ascii="Times New Roman" w:hAnsi="Times New Roman"/>
          <w:color w:val="000000"/>
          <w:sz w:val="24"/>
          <w:szCs w:val="24"/>
        </w:rPr>
        <w:t xml:space="preserve"> as well as the success of resource mobilisation efforts</w:t>
      </w:r>
      <w:r w:rsidRPr="000E1B7E">
        <w:rPr>
          <w:rFonts w:ascii="Times New Roman" w:hAnsi="Times New Roman"/>
          <w:color w:val="000000"/>
          <w:sz w:val="24"/>
          <w:szCs w:val="24"/>
        </w:rPr>
        <w:t>.</w:t>
      </w:r>
    </w:p>
    <w:p w14:paraId="3A2F4C91" w14:textId="77777777" w:rsidR="005A7031" w:rsidRPr="000E1B7E" w:rsidRDefault="005A7031" w:rsidP="005959B5">
      <w:pPr>
        <w:spacing w:line="360" w:lineRule="auto"/>
        <w:jc w:val="both"/>
        <w:rPr>
          <w:b/>
        </w:rPr>
      </w:pPr>
      <w:r w:rsidRPr="000E1B7E">
        <w:rPr>
          <w:b/>
        </w:rPr>
        <w:t>Recent fiscal policy is expansionary to unprecedented levels</w:t>
      </w:r>
    </w:p>
    <w:p w14:paraId="43993B01" w14:textId="77777777" w:rsidR="005A7031" w:rsidRPr="000E1B7E" w:rsidRDefault="005A7031" w:rsidP="00F85D24">
      <w:pPr>
        <w:pStyle w:val="DeltaBodytext"/>
        <w:numPr>
          <w:ilvl w:val="0"/>
          <w:numId w:val="26"/>
        </w:numPr>
        <w:spacing w:before="240" w:line="360" w:lineRule="auto"/>
        <w:ind w:left="567" w:hanging="567"/>
        <w:rPr>
          <w:rFonts w:ascii="Times New Roman" w:hAnsi="Times New Roman"/>
        </w:rPr>
      </w:pPr>
      <w:r w:rsidRPr="000E1B7E">
        <w:rPr>
          <w:rFonts w:ascii="Times New Roman" w:hAnsi="Times New Roman"/>
          <w:sz w:val="24"/>
          <w:szCs w:val="24"/>
        </w:rPr>
        <w:t xml:space="preserve">Uganda has continued with an expansionary fiscal policy, characterized by a widening primary deficit. There was a slight decline in </w:t>
      </w:r>
      <w:r w:rsidR="00AF5619" w:rsidRPr="000E1B7E">
        <w:rPr>
          <w:rFonts w:ascii="Times New Roman" w:hAnsi="Times New Roman"/>
          <w:sz w:val="24"/>
          <w:szCs w:val="24"/>
        </w:rPr>
        <w:t xml:space="preserve">the </w:t>
      </w:r>
      <w:r w:rsidRPr="000E1B7E">
        <w:rPr>
          <w:rFonts w:ascii="Times New Roman" w:hAnsi="Times New Roman"/>
          <w:sz w:val="24"/>
          <w:szCs w:val="24"/>
        </w:rPr>
        <w:t xml:space="preserve">expansionary stance in 2016/17, but </w:t>
      </w:r>
      <w:r w:rsidR="00AF5619" w:rsidRPr="000E1B7E">
        <w:rPr>
          <w:rFonts w:ascii="Times New Roman" w:hAnsi="Times New Roman"/>
          <w:sz w:val="24"/>
          <w:szCs w:val="24"/>
        </w:rPr>
        <w:t xml:space="preserve">it </w:t>
      </w:r>
      <w:r w:rsidRPr="000E1B7E">
        <w:rPr>
          <w:rFonts w:ascii="Times New Roman" w:hAnsi="Times New Roman"/>
          <w:sz w:val="24"/>
          <w:szCs w:val="24"/>
        </w:rPr>
        <w:t>has since increased</w:t>
      </w:r>
      <w:r w:rsidR="00AF5619" w:rsidRPr="000E1B7E">
        <w:rPr>
          <w:rFonts w:ascii="Times New Roman" w:hAnsi="Times New Roman"/>
          <w:sz w:val="24"/>
          <w:szCs w:val="24"/>
        </w:rPr>
        <w:t>,</w:t>
      </w:r>
      <w:r w:rsidRPr="000E1B7E">
        <w:rPr>
          <w:rFonts w:ascii="Times New Roman" w:hAnsi="Times New Roman"/>
          <w:sz w:val="24"/>
          <w:szCs w:val="24"/>
        </w:rPr>
        <w:t xml:space="preserve"> as shown in figure </w:t>
      </w:r>
      <w:r w:rsidR="00AD678D" w:rsidRPr="000E1B7E">
        <w:rPr>
          <w:rFonts w:ascii="Times New Roman" w:hAnsi="Times New Roman"/>
          <w:sz w:val="24"/>
          <w:szCs w:val="24"/>
        </w:rPr>
        <w:t>4</w:t>
      </w:r>
      <w:r w:rsidR="000423AE" w:rsidRPr="000E1B7E">
        <w:rPr>
          <w:rFonts w:ascii="Times New Roman" w:hAnsi="Times New Roman"/>
          <w:sz w:val="24"/>
          <w:szCs w:val="24"/>
        </w:rPr>
        <w:t xml:space="preserve">. </w:t>
      </w:r>
    </w:p>
    <w:p w14:paraId="68797784" w14:textId="77777777" w:rsidR="005A7031" w:rsidRPr="000E1B7E" w:rsidRDefault="000423AE" w:rsidP="000423AE">
      <w:pPr>
        <w:pStyle w:val="Caption"/>
        <w:spacing w:after="0"/>
        <w:rPr>
          <w:rFonts w:ascii="Times New Roman" w:eastAsia="Times New Roman" w:hAnsi="Times New Roman" w:cs="Times New Roman"/>
          <w:b/>
          <w:i w:val="0"/>
          <w:iCs w:val="0"/>
          <w:color w:val="auto"/>
          <w:sz w:val="24"/>
          <w:szCs w:val="24"/>
          <w:lang w:val="en-GB"/>
        </w:rPr>
      </w:pPr>
      <w:bookmarkStart w:id="91" w:name="_Toc3483148"/>
      <w:r w:rsidRPr="000E1B7E">
        <w:rPr>
          <w:rFonts w:ascii="Times New Roman" w:eastAsia="Times New Roman" w:hAnsi="Times New Roman" w:cs="Times New Roman"/>
          <w:b/>
          <w:i w:val="0"/>
          <w:iCs w:val="0"/>
          <w:color w:val="auto"/>
          <w:sz w:val="24"/>
          <w:szCs w:val="24"/>
          <w:lang w:val="en-GB"/>
        </w:rPr>
        <w:t xml:space="preserve">Figure </w:t>
      </w:r>
      <w:r w:rsidR="001232BF" w:rsidRPr="000E1B7E">
        <w:rPr>
          <w:rFonts w:ascii="Times New Roman" w:eastAsia="Times New Roman" w:hAnsi="Times New Roman" w:cs="Times New Roman"/>
          <w:b/>
          <w:i w:val="0"/>
          <w:iCs w:val="0"/>
          <w:color w:val="auto"/>
          <w:sz w:val="24"/>
          <w:szCs w:val="24"/>
          <w:lang w:val="en-GB"/>
        </w:rPr>
        <w:fldChar w:fldCharType="begin"/>
      </w:r>
      <w:r w:rsidRPr="000E1B7E">
        <w:rPr>
          <w:rFonts w:ascii="Times New Roman" w:eastAsia="Times New Roman" w:hAnsi="Times New Roman" w:cs="Times New Roman"/>
          <w:b/>
          <w:i w:val="0"/>
          <w:iCs w:val="0"/>
          <w:color w:val="auto"/>
          <w:sz w:val="24"/>
          <w:szCs w:val="24"/>
          <w:lang w:val="en-GB"/>
        </w:rPr>
        <w:instrText xml:space="preserve"> SEQ Figure \* ARABIC </w:instrText>
      </w:r>
      <w:r w:rsidR="001232BF" w:rsidRPr="000E1B7E">
        <w:rPr>
          <w:rFonts w:ascii="Times New Roman" w:eastAsia="Times New Roman" w:hAnsi="Times New Roman" w:cs="Times New Roman"/>
          <w:b/>
          <w:i w:val="0"/>
          <w:iCs w:val="0"/>
          <w:color w:val="auto"/>
          <w:sz w:val="24"/>
          <w:szCs w:val="24"/>
          <w:lang w:val="en-GB"/>
        </w:rPr>
        <w:fldChar w:fldCharType="separate"/>
      </w:r>
      <w:r w:rsidR="006461AC" w:rsidRPr="000E1B7E">
        <w:rPr>
          <w:rFonts w:ascii="Times New Roman" w:eastAsia="Times New Roman" w:hAnsi="Times New Roman" w:cs="Times New Roman"/>
          <w:b/>
          <w:i w:val="0"/>
          <w:iCs w:val="0"/>
          <w:noProof/>
          <w:color w:val="auto"/>
          <w:sz w:val="24"/>
          <w:szCs w:val="24"/>
          <w:lang w:val="en-GB"/>
        </w:rPr>
        <w:t>4</w:t>
      </w:r>
      <w:r w:rsidR="001232BF" w:rsidRPr="000E1B7E">
        <w:rPr>
          <w:rFonts w:ascii="Times New Roman" w:eastAsia="Times New Roman" w:hAnsi="Times New Roman" w:cs="Times New Roman"/>
          <w:b/>
          <w:i w:val="0"/>
          <w:iCs w:val="0"/>
          <w:color w:val="auto"/>
          <w:sz w:val="24"/>
          <w:szCs w:val="24"/>
          <w:lang w:val="en-GB"/>
        </w:rPr>
        <w:fldChar w:fldCharType="end"/>
      </w:r>
      <w:r w:rsidR="005A7031" w:rsidRPr="000E1B7E">
        <w:rPr>
          <w:rFonts w:ascii="Times New Roman" w:eastAsia="Times New Roman" w:hAnsi="Times New Roman" w:cs="Times New Roman"/>
          <w:b/>
          <w:i w:val="0"/>
          <w:iCs w:val="0"/>
          <w:color w:val="auto"/>
          <w:sz w:val="24"/>
          <w:szCs w:val="24"/>
          <w:lang w:val="en-GB"/>
        </w:rPr>
        <w:t>: Fiscal deficit (% of GDP)</w:t>
      </w:r>
      <w:bookmarkEnd w:id="91"/>
    </w:p>
    <w:p w14:paraId="16EB0136" w14:textId="77777777" w:rsidR="005A7031" w:rsidRPr="000E1B7E" w:rsidRDefault="005A7031" w:rsidP="005959B5">
      <w:pPr>
        <w:jc w:val="both"/>
      </w:pPr>
      <w:r w:rsidRPr="000E1B7E">
        <w:rPr>
          <w:noProof/>
          <w:lang w:eastAsia="en-GB"/>
        </w:rPr>
        <w:drawing>
          <wp:inline distT="0" distB="0" distL="0" distR="0" wp14:anchorId="404862D7" wp14:editId="34049D1C">
            <wp:extent cx="5685503" cy="2625213"/>
            <wp:effectExtent l="0" t="0" r="0"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9A2A91" w14:textId="77777777" w:rsidR="00F8620E" w:rsidRPr="000E1B7E" w:rsidRDefault="00F8620E" w:rsidP="005959B5">
      <w:pPr>
        <w:spacing w:line="360" w:lineRule="auto"/>
        <w:jc w:val="both"/>
      </w:pPr>
      <w:r w:rsidRPr="000E1B7E">
        <w:t>Source: MFPED</w:t>
      </w:r>
    </w:p>
    <w:p w14:paraId="455FCE1F" w14:textId="77777777" w:rsidR="004807C2" w:rsidRPr="000E1B7E" w:rsidRDefault="00FC0BF6"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lastRenderedPageBreak/>
        <w:t xml:space="preserve">The fiscal </w:t>
      </w:r>
      <w:r w:rsidR="005A7031" w:rsidRPr="000E1B7E">
        <w:rPr>
          <w:rFonts w:ascii="Times New Roman" w:hAnsi="Times New Roman"/>
          <w:sz w:val="24"/>
          <w:szCs w:val="24"/>
        </w:rPr>
        <w:t xml:space="preserve">deficit including grants increased from 2.8% </w:t>
      </w:r>
      <w:r w:rsidR="00AF5619" w:rsidRPr="000E1B7E">
        <w:rPr>
          <w:rFonts w:ascii="Times New Roman" w:hAnsi="Times New Roman"/>
          <w:sz w:val="24"/>
          <w:szCs w:val="24"/>
        </w:rPr>
        <w:t xml:space="preserve">of GDP </w:t>
      </w:r>
      <w:r w:rsidR="005A7031" w:rsidRPr="000E1B7E">
        <w:rPr>
          <w:rFonts w:ascii="Times New Roman" w:hAnsi="Times New Roman"/>
          <w:sz w:val="24"/>
          <w:szCs w:val="24"/>
        </w:rPr>
        <w:t>in 2014/15 to 4.8% in 2017/18</w:t>
      </w:r>
      <w:r w:rsidR="00AF5619" w:rsidRPr="000E1B7E">
        <w:rPr>
          <w:rFonts w:ascii="Times New Roman" w:hAnsi="Times New Roman"/>
          <w:sz w:val="24"/>
          <w:szCs w:val="24"/>
        </w:rPr>
        <w:t>,</w:t>
      </w:r>
      <w:r w:rsidR="005A7031" w:rsidRPr="000E1B7E">
        <w:rPr>
          <w:rFonts w:ascii="Times New Roman" w:hAnsi="Times New Roman"/>
          <w:sz w:val="24"/>
          <w:szCs w:val="24"/>
        </w:rPr>
        <w:t xml:space="preserve"> and is projected to reach 5.5% in 2018/19. </w:t>
      </w:r>
      <w:r w:rsidRPr="000E1B7E">
        <w:rPr>
          <w:rFonts w:ascii="Times New Roman" w:hAnsi="Times New Roman"/>
          <w:sz w:val="24"/>
          <w:szCs w:val="24"/>
        </w:rPr>
        <w:t xml:space="preserve">The fiscal </w:t>
      </w:r>
      <w:r w:rsidR="005A7031" w:rsidRPr="000E1B7E">
        <w:rPr>
          <w:rFonts w:ascii="Times New Roman" w:hAnsi="Times New Roman"/>
          <w:sz w:val="24"/>
          <w:szCs w:val="24"/>
        </w:rPr>
        <w:t>deficit excluding grants has increased from 4.5% in 2014/15 to 6% in 2017/18 and is projected to reach 7% in 2018/19.</w:t>
      </w:r>
    </w:p>
    <w:p w14:paraId="0773661D" w14:textId="77777777" w:rsidR="00CB1369" w:rsidRPr="000E1B7E" w:rsidRDefault="004807C2"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However, an expansionary fiscal stance was projected in NDP II. In fact, the actual deficits have been smaller than projected in NDP II. For instance, in 2017/18 the actual deficit (including grants) was 4.8% of GDP, whereas the projected deficit was around 7.5%. This seems to be due to a slower than expected expansion of spending</w:t>
      </w:r>
      <w:r w:rsidR="00CB1369" w:rsidRPr="000E1B7E">
        <w:rPr>
          <w:rFonts w:ascii="Times New Roman" w:hAnsi="Times New Roman"/>
          <w:sz w:val="24"/>
          <w:szCs w:val="24"/>
        </w:rPr>
        <w:t xml:space="preserve">. </w:t>
      </w:r>
    </w:p>
    <w:p w14:paraId="71211AC2" w14:textId="77777777" w:rsidR="00C44298" w:rsidRPr="000E1B7E" w:rsidRDefault="00C44298"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Both the actual and projected fiscal deficit are in excess of the EAC Monetary Union macro-economic convergence criteria, which require the fiscal deficit including grants, to be less than 3% of GDP. </w:t>
      </w:r>
    </w:p>
    <w:p w14:paraId="1E0C7579" w14:textId="77777777" w:rsidR="000423AE" w:rsidRPr="000E1B7E" w:rsidRDefault="000423AE" w:rsidP="000423AE">
      <w:pPr>
        <w:pStyle w:val="Caption"/>
        <w:keepNext/>
        <w:jc w:val="both"/>
        <w:rPr>
          <w:rFonts w:ascii="Times New Roman" w:eastAsia="Calibri" w:hAnsi="Times New Roman" w:cs="Times New Roman"/>
          <w:b/>
          <w:i w:val="0"/>
          <w:iCs w:val="0"/>
          <w:color w:val="auto"/>
          <w:sz w:val="24"/>
          <w:szCs w:val="24"/>
          <w:lang w:val="en-GB"/>
        </w:rPr>
      </w:pPr>
      <w:bookmarkStart w:id="92" w:name="_Toc3483149"/>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5</w:t>
      </w:r>
      <w:r w:rsidR="001232BF" w:rsidRPr="000E1B7E">
        <w:rPr>
          <w:rFonts w:ascii="Times New Roman" w:eastAsia="Calibri" w:hAnsi="Times New Roman" w:cs="Times New Roman"/>
          <w:b/>
          <w:i w:val="0"/>
          <w:iCs w:val="0"/>
          <w:color w:val="auto"/>
          <w:sz w:val="24"/>
          <w:szCs w:val="24"/>
          <w:lang w:val="en-GB"/>
        </w:rPr>
        <w:fldChar w:fldCharType="end"/>
      </w:r>
      <w:r w:rsidRPr="000E1B7E">
        <w:rPr>
          <w:rFonts w:ascii="Times New Roman" w:eastAsia="Calibri" w:hAnsi="Times New Roman" w:cs="Times New Roman"/>
          <w:b/>
          <w:i w:val="0"/>
          <w:iCs w:val="0"/>
          <w:color w:val="auto"/>
          <w:sz w:val="24"/>
          <w:szCs w:val="24"/>
          <w:lang w:val="en-GB"/>
        </w:rPr>
        <w:t>: Expenditure(% GDP)</w:t>
      </w:r>
      <w:bookmarkEnd w:id="92"/>
    </w:p>
    <w:p w14:paraId="5F035322" w14:textId="77777777" w:rsidR="005A7031" w:rsidRPr="000E1B7E" w:rsidRDefault="005A7031" w:rsidP="005959B5">
      <w:pPr>
        <w:jc w:val="both"/>
      </w:pPr>
      <w:r w:rsidRPr="000E1B7E">
        <w:rPr>
          <w:noProof/>
          <w:lang w:eastAsia="en-GB"/>
        </w:rPr>
        <w:drawing>
          <wp:inline distT="0" distB="0" distL="0" distR="0" wp14:anchorId="300C0E32" wp14:editId="59895187">
            <wp:extent cx="5803490" cy="2588342"/>
            <wp:effectExtent l="0" t="0" r="6985" b="2540"/>
            <wp:docPr id="10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9937B0" w14:textId="77777777" w:rsidR="00F8620E" w:rsidRPr="000E1B7E" w:rsidRDefault="00F8620E" w:rsidP="005959B5">
      <w:pPr>
        <w:spacing w:line="360" w:lineRule="auto"/>
        <w:jc w:val="both"/>
      </w:pPr>
      <w:r w:rsidRPr="000E1B7E">
        <w:t>Source: MFPED</w:t>
      </w:r>
    </w:p>
    <w:p w14:paraId="19FA29D7" w14:textId="77777777" w:rsidR="00CB1369" w:rsidRPr="000E1B7E" w:rsidRDefault="00AD678D"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This fiscal expansion has seen aggregate spending increasing over the four years o</w:t>
      </w:r>
      <w:r w:rsidR="00FC0BF6" w:rsidRPr="000E1B7E">
        <w:rPr>
          <w:rFonts w:ascii="Times New Roman" w:hAnsi="Times New Roman"/>
          <w:sz w:val="24"/>
          <w:szCs w:val="24"/>
        </w:rPr>
        <w:t>f</w:t>
      </w:r>
      <w:r w:rsidRPr="000E1B7E">
        <w:rPr>
          <w:rFonts w:ascii="Times New Roman" w:hAnsi="Times New Roman"/>
          <w:sz w:val="24"/>
          <w:szCs w:val="24"/>
        </w:rPr>
        <w:t xml:space="preserve"> NDP II except in 2016/17 when it declined by 1.1%. Expenditure increased from 18.9% </w:t>
      </w:r>
      <w:r w:rsidR="00CB1369" w:rsidRPr="000E1B7E">
        <w:rPr>
          <w:rFonts w:ascii="Times New Roman" w:hAnsi="Times New Roman"/>
          <w:sz w:val="24"/>
          <w:szCs w:val="24"/>
        </w:rPr>
        <w:t xml:space="preserve">of GDP </w:t>
      </w:r>
      <w:r w:rsidRPr="000E1B7E">
        <w:rPr>
          <w:rFonts w:ascii="Times New Roman" w:hAnsi="Times New Roman"/>
          <w:sz w:val="24"/>
          <w:szCs w:val="24"/>
        </w:rPr>
        <w:t xml:space="preserve">in 2014/15, reaching 20.4% in 2017/18 and is projected to reach 21.7% in 2018/19. </w:t>
      </w:r>
      <w:r w:rsidR="00CB1369" w:rsidRPr="000E1B7E">
        <w:rPr>
          <w:rFonts w:ascii="Times New Roman" w:hAnsi="Times New Roman"/>
          <w:sz w:val="24"/>
          <w:szCs w:val="24"/>
        </w:rPr>
        <w:t>Nevert</w:t>
      </w:r>
      <w:r w:rsidR="005B4E67" w:rsidRPr="000E1B7E">
        <w:rPr>
          <w:rFonts w:ascii="Times New Roman" w:hAnsi="Times New Roman"/>
          <w:sz w:val="24"/>
          <w:szCs w:val="24"/>
        </w:rPr>
        <w:t>h</w:t>
      </w:r>
      <w:r w:rsidR="00CB1369" w:rsidRPr="000E1B7E">
        <w:rPr>
          <w:rFonts w:ascii="Times New Roman" w:hAnsi="Times New Roman"/>
          <w:sz w:val="24"/>
          <w:szCs w:val="24"/>
        </w:rPr>
        <w:t xml:space="preserve">eless, this level of expenditure is lower than projected in NDP II, at 22.5% in 2017/18. Throughout NDP II to date, actual expenditures have come in consistently below budget, although expenditure has increased as a share of GDP.Overall, the actual level of </w:t>
      </w:r>
      <w:r w:rsidR="00CB1369" w:rsidRPr="000E1B7E">
        <w:rPr>
          <w:rFonts w:ascii="Times New Roman" w:hAnsi="Times New Roman"/>
          <w:sz w:val="24"/>
          <w:szCs w:val="24"/>
        </w:rPr>
        <w:lastRenderedPageBreak/>
        <w:t>expenditure and the size of the budget deficit has been smaller (less expansionary) than projected in NDP II.The reasons for this under-spending are discussed further below.</w:t>
      </w:r>
    </w:p>
    <w:p w14:paraId="2D23DAD9" w14:textId="77777777" w:rsidR="00CB1369" w:rsidRPr="000E1B7E" w:rsidRDefault="00AD678D"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The expansion has mainly been achieved through domestic </w:t>
      </w:r>
      <w:r w:rsidR="001D47BA" w:rsidRPr="000E1B7E">
        <w:rPr>
          <w:rFonts w:ascii="Times New Roman" w:hAnsi="Times New Roman"/>
          <w:sz w:val="24"/>
          <w:szCs w:val="24"/>
        </w:rPr>
        <w:t xml:space="preserve">and external </w:t>
      </w:r>
      <w:r w:rsidRPr="000E1B7E">
        <w:rPr>
          <w:rFonts w:ascii="Times New Roman" w:hAnsi="Times New Roman"/>
          <w:sz w:val="24"/>
          <w:szCs w:val="24"/>
        </w:rPr>
        <w:t>borrowing</w:t>
      </w:r>
      <w:r w:rsidR="001D47BA" w:rsidRPr="000E1B7E">
        <w:rPr>
          <w:rFonts w:ascii="Times New Roman" w:hAnsi="Times New Roman"/>
          <w:sz w:val="24"/>
          <w:szCs w:val="24"/>
        </w:rPr>
        <w:t>,</w:t>
      </w:r>
      <w:r w:rsidRPr="000E1B7E">
        <w:rPr>
          <w:rFonts w:ascii="Times New Roman" w:hAnsi="Times New Roman"/>
          <w:sz w:val="24"/>
          <w:szCs w:val="24"/>
        </w:rPr>
        <w:t xml:space="preserve"> which has increased the primary deficits in excess of 2.7 percent of GDP.</w:t>
      </w:r>
    </w:p>
    <w:p w14:paraId="538F8415" w14:textId="77777777" w:rsidR="00FE2173" w:rsidRPr="000E1B7E" w:rsidRDefault="00FE2173" w:rsidP="00F85D24">
      <w:pPr>
        <w:pStyle w:val="DeltaBodytext"/>
        <w:numPr>
          <w:ilvl w:val="0"/>
          <w:numId w:val="26"/>
        </w:numPr>
        <w:spacing w:before="240" w:line="360" w:lineRule="auto"/>
        <w:ind w:left="567" w:hanging="567"/>
        <w:rPr>
          <w:rFonts w:ascii="Times New Roman" w:hAnsi="Times New Roman"/>
          <w:b/>
          <w:bCs/>
          <w:lang w:val="en-US"/>
        </w:rPr>
      </w:pPr>
      <w:r w:rsidRPr="000E1B7E">
        <w:rPr>
          <w:rFonts w:ascii="Times New Roman" w:hAnsi="Times New Roman"/>
          <w:sz w:val="24"/>
          <w:szCs w:val="24"/>
        </w:rPr>
        <w:t xml:space="preserve">Selected indicators underpinning the medium term fiscal framework </w:t>
      </w:r>
      <w:r w:rsidR="00CB1369" w:rsidRPr="000E1B7E">
        <w:rPr>
          <w:rFonts w:ascii="Times New Roman" w:hAnsi="Times New Roman"/>
          <w:sz w:val="24"/>
          <w:szCs w:val="24"/>
        </w:rPr>
        <w:t>are</w:t>
      </w:r>
      <w:r w:rsidRPr="000E1B7E">
        <w:rPr>
          <w:rFonts w:ascii="Times New Roman" w:hAnsi="Times New Roman"/>
          <w:sz w:val="24"/>
          <w:szCs w:val="24"/>
        </w:rPr>
        <w:t xml:space="preserve">presented </w:t>
      </w:r>
      <w:r w:rsidR="00075EB8" w:rsidRPr="000E1B7E">
        <w:rPr>
          <w:rFonts w:ascii="Times New Roman" w:hAnsi="Times New Roman"/>
          <w:sz w:val="24"/>
          <w:szCs w:val="24"/>
        </w:rPr>
        <w:t>i</w:t>
      </w:r>
      <w:r w:rsidRPr="000E1B7E">
        <w:rPr>
          <w:rFonts w:ascii="Times New Roman" w:hAnsi="Times New Roman"/>
          <w:sz w:val="24"/>
          <w:szCs w:val="24"/>
        </w:rPr>
        <w:t>n table</w:t>
      </w:r>
      <w:r w:rsidR="005B4E67" w:rsidRPr="000E1B7E">
        <w:rPr>
          <w:rFonts w:ascii="Times New Roman" w:hAnsi="Times New Roman"/>
          <w:sz w:val="24"/>
          <w:szCs w:val="24"/>
        </w:rPr>
        <w:t xml:space="preserve"> 10</w:t>
      </w:r>
      <w:r w:rsidRPr="000E1B7E">
        <w:rPr>
          <w:rFonts w:ascii="Times New Roman" w:hAnsi="Times New Roman"/>
          <w:sz w:val="24"/>
          <w:szCs w:val="24"/>
        </w:rPr>
        <w:t xml:space="preserve"> below</w:t>
      </w:r>
      <w:r w:rsidR="00CB1369" w:rsidRPr="000E1B7E">
        <w:rPr>
          <w:rFonts w:ascii="Times New Roman" w:hAnsi="Times New Roman"/>
          <w:sz w:val="24"/>
          <w:szCs w:val="24"/>
        </w:rPr>
        <w:t>.</w:t>
      </w:r>
    </w:p>
    <w:p w14:paraId="43CAFDE2" w14:textId="77777777" w:rsidR="00FE2173" w:rsidRPr="000E1B7E" w:rsidRDefault="000423AE" w:rsidP="000423AE">
      <w:pPr>
        <w:pStyle w:val="Caption"/>
        <w:rPr>
          <w:rFonts w:ascii="Times New Roman" w:eastAsia="Calibri" w:hAnsi="Times New Roman" w:cs="Times New Roman"/>
          <w:b/>
          <w:i w:val="0"/>
          <w:iCs w:val="0"/>
          <w:color w:val="auto"/>
          <w:sz w:val="24"/>
          <w:szCs w:val="24"/>
          <w:lang w:val="en-GB"/>
        </w:rPr>
      </w:pPr>
      <w:bookmarkStart w:id="93" w:name="_Toc3483120"/>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10</w:t>
      </w:r>
      <w:r w:rsidR="001232BF" w:rsidRPr="000E1B7E">
        <w:rPr>
          <w:rFonts w:ascii="Times New Roman" w:eastAsia="Calibri" w:hAnsi="Times New Roman" w:cs="Times New Roman"/>
          <w:b/>
          <w:i w:val="0"/>
          <w:iCs w:val="0"/>
          <w:color w:val="auto"/>
          <w:sz w:val="24"/>
          <w:szCs w:val="24"/>
          <w:lang w:val="en-GB"/>
        </w:rPr>
        <w:fldChar w:fldCharType="end"/>
      </w:r>
      <w:r w:rsidR="00FE2173" w:rsidRPr="000E1B7E">
        <w:rPr>
          <w:rFonts w:ascii="Times New Roman" w:eastAsia="Calibri" w:hAnsi="Times New Roman" w:cs="Times New Roman"/>
          <w:b/>
          <w:i w:val="0"/>
          <w:iCs w:val="0"/>
          <w:color w:val="auto"/>
          <w:sz w:val="24"/>
          <w:szCs w:val="24"/>
          <w:lang w:val="en-GB"/>
        </w:rPr>
        <w:t>: Medium-Term Fiscal Framework (Shsbn)</w:t>
      </w:r>
      <w:bookmarkEnd w:id="93"/>
    </w:p>
    <w:tbl>
      <w:tblPr>
        <w:tblStyle w:val="DeltaTablestyle"/>
        <w:tblW w:w="5000" w:type="pct"/>
        <w:tblLook w:val="04A0" w:firstRow="1" w:lastRow="0" w:firstColumn="1" w:lastColumn="0" w:noHBand="0" w:noVBand="1"/>
      </w:tblPr>
      <w:tblGrid>
        <w:gridCol w:w="3938"/>
        <w:gridCol w:w="939"/>
        <w:gridCol w:w="939"/>
        <w:gridCol w:w="1298"/>
        <w:gridCol w:w="1118"/>
        <w:gridCol w:w="1118"/>
      </w:tblGrid>
      <w:tr w:rsidR="00FE2173" w:rsidRPr="000E1B7E" w14:paraId="673D20F7" w14:textId="77777777" w:rsidTr="00FE2173">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106" w:type="pct"/>
            <w:noWrap/>
            <w:hideMark/>
          </w:tcPr>
          <w:p w14:paraId="5D7AA24A" w14:textId="77777777" w:rsidR="00FE2173" w:rsidRPr="000E1B7E" w:rsidRDefault="00FE2173" w:rsidP="005959B5">
            <w:pPr>
              <w:contextualSpacing/>
              <w:jc w:val="both"/>
              <w:rPr>
                <w:rFonts w:ascii="Times New Roman" w:hAnsi="Times New Roman"/>
                <w:color w:val="FFFFFF" w:themeColor="background1"/>
                <w:sz w:val="20"/>
                <w:szCs w:val="20"/>
                <w:lang w:val="en-US"/>
              </w:rPr>
            </w:pPr>
            <w:r w:rsidRPr="000E1B7E">
              <w:rPr>
                <w:rFonts w:ascii="Times New Roman" w:hAnsi="Times New Roman"/>
                <w:color w:val="FFFFFF" w:themeColor="background1"/>
                <w:sz w:val="20"/>
                <w:szCs w:val="20"/>
                <w:lang w:val="en-US"/>
              </w:rPr>
              <w:t> </w:t>
            </w:r>
          </w:p>
        </w:tc>
        <w:tc>
          <w:tcPr>
            <w:tcW w:w="502" w:type="pct"/>
            <w:noWrap/>
            <w:hideMark/>
          </w:tcPr>
          <w:p w14:paraId="44B0CCE5"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0E1B7E">
              <w:rPr>
                <w:rFonts w:ascii="Times New Roman" w:hAnsi="Times New Roman"/>
                <w:sz w:val="20"/>
                <w:szCs w:val="20"/>
                <w:lang w:val="en-US"/>
              </w:rPr>
              <w:t>Outturn</w:t>
            </w:r>
          </w:p>
          <w:p w14:paraId="4DB14921"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b w:val="0"/>
                <w:bCs w:val="0"/>
                <w:sz w:val="20"/>
                <w:szCs w:val="20"/>
                <w:lang w:val="en-US"/>
              </w:rPr>
              <w:t>2015/16</w:t>
            </w:r>
          </w:p>
        </w:tc>
        <w:tc>
          <w:tcPr>
            <w:tcW w:w="502" w:type="pct"/>
            <w:noWrap/>
            <w:hideMark/>
          </w:tcPr>
          <w:p w14:paraId="254F4BF5"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0E1B7E">
              <w:rPr>
                <w:rFonts w:ascii="Times New Roman" w:hAnsi="Times New Roman"/>
                <w:sz w:val="20"/>
                <w:szCs w:val="20"/>
                <w:lang w:val="en-US"/>
              </w:rPr>
              <w:t>Outturn</w:t>
            </w:r>
          </w:p>
          <w:p w14:paraId="6E21CF17"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b w:val="0"/>
                <w:bCs w:val="0"/>
                <w:sz w:val="20"/>
                <w:szCs w:val="20"/>
                <w:lang w:val="en-US"/>
              </w:rPr>
              <w:t>2016/17</w:t>
            </w:r>
          </w:p>
        </w:tc>
        <w:tc>
          <w:tcPr>
            <w:tcW w:w="694" w:type="pct"/>
            <w:noWrap/>
            <w:hideMark/>
          </w:tcPr>
          <w:p w14:paraId="2212A470"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0E1B7E">
              <w:rPr>
                <w:rFonts w:ascii="Times New Roman" w:hAnsi="Times New Roman"/>
                <w:sz w:val="20"/>
                <w:szCs w:val="20"/>
                <w:lang w:val="en-US"/>
              </w:rPr>
              <w:t>Proj. outurn</w:t>
            </w:r>
          </w:p>
          <w:p w14:paraId="403B1290"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b w:val="0"/>
                <w:bCs w:val="0"/>
                <w:sz w:val="20"/>
                <w:szCs w:val="20"/>
                <w:lang w:val="en-US"/>
              </w:rPr>
              <w:t>2017/18</w:t>
            </w:r>
          </w:p>
        </w:tc>
        <w:tc>
          <w:tcPr>
            <w:tcW w:w="598" w:type="pct"/>
            <w:noWrap/>
            <w:hideMark/>
          </w:tcPr>
          <w:p w14:paraId="3543E8CB"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0E1B7E">
              <w:rPr>
                <w:rFonts w:ascii="Times New Roman" w:hAnsi="Times New Roman"/>
                <w:sz w:val="20"/>
                <w:szCs w:val="20"/>
                <w:lang w:val="en-US"/>
              </w:rPr>
              <w:t>Projection</w:t>
            </w:r>
          </w:p>
          <w:p w14:paraId="09467C5B"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b w:val="0"/>
                <w:bCs w:val="0"/>
                <w:sz w:val="20"/>
                <w:szCs w:val="20"/>
                <w:lang w:val="en-US"/>
              </w:rPr>
              <w:t>2018/19</w:t>
            </w:r>
          </w:p>
        </w:tc>
        <w:tc>
          <w:tcPr>
            <w:tcW w:w="598" w:type="pct"/>
            <w:noWrap/>
            <w:hideMark/>
          </w:tcPr>
          <w:p w14:paraId="701D62E8"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lang w:val="en-US"/>
              </w:rPr>
            </w:pPr>
            <w:r w:rsidRPr="000E1B7E">
              <w:rPr>
                <w:rFonts w:ascii="Times New Roman" w:hAnsi="Times New Roman"/>
                <w:sz w:val="20"/>
                <w:szCs w:val="20"/>
                <w:lang w:val="en-US"/>
              </w:rPr>
              <w:t>Projection</w:t>
            </w:r>
          </w:p>
          <w:p w14:paraId="326852CC" w14:textId="77777777" w:rsidR="00FE2173" w:rsidRPr="000E1B7E" w:rsidRDefault="00FE2173"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b w:val="0"/>
                <w:bCs w:val="0"/>
                <w:sz w:val="20"/>
                <w:szCs w:val="20"/>
                <w:lang w:val="en-US"/>
              </w:rPr>
              <w:t>2019/20</w:t>
            </w:r>
          </w:p>
        </w:tc>
      </w:tr>
      <w:tr w:rsidR="00FE2173" w:rsidRPr="000E1B7E" w14:paraId="6F3CDEC2" w14:textId="77777777" w:rsidTr="00FE2173">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106" w:type="pct"/>
            <w:noWrap/>
            <w:hideMark/>
          </w:tcPr>
          <w:p w14:paraId="2F26A129"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Total revenue and grants</w:t>
            </w:r>
          </w:p>
        </w:tc>
        <w:tc>
          <w:tcPr>
            <w:tcW w:w="502" w:type="pct"/>
            <w:noWrap/>
            <w:hideMark/>
          </w:tcPr>
          <w:p w14:paraId="78017E47"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12,647</w:t>
            </w:r>
          </w:p>
        </w:tc>
        <w:tc>
          <w:tcPr>
            <w:tcW w:w="502" w:type="pct"/>
            <w:noWrap/>
            <w:hideMark/>
          </w:tcPr>
          <w:p w14:paraId="6C566892"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13,896</w:t>
            </w:r>
          </w:p>
        </w:tc>
        <w:tc>
          <w:tcPr>
            <w:tcW w:w="694" w:type="pct"/>
            <w:noWrap/>
            <w:hideMark/>
          </w:tcPr>
          <w:p w14:paraId="49F68FC4"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15,654 </w:t>
            </w:r>
          </w:p>
        </w:tc>
        <w:tc>
          <w:tcPr>
            <w:tcW w:w="598" w:type="pct"/>
            <w:noWrap/>
            <w:hideMark/>
          </w:tcPr>
          <w:p w14:paraId="12F62D3E"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17,807 </w:t>
            </w:r>
          </w:p>
        </w:tc>
        <w:tc>
          <w:tcPr>
            <w:tcW w:w="598" w:type="pct"/>
            <w:noWrap/>
            <w:hideMark/>
          </w:tcPr>
          <w:p w14:paraId="0932719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19,911 </w:t>
            </w:r>
          </w:p>
        </w:tc>
      </w:tr>
      <w:tr w:rsidR="00FE2173" w:rsidRPr="000E1B7E" w14:paraId="26348F8C" w14:textId="77777777" w:rsidTr="00FE2173">
        <w:trPr>
          <w:trHeight w:val="178"/>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D3AB310"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Revenue</w:t>
            </w:r>
          </w:p>
        </w:tc>
        <w:tc>
          <w:tcPr>
            <w:tcW w:w="502" w:type="pct"/>
            <w:noWrap/>
            <w:hideMark/>
          </w:tcPr>
          <w:p w14:paraId="1FF42696"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11,500</w:t>
            </w:r>
          </w:p>
        </w:tc>
        <w:tc>
          <w:tcPr>
            <w:tcW w:w="502" w:type="pct"/>
            <w:noWrap/>
            <w:hideMark/>
          </w:tcPr>
          <w:p w14:paraId="7478FDB0"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12,947</w:t>
            </w:r>
          </w:p>
        </w:tc>
        <w:tc>
          <w:tcPr>
            <w:tcW w:w="694" w:type="pct"/>
            <w:noWrap/>
            <w:hideMark/>
          </w:tcPr>
          <w:p w14:paraId="60A947C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14,403 </w:t>
            </w:r>
          </w:p>
        </w:tc>
        <w:tc>
          <w:tcPr>
            <w:tcW w:w="598" w:type="pct"/>
            <w:noWrap/>
            <w:hideMark/>
          </w:tcPr>
          <w:p w14:paraId="5933FE27"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16,211 </w:t>
            </w:r>
          </w:p>
        </w:tc>
        <w:tc>
          <w:tcPr>
            <w:tcW w:w="598" w:type="pct"/>
            <w:noWrap/>
            <w:hideMark/>
          </w:tcPr>
          <w:p w14:paraId="3AA9FBFB"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18,565 </w:t>
            </w:r>
          </w:p>
        </w:tc>
      </w:tr>
      <w:tr w:rsidR="00FE2173" w:rsidRPr="000E1B7E" w14:paraId="2C656B02" w14:textId="77777777" w:rsidTr="00FE2173">
        <w:trPr>
          <w:cnfStyle w:val="000000100000" w:firstRow="0" w:lastRow="0" w:firstColumn="0" w:lastColumn="0" w:oddVBand="0" w:evenVBand="0" w:oddHBand="1"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973ACA6"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Tax revenue</w:t>
            </w:r>
          </w:p>
        </w:tc>
        <w:tc>
          <w:tcPr>
            <w:tcW w:w="502" w:type="pct"/>
            <w:noWrap/>
            <w:hideMark/>
          </w:tcPr>
          <w:p w14:paraId="75B33E62"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11,059</w:t>
            </w:r>
          </w:p>
        </w:tc>
        <w:tc>
          <w:tcPr>
            <w:tcW w:w="502" w:type="pct"/>
            <w:noWrap/>
            <w:hideMark/>
          </w:tcPr>
          <w:p w14:paraId="786D2CE2"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12,463</w:t>
            </w:r>
          </w:p>
        </w:tc>
        <w:tc>
          <w:tcPr>
            <w:tcW w:w="694" w:type="pct"/>
            <w:noWrap/>
            <w:hideMark/>
          </w:tcPr>
          <w:p w14:paraId="0F5FE0E7"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14,023 </w:t>
            </w:r>
          </w:p>
        </w:tc>
        <w:tc>
          <w:tcPr>
            <w:tcW w:w="598" w:type="pct"/>
            <w:noWrap/>
            <w:hideMark/>
          </w:tcPr>
          <w:p w14:paraId="6C43A8B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15,791 </w:t>
            </w:r>
          </w:p>
        </w:tc>
        <w:tc>
          <w:tcPr>
            <w:tcW w:w="598" w:type="pct"/>
            <w:noWrap/>
            <w:hideMark/>
          </w:tcPr>
          <w:p w14:paraId="7AABD05D"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18,098 </w:t>
            </w:r>
          </w:p>
        </w:tc>
      </w:tr>
      <w:tr w:rsidR="00FE2173" w:rsidRPr="000E1B7E" w14:paraId="397EAE0C" w14:textId="77777777" w:rsidTr="00FE2173">
        <w:trPr>
          <w:trHeight w:val="124"/>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9C702DE"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Non-tax revenue</w:t>
            </w:r>
          </w:p>
        </w:tc>
        <w:tc>
          <w:tcPr>
            <w:tcW w:w="502" w:type="pct"/>
            <w:noWrap/>
            <w:hideMark/>
          </w:tcPr>
          <w:p w14:paraId="72C5E200"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319</w:t>
            </w:r>
          </w:p>
        </w:tc>
        <w:tc>
          <w:tcPr>
            <w:tcW w:w="502" w:type="pct"/>
            <w:noWrap/>
            <w:hideMark/>
          </w:tcPr>
          <w:p w14:paraId="2C7C14A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354</w:t>
            </w:r>
          </w:p>
        </w:tc>
        <w:tc>
          <w:tcPr>
            <w:tcW w:w="694" w:type="pct"/>
            <w:noWrap/>
            <w:hideMark/>
          </w:tcPr>
          <w:p w14:paraId="2F315835"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380 </w:t>
            </w:r>
          </w:p>
        </w:tc>
        <w:tc>
          <w:tcPr>
            <w:tcW w:w="598" w:type="pct"/>
            <w:noWrap/>
            <w:hideMark/>
          </w:tcPr>
          <w:p w14:paraId="1311C7AB"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420 </w:t>
            </w:r>
          </w:p>
        </w:tc>
        <w:tc>
          <w:tcPr>
            <w:tcW w:w="598" w:type="pct"/>
            <w:noWrap/>
            <w:hideMark/>
          </w:tcPr>
          <w:p w14:paraId="2C259981"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467 </w:t>
            </w:r>
          </w:p>
        </w:tc>
      </w:tr>
      <w:tr w:rsidR="00FE2173" w:rsidRPr="000E1B7E" w14:paraId="247B08B2" w14:textId="77777777" w:rsidTr="00FE217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BE7E770"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Oil revenues</w:t>
            </w:r>
          </w:p>
        </w:tc>
        <w:tc>
          <w:tcPr>
            <w:tcW w:w="502" w:type="pct"/>
            <w:noWrap/>
            <w:hideMark/>
          </w:tcPr>
          <w:p w14:paraId="1AA68ECE"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121</w:t>
            </w:r>
          </w:p>
        </w:tc>
        <w:tc>
          <w:tcPr>
            <w:tcW w:w="502" w:type="pct"/>
            <w:noWrap/>
            <w:hideMark/>
          </w:tcPr>
          <w:p w14:paraId="02C12385"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130</w:t>
            </w:r>
          </w:p>
        </w:tc>
        <w:tc>
          <w:tcPr>
            <w:tcW w:w="694" w:type="pct"/>
            <w:noWrap/>
            <w:hideMark/>
          </w:tcPr>
          <w:p w14:paraId="467C5F0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0 </w:t>
            </w:r>
          </w:p>
        </w:tc>
        <w:tc>
          <w:tcPr>
            <w:tcW w:w="598" w:type="pct"/>
            <w:noWrap/>
            <w:hideMark/>
          </w:tcPr>
          <w:p w14:paraId="2C55CAB0"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0 </w:t>
            </w:r>
          </w:p>
        </w:tc>
        <w:tc>
          <w:tcPr>
            <w:tcW w:w="598" w:type="pct"/>
            <w:noWrap/>
            <w:hideMark/>
          </w:tcPr>
          <w:p w14:paraId="724D8F30"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0 </w:t>
            </w:r>
          </w:p>
        </w:tc>
      </w:tr>
      <w:tr w:rsidR="00FE2173" w:rsidRPr="000E1B7E" w14:paraId="06AB56DB" w14:textId="77777777" w:rsidTr="00FE2173">
        <w:trPr>
          <w:trHeight w:val="169"/>
        </w:trPr>
        <w:tc>
          <w:tcPr>
            <w:cnfStyle w:val="001000000000" w:firstRow="0" w:lastRow="0" w:firstColumn="1" w:lastColumn="0" w:oddVBand="0" w:evenVBand="0" w:oddHBand="0" w:evenHBand="0" w:firstRowFirstColumn="0" w:firstRowLastColumn="0" w:lastRowFirstColumn="0" w:lastRowLastColumn="0"/>
            <w:tcW w:w="2106" w:type="pct"/>
            <w:noWrap/>
            <w:hideMark/>
          </w:tcPr>
          <w:p w14:paraId="1F0949A4"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Grants</w:t>
            </w:r>
          </w:p>
        </w:tc>
        <w:tc>
          <w:tcPr>
            <w:tcW w:w="502" w:type="pct"/>
            <w:noWrap/>
            <w:hideMark/>
          </w:tcPr>
          <w:p w14:paraId="425ADC2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1,147</w:t>
            </w:r>
          </w:p>
        </w:tc>
        <w:tc>
          <w:tcPr>
            <w:tcW w:w="502" w:type="pct"/>
            <w:noWrap/>
            <w:hideMark/>
          </w:tcPr>
          <w:p w14:paraId="32BD0AF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950</w:t>
            </w:r>
          </w:p>
        </w:tc>
        <w:tc>
          <w:tcPr>
            <w:tcW w:w="694" w:type="pct"/>
            <w:noWrap/>
            <w:hideMark/>
          </w:tcPr>
          <w:p w14:paraId="195A085C"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1,251 </w:t>
            </w:r>
          </w:p>
        </w:tc>
        <w:tc>
          <w:tcPr>
            <w:tcW w:w="598" w:type="pct"/>
            <w:noWrap/>
            <w:hideMark/>
          </w:tcPr>
          <w:p w14:paraId="2DFF8378"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1,595 </w:t>
            </w:r>
          </w:p>
        </w:tc>
        <w:tc>
          <w:tcPr>
            <w:tcW w:w="598" w:type="pct"/>
            <w:noWrap/>
            <w:hideMark/>
          </w:tcPr>
          <w:p w14:paraId="3E636876"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1,346 </w:t>
            </w:r>
          </w:p>
        </w:tc>
      </w:tr>
      <w:tr w:rsidR="00FE2173" w:rsidRPr="000E1B7E" w14:paraId="2D0BE252" w14:textId="77777777" w:rsidTr="00FE2173">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2106" w:type="pct"/>
            <w:noWrap/>
            <w:hideMark/>
          </w:tcPr>
          <w:p w14:paraId="762FB6D1"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Budget support</w:t>
            </w:r>
          </w:p>
        </w:tc>
        <w:tc>
          <w:tcPr>
            <w:tcW w:w="502" w:type="pct"/>
            <w:noWrap/>
            <w:hideMark/>
          </w:tcPr>
          <w:p w14:paraId="1F85770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340</w:t>
            </w:r>
          </w:p>
        </w:tc>
        <w:tc>
          <w:tcPr>
            <w:tcW w:w="502" w:type="pct"/>
            <w:noWrap/>
            <w:hideMark/>
          </w:tcPr>
          <w:p w14:paraId="5E33E7D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259</w:t>
            </w:r>
          </w:p>
        </w:tc>
        <w:tc>
          <w:tcPr>
            <w:tcW w:w="694" w:type="pct"/>
            <w:noWrap/>
            <w:hideMark/>
          </w:tcPr>
          <w:p w14:paraId="0851E199"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172 </w:t>
            </w:r>
          </w:p>
        </w:tc>
        <w:tc>
          <w:tcPr>
            <w:tcW w:w="598" w:type="pct"/>
            <w:noWrap/>
            <w:hideMark/>
          </w:tcPr>
          <w:p w14:paraId="484870C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102 </w:t>
            </w:r>
          </w:p>
        </w:tc>
        <w:tc>
          <w:tcPr>
            <w:tcW w:w="598" w:type="pct"/>
            <w:noWrap/>
            <w:hideMark/>
          </w:tcPr>
          <w:p w14:paraId="1E1BD6CB"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102 </w:t>
            </w:r>
          </w:p>
        </w:tc>
      </w:tr>
      <w:tr w:rsidR="00FE2173" w:rsidRPr="000E1B7E" w14:paraId="62D7D8DA" w14:textId="77777777" w:rsidTr="00FE2173">
        <w:trPr>
          <w:trHeight w:val="205"/>
        </w:trPr>
        <w:tc>
          <w:tcPr>
            <w:cnfStyle w:val="001000000000" w:firstRow="0" w:lastRow="0" w:firstColumn="1" w:lastColumn="0" w:oddVBand="0" w:evenVBand="0" w:oddHBand="0" w:evenHBand="0" w:firstRowFirstColumn="0" w:firstRowLastColumn="0" w:lastRowFirstColumn="0" w:lastRowLastColumn="0"/>
            <w:tcW w:w="2106" w:type="pct"/>
            <w:noWrap/>
            <w:hideMark/>
          </w:tcPr>
          <w:p w14:paraId="3BF61C96"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Project grants</w:t>
            </w:r>
          </w:p>
        </w:tc>
        <w:tc>
          <w:tcPr>
            <w:tcW w:w="502" w:type="pct"/>
            <w:noWrap/>
            <w:hideMark/>
          </w:tcPr>
          <w:p w14:paraId="6BB37431"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808</w:t>
            </w:r>
          </w:p>
        </w:tc>
        <w:tc>
          <w:tcPr>
            <w:tcW w:w="502" w:type="pct"/>
            <w:noWrap/>
            <w:hideMark/>
          </w:tcPr>
          <w:p w14:paraId="5E7D6380"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690</w:t>
            </w:r>
          </w:p>
        </w:tc>
        <w:tc>
          <w:tcPr>
            <w:tcW w:w="694" w:type="pct"/>
            <w:noWrap/>
            <w:hideMark/>
          </w:tcPr>
          <w:p w14:paraId="0B5F0E5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1,079 </w:t>
            </w:r>
          </w:p>
        </w:tc>
        <w:tc>
          <w:tcPr>
            <w:tcW w:w="598" w:type="pct"/>
            <w:noWrap/>
            <w:hideMark/>
          </w:tcPr>
          <w:p w14:paraId="58B5646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1,494 </w:t>
            </w:r>
          </w:p>
        </w:tc>
        <w:tc>
          <w:tcPr>
            <w:tcW w:w="598" w:type="pct"/>
            <w:noWrap/>
            <w:hideMark/>
          </w:tcPr>
          <w:p w14:paraId="41D9FD51"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1,244 </w:t>
            </w:r>
          </w:p>
        </w:tc>
      </w:tr>
      <w:tr w:rsidR="00FE2173" w:rsidRPr="000E1B7E" w14:paraId="1FBF23C0" w14:textId="77777777" w:rsidTr="00FE217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DA70787"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Expenditures and net lending</w:t>
            </w:r>
          </w:p>
        </w:tc>
        <w:tc>
          <w:tcPr>
            <w:tcW w:w="502" w:type="pct"/>
            <w:noWrap/>
            <w:hideMark/>
          </w:tcPr>
          <w:p w14:paraId="5BD881D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16,727</w:t>
            </w:r>
          </w:p>
        </w:tc>
        <w:tc>
          <w:tcPr>
            <w:tcW w:w="502" w:type="pct"/>
            <w:noWrap/>
            <w:hideMark/>
          </w:tcPr>
          <w:p w14:paraId="1BF9C6A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17,437</w:t>
            </w:r>
          </w:p>
        </w:tc>
        <w:tc>
          <w:tcPr>
            <w:tcW w:w="694" w:type="pct"/>
            <w:noWrap/>
            <w:hideMark/>
          </w:tcPr>
          <w:p w14:paraId="58461129"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20,450 </w:t>
            </w:r>
          </w:p>
        </w:tc>
        <w:tc>
          <w:tcPr>
            <w:tcW w:w="598" w:type="pct"/>
            <w:noWrap/>
            <w:hideMark/>
          </w:tcPr>
          <w:p w14:paraId="130D49B5"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23,858 </w:t>
            </w:r>
          </w:p>
        </w:tc>
        <w:tc>
          <w:tcPr>
            <w:tcW w:w="598" w:type="pct"/>
            <w:noWrap/>
            <w:hideMark/>
          </w:tcPr>
          <w:p w14:paraId="7FD1693C"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26,859 </w:t>
            </w:r>
          </w:p>
        </w:tc>
      </w:tr>
      <w:tr w:rsidR="00FE2173" w:rsidRPr="000E1B7E" w14:paraId="4EA0BC0A" w14:textId="77777777" w:rsidTr="00FE2173">
        <w:trPr>
          <w:trHeight w:val="16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2CB4775"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Recurrent expenditures</w:t>
            </w:r>
          </w:p>
        </w:tc>
        <w:tc>
          <w:tcPr>
            <w:tcW w:w="502" w:type="pct"/>
            <w:noWrap/>
            <w:hideMark/>
          </w:tcPr>
          <w:p w14:paraId="4B810AA7"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9,169</w:t>
            </w:r>
          </w:p>
        </w:tc>
        <w:tc>
          <w:tcPr>
            <w:tcW w:w="502" w:type="pct"/>
            <w:noWrap/>
            <w:hideMark/>
          </w:tcPr>
          <w:p w14:paraId="30827686"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9,994</w:t>
            </w:r>
          </w:p>
        </w:tc>
        <w:tc>
          <w:tcPr>
            <w:tcW w:w="694" w:type="pct"/>
            <w:noWrap/>
            <w:hideMark/>
          </w:tcPr>
          <w:p w14:paraId="1809B29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11,213 </w:t>
            </w:r>
          </w:p>
        </w:tc>
        <w:tc>
          <w:tcPr>
            <w:tcW w:w="598" w:type="pct"/>
            <w:noWrap/>
            <w:hideMark/>
          </w:tcPr>
          <w:p w14:paraId="471548BC"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11,495 </w:t>
            </w:r>
          </w:p>
        </w:tc>
        <w:tc>
          <w:tcPr>
            <w:tcW w:w="598" w:type="pct"/>
            <w:noWrap/>
            <w:hideMark/>
          </w:tcPr>
          <w:p w14:paraId="1694342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12,974 </w:t>
            </w:r>
          </w:p>
        </w:tc>
      </w:tr>
      <w:tr w:rsidR="00FE2173" w:rsidRPr="000E1B7E" w14:paraId="0C5F0023" w14:textId="77777777" w:rsidTr="00FE217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75AB49C"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Wages and salaries</w:t>
            </w:r>
          </w:p>
        </w:tc>
        <w:tc>
          <w:tcPr>
            <w:tcW w:w="502" w:type="pct"/>
            <w:noWrap/>
            <w:hideMark/>
          </w:tcPr>
          <w:p w14:paraId="3DCF8A81"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2,966</w:t>
            </w:r>
          </w:p>
        </w:tc>
        <w:tc>
          <w:tcPr>
            <w:tcW w:w="502" w:type="pct"/>
            <w:noWrap/>
            <w:hideMark/>
          </w:tcPr>
          <w:p w14:paraId="5E015BC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3,382</w:t>
            </w:r>
          </w:p>
        </w:tc>
        <w:tc>
          <w:tcPr>
            <w:tcW w:w="694" w:type="pct"/>
            <w:noWrap/>
            <w:hideMark/>
          </w:tcPr>
          <w:p w14:paraId="752B47EB"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3,576 </w:t>
            </w:r>
          </w:p>
        </w:tc>
        <w:tc>
          <w:tcPr>
            <w:tcW w:w="598" w:type="pct"/>
            <w:noWrap/>
            <w:hideMark/>
          </w:tcPr>
          <w:p w14:paraId="1873060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3,725 </w:t>
            </w:r>
          </w:p>
        </w:tc>
        <w:tc>
          <w:tcPr>
            <w:tcW w:w="598" w:type="pct"/>
            <w:noWrap/>
            <w:hideMark/>
          </w:tcPr>
          <w:p w14:paraId="0FBACD34"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4,329 </w:t>
            </w:r>
          </w:p>
        </w:tc>
      </w:tr>
      <w:tr w:rsidR="00FE2173" w:rsidRPr="000E1B7E" w14:paraId="3A86D253" w14:textId="77777777" w:rsidTr="00FE2173">
        <w:trPr>
          <w:trHeight w:val="196"/>
        </w:trPr>
        <w:tc>
          <w:tcPr>
            <w:cnfStyle w:val="001000000000" w:firstRow="0" w:lastRow="0" w:firstColumn="1" w:lastColumn="0" w:oddVBand="0" w:evenVBand="0" w:oddHBand="0" w:evenHBand="0" w:firstRowFirstColumn="0" w:firstRowLastColumn="0" w:lastRowFirstColumn="0" w:lastRowLastColumn="0"/>
            <w:tcW w:w="2106" w:type="pct"/>
            <w:noWrap/>
            <w:hideMark/>
          </w:tcPr>
          <w:p w14:paraId="3394F3B1"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o/w statutory</w:t>
            </w:r>
          </w:p>
        </w:tc>
        <w:tc>
          <w:tcPr>
            <w:tcW w:w="502" w:type="pct"/>
            <w:noWrap/>
            <w:hideMark/>
          </w:tcPr>
          <w:p w14:paraId="745590E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145</w:t>
            </w:r>
          </w:p>
        </w:tc>
        <w:tc>
          <w:tcPr>
            <w:tcW w:w="502" w:type="pct"/>
            <w:noWrap/>
            <w:hideMark/>
          </w:tcPr>
          <w:p w14:paraId="11A4282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146</w:t>
            </w:r>
          </w:p>
        </w:tc>
        <w:tc>
          <w:tcPr>
            <w:tcW w:w="694" w:type="pct"/>
            <w:noWrap/>
            <w:hideMark/>
          </w:tcPr>
          <w:p w14:paraId="61A582B0"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188 </w:t>
            </w:r>
          </w:p>
        </w:tc>
        <w:tc>
          <w:tcPr>
            <w:tcW w:w="598" w:type="pct"/>
            <w:noWrap/>
            <w:hideMark/>
          </w:tcPr>
          <w:p w14:paraId="259372F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172 </w:t>
            </w:r>
          </w:p>
        </w:tc>
        <w:tc>
          <w:tcPr>
            <w:tcW w:w="598" w:type="pct"/>
            <w:noWrap/>
            <w:hideMark/>
          </w:tcPr>
          <w:p w14:paraId="24ADCC6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180 </w:t>
            </w:r>
          </w:p>
        </w:tc>
      </w:tr>
      <w:tr w:rsidR="00FE2173" w:rsidRPr="000E1B7E" w14:paraId="27373B9E" w14:textId="77777777" w:rsidTr="00FE2173">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2106" w:type="pct"/>
            <w:noWrap/>
            <w:hideMark/>
          </w:tcPr>
          <w:p w14:paraId="613F8441"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Non Wage</w:t>
            </w:r>
          </w:p>
        </w:tc>
        <w:tc>
          <w:tcPr>
            <w:tcW w:w="502" w:type="pct"/>
            <w:noWrap/>
            <w:hideMark/>
          </w:tcPr>
          <w:p w14:paraId="5CC1A41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4,520</w:t>
            </w:r>
          </w:p>
        </w:tc>
        <w:tc>
          <w:tcPr>
            <w:tcW w:w="502" w:type="pct"/>
            <w:noWrap/>
            <w:hideMark/>
          </w:tcPr>
          <w:p w14:paraId="0BC16845"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4,252</w:t>
            </w:r>
          </w:p>
        </w:tc>
        <w:tc>
          <w:tcPr>
            <w:tcW w:w="694" w:type="pct"/>
            <w:noWrap/>
            <w:hideMark/>
          </w:tcPr>
          <w:p w14:paraId="15C9C4FC"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4,989 </w:t>
            </w:r>
          </w:p>
        </w:tc>
        <w:tc>
          <w:tcPr>
            <w:tcW w:w="598" w:type="pct"/>
            <w:noWrap/>
            <w:hideMark/>
          </w:tcPr>
          <w:p w14:paraId="7896A79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5,136 </w:t>
            </w:r>
          </w:p>
        </w:tc>
        <w:tc>
          <w:tcPr>
            <w:tcW w:w="598" w:type="pct"/>
            <w:noWrap/>
            <w:hideMark/>
          </w:tcPr>
          <w:p w14:paraId="46A79CCD"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6,073 </w:t>
            </w:r>
          </w:p>
        </w:tc>
      </w:tr>
      <w:tr w:rsidR="00FE2173" w:rsidRPr="000E1B7E" w14:paraId="077EA8BE" w14:textId="77777777" w:rsidTr="00FE2173">
        <w:trPr>
          <w:trHeight w:val="241"/>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CF6D965"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o/w statutory</w:t>
            </w:r>
          </w:p>
        </w:tc>
        <w:tc>
          <w:tcPr>
            <w:tcW w:w="502" w:type="pct"/>
            <w:noWrap/>
            <w:hideMark/>
          </w:tcPr>
          <w:p w14:paraId="74FEA59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1,236</w:t>
            </w:r>
          </w:p>
        </w:tc>
        <w:tc>
          <w:tcPr>
            <w:tcW w:w="502" w:type="pct"/>
            <w:noWrap/>
            <w:hideMark/>
          </w:tcPr>
          <w:p w14:paraId="6824ABDC"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1,237</w:t>
            </w:r>
          </w:p>
        </w:tc>
        <w:tc>
          <w:tcPr>
            <w:tcW w:w="694" w:type="pct"/>
            <w:noWrap/>
            <w:hideMark/>
          </w:tcPr>
          <w:p w14:paraId="61E214B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546 </w:t>
            </w:r>
          </w:p>
        </w:tc>
        <w:tc>
          <w:tcPr>
            <w:tcW w:w="598" w:type="pct"/>
            <w:noWrap/>
            <w:hideMark/>
          </w:tcPr>
          <w:p w14:paraId="3941FC70"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898 </w:t>
            </w:r>
          </w:p>
        </w:tc>
        <w:tc>
          <w:tcPr>
            <w:tcW w:w="598" w:type="pct"/>
            <w:noWrap/>
            <w:hideMark/>
          </w:tcPr>
          <w:p w14:paraId="337E1880"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991 </w:t>
            </w:r>
          </w:p>
        </w:tc>
      </w:tr>
      <w:tr w:rsidR="00FE2173" w:rsidRPr="000E1B7E" w14:paraId="52E9E6A3" w14:textId="77777777" w:rsidTr="00FE217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211C2404"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Interest payments</w:t>
            </w:r>
          </w:p>
        </w:tc>
        <w:tc>
          <w:tcPr>
            <w:tcW w:w="502" w:type="pct"/>
            <w:noWrap/>
            <w:hideMark/>
          </w:tcPr>
          <w:p w14:paraId="4F9E809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1,682</w:t>
            </w:r>
          </w:p>
        </w:tc>
        <w:tc>
          <w:tcPr>
            <w:tcW w:w="502" w:type="pct"/>
            <w:noWrap/>
            <w:hideMark/>
          </w:tcPr>
          <w:p w14:paraId="0EB9456E"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2,360</w:t>
            </w:r>
          </w:p>
        </w:tc>
        <w:tc>
          <w:tcPr>
            <w:tcW w:w="694" w:type="pct"/>
            <w:noWrap/>
            <w:hideMark/>
          </w:tcPr>
          <w:p w14:paraId="74A9557D"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2,648 </w:t>
            </w:r>
          </w:p>
        </w:tc>
        <w:tc>
          <w:tcPr>
            <w:tcW w:w="598" w:type="pct"/>
            <w:noWrap/>
            <w:hideMark/>
          </w:tcPr>
          <w:p w14:paraId="1F419605"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2,634 </w:t>
            </w:r>
          </w:p>
        </w:tc>
        <w:tc>
          <w:tcPr>
            <w:tcW w:w="598" w:type="pct"/>
            <w:noWrap/>
            <w:hideMark/>
          </w:tcPr>
          <w:p w14:paraId="3225102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2,572 </w:t>
            </w:r>
          </w:p>
        </w:tc>
      </w:tr>
      <w:tr w:rsidR="00FE2173" w:rsidRPr="000E1B7E" w14:paraId="2D0254F3" w14:textId="77777777" w:rsidTr="00FE2173">
        <w:trPr>
          <w:trHeight w:val="268"/>
        </w:trPr>
        <w:tc>
          <w:tcPr>
            <w:cnfStyle w:val="001000000000" w:firstRow="0" w:lastRow="0" w:firstColumn="1" w:lastColumn="0" w:oddVBand="0" w:evenVBand="0" w:oddHBand="0" w:evenHBand="0" w:firstRowFirstColumn="0" w:firstRowLastColumn="0" w:lastRowFirstColumn="0" w:lastRowLastColumn="0"/>
            <w:tcW w:w="2106" w:type="pct"/>
            <w:noWrap/>
            <w:hideMark/>
          </w:tcPr>
          <w:p w14:paraId="7241CAB6"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o/w: domestic</w:t>
            </w:r>
          </w:p>
        </w:tc>
        <w:tc>
          <w:tcPr>
            <w:tcW w:w="502" w:type="pct"/>
            <w:noWrap/>
            <w:hideMark/>
          </w:tcPr>
          <w:p w14:paraId="610A9D9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1,470</w:t>
            </w:r>
          </w:p>
        </w:tc>
        <w:tc>
          <w:tcPr>
            <w:tcW w:w="502" w:type="pct"/>
            <w:noWrap/>
            <w:hideMark/>
          </w:tcPr>
          <w:p w14:paraId="6F4D15F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1,954</w:t>
            </w:r>
          </w:p>
        </w:tc>
        <w:tc>
          <w:tcPr>
            <w:tcW w:w="694" w:type="pct"/>
            <w:noWrap/>
            <w:hideMark/>
          </w:tcPr>
          <w:p w14:paraId="7B5018E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1,985 </w:t>
            </w:r>
          </w:p>
        </w:tc>
        <w:tc>
          <w:tcPr>
            <w:tcW w:w="598" w:type="pct"/>
            <w:noWrap/>
            <w:hideMark/>
          </w:tcPr>
          <w:p w14:paraId="4AD7C85B"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2,212 </w:t>
            </w:r>
          </w:p>
        </w:tc>
        <w:tc>
          <w:tcPr>
            <w:tcW w:w="598" w:type="pct"/>
            <w:noWrap/>
            <w:hideMark/>
          </w:tcPr>
          <w:p w14:paraId="532E29B1"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2,147 </w:t>
            </w:r>
          </w:p>
        </w:tc>
      </w:tr>
      <w:tr w:rsidR="00FE2173" w:rsidRPr="000E1B7E" w14:paraId="72617C22" w14:textId="77777777" w:rsidTr="00FE217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D81CC76"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o/w: foreign</w:t>
            </w:r>
          </w:p>
        </w:tc>
        <w:tc>
          <w:tcPr>
            <w:tcW w:w="502" w:type="pct"/>
            <w:noWrap/>
            <w:hideMark/>
          </w:tcPr>
          <w:p w14:paraId="078DB11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212</w:t>
            </w:r>
          </w:p>
        </w:tc>
        <w:tc>
          <w:tcPr>
            <w:tcW w:w="502" w:type="pct"/>
            <w:noWrap/>
            <w:hideMark/>
          </w:tcPr>
          <w:p w14:paraId="61CED01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406</w:t>
            </w:r>
          </w:p>
        </w:tc>
        <w:tc>
          <w:tcPr>
            <w:tcW w:w="694" w:type="pct"/>
            <w:noWrap/>
            <w:hideMark/>
          </w:tcPr>
          <w:p w14:paraId="5611BFF2"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663 </w:t>
            </w:r>
          </w:p>
        </w:tc>
        <w:tc>
          <w:tcPr>
            <w:tcW w:w="598" w:type="pct"/>
            <w:noWrap/>
            <w:hideMark/>
          </w:tcPr>
          <w:p w14:paraId="01FD8C99"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422 </w:t>
            </w:r>
          </w:p>
        </w:tc>
        <w:tc>
          <w:tcPr>
            <w:tcW w:w="598" w:type="pct"/>
            <w:noWrap/>
            <w:hideMark/>
          </w:tcPr>
          <w:p w14:paraId="77076959"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425 </w:t>
            </w:r>
          </w:p>
        </w:tc>
      </w:tr>
      <w:tr w:rsidR="00FE2173" w:rsidRPr="000E1B7E" w14:paraId="4154B05B" w14:textId="77777777" w:rsidTr="00FE2173">
        <w:trPr>
          <w:trHeight w:val="36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20E41E69"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Development expenditures</w:t>
            </w:r>
          </w:p>
        </w:tc>
        <w:tc>
          <w:tcPr>
            <w:tcW w:w="502" w:type="pct"/>
            <w:noWrap/>
            <w:hideMark/>
          </w:tcPr>
          <w:p w14:paraId="6A6F77E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5,907</w:t>
            </w:r>
          </w:p>
        </w:tc>
        <w:tc>
          <w:tcPr>
            <w:tcW w:w="502" w:type="pct"/>
            <w:noWrap/>
            <w:hideMark/>
          </w:tcPr>
          <w:p w14:paraId="51590B3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6,718</w:t>
            </w:r>
          </w:p>
        </w:tc>
        <w:tc>
          <w:tcPr>
            <w:tcW w:w="694" w:type="pct"/>
            <w:noWrap/>
            <w:hideMark/>
          </w:tcPr>
          <w:p w14:paraId="600F9BA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7,590 </w:t>
            </w:r>
          </w:p>
        </w:tc>
        <w:tc>
          <w:tcPr>
            <w:tcW w:w="598" w:type="pct"/>
            <w:noWrap/>
            <w:hideMark/>
          </w:tcPr>
          <w:p w14:paraId="51D29C9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11,051 </w:t>
            </w:r>
          </w:p>
        </w:tc>
        <w:tc>
          <w:tcPr>
            <w:tcW w:w="598" w:type="pct"/>
            <w:noWrap/>
            <w:hideMark/>
          </w:tcPr>
          <w:p w14:paraId="17CD7D8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12,607 </w:t>
            </w:r>
          </w:p>
        </w:tc>
      </w:tr>
      <w:tr w:rsidR="00FE2173" w:rsidRPr="000E1B7E" w14:paraId="5DEBB024" w14:textId="77777777" w:rsidTr="00FE2173">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06" w:type="pct"/>
            <w:noWrap/>
            <w:hideMark/>
          </w:tcPr>
          <w:p w14:paraId="68FE5B83"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External</w:t>
            </w:r>
          </w:p>
        </w:tc>
        <w:tc>
          <w:tcPr>
            <w:tcW w:w="502" w:type="pct"/>
            <w:noWrap/>
            <w:hideMark/>
          </w:tcPr>
          <w:p w14:paraId="0109A33C"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2,384</w:t>
            </w:r>
          </w:p>
        </w:tc>
        <w:tc>
          <w:tcPr>
            <w:tcW w:w="502" w:type="pct"/>
            <w:noWrap/>
            <w:hideMark/>
          </w:tcPr>
          <w:p w14:paraId="69C7E4D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2,477</w:t>
            </w:r>
          </w:p>
        </w:tc>
        <w:tc>
          <w:tcPr>
            <w:tcW w:w="694" w:type="pct"/>
            <w:noWrap/>
            <w:hideMark/>
          </w:tcPr>
          <w:p w14:paraId="34A25D0D"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3,413 </w:t>
            </w:r>
          </w:p>
        </w:tc>
        <w:tc>
          <w:tcPr>
            <w:tcW w:w="598" w:type="pct"/>
            <w:noWrap/>
            <w:hideMark/>
          </w:tcPr>
          <w:p w14:paraId="53D89E54"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6,381 </w:t>
            </w:r>
          </w:p>
        </w:tc>
        <w:tc>
          <w:tcPr>
            <w:tcW w:w="598" w:type="pct"/>
            <w:noWrap/>
            <w:hideMark/>
          </w:tcPr>
          <w:p w14:paraId="383ED7DB"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7,308 </w:t>
            </w:r>
          </w:p>
        </w:tc>
      </w:tr>
      <w:tr w:rsidR="00FE2173" w:rsidRPr="000E1B7E" w14:paraId="44514F9D" w14:textId="77777777" w:rsidTr="00FE2173">
        <w:trPr>
          <w:trHeight w:val="25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35D14F23"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Domestic</w:t>
            </w:r>
          </w:p>
        </w:tc>
        <w:tc>
          <w:tcPr>
            <w:tcW w:w="502" w:type="pct"/>
            <w:noWrap/>
            <w:hideMark/>
          </w:tcPr>
          <w:p w14:paraId="39D5C76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3,523</w:t>
            </w:r>
          </w:p>
        </w:tc>
        <w:tc>
          <w:tcPr>
            <w:tcW w:w="502" w:type="pct"/>
            <w:noWrap/>
            <w:hideMark/>
          </w:tcPr>
          <w:p w14:paraId="5950BF5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4,241</w:t>
            </w:r>
          </w:p>
        </w:tc>
        <w:tc>
          <w:tcPr>
            <w:tcW w:w="694" w:type="pct"/>
            <w:noWrap/>
            <w:hideMark/>
          </w:tcPr>
          <w:p w14:paraId="09CA756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4,177 </w:t>
            </w:r>
          </w:p>
        </w:tc>
        <w:tc>
          <w:tcPr>
            <w:tcW w:w="598" w:type="pct"/>
            <w:noWrap/>
            <w:hideMark/>
          </w:tcPr>
          <w:p w14:paraId="3705EA3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4,670 </w:t>
            </w:r>
          </w:p>
        </w:tc>
        <w:tc>
          <w:tcPr>
            <w:tcW w:w="598" w:type="pct"/>
            <w:noWrap/>
            <w:hideMark/>
          </w:tcPr>
          <w:p w14:paraId="78F75A5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5,299 </w:t>
            </w:r>
          </w:p>
        </w:tc>
      </w:tr>
      <w:tr w:rsidR="00FE2173" w:rsidRPr="000E1B7E" w14:paraId="6350D085" w14:textId="77777777" w:rsidTr="00FE217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7E6800B0"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Net lending and investment</w:t>
            </w:r>
          </w:p>
        </w:tc>
        <w:tc>
          <w:tcPr>
            <w:tcW w:w="502" w:type="pct"/>
            <w:noWrap/>
            <w:hideMark/>
          </w:tcPr>
          <w:p w14:paraId="76EF6B27"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1,532</w:t>
            </w:r>
          </w:p>
        </w:tc>
        <w:tc>
          <w:tcPr>
            <w:tcW w:w="502" w:type="pct"/>
            <w:noWrap/>
            <w:hideMark/>
          </w:tcPr>
          <w:p w14:paraId="59EEA3E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541</w:t>
            </w:r>
          </w:p>
        </w:tc>
        <w:tc>
          <w:tcPr>
            <w:tcW w:w="694" w:type="pct"/>
            <w:noWrap/>
            <w:hideMark/>
          </w:tcPr>
          <w:p w14:paraId="33122AE2"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1,283 </w:t>
            </w:r>
          </w:p>
        </w:tc>
        <w:tc>
          <w:tcPr>
            <w:tcW w:w="598" w:type="pct"/>
            <w:noWrap/>
            <w:hideMark/>
          </w:tcPr>
          <w:p w14:paraId="5B03FDC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577 </w:t>
            </w:r>
          </w:p>
        </w:tc>
        <w:tc>
          <w:tcPr>
            <w:tcW w:w="598" w:type="pct"/>
            <w:noWrap/>
            <w:hideMark/>
          </w:tcPr>
          <w:p w14:paraId="432AFDA1"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432 </w:t>
            </w:r>
          </w:p>
        </w:tc>
      </w:tr>
      <w:tr w:rsidR="00FE2173" w:rsidRPr="000E1B7E" w14:paraId="7B5B3398" w14:textId="77777777" w:rsidTr="00FE2173">
        <w:trPr>
          <w:trHeight w:val="178"/>
        </w:trPr>
        <w:tc>
          <w:tcPr>
            <w:cnfStyle w:val="001000000000" w:firstRow="0" w:lastRow="0" w:firstColumn="1" w:lastColumn="0" w:oddVBand="0" w:evenVBand="0" w:oddHBand="0" w:evenHBand="0" w:firstRowFirstColumn="0" w:firstRowLastColumn="0" w:lastRowFirstColumn="0" w:lastRowLastColumn="0"/>
            <w:tcW w:w="2106" w:type="pct"/>
            <w:noWrap/>
            <w:hideMark/>
          </w:tcPr>
          <w:p w14:paraId="2E5C5FA6"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Other spending (clearance of arrears, etc.)</w:t>
            </w:r>
          </w:p>
        </w:tc>
        <w:tc>
          <w:tcPr>
            <w:tcW w:w="502" w:type="pct"/>
            <w:noWrap/>
            <w:hideMark/>
          </w:tcPr>
          <w:p w14:paraId="28CE3B46"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119</w:t>
            </w:r>
          </w:p>
        </w:tc>
        <w:tc>
          <w:tcPr>
            <w:tcW w:w="502" w:type="pct"/>
            <w:noWrap/>
            <w:hideMark/>
          </w:tcPr>
          <w:p w14:paraId="0AC4A95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184</w:t>
            </w:r>
          </w:p>
        </w:tc>
        <w:tc>
          <w:tcPr>
            <w:tcW w:w="694" w:type="pct"/>
            <w:noWrap/>
            <w:hideMark/>
          </w:tcPr>
          <w:p w14:paraId="35A188A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364 </w:t>
            </w:r>
          </w:p>
        </w:tc>
        <w:tc>
          <w:tcPr>
            <w:tcW w:w="598" w:type="pct"/>
            <w:noWrap/>
            <w:hideMark/>
          </w:tcPr>
          <w:p w14:paraId="1104804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735 </w:t>
            </w:r>
          </w:p>
        </w:tc>
        <w:tc>
          <w:tcPr>
            <w:tcW w:w="598" w:type="pct"/>
            <w:noWrap/>
            <w:hideMark/>
          </w:tcPr>
          <w:p w14:paraId="74B914AD"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846 </w:t>
            </w:r>
          </w:p>
        </w:tc>
      </w:tr>
      <w:tr w:rsidR="00FE2173" w:rsidRPr="000E1B7E" w14:paraId="38B004B9" w14:textId="77777777" w:rsidTr="00FE2173">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2106" w:type="pct"/>
            <w:noWrap/>
            <w:hideMark/>
          </w:tcPr>
          <w:p w14:paraId="74D74D12"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lastRenderedPageBreak/>
              <w:t xml:space="preserve">Overall balance </w:t>
            </w:r>
          </w:p>
        </w:tc>
        <w:tc>
          <w:tcPr>
            <w:tcW w:w="502" w:type="pct"/>
            <w:noWrap/>
            <w:hideMark/>
          </w:tcPr>
          <w:p w14:paraId="02B49950"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-4,080</w:t>
            </w:r>
          </w:p>
        </w:tc>
        <w:tc>
          <w:tcPr>
            <w:tcW w:w="502" w:type="pct"/>
            <w:noWrap/>
            <w:hideMark/>
          </w:tcPr>
          <w:p w14:paraId="656A4995"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-3,541</w:t>
            </w:r>
          </w:p>
        </w:tc>
        <w:tc>
          <w:tcPr>
            <w:tcW w:w="694" w:type="pct"/>
            <w:noWrap/>
            <w:hideMark/>
          </w:tcPr>
          <w:p w14:paraId="3995C9D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-4,796 </w:t>
            </w:r>
          </w:p>
        </w:tc>
        <w:tc>
          <w:tcPr>
            <w:tcW w:w="598" w:type="pct"/>
            <w:noWrap/>
            <w:hideMark/>
          </w:tcPr>
          <w:p w14:paraId="426C755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-6,051 </w:t>
            </w:r>
          </w:p>
        </w:tc>
        <w:tc>
          <w:tcPr>
            <w:tcW w:w="598" w:type="pct"/>
            <w:noWrap/>
            <w:hideMark/>
          </w:tcPr>
          <w:p w14:paraId="55DDCA8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-6,948 </w:t>
            </w:r>
          </w:p>
        </w:tc>
      </w:tr>
      <w:tr w:rsidR="00FE2173" w:rsidRPr="000E1B7E" w14:paraId="458120F0" w14:textId="77777777" w:rsidTr="00FE2173">
        <w:trPr>
          <w:trHeight w:val="133"/>
        </w:trPr>
        <w:tc>
          <w:tcPr>
            <w:cnfStyle w:val="001000000000" w:firstRow="0" w:lastRow="0" w:firstColumn="1" w:lastColumn="0" w:oddVBand="0" w:evenVBand="0" w:oddHBand="0" w:evenHBand="0" w:firstRowFirstColumn="0" w:firstRowLastColumn="0" w:lastRowFirstColumn="0" w:lastRowLastColumn="0"/>
            <w:tcW w:w="2106" w:type="pct"/>
            <w:noWrap/>
            <w:hideMark/>
          </w:tcPr>
          <w:p w14:paraId="53B1F8F5"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Excluding grants</w:t>
            </w:r>
          </w:p>
        </w:tc>
        <w:tc>
          <w:tcPr>
            <w:tcW w:w="502" w:type="pct"/>
            <w:noWrap/>
            <w:hideMark/>
          </w:tcPr>
          <w:p w14:paraId="6DA8C158"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-5,227</w:t>
            </w:r>
          </w:p>
        </w:tc>
        <w:tc>
          <w:tcPr>
            <w:tcW w:w="502" w:type="pct"/>
            <w:noWrap/>
            <w:hideMark/>
          </w:tcPr>
          <w:p w14:paraId="7E0E2DD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-4,491</w:t>
            </w:r>
          </w:p>
        </w:tc>
        <w:tc>
          <w:tcPr>
            <w:tcW w:w="694" w:type="pct"/>
            <w:noWrap/>
            <w:hideMark/>
          </w:tcPr>
          <w:p w14:paraId="0101D8CB"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-6,047</w:t>
            </w:r>
          </w:p>
        </w:tc>
        <w:tc>
          <w:tcPr>
            <w:tcW w:w="598" w:type="pct"/>
            <w:noWrap/>
            <w:hideMark/>
          </w:tcPr>
          <w:p w14:paraId="3EE69A1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-7,646</w:t>
            </w:r>
          </w:p>
        </w:tc>
        <w:tc>
          <w:tcPr>
            <w:tcW w:w="598" w:type="pct"/>
            <w:noWrap/>
            <w:hideMark/>
          </w:tcPr>
          <w:p w14:paraId="2FB17278"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-8,294</w:t>
            </w:r>
          </w:p>
        </w:tc>
      </w:tr>
      <w:tr w:rsidR="00FE2173" w:rsidRPr="000E1B7E" w14:paraId="00C70015" w14:textId="77777777" w:rsidTr="00FE2173">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5D96BA3"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Financing</w:t>
            </w:r>
          </w:p>
        </w:tc>
        <w:tc>
          <w:tcPr>
            <w:tcW w:w="502" w:type="pct"/>
            <w:noWrap/>
            <w:hideMark/>
          </w:tcPr>
          <w:p w14:paraId="0102F488"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4,080</w:t>
            </w:r>
          </w:p>
        </w:tc>
        <w:tc>
          <w:tcPr>
            <w:tcW w:w="502" w:type="pct"/>
            <w:noWrap/>
            <w:hideMark/>
          </w:tcPr>
          <w:p w14:paraId="696BAE3D"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3,541</w:t>
            </w:r>
          </w:p>
        </w:tc>
        <w:tc>
          <w:tcPr>
            <w:tcW w:w="694" w:type="pct"/>
            <w:noWrap/>
            <w:hideMark/>
          </w:tcPr>
          <w:p w14:paraId="63085A2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4,796 </w:t>
            </w:r>
          </w:p>
        </w:tc>
        <w:tc>
          <w:tcPr>
            <w:tcW w:w="598" w:type="pct"/>
            <w:noWrap/>
            <w:hideMark/>
          </w:tcPr>
          <w:p w14:paraId="5276DF4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6,051 </w:t>
            </w:r>
          </w:p>
        </w:tc>
        <w:tc>
          <w:tcPr>
            <w:tcW w:w="598" w:type="pct"/>
            <w:noWrap/>
            <w:hideMark/>
          </w:tcPr>
          <w:p w14:paraId="3561B76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6,948 </w:t>
            </w:r>
          </w:p>
        </w:tc>
      </w:tr>
      <w:tr w:rsidR="00FE2173" w:rsidRPr="000E1B7E" w14:paraId="0405D2D4" w14:textId="77777777" w:rsidTr="00FE2173">
        <w:trPr>
          <w:trHeight w:val="79"/>
        </w:trPr>
        <w:tc>
          <w:tcPr>
            <w:cnfStyle w:val="001000000000" w:firstRow="0" w:lastRow="0" w:firstColumn="1" w:lastColumn="0" w:oddVBand="0" w:evenVBand="0" w:oddHBand="0" w:evenHBand="0" w:firstRowFirstColumn="0" w:firstRowLastColumn="0" w:lastRowFirstColumn="0" w:lastRowLastColumn="0"/>
            <w:tcW w:w="2106" w:type="pct"/>
            <w:noWrap/>
            <w:hideMark/>
          </w:tcPr>
          <w:p w14:paraId="6D5AE88A"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External financing (net)</w:t>
            </w:r>
          </w:p>
        </w:tc>
        <w:tc>
          <w:tcPr>
            <w:tcW w:w="502" w:type="pct"/>
            <w:noWrap/>
            <w:hideMark/>
          </w:tcPr>
          <w:p w14:paraId="5397D7D7"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2,494</w:t>
            </w:r>
          </w:p>
        </w:tc>
        <w:tc>
          <w:tcPr>
            <w:tcW w:w="502" w:type="pct"/>
            <w:noWrap/>
            <w:hideMark/>
          </w:tcPr>
          <w:p w14:paraId="03403318"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2,609</w:t>
            </w:r>
          </w:p>
        </w:tc>
        <w:tc>
          <w:tcPr>
            <w:tcW w:w="694" w:type="pct"/>
            <w:noWrap/>
            <w:hideMark/>
          </w:tcPr>
          <w:p w14:paraId="50F4C6FB"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2,649 </w:t>
            </w:r>
          </w:p>
        </w:tc>
        <w:tc>
          <w:tcPr>
            <w:tcW w:w="598" w:type="pct"/>
            <w:noWrap/>
            <w:hideMark/>
          </w:tcPr>
          <w:p w14:paraId="59826BEB"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4,758 </w:t>
            </w:r>
          </w:p>
        </w:tc>
        <w:tc>
          <w:tcPr>
            <w:tcW w:w="598" w:type="pct"/>
            <w:noWrap/>
            <w:hideMark/>
          </w:tcPr>
          <w:p w14:paraId="7B72F3F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6,177 </w:t>
            </w:r>
          </w:p>
        </w:tc>
      </w:tr>
      <w:tr w:rsidR="00FE2173" w:rsidRPr="000E1B7E" w14:paraId="682DF703" w14:textId="77777777" w:rsidTr="00FE2173">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2106" w:type="pct"/>
            <w:noWrap/>
            <w:hideMark/>
          </w:tcPr>
          <w:p w14:paraId="6E75B3CE"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Disbursement</w:t>
            </w:r>
          </w:p>
        </w:tc>
        <w:tc>
          <w:tcPr>
            <w:tcW w:w="502" w:type="pct"/>
            <w:noWrap/>
            <w:hideMark/>
          </w:tcPr>
          <w:p w14:paraId="347FC6CB"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2,814</w:t>
            </w:r>
          </w:p>
        </w:tc>
        <w:tc>
          <w:tcPr>
            <w:tcW w:w="502" w:type="pct"/>
            <w:noWrap/>
            <w:hideMark/>
          </w:tcPr>
          <w:p w14:paraId="24FA356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2,983</w:t>
            </w:r>
          </w:p>
        </w:tc>
        <w:tc>
          <w:tcPr>
            <w:tcW w:w="694" w:type="pct"/>
            <w:noWrap/>
            <w:hideMark/>
          </w:tcPr>
          <w:p w14:paraId="2DDED010"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3,717 </w:t>
            </w:r>
          </w:p>
        </w:tc>
        <w:tc>
          <w:tcPr>
            <w:tcW w:w="598" w:type="pct"/>
            <w:noWrap/>
            <w:hideMark/>
          </w:tcPr>
          <w:p w14:paraId="57E0B90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5,652 </w:t>
            </w:r>
          </w:p>
        </w:tc>
        <w:tc>
          <w:tcPr>
            <w:tcW w:w="598" w:type="pct"/>
            <w:noWrap/>
            <w:hideMark/>
          </w:tcPr>
          <w:p w14:paraId="6326F265"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6,688 </w:t>
            </w:r>
          </w:p>
        </w:tc>
      </w:tr>
      <w:tr w:rsidR="00FE2173" w:rsidRPr="000E1B7E" w14:paraId="0B9713B0" w14:textId="77777777" w:rsidTr="00FE2173">
        <w:trPr>
          <w:trHeight w:val="196"/>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66A24A0"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Budget support</w:t>
            </w:r>
          </w:p>
        </w:tc>
        <w:tc>
          <w:tcPr>
            <w:tcW w:w="502" w:type="pct"/>
            <w:noWrap/>
            <w:hideMark/>
          </w:tcPr>
          <w:p w14:paraId="710BF59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0</w:t>
            </w:r>
          </w:p>
        </w:tc>
        <w:tc>
          <w:tcPr>
            <w:tcW w:w="502" w:type="pct"/>
            <w:noWrap/>
            <w:hideMark/>
          </w:tcPr>
          <w:p w14:paraId="72D9E8DD"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573</w:t>
            </w:r>
          </w:p>
        </w:tc>
        <w:tc>
          <w:tcPr>
            <w:tcW w:w="694" w:type="pct"/>
            <w:noWrap/>
            <w:hideMark/>
          </w:tcPr>
          <w:p w14:paraId="2CC750E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0 </w:t>
            </w:r>
          </w:p>
        </w:tc>
        <w:tc>
          <w:tcPr>
            <w:tcW w:w="598" w:type="pct"/>
            <w:noWrap/>
            <w:hideMark/>
          </w:tcPr>
          <w:p w14:paraId="7577C066"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187 </w:t>
            </w:r>
          </w:p>
        </w:tc>
        <w:tc>
          <w:tcPr>
            <w:tcW w:w="598" w:type="pct"/>
            <w:noWrap/>
            <w:hideMark/>
          </w:tcPr>
          <w:p w14:paraId="0E1D0D62"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192 </w:t>
            </w:r>
          </w:p>
        </w:tc>
      </w:tr>
      <w:tr w:rsidR="00FE2173" w:rsidRPr="000E1B7E" w14:paraId="5623FFA8" w14:textId="77777777" w:rsidTr="00FE2173">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06" w:type="pct"/>
            <w:noWrap/>
            <w:hideMark/>
          </w:tcPr>
          <w:p w14:paraId="3DDB0B6C"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Concessional project loans</w:t>
            </w:r>
          </w:p>
        </w:tc>
        <w:tc>
          <w:tcPr>
            <w:tcW w:w="502" w:type="pct"/>
            <w:noWrap/>
            <w:hideMark/>
          </w:tcPr>
          <w:p w14:paraId="175208D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1,739</w:t>
            </w:r>
          </w:p>
        </w:tc>
        <w:tc>
          <w:tcPr>
            <w:tcW w:w="502" w:type="pct"/>
            <w:noWrap/>
            <w:hideMark/>
          </w:tcPr>
          <w:p w14:paraId="41295148"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1,675</w:t>
            </w:r>
          </w:p>
        </w:tc>
        <w:tc>
          <w:tcPr>
            <w:tcW w:w="694" w:type="pct"/>
            <w:noWrap/>
            <w:hideMark/>
          </w:tcPr>
          <w:p w14:paraId="69200DB2"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1,421 </w:t>
            </w:r>
          </w:p>
        </w:tc>
        <w:tc>
          <w:tcPr>
            <w:tcW w:w="598" w:type="pct"/>
            <w:noWrap/>
            <w:hideMark/>
          </w:tcPr>
          <w:p w14:paraId="0DBA5E01"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3,289 </w:t>
            </w:r>
          </w:p>
        </w:tc>
        <w:tc>
          <w:tcPr>
            <w:tcW w:w="598" w:type="pct"/>
            <w:noWrap/>
            <w:hideMark/>
          </w:tcPr>
          <w:p w14:paraId="41B4F4E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2,846 </w:t>
            </w:r>
          </w:p>
        </w:tc>
      </w:tr>
      <w:tr w:rsidR="00FE2173" w:rsidRPr="000E1B7E" w14:paraId="0E810429" w14:textId="77777777" w:rsidTr="00FE2173">
        <w:trPr>
          <w:trHeight w:val="61"/>
        </w:trPr>
        <w:tc>
          <w:tcPr>
            <w:cnfStyle w:val="001000000000" w:firstRow="0" w:lastRow="0" w:firstColumn="1" w:lastColumn="0" w:oddVBand="0" w:evenVBand="0" w:oddHBand="0" w:evenHBand="0" w:firstRowFirstColumn="0" w:firstRowLastColumn="0" w:lastRowFirstColumn="0" w:lastRowLastColumn="0"/>
            <w:tcW w:w="2106" w:type="pct"/>
            <w:noWrap/>
            <w:hideMark/>
          </w:tcPr>
          <w:p w14:paraId="3E13C3A5"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Non-concessional borrowing</w:t>
            </w:r>
          </w:p>
        </w:tc>
        <w:tc>
          <w:tcPr>
            <w:tcW w:w="502" w:type="pct"/>
            <w:noWrap/>
            <w:hideMark/>
          </w:tcPr>
          <w:p w14:paraId="1745753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1,074</w:t>
            </w:r>
          </w:p>
        </w:tc>
        <w:tc>
          <w:tcPr>
            <w:tcW w:w="502" w:type="pct"/>
            <w:noWrap/>
            <w:hideMark/>
          </w:tcPr>
          <w:p w14:paraId="5EADDA5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736</w:t>
            </w:r>
          </w:p>
        </w:tc>
        <w:tc>
          <w:tcPr>
            <w:tcW w:w="694" w:type="pct"/>
            <w:noWrap/>
            <w:hideMark/>
          </w:tcPr>
          <w:p w14:paraId="4E9E8AB5"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2,149</w:t>
            </w:r>
          </w:p>
        </w:tc>
        <w:tc>
          <w:tcPr>
            <w:tcW w:w="598" w:type="pct"/>
            <w:noWrap/>
            <w:hideMark/>
          </w:tcPr>
          <w:p w14:paraId="333C1DB1"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2,175</w:t>
            </w:r>
          </w:p>
        </w:tc>
        <w:tc>
          <w:tcPr>
            <w:tcW w:w="598" w:type="pct"/>
            <w:noWrap/>
            <w:hideMark/>
          </w:tcPr>
          <w:p w14:paraId="244BE445"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3,650</w:t>
            </w:r>
          </w:p>
        </w:tc>
      </w:tr>
      <w:tr w:rsidR="00FE2173" w:rsidRPr="000E1B7E" w14:paraId="086C6B49" w14:textId="77777777" w:rsidTr="00FE2173">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6894B40"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Revolving credit</w:t>
            </w:r>
          </w:p>
        </w:tc>
        <w:tc>
          <w:tcPr>
            <w:tcW w:w="502" w:type="pct"/>
            <w:noWrap/>
            <w:hideMark/>
          </w:tcPr>
          <w:p w14:paraId="5C188C1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0</w:t>
            </w:r>
          </w:p>
        </w:tc>
        <w:tc>
          <w:tcPr>
            <w:tcW w:w="502" w:type="pct"/>
            <w:noWrap/>
            <w:hideMark/>
          </w:tcPr>
          <w:p w14:paraId="34C4721B"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573</w:t>
            </w:r>
          </w:p>
        </w:tc>
        <w:tc>
          <w:tcPr>
            <w:tcW w:w="694" w:type="pct"/>
            <w:noWrap/>
            <w:hideMark/>
          </w:tcPr>
          <w:p w14:paraId="6F5A3E69"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147</w:t>
            </w:r>
          </w:p>
        </w:tc>
        <w:tc>
          <w:tcPr>
            <w:tcW w:w="598" w:type="pct"/>
            <w:noWrap/>
            <w:hideMark/>
          </w:tcPr>
          <w:p w14:paraId="741942B8"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0</w:t>
            </w:r>
          </w:p>
        </w:tc>
        <w:tc>
          <w:tcPr>
            <w:tcW w:w="598" w:type="pct"/>
            <w:noWrap/>
            <w:hideMark/>
          </w:tcPr>
          <w:p w14:paraId="0821815C"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0</w:t>
            </w:r>
          </w:p>
        </w:tc>
      </w:tr>
      <w:tr w:rsidR="00FE2173" w:rsidRPr="000E1B7E" w14:paraId="49C63D6F" w14:textId="77777777" w:rsidTr="00FE2173">
        <w:trPr>
          <w:trHeight w:val="106"/>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25C8039"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Amortisation (-)</w:t>
            </w:r>
          </w:p>
        </w:tc>
        <w:tc>
          <w:tcPr>
            <w:tcW w:w="502" w:type="pct"/>
            <w:noWrap/>
            <w:hideMark/>
          </w:tcPr>
          <w:p w14:paraId="71AFE717"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-313</w:t>
            </w:r>
          </w:p>
        </w:tc>
        <w:tc>
          <w:tcPr>
            <w:tcW w:w="502" w:type="pct"/>
            <w:noWrap/>
            <w:hideMark/>
          </w:tcPr>
          <w:p w14:paraId="04415C2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-371</w:t>
            </w:r>
          </w:p>
        </w:tc>
        <w:tc>
          <w:tcPr>
            <w:tcW w:w="694" w:type="pct"/>
            <w:noWrap/>
            <w:hideMark/>
          </w:tcPr>
          <w:p w14:paraId="5A786B1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-1,071</w:t>
            </w:r>
          </w:p>
        </w:tc>
        <w:tc>
          <w:tcPr>
            <w:tcW w:w="598" w:type="pct"/>
            <w:noWrap/>
            <w:hideMark/>
          </w:tcPr>
          <w:p w14:paraId="58B0B93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-894</w:t>
            </w:r>
          </w:p>
        </w:tc>
        <w:tc>
          <w:tcPr>
            <w:tcW w:w="598" w:type="pct"/>
            <w:noWrap/>
            <w:hideMark/>
          </w:tcPr>
          <w:p w14:paraId="0EBED38B"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-511</w:t>
            </w:r>
          </w:p>
        </w:tc>
      </w:tr>
      <w:tr w:rsidR="00FE2173" w:rsidRPr="000E1B7E" w14:paraId="04023D25" w14:textId="77777777" w:rsidTr="00FE2173">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2106" w:type="pct"/>
            <w:noWrap/>
            <w:hideMark/>
          </w:tcPr>
          <w:p w14:paraId="552F9F2B"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Domestic financing (net)</w:t>
            </w:r>
          </w:p>
        </w:tc>
        <w:tc>
          <w:tcPr>
            <w:tcW w:w="502" w:type="pct"/>
            <w:noWrap/>
            <w:hideMark/>
          </w:tcPr>
          <w:p w14:paraId="1EFA1847"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1,899</w:t>
            </w:r>
          </w:p>
        </w:tc>
        <w:tc>
          <w:tcPr>
            <w:tcW w:w="502" w:type="pct"/>
            <w:noWrap/>
            <w:hideMark/>
          </w:tcPr>
          <w:p w14:paraId="7B822598"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603</w:t>
            </w:r>
          </w:p>
        </w:tc>
        <w:tc>
          <w:tcPr>
            <w:tcW w:w="694" w:type="pct"/>
            <w:noWrap/>
            <w:hideMark/>
          </w:tcPr>
          <w:p w14:paraId="4AE9353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2,147 </w:t>
            </w:r>
          </w:p>
        </w:tc>
        <w:tc>
          <w:tcPr>
            <w:tcW w:w="598" w:type="pct"/>
            <w:noWrap/>
            <w:hideMark/>
          </w:tcPr>
          <w:p w14:paraId="6FAABE77"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1,293 </w:t>
            </w:r>
          </w:p>
        </w:tc>
        <w:tc>
          <w:tcPr>
            <w:tcW w:w="598" w:type="pct"/>
            <w:noWrap/>
            <w:hideMark/>
          </w:tcPr>
          <w:p w14:paraId="0459CC60"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772 </w:t>
            </w:r>
          </w:p>
        </w:tc>
      </w:tr>
      <w:tr w:rsidR="00FE2173" w:rsidRPr="000E1B7E" w14:paraId="2B7F1989" w14:textId="77777777" w:rsidTr="00FE2173">
        <w:trPr>
          <w:trHeight w:val="52"/>
        </w:trPr>
        <w:tc>
          <w:tcPr>
            <w:cnfStyle w:val="001000000000" w:firstRow="0" w:lastRow="0" w:firstColumn="1" w:lastColumn="0" w:oddVBand="0" w:evenVBand="0" w:oddHBand="0" w:evenHBand="0" w:firstRowFirstColumn="0" w:firstRowLastColumn="0" w:lastRowFirstColumn="0" w:lastRowLastColumn="0"/>
            <w:tcW w:w="2106" w:type="pct"/>
            <w:noWrap/>
            <w:hideMark/>
          </w:tcPr>
          <w:p w14:paraId="64F065BE"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Bank financing</w:t>
            </w:r>
          </w:p>
        </w:tc>
        <w:tc>
          <w:tcPr>
            <w:tcW w:w="502" w:type="pct"/>
            <w:noWrap/>
            <w:hideMark/>
          </w:tcPr>
          <w:p w14:paraId="757C17C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923</w:t>
            </w:r>
          </w:p>
        </w:tc>
        <w:tc>
          <w:tcPr>
            <w:tcW w:w="502" w:type="pct"/>
            <w:noWrap/>
            <w:hideMark/>
          </w:tcPr>
          <w:p w14:paraId="34A9A48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-297</w:t>
            </w:r>
          </w:p>
        </w:tc>
        <w:tc>
          <w:tcPr>
            <w:tcW w:w="694" w:type="pct"/>
            <w:noWrap/>
            <w:hideMark/>
          </w:tcPr>
          <w:p w14:paraId="6B1AC54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1,300 </w:t>
            </w:r>
          </w:p>
        </w:tc>
        <w:tc>
          <w:tcPr>
            <w:tcW w:w="598" w:type="pct"/>
            <w:noWrap/>
            <w:hideMark/>
          </w:tcPr>
          <w:p w14:paraId="7D104CD9"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746 </w:t>
            </w:r>
          </w:p>
        </w:tc>
        <w:tc>
          <w:tcPr>
            <w:tcW w:w="598" w:type="pct"/>
            <w:noWrap/>
            <w:hideMark/>
          </w:tcPr>
          <w:p w14:paraId="7561296C"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385 </w:t>
            </w:r>
          </w:p>
        </w:tc>
      </w:tr>
      <w:tr w:rsidR="00FE2173" w:rsidRPr="000E1B7E" w14:paraId="35EA1985" w14:textId="77777777" w:rsidTr="00FE217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60355A4"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Bank of Uganda</w:t>
            </w:r>
          </w:p>
        </w:tc>
        <w:tc>
          <w:tcPr>
            <w:tcW w:w="502" w:type="pct"/>
            <w:noWrap/>
            <w:hideMark/>
          </w:tcPr>
          <w:p w14:paraId="08F94940"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309</w:t>
            </w:r>
          </w:p>
        </w:tc>
        <w:tc>
          <w:tcPr>
            <w:tcW w:w="502" w:type="pct"/>
            <w:noWrap/>
            <w:hideMark/>
          </w:tcPr>
          <w:p w14:paraId="5E7BD977"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-5,383</w:t>
            </w:r>
          </w:p>
        </w:tc>
        <w:tc>
          <w:tcPr>
            <w:tcW w:w="694" w:type="pct"/>
            <w:noWrap/>
            <w:hideMark/>
          </w:tcPr>
          <w:p w14:paraId="5052936E"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-4,744</w:t>
            </w:r>
          </w:p>
        </w:tc>
        <w:tc>
          <w:tcPr>
            <w:tcW w:w="598" w:type="pct"/>
            <w:noWrap/>
            <w:hideMark/>
          </w:tcPr>
          <w:p w14:paraId="0AEEBDB4"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-5,072</w:t>
            </w:r>
          </w:p>
        </w:tc>
        <w:tc>
          <w:tcPr>
            <w:tcW w:w="598" w:type="pct"/>
            <w:noWrap/>
            <w:hideMark/>
          </w:tcPr>
          <w:p w14:paraId="03F05499"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-5,270</w:t>
            </w:r>
          </w:p>
        </w:tc>
      </w:tr>
      <w:tr w:rsidR="00FE2173" w:rsidRPr="000E1B7E" w14:paraId="554A89B8" w14:textId="77777777" w:rsidTr="00FE2173">
        <w:trPr>
          <w:trHeight w:val="133"/>
        </w:trPr>
        <w:tc>
          <w:tcPr>
            <w:cnfStyle w:val="001000000000" w:firstRow="0" w:lastRow="0" w:firstColumn="1" w:lastColumn="0" w:oddVBand="0" w:evenVBand="0" w:oddHBand="0" w:evenHBand="0" w:firstRowFirstColumn="0" w:firstRowLastColumn="0" w:lastRowFirstColumn="0" w:lastRowLastColumn="0"/>
            <w:tcW w:w="2106" w:type="pct"/>
            <w:noWrap/>
            <w:hideMark/>
          </w:tcPr>
          <w:p w14:paraId="70E1D609"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Commercial banks</w:t>
            </w:r>
          </w:p>
        </w:tc>
        <w:tc>
          <w:tcPr>
            <w:tcW w:w="502" w:type="pct"/>
            <w:noWrap/>
            <w:hideMark/>
          </w:tcPr>
          <w:p w14:paraId="22DD057E"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614</w:t>
            </w:r>
          </w:p>
        </w:tc>
        <w:tc>
          <w:tcPr>
            <w:tcW w:w="502" w:type="pct"/>
            <w:noWrap/>
            <w:hideMark/>
          </w:tcPr>
          <w:p w14:paraId="14286DB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5,085</w:t>
            </w:r>
          </w:p>
        </w:tc>
        <w:tc>
          <w:tcPr>
            <w:tcW w:w="694" w:type="pct"/>
            <w:noWrap/>
            <w:hideMark/>
          </w:tcPr>
          <w:p w14:paraId="6E06E9FD"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6,044</w:t>
            </w:r>
          </w:p>
        </w:tc>
        <w:tc>
          <w:tcPr>
            <w:tcW w:w="598" w:type="pct"/>
            <w:noWrap/>
            <w:hideMark/>
          </w:tcPr>
          <w:p w14:paraId="1A4B7231"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5,817</w:t>
            </w:r>
          </w:p>
        </w:tc>
        <w:tc>
          <w:tcPr>
            <w:tcW w:w="598" w:type="pct"/>
            <w:noWrap/>
            <w:hideMark/>
          </w:tcPr>
          <w:p w14:paraId="5B688F3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5,655</w:t>
            </w:r>
          </w:p>
        </w:tc>
      </w:tr>
      <w:tr w:rsidR="00FE2173" w:rsidRPr="000E1B7E" w14:paraId="59EE0420" w14:textId="77777777" w:rsidTr="00FE2173">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106" w:type="pct"/>
            <w:noWrap/>
            <w:hideMark/>
          </w:tcPr>
          <w:p w14:paraId="27922ACB"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o/w: securities for fiscal purposes</w:t>
            </w:r>
          </w:p>
        </w:tc>
        <w:tc>
          <w:tcPr>
            <w:tcW w:w="502" w:type="pct"/>
            <w:noWrap/>
            <w:hideMark/>
          </w:tcPr>
          <w:p w14:paraId="2D806425"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375</w:t>
            </w:r>
          </w:p>
        </w:tc>
        <w:tc>
          <w:tcPr>
            <w:tcW w:w="502" w:type="pct"/>
            <w:noWrap/>
            <w:hideMark/>
          </w:tcPr>
          <w:p w14:paraId="318EB45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-289</w:t>
            </w:r>
          </w:p>
        </w:tc>
        <w:tc>
          <w:tcPr>
            <w:tcW w:w="694" w:type="pct"/>
            <w:noWrap/>
            <w:hideMark/>
          </w:tcPr>
          <w:p w14:paraId="4AA9195D"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843 </w:t>
            </w:r>
          </w:p>
        </w:tc>
        <w:tc>
          <w:tcPr>
            <w:tcW w:w="598" w:type="pct"/>
            <w:noWrap/>
            <w:hideMark/>
          </w:tcPr>
          <w:p w14:paraId="543EE19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546 </w:t>
            </w:r>
          </w:p>
        </w:tc>
        <w:tc>
          <w:tcPr>
            <w:tcW w:w="598" w:type="pct"/>
            <w:noWrap/>
            <w:hideMark/>
          </w:tcPr>
          <w:p w14:paraId="0B626CA1"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385 </w:t>
            </w:r>
          </w:p>
        </w:tc>
      </w:tr>
      <w:tr w:rsidR="00FE2173" w:rsidRPr="000E1B7E" w14:paraId="6837FBD1" w14:textId="77777777" w:rsidTr="00FE2173">
        <w:trPr>
          <w:trHeight w:val="16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1B211CD7"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Non-Bank financing</w:t>
            </w:r>
          </w:p>
        </w:tc>
        <w:tc>
          <w:tcPr>
            <w:tcW w:w="502" w:type="pct"/>
            <w:noWrap/>
            <w:hideMark/>
          </w:tcPr>
          <w:p w14:paraId="605C1615"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976</w:t>
            </w:r>
          </w:p>
        </w:tc>
        <w:tc>
          <w:tcPr>
            <w:tcW w:w="502" w:type="pct"/>
            <w:noWrap/>
            <w:hideMark/>
          </w:tcPr>
          <w:p w14:paraId="47C8036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901</w:t>
            </w:r>
          </w:p>
        </w:tc>
        <w:tc>
          <w:tcPr>
            <w:tcW w:w="694" w:type="pct"/>
            <w:noWrap/>
            <w:hideMark/>
          </w:tcPr>
          <w:p w14:paraId="5F36CC0C"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847</w:t>
            </w:r>
          </w:p>
        </w:tc>
        <w:tc>
          <w:tcPr>
            <w:tcW w:w="598" w:type="pct"/>
            <w:noWrap/>
            <w:hideMark/>
          </w:tcPr>
          <w:p w14:paraId="543ED574"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548</w:t>
            </w:r>
          </w:p>
        </w:tc>
        <w:tc>
          <w:tcPr>
            <w:tcW w:w="598" w:type="pct"/>
            <w:noWrap/>
            <w:hideMark/>
          </w:tcPr>
          <w:p w14:paraId="098FAEF7"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387</w:t>
            </w:r>
          </w:p>
        </w:tc>
      </w:tr>
      <w:tr w:rsidR="00FE2173" w:rsidRPr="000E1B7E" w14:paraId="707CC5B3" w14:textId="77777777" w:rsidTr="00FE217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46C462B5"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Errors and omissions/gap</w:t>
            </w:r>
          </w:p>
        </w:tc>
        <w:tc>
          <w:tcPr>
            <w:tcW w:w="502" w:type="pct"/>
            <w:noWrap/>
            <w:hideMark/>
          </w:tcPr>
          <w:p w14:paraId="770B952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-313</w:t>
            </w:r>
          </w:p>
        </w:tc>
        <w:tc>
          <w:tcPr>
            <w:tcW w:w="502" w:type="pct"/>
            <w:noWrap/>
            <w:hideMark/>
          </w:tcPr>
          <w:p w14:paraId="12665D2E"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329</w:t>
            </w:r>
          </w:p>
        </w:tc>
        <w:tc>
          <w:tcPr>
            <w:tcW w:w="694" w:type="pct"/>
            <w:noWrap/>
            <w:hideMark/>
          </w:tcPr>
          <w:p w14:paraId="7C1156FE"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0 </w:t>
            </w:r>
          </w:p>
        </w:tc>
        <w:tc>
          <w:tcPr>
            <w:tcW w:w="598" w:type="pct"/>
            <w:noWrap/>
            <w:hideMark/>
          </w:tcPr>
          <w:p w14:paraId="404351B3"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0 </w:t>
            </w:r>
          </w:p>
        </w:tc>
        <w:tc>
          <w:tcPr>
            <w:tcW w:w="598" w:type="pct"/>
            <w:noWrap/>
            <w:hideMark/>
          </w:tcPr>
          <w:p w14:paraId="71A20A94"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 xml:space="preserve">0 </w:t>
            </w:r>
          </w:p>
        </w:tc>
      </w:tr>
      <w:tr w:rsidR="00FE2173" w:rsidRPr="000E1B7E" w14:paraId="6627D4DE" w14:textId="77777777" w:rsidTr="00FE2173">
        <w:trPr>
          <w:trHeight w:val="214"/>
        </w:trPr>
        <w:tc>
          <w:tcPr>
            <w:cnfStyle w:val="001000000000" w:firstRow="0" w:lastRow="0" w:firstColumn="1" w:lastColumn="0" w:oddVBand="0" w:evenVBand="0" w:oddHBand="0" w:evenHBand="0" w:firstRowFirstColumn="0" w:firstRowLastColumn="0" w:lastRowFirstColumn="0" w:lastRowLastColumn="0"/>
            <w:tcW w:w="2106" w:type="pct"/>
            <w:noWrap/>
            <w:hideMark/>
          </w:tcPr>
          <w:p w14:paraId="7DB960A1"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Fiscal deficit (% of GDP)</w:t>
            </w:r>
          </w:p>
        </w:tc>
        <w:tc>
          <w:tcPr>
            <w:tcW w:w="502" w:type="pct"/>
            <w:noWrap/>
            <w:hideMark/>
          </w:tcPr>
          <w:p w14:paraId="4BBD036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02" w:type="pct"/>
            <w:noWrap/>
            <w:hideMark/>
          </w:tcPr>
          <w:p w14:paraId="2D37D365"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694" w:type="pct"/>
            <w:noWrap/>
            <w:hideMark/>
          </w:tcPr>
          <w:p w14:paraId="51B588C8"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98" w:type="pct"/>
            <w:noWrap/>
            <w:hideMark/>
          </w:tcPr>
          <w:p w14:paraId="3C4D383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598" w:type="pct"/>
            <w:noWrap/>
            <w:hideMark/>
          </w:tcPr>
          <w:p w14:paraId="7973AFAF"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FE2173" w:rsidRPr="000E1B7E" w14:paraId="6B99F686" w14:textId="77777777" w:rsidTr="00FE2173">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106" w:type="pct"/>
            <w:noWrap/>
            <w:hideMark/>
          </w:tcPr>
          <w:p w14:paraId="211E3213"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Including grants and HIPC debt relief</w:t>
            </w:r>
          </w:p>
        </w:tc>
        <w:tc>
          <w:tcPr>
            <w:tcW w:w="502" w:type="pct"/>
            <w:noWrap/>
            <w:hideMark/>
          </w:tcPr>
          <w:p w14:paraId="1E73CC2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-4.9%</w:t>
            </w:r>
          </w:p>
        </w:tc>
        <w:tc>
          <w:tcPr>
            <w:tcW w:w="502" w:type="pct"/>
            <w:noWrap/>
            <w:hideMark/>
          </w:tcPr>
          <w:p w14:paraId="5B6CF34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-3.9%</w:t>
            </w:r>
          </w:p>
        </w:tc>
        <w:tc>
          <w:tcPr>
            <w:tcW w:w="694" w:type="pct"/>
            <w:noWrap/>
            <w:hideMark/>
          </w:tcPr>
          <w:p w14:paraId="7DBDBA37"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-4.8%</w:t>
            </w:r>
          </w:p>
        </w:tc>
        <w:tc>
          <w:tcPr>
            <w:tcW w:w="598" w:type="pct"/>
            <w:noWrap/>
            <w:hideMark/>
          </w:tcPr>
          <w:p w14:paraId="729DBE7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-5.5%</w:t>
            </w:r>
          </w:p>
        </w:tc>
        <w:tc>
          <w:tcPr>
            <w:tcW w:w="598" w:type="pct"/>
            <w:noWrap/>
            <w:hideMark/>
          </w:tcPr>
          <w:p w14:paraId="28A20B58"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-5.7%</w:t>
            </w:r>
          </w:p>
        </w:tc>
      </w:tr>
      <w:tr w:rsidR="00FE2173" w:rsidRPr="000E1B7E" w14:paraId="4AA67BF6" w14:textId="77777777" w:rsidTr="00FE2173">
        <w:trPr>
          <w:trHeight w:val="70"/>
        </w:trPr>
        <w:tc>
          <w:tcPr>
            <w:cnfStyle w:val="001000000000" w:firstRow="0" w:lastRow="0" w:firstColumn="1" w:lastColumn="0" w:oddVBand="0" w:evenVBand="0" w:oddHBand="0" w:evenHBand="0" w:firstRowFirstColumn="0" w:firstRowLastColumn="0" w:lastRowFirstColumn="0" w:lastRowLastColumn="0"/>
            <w:tcW w:w="2106" w:type="pct"/>
            <w:noWrap/>
            <w:hideMark/>
          </w:tcPr>
          <w:p w14:paraId="0C935E6E"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 xml:space="preserve">    Excluding grants </w:t>
            </w:r>
          </w:p>
        </w:tc>
        <w:tc>
          <w:tcPr>
            <w:tcW w:w="502" w:type="pct"/>
            <w:noWrap/>
            <w:hideMark/>
          </w:tcPr>
          <w:p w14:paraId="0C9A5D3C"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-6.3%</w:t>
            </w:r>
          </w:p>
        </w:tc>
        <w:tc>
          <w:tcPr>
            <w:tcW w:w="502" w:type="pct"/>
            <w:noWrap/>
            <w:hideMark/>
          </w:tcPr>
          <w:p w14:paraId="18F76DEA"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-4.9%</w:t>
            </w:r>
          </w:p>
        </w:tc>
        <w:tc>
          <w:tcPr>
            <w:tcW w:w="694" w:type="pct"/>
            <w:noWrap/>
            <w:hideMark/>
          </w:tcPr>
          <w:p w14:paraId="67405670"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-6.0%</w:t>
            </w:r>
          </w:p>
        </w:tc>
        <w:tc>
          <w:tcPr>
            <w:tcW w:w="598" w:type="pct"/>
            <w:noWrap/>
            <w:hideMark/>
          </w:tcPr>
          <w:p w14:paraId="2A40FBE1"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-7.0%</w:t>
            </w:r>
          </w:p>
        </w:tc>
        <w:tc>
          <w:tcPr>
            <w:tcW w:w="598" w:type="pct"/>
            <w:noWrap/>
            <w:hideMark/>
          </w:tcPr>
          <w:p w14:paraId="1A0B9D83" w14:textId="77777777" w:rsidR="00FE2173" w:rsidRPr="000E1B7E" w:rsidRDefault="00FE2173"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-6.8%</w:t>
            </w:r>
          </w:p>
        </w:tc>
      </w:tr>
      <w:tr w:rsidR="00FE2173" w:rsidRPr="000E1B7E" w14:paraId="0F8BA81F" w14:textId="77777777" w:rsidTr="00FE2173">
        <w:trPr>
          <w:cnfStyle w:val="000000100000" w:firstRow="0" w:lastRow="0" w:firstColumn="0" w:lastColumn="0" w:oddVBand="0" w:evenVBand="0" w:oddHBand="1" w:evenHBand="0" w:firstRowFirstColumn="0" w:firstRowLastColumn="0" w:lastRowFirstColumn="0" w:lastRowLastColumn="0"/>
          <w:trHeight w:val="88"/>
        </w:trPr>
        <w:tc>
          <w:tcPr>
            <w:cnfStyle w:val="001000000000" w:firstRow="0" w:lastRow="0" w:firstColumn="1" w:lastColumn="0" w:oddVBand="0" w:evenVBand="0" w:oddHBand="0" w:evenHBand="0" w:firstRowFirstColumn="0" w:firstRowLastColumn="0" w:lastRowFirstColumn="0" w:lastRowLastColumn="0"/>
            <w:tcW w:w="2106" w:type="pct"/>
            <w:noWrap/>
            <w:hideMark/>
          </w:tcPr>
          <w:p w14:paraId="6FEE703E" w14:textId="77777777" w:rsidR="00FE2173" w:rsidRPr="000E1B7E" w:rsidRDefault="00FE2173"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Expenditure(% GDP)</w:t>
            </w:r>
            <w:r w:rsidR="00CB1369" w:rsidRPr="000E1B7E">
              <w:rPr>
                <w:rFonts w:ascii="Times New Roman" w:hAnsi="Times New Roman"/>
                <w:sz w:val="20"/>
                <w:szCs w:val="20"/>
                <w:lang w:val="en-US"/>
              </w:rPr>
              <w:t xml:space="preserve"> – actual </w:t>
            </w:r>
          </w:p>
        </w:tc>
        <w:tc>
          <w:tcPr>
            <w:tcW w:w="502" w:type="pct"/>
            <w:noWrap/>
            <w:hideMark/>
          </w:tcPr>
          <w:p w14:paraId="2954FF99"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20.2%</w:t>
            </w:r>
          </w:p>
        </w:tc>
        <w:tc>
          <w:tcPr>
            <w:tcW w:w="502" w:type="pct"/>
            <w:noWrap/>
            <w:hideMark/>
          </w:tcPr>
          <w:p w14:paraId="3CDE5AD6"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19.1%</w:t>
            </w:r>
          </w:p>
        </w:tc>
        <w:tc>
          <w:tcPr>
            <w:tcW w:w="694" w:type="pct"/>
            <w:noWrap/>
            <w:hideMark/>
          </w:tcPr>
          <w:p w14:paraId="394F9DCF"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20.4%</w:t>
            </w:r>
          </w:p>
        </w:tc>
        <w:tc>
          <w:tcPr>
            <w:tcW w:w="598" w:type="pct"/>
            <w:noWrap/>
            <w:hideMark/>
          </w:tcPr>
          <w:p w14:paraId="3E65CE6A"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21.7%</w:t>
            </w:r>
          </w:p>
        </w:tc>
        <w:tc>
          <w:tcPr>
            <w:tcW w:w="598" w:type="pct"/>
            <w:noWrap/>
            <w:hideMark/>
          </w:tcPr>
          <w:p w14:paraId="62AC8588" w14:textId="77777777" w:rsidR="00FE2173" w:rsidRPr="000E1B7E" w:rsidRDefault="00FE2173" w:rsidP="005959B5">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22.0%</w:t>
            </w:r>
          </w:p>
        </w:tc>
      </w:tr>
      <w:tr w:rsidR="00CB1369" w:rsidRPr="000E1B7E" w14:paraId="02BA2583" w14:textId="77777777" w:rsidTr="00FE2173">
        <w:trPr>
          <w:trHeight w:val="88"/>
        </w:trPr>
        <w:tc>
          <w:tcPr>
            <w:cnfStyle w:val="001000000000" w:firstRow="0" w:lastRow="0" w:firstColumn="1" w:lastColumn="0" w:oddVBand="0" w:evenVBand="0" w:oddHBand="0" w:evenHBand="0" w:firstRowFirstColumn="0" w:firstRowLastColumn="0" w:lastRowFirstColumn="0" w:lastRowLastColumn="0"/>
            <w:tcW w:w="2106" w:type="pct"/>
            <w:noWrap/>
          </w:tcPr>
          <w:p w14:paraId="7BBD6E72" w14:textId="77777777" w:rsidR="00CB1369" w:rsidRPr="000E1B7E" w:rsidRDefault="00CB1369" w:rsidP="005959B5">
            <w:pPr>
              <w:contextualSpacing/>
              <w:jc w:val="both"/>
              <w:rPr>
                <w:rFonts w:ascii="Times New Roman" w:hAnsi="Times New Roman"/>
                <w:sz w:val="20"/>
                <w:szCs w:val="20"/>
                <w:lang w:val="en-US"/>
              </w:rPr>
            </w:pPr>
            <w:r w:rsidRPr="000E1B7E">
              <w:rPr>
                <w:rFonts w:ascii="Times New Roman" w:hAnsi="Times New Roman"/>
                <w:sz w:val="20"/>
                <w:szCs w:val="20"/>
                <w:lang w:val="en-US"/>
              </w:rPr>
              <w:t>Expenditure (% GDP) – NDP II projection</w:t>
            </w:r>
          </w:p>
        </w:tc>
        <w:tc>
          <w:tcPr>
            <w:tcW w:w="502" w:type="pct"/>
            <w:noWrap/>
          </w:tcPr>
          <w:p w14:paraId="2D430CAB" w14:textId="77777777" w:rsidR="00CB1369" w:rsidRPr="000E1B7E" w:rsidRDefault="00CB1369"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21.9%</w:t>
            </w:r>
          </w:p>
        </w:tc>
        <w:tc>
          <w:tcPr>
            <w:tcW w:w="502" w:type="pct"/>
            <w:noWrap/>
          </w:tcPr>
          <w:p w14:paraId="0049BC57" w14:textId="77777777" w:rsidR="00CB1369" w:rsidRPr="000E1B7E" w:rsidRDefault="00CB1369"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23.0%</w:t>
            </w:r>
          </w:p>
        </w:tc>
        <w:tc>
          <w:tcPr>
            <w:tcW w:w="694" w:type="pct"/>
            <w:noWrap/>
          </w:tcPr>
          <w:p w14:paraId="27CAFC45" w14:textId="77777777" w:rsidR="00CB1369" w:rsidRPr="000E1B7E" w:rsidRDefault="00CB1369"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22.5%</w:t>
            </w:r>
          </w:p>
        </w:tc>
        <w:tc>
          <w:tcPr>
            <w:tcW w:w="598" w:type="pct"/>
            <w:noWrap/>
          </w:tcPr>
          <w:p w14:paraId="313CB26B" w14:textId="77777777" w:rsidR="00CB1369" w:rsidRPr="000E1B7E" w:rsidRDefault="00CB1369"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21.8%</w:t>
            </w:r>
          </w:p>
        </w:tc>
        <w:tc>
          <w:tcPr>
            <w:tcW w:w="598" w:type="pct"/>
            <w:noWrap/>
          </w:tcPr>
          <w:p w14:paraId="00958273" w14:textId="77777777" w:rsidR="00CB1369" w:rsidRPr="000E1B7E" w:rsidRDefault="00CB1369" w:rsidP="005959B5">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0E1B7E">
              <w:rPr>
                <w:rFonts w:ascii="Times New Roman" w:hAnsi="Times New Roman"/>
                <w:sz w:val="20"/>
                <w:szCs w:val="20"/>
                <w:lang w:val="en-US"/>
              </w:rPr>
              <w:t>20.8%</w:t>
            </w:r>
          </w:p>
        </w:tc>
      </w:tr>
    </w:tbl>
    <w:p w14:paraId="3A3DBAC1" w14:textId="77777777" w:rsidR="00F8620E" w:rsidRPr="000E1B7E" w:rsidRDefault="00F8620E" w:rsidP="005959B5">
      <w:pPr>
        <w:spacing w:line="360" w:lineRule="auto"/>
        <w:jc w:val="both"/>
      </w:pPr>
      <w:r w:rsidRPr="000E1B7E">
        <w:t>Source: MFPED</w:t>
      </w:r>
    </w:p>
    <w:p w14:paraId="6D324ADF" w14:textId="77777777" w:rsidR="00991B1B" w:rsidRPr="000E1B7E" w:rsidRDefault="00991B1B" w:rsidP="005959B5">
      <w:pPr>
        <w:pStyle w:val="Normal1"/>
        <w:spacing w:after="0" w:line="240" w:lineRule="auto"/>
        <w:jc w:val="both"/>
        <w:rPr>
          <w:rFonts w:ascii="Times New Roman" w:hAnsi="Times New Roman" w:cs="Times New Roman"/>
          <w:b/>
        </w:rPr>
      </w:pPr>
    </w:p>
    <w:p w14:paraId="3D6F4CEA" w14:textId="77777777" w:rsidR="00127B81" w:rsidRPr="000E1B7E" w:rsidRDefault="00127B81" w:rsidP="00C11847">
      <w:pPr>
        <w:pStyle w:val="DeltaSeched2"/>
      </w:pPr>
      <w:bookmarkStart w:id="94" w:name="_Toc3478384"/>
      <w:bookmarkStart w:id="95" w:name="_Toc11956266"/>
      <w:r w:rsidRPr="000E1B7E">
        <w:t>Domestic Revenue Mobilisation</w:t>
      </w:r>
      <w:bookmarkEnd w:id="94"/>
      <w:bookmarkEnd w:id="95"/>
    </w:p>
    <w:p w14:paraId="71E6893E" w14:textId="77777777" w:rsidR="00127B81" w:rsidRPr="000E1B7E" w:rsidRDefault="00C30DEB"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The </w:t>
      </w:r>
      <w:r w:rsidR="00127B81" w:rsidRPr="000E1B7E">
        <w:rPr>
          <w:rFonts w:ascii="Times New Roman" w:hAnsi="Times New Roman"/>
          <w:sz w:val="24"/>
          <w:szCs w:val="24"/>
        </w:rPr>
        <w:t xml:space="preserve">NDP II financing strategy emphasises increased domestic revenue mobilisation to finance NDP II implementation. Low domestic revenue mobilisation under NDP I was attributed to the large informal sector that constituted 43 percent of GDP; the narrow tax base composed of a few tax payers coupled with a weak tax exemptions regime; and weaknesses in tax administration. </w:t>
      </w:r>
      <w:r w:rsidR="00763524" w:rsidRPr="000E1B7E">
        <w:rPr>
          <w:rFonts w:ascii="Times New Roman" w:hAnsi="Times New Roman"/>
          <w:sz w:val="24"/>
          <w:szCs w:val="24"/>
        </w:rPr>
        <w:t xml:space="preserve">The </w:t>
      </w:r>
      <w:r w:rsidR="00127B81" w:rsidRPr="000E1B7E">
        <w:rPr>
          <w:rFonts w:ascii="Times New Roman" w:hAnsi="Times New Roman"/>
          <w:sz w:val="24"/>
          <w:szCs w:val="24"/>
        </w:rPr>
        <w:t xml:space="preserve">NDP II target was to increase tax to GDP ratio from </w:t>
      </w:r>
      <w:r w:rsidR="00127B81" w:rsidRPr="000E1B7E">
        <w:rPr>
          <w:rFonts w:ascii="Times New Roman" w:hAnsi="Times New Roman"/>
          <w:sz w:val="24"/>
          <w:szCs w:val="24"/>
        </w:rPr>
        <w:lastRenderedPageBreak/>
        <w:t>1</w:t>
      </w:r>
      <w:r w:rsidR="00C01697" w:rsidRPr="000E1B7E">
        <w:rPr>
          <w:rFonts w:ascii="Times New Roman" w:hAnsi="Times New Roman"/>
          <w:sz w:val="24"/>
          <w:szCs w:val="24"/>
        </w:rPr>
        <w:t>3.0</w:t>
      </w:r>
      <w:r w:rsidR="00127B81" w:rsidRPr="000E1B7E">
        <w:rPr>
          <w:rFonts w:ascii="Times New Roman" w:hAnsi="Times New Roman"/>
          <w:sz w:val="24"/>
          <w:szCs w:val="24"/>
        </w:rPr>
        <w:t xml:space="preserve"> percent in 2014/15 to 1</w:t>
      </w:r>
      <w:r w:rsidR="00763524" w:rsidRPr="000E1B7E">
        <w:rPr>
          <w:rFonts w:ascii="Times New Roman" w:hAnsi="Times New Roman"/>
          <w:sz w:val="24"/>
          <w:szCs w:val="24"/>
        </w:rPr>
        <w:t>5.</w:t>
      </w:r>
      <w:r w:rsidR="00C01697" w:rsidRPr="000E1B7E">
        <w:rPr>
          <w:rFonts w:ascii="Times New Roman" w:hAnsi="Times New Roman"/>
          <w:sz w:val="24"/>
          <w:szCs w:val="24"/>
        </w:rPr>
        <w:t>3</w:t>
      </w:r>
      <w:r w:rsidR="00127B81" w:rsidRPr="000E1B7E">
        <w:rPr>
          <w:rFonts w:ascii="Times New Roman" w:hAnsi="Times New Roman"/>
          <w:sz w:val="24"/>
          <w:szCs w:val="24"/>
        </w:rPr>
        <w:t xml:space="preserve"> per cent</w:t>
      </w:r>
      <w:r w:rsidR="00763524" w:rsidRPr="000E1B7E">
        <w:rPr>
          <w:rFonts w:ascii="Times New Roman" w:hAnsi="Times New Roman"/>
          <w:sz w:val="24"/>
          <w:szCs w:val="24"/>
        </w:rPr>
        <w:t xml:space="preserve"> in 2019/20</w:t>
      </w:r>
      <w:r w:rsidR="00C01697" w:rsidRPr="000E1B7E">
        <w:rPr>
          <w:rFonts w:ascii="Times New Roman" w:hAnsi="Times New Roman"/>
          <w:sz w:val="24"/>
          <w:szCs w:val="24"/>
        </w:rPr>
        <w:footnoteReference w:id="5"/>
      </w:r>
      <w:r w:rsidR="00127B81" w:rsidRPr="000E1B7E">
        <w:rPr>
          <w:rFonts w:ascii="Times New Roman" w:hAnsi="Times New Roman"/>
          <w:sz w:val="24"/>
          <w:szCs w:val="24"/>
        </w:rPr>
        <w:t>. This was to be attained through: a) Develop</w:t>
      </w:r>
      <w:r w:rsidR="00763524" w:rsidRPr="000E1B7E">
        <w:rPr>
          <w:rFonts w:ascii="Times New Roman" w:hAnsi="Times New Roman"/>
          <w:sz w:val="24"/>
          <w:szCs w:val="24"/>
        </w:rPr>
        <w:t>ing</w:t>
      </w:r>
      <w:r w:rsidR="00127B81" w:rsidRPr="000E1B7E">
        <w:rPr>
          <w:rFonts w:ascii="Times New Roman" w:hAnsi="Times New Roman"/>
          <w:sz w:val="24"/>
          <w:szCs w:val="24"/>
        </w:rPr>
        <w:t xml:space="preserve"> and implement</w:t>
      </w:r>
      <w:r w:rsidR="00763524" w:rsidRPr="000E1B7E">
        <w:rPr>
          <w:rFonts w:ascii="Times New Roman" w:hAnsi="Times New Roman"/>
          <w:sz w:val="24"/>
          <w:szCs w:val="24"/>
        </w:rPr>
        <w:t>ing</w:t>
      </w:r>
      <w:r w:rsidR="00127B81" w:rsidRPr="000E1B7E">
        <w:rPr>
          <w:rFonts w:ascii="Times New Roman" w:hAnsi="Times New Roman"/>
          <w:sz w:val="24"/>
          <w:szCs w:val="24"/>
        </w:rPr>
        <w:t xml:space="preserve"> a  policy on mandatory association membership for informal sector players, b)Rationaliz</w:t>
      </w:r>
      <w:r w:rsidR="00763524" w:rsidRPr="000E1B7E">
        <w:rPr>
          <w:rFonts w:ascii="Times New Roman" w:hAnsi="Times New Roman"/>
          <w:sz w:val="24"/>
          <w:szCs w:val="24"/>
        </w:rPr>
        <w:t>ing</w:t>
      </w:r>
      <w:r w:rsidR="00127B81" w:rsidRPr="000E1B7E">
        <w:rPr>
          <w:rFonts w:ascii="Times New Roman" w:hAnsi="Times New Roman"/>
          <w:sz w:val="24"/>
          <w:szCs w:val="24"/>
        </w:rPr>
        <w:t xml:space="preserve"> the rentaltax regime andintegrat</w:t>
      </w:r>
      <w:r w:rsidR="00763524" w:rsidRPr="000E1B7E">
        <w:rPr>
          <w:rFonts w:ascii="Times New Roman" w:hAnsi="Times New Roman"/>
          <w:sz w:val="24"/>
          <w:szCs w:val="24"/>
        </w:rPr>
        <w:t>ing</w:t>
      </w:r>
      <w:r w:rsidR="00127B81" w:rsidRPr="000E1B7E">
        <w:rPr>
          <w:rFonts w:ascii="Times New Roman" w:hAnsi="Times New Roman"/>
          <w:sz w:val="24"/>
          <w:szCs w:val="24"/>
        </w:rPr>
        <w:t xml:space="preserve"> e-tax with utilities and other agencies</w:t>
      </w:r>
      <w:r w:rsidR="00763524" w:rsidRPr="000E1B7E">
        <w:rPr>
          <w:rFonts w:ascii="Times New Roman" w:hAnsi="Times New Roman"/>
          <w:sz w:val="24"/>
          <w:szCs w:val="24"/>
        </w:rPr>
        <w:t>;</w:t>
      </w:r>
      <w:r w:rsidR="00127B81" w:rsidRPr="000E1B7E">
        <w:rPr>
          <w:rFonts w:ascii="Times New Roman" w:hAnsi="Times New Roman"/>
          <w:sz w:val="24"/>
          <w:szCs w:val="24"/>
        </w:rPr>
        <w:t xml:space="preserve"> c)Streamlin</w:t>
      </w:r>
      <w:r w:rsidR="00763524" w:rsidRPr="000E1B7E">
        <w:rPr>
          <w:rFonts w:ascii="Times New Roman" w:hAnsi="Times New Roman"/>
          <w:sz w:val="24"/>
          <w:szCs w:val="24"/>
        </w:rPr>
        <w:t>ing</w:t>
      </w:r>
      <w:r w:rsidR="00127B81" w:rsidRPr="000E1B7E">
        <w:rPr>
          <w:rFonts w:ascii="Times New Roman" w:hAnsi="Times New Roman"/>
          <w:sz w:val="24"/>
          <w:szCs w:val="24"/>
        </w:rPr>
        <w:t>non-standard VAT tax exemptions</w:t>
      </w:r>
      <w:r w:rsidR="00763524" w:rsidRPr="000E1B7E">
        <w:rPr>
          <w:rFonts w:ascii="Times New Roman" w:hAnsi="Times New Roman"/>
          <w:sz w:val="24"/>
          <w:szCs w:val="24"/>
        </w:rPr>
        <w:t xml:space="preserve">; </w:t>
      </w:r>
      <w:r w:rsidR="00127B81" w:rsidRPr="000E1B7E">
        <w:rPr>
          <w:rFonts w:ascii="Times New Roman" w:hAnsi="Times New Roman"/>
          <w:sz w:val="24"/>
          <w:szCs w:val="24"/>
        </w:rPr>
        <w:t>d)Develop</w:t>
      </w:r>
      <w:r w:rsidR="00763524" w:rsidRPr="000E1B7E">
        <w:rPr>
          <w:rFonts w:ascii="Times New Roman" w:hAnsi="Times New Roman"/>
          <w:sz w:val="24"/>
          <w:szCs w:val="24"/>
        </w:rPr>
        <w:t>ing</w:t>
      </w:r>
      <w:r w:rsidR="00127B81" w:rsidRPr="000E1B7E">
        <w:rPr>
          <w:rFonts w:ascii="Times New Roman" w:hAnsi="Times New Roman"/>
          <w:sz w:val="24"/>
          <w:szCs w:val="24"/>
        </w:rPr>
        <w:t xml:space="preserve"> mechanisms for exploiting capital gains tax</w:t>
      </w:r>
      <w:r w:rsidR="00763524" w:rsidRPr="000E1B7E">
        <w:rPr>
          <w:rFonts w:ascii="Times New Roman" w:hAnsi="Times New Roman"/>
          <w:sz w:val="24"/>
          <w:szCs w:val="24"/>
        </w:rPr>
        <w:t>;</w:t>
      </w:r>
      <w:r w:rsidR="00127B81" w:rsidRPr="000E1B7E">
        <w:rPr>
          <w:rFonts w:ascii="Times New Roman" w:hAnsi="Times New Roman"/>
          <w:sz w:val="24"/>
          <w:szCs w:val="24"/>
        </w:rPr>
        <w:t xml:space="preserve"> e)Strengthen</w:t>
      </w:r>
      <w:r w:rsidR="00763524" w:rsidRPr="000E1B7E">
        <w:rPr>
          <w:rFonts w:ascii="Times New Roman" w:hAnsi="Times New Roman"/>
          <w:sz w:val="24"/>
          <w:szCs w:val="24"/>
        </w:rPr>
        <w:t>ing</w:t>
      </w:r>
      <w:r w:rsidR="00127B81" w:rsidRPr="000E1B7E">
        <w:rPr>
          <w:rFonts w:ascii="Times New Roman" w:hAnsi="Times New Roman"/>
          <w:sz w:val="24"/>
          <w:szCs w:val="24"/>
        </w:rPr>
        <w:t xml:space="preserve"> Inter-Agency collaboration among agencies concerned with investment promotion i.e. UIA, KCCA, LGs, URA &amp; URBS</w:t>
      </w:r>
      <w:r w:rsidR="00763524" w:rsidRPr="000E1B7E">
        <w:rPr>
          <w:rFonts w:ascii="Times New Roman" w:hAnsi="Times New Roman"/>
          <w:sz w:val="24"/>
          <w:szCs w:val="24"/>
        </w:rPr>
        <w:t>,</w:t>
      </w:r>
      <w:r w:rsidR="00127B81" w:rsidRPr="000E1B7E">
        <w:rPr>
          <w:rFonts w:ascii="Times New Roman" w:hAnsi="Times New Roman"/>
          <w:sz w:val="24"/>
          <w:szCs w:val="24"/>
        </w:rPr>
        <w:t xml:space="preserve"> to design and implement a mutually beneficial comprehensive investment regime</w:t>
      </w:r>
      <w:r w:rsidR="00763524" w:rsidRPr="000E1B7E">
        <w:rPr>
          <w:rFonts w:ascii="Times New Roman" w:hAnsi="Times New Roman"/>
          <w:sz w:val="24"/>
          <w:szCs w:val="24"/>
        </w:rPr>
        <w:t>;</w:t>
      </w:r>
      <w:r w:rsidR="00127B81" w:rsidRPr="000E1B7E">
        <w:rPr>
          <w:rFonts w:ascii="Times New Roman" w:hAnsi="Times New Roman"/>
          <w:sz w:val="24"/>
          <w:szCs w:val="24"/>
        </w:rPr>
        <w:t xml:space="preserve"> f)Combat</w:t>
      </w:r>
      <w:r w:rsidR="00763524" w:rsidRPr="000E1B7E">
        <w:rPr>
          <w:rFonts w:ascii="Times New Roman" w:hAnsi="Times New Roman"/>
          <w:sz w:val="24"/>
          <w:szCs w:val="24"/>
        </w:rPr>
        <w:t>ing</w:t>
      </w:r>
      <w:r w:rsidR="00127B81" w:rsidRPr="000E1B7E">
        <w:rPr>
          <w:rFonts w:ascii="Times New Roman" w:hAnsi="Times New Roman"/>
          <w:sz w:val="24"/>
          <w:szCs w:val="24"/>
        </w:rPr>
        <w:t xml:space="preserve"> international tax evasion schemes in complex sectors to raise more tax e.g. corporate tax</w:t>
      </w:r>
      <w:r w:rsidR="00763524" w:rsidRPr="000E1B7E">
        <w:rPr>
          <w:rFonts w:ascii="Times New Roman" w:hAnsi="Times New Roman"/>
          <w:sz w:val="24"/>
          <w:szCs w:val="24"/>
        </w:rPr>
        <w:t>;</w:t>
      </w:r>
      <w:r w:rsidR="00127B81" w:rsidRPr="000E1B7E">
        <w:rPr>
          <w:rFonts w:ascii="Times New Roman" w:hAnsi="Times New Roman"/>
          <w:sz w:val="24"/>
          <w:szCs w:val="24"/>
        </w:rPr>
        <w:t xml:space="preserve"> and g)Strengthen</w:t>
      </w:r>
      <w:r w:rsidR="00763524" w:rsidRPr="000E1B7E">
        <w:rPr>
          <w:rFonts w:ascii="Times New Roman" w:hAnsi="Times New Roman"/>
          <w:sz w:val="24"/>
          <w:szCs w:val="24"/>
        </w:rPr>
        <w:t>ing</w:t>
      </w:r>
      <w:r w:rsidR="00127B81" w:rsidRPr="000E1B7E">
        <w:rPr>
          <w:rFonts w:ascii="Times New Roman" w:hAnsi="Times New Roman"/>
          <w:sz w:val="24"/>
          <w:szCs w:val="24"/>
        </w:rPr>
        <w:t xml:space="preserve"> capacity of relevant staff in critical functions of revenue management, audit, forensics investigations and Legal Affairs.</w:t>
      </w:r>
    </w:p>
    <w:p w14:paraId="342C005E" w14:textId="77777777" w:rsidR="00127B81" w:rsidRPr="000E1B7E" w:rsidRDefault="00127B81"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To increase the tax to GDP ratio, the Government</w:t>
      </w:r>
      <w:r w:rsidR="00763524" w:rsidRPr="000E1B7E">
        <w:rPr>
          <w:rFonts w:ascii="Times New Roman" w:hAnsi="Times New Roman"/>
          <w:sz w:val="24"/>
          <w:szCs w:val="24"/>
        </w:rPr>
        <w:t>,</w:t>
      </w:r>
      <w:r w:rsidRPr="000E1B7E">
        <w:rPr>
          <w:rFonts w:ascii="Times New Roman" w:hAnsi="Times New Roman"/>
          <w:sz w:val="24"/>
          <w:szCs w:val="24"/>
        </w:rPr>
        <w:t xml:space="preserve"> through URA</w:t>
      </w:r>
      <w:r w:rsidR="00763524" w:rsidRPr="000E1B7E">
        <w:rPr>
          <w:rFonts w:ascii="Times New Roman" w:hAnsi="Times New Roman"/>
          <w:sz w:val="24"/>
          <w:szCs w:val="24"/>
        </w:rPr>
        <w:t>,</w:t>
      </w:r>
      <w:r w:rsidRPr="000E1B7E">
        <w:rPr>
          <w:rFonts w:ascii="Times New Roman" w:hAnsi="Times New Roman"/>
          <w:sz w:val="24"/>
          <w:szCs w:val="24"/>
        </w:rPr>
        <w:t xml:space="preserve"> has implemented a number of measures to mobilize more taxes and increase tax efficiency. These have included: </w:t>
      </w:r>
    </w:p>
    <w:p w14:paraId="1716DEE8" w14:textId="77777777" w:rsidR="00127B81" w:rsidRPr="000E1B7E" w:rsidRDefault="00127B81" w:rsidP="00F85D24">
      <w:pPr>
        <w:pStyle w:val="ListParagraph"/>
        <w:numPr>
          <w:ilvl w:val="0"/>
          <w:numId w:val="18"/>
        </w:numPr>
        <w:spacing w:line="360" w:lineRule="auto"/>
        <w:ind w:left="1276" w:hanging="709"/>
        <w:contextualSpacing/>
        <w:rPr>
          <w:rFonts w:ascii="Times New Roman" w:hAnsi="Times New Roman"/>
          <w:sz w:val="24"/>
          <w:szCs w:val="24"/>
        </w:rPr>
      </w:pPr>
      <w:r w:rsidRPr="000E1B7E">
        <w:rPr>
          <w:rFonts w:ascii="Times New Roman" w:hAnsi="Times New Roman"/>
          <w:sz w:val="24"/>
          <w:szCs w:val="24"/>
        </w:rPr>
        <w:t>Implementation of the Tax Payer Expansion Program (TPEP), through a partnership between URA, URSB, KCCA and Ministry of Local Governments, as an avenue for taxing “hard-to- tax” sectors mostly the large informal sector players who are out of the taxable bracket yet earn taxable incomes.</w:t>
      </w:r>
    </w:p>
    <w:p w14:paraId="63722C11"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Government stopped doing business with individuals or SMEs (small and medium enterprises) that do not have tax registration numbers. In addition, corporations were required to do business with SMEs that have TIN.  This was an attempt to include governments and large corporations’ suppliers into the formal tax bracket. </w:t>
      </w:r>
    </w:p>
    <w:p w14:paraId="2E117473"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Government also introduced electronic payment systems. Though for example mobile money technology and pay way systems tax payers can remit their tax obligations. This is aimed at reducing the cost of making tax payments.</w:t>
      </w:r>
    </w:p>
    <w:p w14:paraId="6EAD254F"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 xml:space="preserve">In FY2017/18 Government introduced Block Management System (BMS). The BMS is aimed at providing better services to tax payers, better returns filing services, better assessments, better payment services and handle their queries expeditiously. </w:t>
      </w:r>
    </w:p>
    <w:p w14:paraId="037D371F"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lastRenderedPageBreak/>
        <w:t>In 2015, government established the High Net Worth Unit (HNWU). Any of the core parameters that may trigger a tax payer to be classified as HNWI include if they: 1)  generate more than USD 142,000 annually in rental income, or if they engage in the buying and selling of land over the value of USD285,000 in a five-year period; shareholders in private companies whose annual turnover is more than USD14.3 million or shareholders in multiple companies with a turnover between USD4.3 million and USD14.3 million are considered HNWIs for URA’s purposes; and they have a loan portfolio of over USD1.5 million in a five-year period or have bank transactions of over USD1 million annually. Non-core indicators include: publicly known wealthy individuals; importers and exporters of goods exceeding USD 142,000 annually; and individuals maintaining commercial forests, plantations and huge ranches. “Before the unit was established, the LTO collected only about USD390,000 from wealthy individuals in FY 2014/2015. Within less than a year of its establishment (by June 2016), the unit had collected over USD5.5 million in rental tax, personal income tax, VAT and stamp duty. In total, as at June 2017, the unit had collected USD11.4 million”</w:t>
      </w:r>
      <w:r w:rsidRPr="000E1B7E">
        <w:rPr>
          <w:rFonts w:ascii="Times New Roman" w:hAnsi="Times New Roman"/>
        </w:rPr>
        <w:footnoteReference w:id="6"/>
      </w:r>
    </w:p>
    <w:p w14:paraId="75B857A1"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 xml:space="preserve">In FY2016/17 Regional Electronic Cargo Tracking system to abate transit trucks from dumping goods in Uganda while facilitating international trade. This was agreed between Rwanda, Uganda and Kenya. </w:t>
      </w:r>
    </w:p>
    <w:p w14:paraId="3C06C49C"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 xml:space="preserve">In FY2016/17, a centralized Document Processing Center (DPC) was set up. Under this framework taxpayers will benefit from a single document processing centre where all documentary check function for all customs declarations will be done. This is also aimed abating collusive behaviour between customs officials and tax payers. This is because the DPC randomly assigns tax payers to customs officials to handle them. </w:t>
      </w:r>
    </w:p>
    <w:p w14:paraId="6AB157BB"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 xml:space="preserve">In FY2016/17, the Electronic Single Window (ESW) was set up to allow importers and exporters submit all regulatory documents including permits, customs declarations documents using a single access point. The success of the ESW is </w:t>
      </w:r>
      <w:r w:rsidRPr="000E1B7E">
        <w:rPr>
          <w:rFonts w:ascii="Times New Roman" w:hAnsi="Times New Roman"/>
          <w:sz w:val="24"/>
          <w:szCs w:val="24"/>
        </w:rPr>
        <w:lastRenderedPageBreak/>
        <w:t xml:space="preserve">dependent on all the relevant government agencies, economic operators and the private sector coming on board. As of December 2017, 16 border intervening agencies had complied that is URA, UNBS, UCDA, MTIC, and MAIFF and UEPB among others. It is expected that this innovation will improve efficiency and reduce the cost of doing business. </w:t>
      </w:r>
    </w:p>
    <w:p w14:paraId="307F9094" w14:textId="77777777" w:rsidR="00127B81" w:rsidRPr="000E1B7E" w:rsidRDefault="00127B81" w:rsidP="00F85D24">
      <w:pPr>
        <w:pStyle w:val="ListParagraph"/>
        <w:numPr>
          <w:ilvl w:val="0"/>
          <w:numId w:val="18"/>
        </w:numPr>
        <w:spacing w:after="0" w:line="360" w:lineRule="auto"/>
        <w:ind w:left="1276" w:hanging="709"/>
        <w:contextualSpacing/>
        <w:rPr>
          <w:rFonts w:ascii="Times New Roman" w:hAnsi="Times New Roman"/>
          <w:sz w:val="24"/>
          <w:szCs w:val="24"/>
        </w:rPr>
      </w:pPr>
      <w:r w:rsidRPr="000E1B7E">
        <w:rPr>
          <w:rFonts w:ascii="Times New Roman" w:hAnsi="Times New Roman"/>
          <w:sz w:val="24"/>
          <w:szCs w:val="24"/>
        </w:rPr>
        <w:t>Authorized Economic Operator (AEO)</w:t>
      </w:r>
      <w:r w:rsidRPr="000E1B7E">
        <w:rPr>
          <w:rFonts w:ascii="Times New Roman" w:hAnsi="Times New Roman"/>
        </w:rPr>
        <w:footnoteReference w:id="7"/>
      </w:r>
      <w:r w:rsidRPr="000E1B7E">
        <w:rPr>
          <w:rFonts w:ascii="Times New Roman" w:hAnsi="Times New Roman"/>
          <w:sz w:val="24"/>
          <w:szCs w:val="24"/>
        </w:rPr>
        <w:t xml:space="preserve"> where businesses which comply with customs laws and regulations will benefit from customs preferential treatments such as fast clearance of their goods through simplified procedures, reduced inspection. Over 6,000 declarations are done monthly under this framework.</w:t>
      </w:r>
    </w:p>
    <w:p w14:paraId="28DA49F8" w14:textId="77777777" w:rsidR="00127B81" w:rsidRPr="000E1B7E" w:rsidRDefault="00127B81"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Through implementation of the above measures, the URA collections in nominal values have increased by an annual average of 14.7% over the first three years of NDP II.  Presumptive tax targeting informal sector operators has increased from the base of nil tax in 2014/15 to 5.32 billion in 2017/18. Equally, rental tax collections have increased from a base of 27.65 billion in 2014/14 to 88.75 billion in 2017/18. The trends in </w:t>
      </w:r>
      <w:r w:rsidR="00763524" w:rsidRPr="000E1B7E">
        <w:rPr>
          <w:rFonts w:ascii="Times New Roman" w:hAnsi="Times New Roman"/>
          <w:sz w:val="24"/>
          <w:szCs w:val="24"/>
        </w:rPr>
        <w:t xml:space="preserve">the </w:t>
      </w:r>
      <w:r w:rsidRPr="000E1B7E">
        <w:rPr>
          <w:rFonts w:ascii="Times New Roman" w:hAnsi="Times New Roman"/>
          <w:sz w:val="24"/>
          <w:szCs w:val="24"/>
        </w:rPr>
        <w:t xml:space="preserve">value of URA tax collections is summarised in table </w:t>
      </w:r>
      <w:r w:rsidR="00583E81" w:rsidRPr="000E1B7E">
        <w:rPr>
          <w:rFonts w:ascii="Times New Roman" w:hAnsi="Times New Roman"/>
          <w:sz w:val="24"/>
          <w:szCs w:val="24"/>
        </w:rPr>
        <w:t>11</w:t>
      </w:r>
      <w:r w:rsidRPr="000E1B7E">
        <w:rPr>
          <w:rFonts w:ascii="Times New Roman" w:hAnsi="Times New Roman"/>
          <w:sz w:val="24"/>
          <w:szCs w:val="24"/>
        </w:rPr>
        <w:t>.</w:t>
      </w:r>
    </w:p>
    <w:p w14:paraId="59547E84" w14:textId="77777777" w:rsidR="000672A9" w:rsidRPr="000E1B7E" w:rsidRDefault="000672A9">
      <w:pPr>
        <w:rPr>
          <w:rFonts w:eastAsia="Calibri"/>
          <w:b/>
        </w:rPr>
      </w:pPr>
      <w:r w:rsidRPr="000E1B7E">
        <w:rPr>
          <w:rFonts w:eastAsia="Calibri"/>
          <w:b/>
          <w:i/>
          <w:iCs/>
        </w:rPr>
        <w:br w:type="page"/>
      </w:r>
    </w:p>
    <w:p w14:paraId="19867C7A" w14:textId="77777777" w:rsidR="00127B81" w:rsidRPr="000E1B7E" w:rsidRDefault="000672A9" w:rsidP="000672A9">
      <w:pPr>
        <w:pStyle w:val="Caption"/>
        <w:rPr>
          <w:rFonts w:ascii="Times New Roman" w:eastAsia="Calibri" w:hAnsi="Times New Roman" w:cs="Times New Roman"/>
          <w:b/>
          <w:i w:val="0"/>
          <w:iCs w:val="0"/>
          <w:color w:val="auto"/>
          <w:sz w:val="24"/>
          <w:szCs w:val="24"/>
          <w:lang w:val="en-GB"/>
        </w:rPr>
      </w:pPr>
      <w:bookmarkStart w:id="96" w:name="_Toc3483121"/>
      <w:r w:rsidRPr="000E1B7E">
        <w:rPr>
          <w:rFonts w:ascii="Times New Roman" w:eastAsia="Calibri" w:hAnsi="Times New Roman" w:cs="Times New Roman"/>
          <w:b/>
          <w:i w:val="0"/>
          <w:iCs w:val="0"/>
          <w:color w:val="auto"/>
          <w:sz w:val="24"/>
          <w:szCs w:val="24"/>
          <w:lang w:val="en-GB"/>
        </w:rPr>
        <w:lastRenderedPageBreak/>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11</w:t>
      </w:r>
      <w:r w:rsidR="001232BF" w:rsidRPr="000E1B7E">
        <w:rPr>
          <w:rFonts w:ascii="Times New Roman" w:eastAsia="Calibri" w:hAnsi="Times New Roman" w:cs="Times New Roman"/>
          <w:b/>
          <w:i w:val="0"/>
          <w:iCs w:val="0"/>
          <w:color w:val="auto"/>
          <w:sz w:val="24"/>
          <w:szCs w:val="24"/>
          <w:lang w:val="en-GB"/>
        </w:rPr>
        <w:fldChar w:fldCharType="end"/>
      </w:r>
      <w:r w:rsidR="00127B81" w:rsidRPr="000E1B7E">
        <w:rPr>
          <w:rFonts w:ascii="Times New Roman" w:eastAsia="Calibri" w:hAnsi="Times New Roman" w:cs="Times New Roman"/>
          <w:b/>
          <w:i w:val="0"/>
          <w:iCs w:val="0"/>
          <w:color w:val="auto"/>
          <w:sz w:val="24"/>
          <w:szCs w:val="24"/>
          <w:lang w:val="en-GB"/>
        </w:rPr>
        <w:t>: Trends in URA tax collections 2010/11 to 2017/18</w:t>
      </w:r>
      <w:bookmarkEnd w:id="96"/>
    </w:p>
    <w:tbl>
      <w:tblPr>
        <w:tblStyle w:val="LightGrid4"/>
        <w:tblW w:w="9640" w:type="dxa"/>
        <w:tblLook w:val="04A0" w:firstRow="1" w:lastRow="0" w:firstColumn="1" w:lastColumn="0" w:noHBand="0" w:noVBand="1"/>
      </w:tblPr>
      <w:tblGrid>
        <w:gridCol w:w="1818"/>
        <w:gridCol w:w="772"/>
        <w:gridCol w:w="772"/>
        <w:gridCol w:w="772"/>
        <w:gridCol w:w="772"/>
        <w:gridCol w:w="787"/>
        <w:gridCol w:w="787"/>
        <w:gridCol w:w="787"/>
        <w:gridCol w:w="787"/>
        <w:gridCol w:w="786"/>
        <w:gridCol w:w="800"/>
      </w:tblGrid>
      <w:tr w:rsidR="00127B81" w:rsidRPr="000E1B7E" w14:paraId="4DCBB39B" w14:textId="77777777" w:rsidTr="00127B81">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noWrap/>
            <w:hideMark/>
          </w:tcPr>
          <w:p w14:paraId="576204B9"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w:t>
            </w:r>
          </w:p>
        </w:tc>
        <w:tc>
          <w:tcPr>
            <w:tcW w:w="772" w:type="dxa"/>
            <w:hideMark/>
          </w:tcPr>
          <w:p w14:paraId="665C1415"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2010/11                   </w:t>
            </w:r>
          </w:p>
        </w:tc>
        <w:tc>
          <w:tcPr>
            <w:tcW w:w="772" w:type="dxa"/>
            <w:hideMark/>
          </w:tcPr>
          <w:p w14:paraId="757B5287"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2011/12</w:t>
            </w:r>
          </w:p>
        </w:tc>
        <w:tc>
          <w:tcPr>
            <w:tcW w:w="772" w:type="dxa"/>
            <w:hideMark/>
          </w:tcPr>
          <w:p w14:paraId="1719EA46"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2012/13</w:t>
            </w:r>
          </w:p>
        </w:tc>
        <w:tc>
          <w:tcPr>
            <w:tcW w:w="772" w:type="dxa"/>
            <w:hideMark/>
          </w:tcPr>
          <w:p w14:paraId="583D4231"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2013/14</w:t>
            </w:r>
          </w:p>
        </w:tc>
        <w:tc>
          <w:tcPr>
            <w:tcW w:w="787" w:type="dxa"/>
            <w:hideMark/>
          </w:tcPr>
          <w:p w14:paraId="41212592"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2014/15                  </w:t>
            </w:r>
          </w:p>
        </w:tc>
        <w:tc>
          <w:tcPr>
            <w:tcW w:w="787" w:type="dxa"/>
            <w:hideMark/>
          </w:tcPr>
          <w:p w14:paraId="2FAB2EBA"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2015/16</w:t>
            </w:r>
          </w:p>
        </w:tc>
        <w:tc>
          <w:tcPr>
            <w:tcW w:w="787" w:type="dxa"/>
            <w:hideMark/>
          </w:tcPr>
          <w:p w14:paraId="552C637F"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2016/17                 </w:t>
            </w:r>
          </w:p>
        </w:tc>
        <w:tc>
          <w:tcPr>
            <w:tcW w:w="787" w:type="dxa"/>
            <w:hideMark/>
          </w:tcPr>
          <w:p w14:paraId="22F1D562"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2017/18</w:t>
            </w:r>
          </w:p>
        </w:tc>
        <w:tc>
          <w:tcPr>
            <w:tcW w:w="786" w:type="dxa"/>
            <w:noWrap/>
            <w:hideMark/>
          </w:tcPr>
          <w:p w14:paraId="3293C6B3"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%age</w:t>
            </w:r>
          </w:p>
          <w:p w14:paraId="6A3AA069"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change</w:t>
            </w:r>
          </w:p>
          <w:p w14:paraId="6628BEC0"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NDP II</w:t>
            </w:r>
          </w:p>
        </w:tc>
        <w:tc>
          <w:tcPr>
            <w:tcW w:w="800" w:type="dxa"/>
            <w:noWrap/>
            <w:hideMark/>
          </w:tcPr>
          <w:p w14:paraId="442AA716"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%age</w:t>
            </w:r>
          </w:p>
          <w:p w14:paraId="3358E0F1"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change</w:t>
            </w:r>
          </w:p>
          <w:p w14:paraId="73BA513E" w14:textId="77777777" w:rsidR="00127B81" w:rsidRPr="000E1B7E" w:rsidRDefault="00127B81" w:rsidP="005959B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NDP I</w:t>
            </w:r>
          </w:p>
        </w:tc>
      </w:tr>
      <w:tr w:rsidR="00127B81" w:rsidRPr="000E1B7E" w14:paraId="439BE900"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1AB6135C"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Overall Net Revenue </w:t>
            </w:r>
          </w:p>
        </w:tc>
        <w:tc>
          <w:tcPr>
            <w:tcW w:w="772" w:type="dxa"/>
            <w:hideMark/>
          </w:tcPr>
          <w:p w14:paraId="56115FED"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5,114.2</w:t>
            </w:r>
          </w:p>
        </w:tc>
        <w:tc>
          <w:tcPr>
            <w:tcW w:w="772" w:type="dxa"/>
            <w:hideMark/>
          </w:tcPr>
          <w:p w14:paraId="7399E71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6,208.3</w:t>
            </w:r>
          </w:p>
        </w:tc>
        <w:tc>
          <w:tcPr>
            <w:tcW w:w="772" w:type="dxa"/>
            <w:hideMark/>
          </w:tcPr>
          <w:p w14:paraId="7242DE40"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7,149.5</w:t>
            </w:r>
          </w:p>
        </w:tc>
        <w:tc>
          <w:tcPr>
            <w:tcW w:w="772" w:type="dxa"/>
            <w:hideMark/>
          </w:tcPr>
          <w:p w14:paraId="0A554459"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8,031.0</w:t>
            </w:r>
          </w:p>
        </w:tc>
        <w:tc>
          <w:tcPr>
            <w:tcW w:w="787" w:type="dxa"/>
            <w:hideMark/>
          </w:tcPr>
          <w:p w14:paraId="042BD0FE"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9,715.6</w:t>
            </w:r>
          </w:p>
        </w:tc>
        <w:tc>
          <w:tcPr>
            <w:tcW w:w="787" w:type="dxa"/>
            <w:hideMark/>
          </w:tcPr>
          <w:p w14:paraId="1FFD5EC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11,230.9</w:t>
            </w:r>
          </w:p>
        </w:tc>
        <w:tc>
          <w:tcPr>
            <w:tcW w:w="787" w:type="dxa"/>
            <w:hideMark/>
          </w:tcPr>
          <w:p w14:paraId="56294B69"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12,719.6</w:t>
            </w:r>
          </w:p>
        </w:tc>
        <w:tc>
          <w:tcPr>
            <w:tcW w:w="787" w:type="dxa"/>
            <w:hideMark/>
          </w:tcPr>
          <w:p w14:paraId="093EDC8E"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14,456.1</w:t>
            </w:r>
          </w:p>
        </w:tc>
        <w:tc>
          <w:tcPr>
            <w:tcW w:w="786" w:type="dxa"/>
            <w:noWrap/>
            <w:hideMark/>
          </w:tcPr>
          <w:p w14:paraId="4B9FEC28"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48.8</w:t>
            </w:r>
          </w:p>
        </w:tc>
        <w:tc>
          <w:tcPr>
            <w:tcW w:w="800" w:type="dxa"/>
            <w:noWrap/>
            <w:hideMark/>
          </w:tcPr>
          <w:p w14:paraId="513399B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90.0</w:t>
            </w:r>
          </w:p>
        </w:tc>
      </w:tr>
      <w:tr w:rsidR="00127B81" w:rsidRPr="000E1B7E" w14:paraId="0829F408"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4F468CB3"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Gross Revenues (Includes all NTR)</w:t>
            </w:r>
          </w:p>
        </w:tc>
        <w:tc>
          <w:tcPr>
            <w:tcW w:w="772" w:type="dxa"/>
            <w:hideMark/>
          </w:tcPr>
          <w:p w14:paraId="609097D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5,461.2</w:t>
            </w:r>
          </w:p>
        </w:tc>
        <w:tc>
          <w:tcPr>
            <w:tcW w:w="772" w:type="dxa"/>
            <w:hideMark/>
          </w:tcPr>
          <w:p w14:paraId="261E6475"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6,550.8</w:t>
            </w:r>
          </w:p>
        </w:tc>
        <w:tc>
          <w:tcPr>
            <w:tcW w:w="772" w:type="dxa"/>
            <w:hideMark/>
          </w:tcPr>
          <w:p w14:paraId="7700A34F"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7,489.4</w:t>
            </w:r>
          </w:p>
        </w:tc>
        <w:tc>
          <w:tcPr>
            <w:tcW w:w="772" w:type="dxa"/>
            <w:hideMark/>
          </w:tcPr>
          <w:p w14:paraId="6E86007D"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8,377.8</w:t>
            </w:r>
          </w:p>
        </w:tc>
        <w:tc>
          <w:tcPr>
            <w:tcW w:w="787" w:type="dxa"/>
            <w:hideMark/>
          </w:tcPr>
          <w:p w14:paraId="25CD9FBE"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10,116.3</w:t>
            </w:r>
          </w:p>
        </w:tc>
        <w:tc>
          <w:tcPr>
            <w:tcW w:w="787" w:type="dxa"/>
            <w:hideMark/>
          </w:tcPr>
          <w:p w14:paraId="5C75F7E4"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11,496.8</w:t>
            </w:r>
          </w:p>
        </w:tc>
        <w:tc>
          <w:tcPr>
            <w:tcW w:w="787" w:type="dxa"/>
            <w:hideMark/>
          </w:tcPr>
          <w:p w14:paraId="34B3C4B0"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12,895.0</w:t>
            </w:r>
          </w:p>
        </w:tc>
        <w:tc>
          <w:tcPr>
            <w:tcW w:w="787" w:type="dxa"/>
            <w:hideMark/>
          </w:tcPr>
          <w:p w14:paraId="6F8D6C20"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14,659.8</w:t>
            </w:r>
          </w:p>
        </w:tc>
        <w:tc>
          <w:tcPr>
            <w:tcW w:w="786" w:type="dxa"/>
            <w:noWrap/>
            <w:hideMark/>
          </w:tcPr>
          <w:p w14:paraId="1F79FFD0"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44.9</w:t>
            </w:r>
          </w:p>
        </w:tc>
        <w:tc>
          <w:tcPr>
            <w:tcW w:w="800" w:type="dxa"/>
            <w:noWrap/>
            <w:hideMark/>
          </w:tcPr>
          <w:p w14:paraId="26578F87"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85.2</w:t>
            </w:r>
          </w:p>
        </w:tc>
      </w:tr>
      <w:tr w:rsidR="00127B81" w:rsidRPr="000E1B7E" w14:paraId="7BD2549C"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4C837D0B"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Domestic Taxes</w:t>
            </w:r>
          </w:p>
        </w:tc>
        <w:tc>
          <w:tcPr>
            <w:tcW w:w="772" w:type="dxa"/>
            <w:hideMark/>
          </w:tcPr>
          <w:p w14:paraId="6B60FA4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2,816.2</w:t>
            </w:r>
          </w:p>
        </w:tc>
        <w:tc>
          <w:tcPr>
            <w:tcW w:w="772" w:type="dxa"/>
            <w:hideMark/>
          </w:tcPr>
          <w:p w14:paraId="026EED49"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3,472.0</w:t>
            </w:r>
          </w:p>
        </w:tc>
        <w:tc>
          <w:tcPr>
            <w:tcW w:w="772" w:type="dxa"/>
            <w:hideMark/>
          </w:tcPr>
          <w:p w14:paraId="7491BB7E"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4,274.7</w:t>
            </w:r>
          </w:p>
        </w:tc>
        <w:tc>
          <w:tcPr>
            <w:tcW w:w="772" w:type="dxa"/>
            <w:hideMark/>
          </w:tcPr>
          <w:p w14:paraId="15D2D6E6"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4,671.2</w:t>
            </w:r>
          </w:p>
        </w:tc>
        <w:tc>
          <w:tcPr>
            <w:tcW w:w="787" w:type="dxa"/>
            <w:hideMark/>
          </w:tcPr>
          <w:p w14:paraId="548B055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5,554.0</w:t>
            </w:r>
          </w:p>
        </w:tc>
        <w:tc>
          <w:tcPr>
            <w:tcW w:w="787" w:type="dxa"/>
            <w:hideMark/>
          </w:tcPr>
          <w:p w14:paraId="745938B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6,594.9</w:t>
            </w:r>
          </w:p>
        </w:tc>
        <w:tc>
          <w:tcPr>
            <w:tcW w:w="787" w:type="dxa"/>
            <w:hideMark/>
          </w:tcPr>
          <w:p w14:paraId="1DE0C6D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7,480.4</w:t>
            </w:r>
          </w:p>
        </w:tc>
        <w:tc>
          <w:tcPr>
            <w:tcW w:w="787" w:type="dxa"/>
            <w:hideMark/>
          </w:tcPr>
          <w:p w14:paraId="5338757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8,448.9</w:t>
            </w:r>
          </w:p>
        </w:tc>
        <w:tc>
          <w:tcPr>
            <w:tcW w:w="786" w:type="dxa"/>
            <w:noWrap/>
            <w:hideMark/>
          </w:tcPr>
          <w:p w14:paraId="37FFA795"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52.1</w:t>
            </w:r>
          </w:p>
        </w:tc>
        <w:tc>
          <w:tcPr>
            <w:tcW w:w="800" w:type="dxa"/>
            <w:noWrap/>
            <w:hideMark/>
          </w:tcPr>
          <w:p w14:paraId="65CCC5EF"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97.2</w:t>
            </w:r>
          </w:p>
        </w:tc>
      </w:tr>
      <w:tr w:rsidR="00127B81" w:rsidRPr="000E1B7E" w14:paraId="190D0613"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4F04EF5D"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Taxes on International Trade</w:t>
            </w:r>
          </w:p>
        </w:tc>
        <w:tc>
          <w:tcPr>
            <w:tcW w:w="772" w:type="dxa"/>
            <w:hideMark/>
          </w:tcPr>
          <w:p w14:paraId="0B5FA505"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2,534.0</w:t>
            </w:r>
          </w:p>
        </w:tc>
        <w:tc>
          <w:tcPr>
            <w:tcW w:w="772" w:type="dxa"/>
            <w:hideMark/>
          </w:tcPr>
          <w:p w14:paraId="6F4A694F"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2,937.2</w:t>
            </w:r>
          </w:p>
        </w:tc>
        <w:tc>
          <w:tcPr>
            <w:tcW w:w="772" w:type="dxa"/>
            <w:hideMark/>
          </w:tcPr>
          <w:p w14:paraId="14B6FA4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3,070.5</w:t>
            </w:r>
          </w:p>
        </w:tc>
        <w:tc>
          <w:tcPr>
            <w:tcW w:w="772" w:type="dxa"/>
            <w:hideMark/>
          </w:tcPr>
          <w:p w14:paraId="4AAB618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3,548.0</w:t>
            </w:r>
          </w:p>
        </w:tc>
        <w:tc>
          <w:tcPr>
            <w:tcW w:w="787" w:type="dxa"/>
            <w:hideMark/>
          </w:tcPr>
          <w:p w14:paraId="2BC8A686"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4,338.2</w:t>
            </w:r>
          </w:p>
        </w:tc>
        <w:tc>
          <w:tcPr>
            <w:tcW w:w="787" w:type="dxa"/>
            <w:hideMark/>
          </w:tcPr>
          <w:p w14:paraId="4BA9248B"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4,838.9</w:t>
            </w:r>
          </w:p>
        </w:tc>
        <w:tc>
          <w:tcPr>
            <w:tcW w:w="787" w:type="dxa"/>
            <w:hideMark/>
          </w:tcPr>
          <w:p w14:paraId="32EBB560"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5,414.6</w:t>
            </w:r>
          </w:p>
        </w:tc>
        <w:tc>
          <w:tcPr>
            <w:tcW w:w="787" w:type="dxa"/>
            <w:hideMark/>
          </w:tcPr>
          <w:p w14:paraId="1799E54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6,210.8</w:t>
            </w:r>
          </w:p>
        </w:tc>
        <w:tc>
          <w:tcPr>
            <w:tcW w:w="786" w:type="dxa"/>
            <w:noWrap/>
            <w:hideMark/>
          </w:tcPr>
          <w:p w14:paraId="05FE1151"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43.2</w:t>
            </w:r>
          </w:p>
        </w:tc>
        <w:tc>
          <w:tcPr>
            <w:tcW w:w="800" w:type="dxa"/>
            <w:noWrap/>
            <w:hideMark/>
          </w:tcPr>
          <w:p w14:paraId="7EEB0433"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71.2</w:t>
            </w:r>
          </w:p>
        </w:tc>
      </w:tr>
      <w:tr w:rsidR="00127B81" w:rsidRPr="000E1B7E" w14:paraId="7141391D"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23AECFF6"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Non Tax Revenue (NTR)</w:t>
            </w:r>
          </w:p>
        </w:tc>
        <w:tc>
          <w:tcPr>
            <w:tcW w:w="772" w:type="dxa"/>
            <w:hideMark/>
          </w:tcPr>
          <w:p w14:paraId="046CC7A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55.7</w:t>
            </w:r>
          </w:p>
        </w:tc>
        <w:tc>
          <w:tcPr>
            <w:tcW w:w="772" w:type="dxa"/>
            <w:hideMark/>
          </w:tcPr>
          <w:p w14:paraId="5C34A08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65.5</w:t>
            </w:r>
          </w:p>
        </w:tc>
        <w:tc>
          <w:tcPr>
            <w:tcW w:w="772" w:type="dxa"/>
            <w:hideMark/>
          </w:tcPr>
          <w:p w14:paraId="69FFE1E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89.5</w:t>
            </w:r>
          </w:p>
        </w:tc>
        <w:tc>
          <w:tcPr>
            <w:tcW w:w="772" w:type="dxa"/>
            <w:hideMark/>
          </w:tcPr>
          <w:p w14:paraId="1889C92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110.5</w:t>
            </w:r>
          </w:p>
        </w:tc>
        <w:tc>
          <w:tcPr>
            <w:tcW w:w="787" w:type="dxa"/>
            <w:hideMark/>
          </w:tcPr>
          <w:p w14:paraId="78F701D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224.1</w:t>
            </w:r>
          </w:p>
        </w:tc>
        <w:tc>
          <w:tcPr>
            <w:tcW w:w="787" w:type="dxa"/>
            <w:hideMark/>
          </w:tcPr>
          <w:p w14:paraId="370F383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444.7</w:t>
            </w:r>
          </w:p>
        </w:tc>
        <w:tc>
          <w:tcPr>
            <w:tcW w:w="787" w:type="dxa"/>
            <w:hideMark/>
          </w:tcPr>
          <w:p w14:paraId="5DEBF04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256.2</w:t>
            </w:r>
          </w:p>
        </w:tc>
        <w:tc>
          <w:tcPr>
            <w:tcW w:w="787" w:type="dxa"/>
            <w:hideMark/>
          </w:tcPr>
          <w:p w14:paraId="3F6E3913"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380.0</w:t>
            </w:r>
          </w:p>
        </w:tc>
        <w:tc>
          <w:tcPr>
            <w:tcW w:w="786" w:type="dxa"/>
            <w:noWrap/>
            <w:hideMark/>
          </w:tcPr>
          <w:p w14:paraId="029060D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69.6</w:t>
            </w:r>
          </w:p>
        </w:tc>
        <w:tc>
          <w:tcPr>
            <w:tcW w:w="800" w:type="dxa"/>
            <w:noWrap/>
            <w:hideMark/>
          </w:tcPr>
          <w:p w14:paraId="77E04197"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302.4</w:t>
            </w:r>
          </w:p>
        </w:tc>
      </w:tr>
      <w:tr w:rsidR="00127B81" w:rsidRPr="000E1B7E" w14:paraId="04C9566F"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6E38F6A8"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Direct Domestic Taxes</w:t>
            </w:r>
          </w:p>
        </w:tc>
        <w:tc>
          <w:tcPr>
            <w:tcW w:w="772" w:type="dxa"/>
            <w:hideMark/>
          </w:tcPr>
          <w:p w14:paraId="1A5B853E"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1,665.1</w:t>
            </w:r>
          </w:p>
        </w:tc>
        <w:tc>
          <w:tcPr>
            <w:tcW w:w="772" w:type="dxa"/>
            <w:hideMark/>
          </w:tcPr>
          <w:p w14:paraId="441358E4"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1,991.9</w:t>
            </w:r>
          </w:p>
        </w:tc>
        <w:tc>
          <w:tcPr>
            <w:tcW w:w="772" w:type="dxa"/>
            <w:hideMark/>
          </w:tcPr>
          <w:p w14:paraId="3545F39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2,433.5</w:t>
            </w:r>
          </w:p>
        </w:tc>
        <w:tc>
          <w:tcPr>
            <w:tcW w:w="772" w:type="dxa"/>
            <w:hideMark/>
          </w:tcPr>
          <w:p w14:paraId="579F2D71"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2,624.5</w:t>
            </w:r>
          </w:p>
        </w:tc>
        <w:tc>
          <w:tcPr>
            <w:tcW w:w="787" w:type="dxa"/>
            <w:hideMark/>
          </w:tcPr>
          <w:p w14:paraId="109F215E"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3,249.0</w:t>
            </w:r>
          </w:p>
        </w:tc>
        <w:tc>
          <w:tcPr>
            <w:tcW w:w="787" w:type="dxa"/>
            <w:hideMark/>
          </w:tcPr>
          <w:p w14:paraId="43CFDA68"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3,707.0</w:t>
            </w:r>
          </w:p>
        </w:tc>
        <w:tc>
          <w:tcPr>
            <w:tcW w:w="787" w:type="dxa"/>
            <w:hideMark/>
          </w:tcPr>
          <w:p w14:paraId="17FA97A8"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4,180.1</w:t>
            </w:r>
          </w:p>
        </w:tc>
        <w:tc>
          <w:tcPr>
            <w:tcW w:w="787" w:type="dxa"/>
            <w:hideMark/>
          </w:tcPr>
          <w:p w14:paraId="0398D3A3"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4,670.7</w:t>
            </w:r>
          </w:p>
        </w:tc>
        <w:tc>
          <w:tcPr>
            <w:tcW w:w="786" w:type="dxa"/>
            <w:noWrap/>
            <w:hideMark/>
          </w:tcPr>
          <w:p w14:paraId="18FBD24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43.8</w:t>
            </w:r>
          </w:p>
        </w:tc>
        <w:tc>
          <w:tcPr>
            <w:tcW w:w="800" w:type="dxa"/>
            <w:noWrap/>
            <w:hideMark/>
          </w:tcPr>
          <w:p w14:paraId="0FBDF0BE"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95.1</w:t>
            </w:r>
          </w:p>
        </w:tc>
      </w:tr>
      <w:tr w:rsidR="00127B81" w:rsidRPr="000E1B7E" w14:paraId="699182E1"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3B0596A6"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 PAYE</w:t>
            </w:r>
          </w:p>
        </w:tc>
        <w:tc>
          <w:tcPr>
            <w:tcW w:w="772" w:type="dxa"/>
            <w:hideMark/>
          </w:tcPr>
          <w:p w14:paraId="60712C3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825.6</w:t>
            </w:r>
          </w:p>
        </w:tc>
        <w:tc>
          <w:tcPr>
            <w:tcW w:w="772" w:type="dxa"/>
            <w:hideMark/>
          </w:tcPr>
          <w:p w14:paraId="70BAA9A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996.9</w:t>
            </w:r>
          </w:p>
        </w:tc>
        <w:tc>
          <w:tcPr>
            <w:tcW w:w="772" w:type="dxa"/>
            <w:hideMark/>
          </w:tcPr>
          <w:p w14:paraId="440C2E4F"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1,196.5</w:t>
            </w:r>
          </w:p>
        </w:tc>
        <w:tc>
          <w:tcPr>
            <w:tcW w:w="772" w:type="dxa"/>
            <w:hideMark/>
          </w:tcPr>
          <w:p w14:paraId="22596C3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1,397.6</w:t>
            </w:r>
          </w:p>
        </w:tc>
        <w:tc>
          <w:tcPr>
            <w:tcW w:w="787" w:type="dxa"/>
            <w:hideMark/>
          </w:tcPr>
          <w:p w14:paraId="5B9A03F9"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1,613.2</w:t>
            </w:r>
          </w:p>
        </w:tc>
        <w:tc>
          <w:tcPr>
            <w:tcW w:w="787" w:type="dxa"/>
            <w:hideMark/>
          </w:tcPr>
          <w:p w14:paraId="3E9760E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1,803.5</w:t>
            </w:r>
          </w:p>
        </w:tc>
        <w:tc>
          <w:tcPr>
            <w:tcW w:w="787" w:type="dxa"/>
            <w:hideMark/>
          </w:tcPr>
          <w:p w14:paraId="506DDBB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2,115.0</w:t>
            </w:r>
          </w:p>
        </w:tc>
        <w:tc>
          <w:tcPr>
            <w:tcW w:w="787" w:type="dxa"/>
            <w:hideMark/>
          </w:tcPr>
          <w:p w14:paraId="21927B68"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2,396.1</w:t>
            </w:r>
          </w:p>
        </w:tc>
        <w:tc>
          <w:tcPr>
            <w:tcW w:w="786" w:type="dxa"/>
            <w:noWrap/>
            <w:hideMark/>
          </w:tcPr>
          <w:p w14:paraId="0B9517A8"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48.5</w:t>
            </w:r>
          </w:p>
        </w:tc>
        <w:tc>
          <w:tcPr>
            <w:tcW w:w="800" w:type="dxa"/>
            <w:noWrap/>
            <w:hideMark/>
          </w:tcPr>
          <w:p w14:paraId="71B93775"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95.4</w:t>
            </w:r>
          </w:p>
        </w:tc>
      </w:tr>
      <w:tr w:rsidR="00127B81" w:rsidRPr="000E1B7E" w14:paraId="28FA4FEB"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0E56E9DA"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 Corporate Tax</w:t>
            </w:r>
          </w:p>
        </w:tc>
        <w:tc>
          <w:tcPr>
            <w:tcW w:w="772" w:type="dxa"/>
            <w:hideMark/>
          </w:tcPr>
          <w:p w14:paraId="37560A31"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419.6</w:t>
            </w:r>
          </w:p>
        </w:tc>
        <w:tc>
          <w:tcPr>
            <w:tcW w:w="772" w:type="dxa"/>
            <w:hideMark/>
          </w:tcPr>
          <w:p w14:paraId="7AD1C3E7"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553.9</w:t>
            </w:r>
          </w:p>
        </w:tc>
        <w:tc>
          <w:tcPr>
            <w:tcW w:w="772" w:type="dxa"/>
            <w:hideMark/>
          </w:tcPr>
          <w:p w14:paraId="5C556768"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597.6</w:t>
            </w:r>
          </w:p>
        </w:tc>
        <w:tc>
          <w:tcPr>
            <w:tcW w:w="772" w:type="dxa"/>
            <w:hideMark/>
          </w:tcPr>
          <w:p w14:paraId="536CEF99"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486.6</w:t>
            </w:r>
          </w:p>
        </w:tc>
        <w:tc>
          <w:tcPr>
            <w:tcW w:w="787" w:type="dxa"/>
            <w:hideMark/>
          </w:tcPr>
          <w:p w14:paraId="1530B33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714.8</w:t>
            </w:r>
          </w:p>
        </w:tc>
        <w:tc>
          <w:tcPr>
            <w:tcW w:w="787" w:type="dxa"/>
            <w:hideMark/>
          </w:tcPr>
          <w:p w14:paraId="0858681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732.2</w:t>
            </w:r>
          </w:p>
        </w:tc>
        <w:tc>
          <w:tcPr>
            <w:tcW w:w="787" w:type="dxa"/>
            <w:hideMark/>
          </w:tcPr>
          <w:p w14:paraId="429E717B"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764.3</w:t>
            </w:r>
          </w:p>
        </w:tc>
        <w:tc>
          <w:tcPr>
            <w:tcW w:w="787" w:type="dxa"/>
            <w:hideMark/>
          </w:tcPr>
          <w:p w14:paraId="537452D3"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884.8</w:t>
            </w:r>
          </w:p>
        </w:tc>
        <w:tc>
          <w:tcPr>
            <w:tcW w:w="786" w:type="dxa"/>
            <w:noWrap/>
            <w:hideMark/>
          </w:tcPr>
          <w:p w14:paraId="309A4C0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23.8</w:t>
            </w:r>
          </w:p>
        </w:tc>
        <w:tc>
          <w:tcPr>
            <w:tcW w:w="800" w:type="dxa"/>
            <w:noWrap/>
            <w:hideMark/>
          </w:tcPr>
          <w:p w14:paraId="2A62BD06"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70.4</w:t>
            </w:r>
          </w:p>
        </w:tc>
      </w:tr>
      <w:tr w:rsidR="00127B81" w:rsidRPr="000E1B7E" w14:paraId="57F5A714"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noWrap/>
            <w:hideMark/>
          </w:tcPr>
          <w:p w14:paraId="25D8C1D0"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 Presumptive  Tax</w:t>
            </w:r>
          </w:p>
        </w:tc>
        <w:tc>
          <w:tcPr>
            <w:tcW w:w="772" w:type="dxa"/>
            <w:hideMark/>
          </w:tcPr>
          <w:p w14:paraId="0790216E"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72" w:type="dxa"/>
            <w:hideMark/>
          </w:tcPr>
          <w:p w14:paraId="3F5F3CC5"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72" w:type="dxa"/>
            <w:hideMark/>
          </w:tcPr>
          <w:p w14:paraId="43AB3A2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72" w:type="dxa"/>
            <w:hideMark/>
          </w:tcPr>
          <w:p w14:paraId="1AE34CF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53.6</w:t>
            </w:r>
          </w:p>
        </w:tc>
        <w:tc>
          <w:tcPr>
            <w:tcW w:w="787" w:type="dxa"/>
            <w:hideMark/>
          </w:tcPr>
          <w:p w14:paraId="1D0CE5FE"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87" w:type="dxa"/>
            <w:hideMark/>
          </w:tcPr>
          <w:p w14:paraId="12E00C9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1.4</w:t>
            </w:r>
          </w:p>
        </w:tc>
        <w:tc>
          <w:tcPr>
            <w:tcW w:w="787" w:type="dxa"/>
            <w:hideMark/>
          </w:tcPr>
          <w:p w14:paraId="384F524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4.5</w:t>
            </w:r>
          </w:p>
        </w:tc>
        <w:tc>
          <w:tcPr>
            <w:tcW w:w="787" w:type="dxa"/>
            <w:hideMark/>
          </w:tcPr>
          <w:p w14:paraId="561500D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5.3</w:t>
            </w:r>
          </w:p>
        </w:tc>
        <w:tc>
          <w:tcPr>
            <w:tcW w:w="786" w:type="dxa"/>
            <w:noWrap/>
            <w:hideMark/>
          </w:tcPr>
          <w:p w14:paraId="7ECEA3D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N/A</w:t>
            </w:r>
          </w:p>
        </w:tc>
        <w:tc>
          <w:tcPr>
            <w:tcW w:w="800" w:type="dxa"/>
            <w:noWrap/>
            <w:hideMark/>
          </w:tcPr>
          <w:p w14:paraId="586FE6C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N/A</w:t>
            </w:r>
          </w:p>
        </w:tc>
      </w:tr>
      <w:tr w:rsidR="00127B81" w:rsidRPr="000E1B7E" w14:paraId="509903CD"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noWrap/>
            <w:hideMark/>
          </w:tcPr>
          <w:p w14:paraId="06177FFD"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 xml:space="preserve"> Withholding Tax</w:t>
            </w:r>
          </w:p>
        </w:tc>
        <w:tc>
          <w:tcPr>
            <w:tcW w:w="772" w:type="dxa"/>
            <w:hideMark/>
          </w:tcPr>
          <w:p w14:paraId="4E95B898"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274.7</w:t>
            </w:r>
          </w:p>
        </w:tc>
        <w:tc>
          <w:tcPr>
            <w:tcW w:w="772" w:type="dxa"/>
            <w:hideMark/>
          </w:tcPr>
          <w:p w14:paraId="60D77516"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328.9</w:t>
            </w:r>
          </w:p>
        </w:tc>
        <w:tc>
          <w:tcPr>
            <w:tcW w:w="772" w:type="dxa"/>
            <w:hideMark/>
          </w:tcPr>
          <w:p w14:paraId="44B3ACF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389.4</w:t>
            </w:r>
          </w:p>
        </w:tc>
        <w:tc>
          <w:tcPr>
            <w:tcW w:w="772" w:type="dxa"/>
            <w:hideMark/>
          </w:tcPr>
          <w:p w14:paraId="3BFFC07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11.0</w:t>
            </w:r>
          </w:p>
        </w:tc>
        <w:tc>
          <w:tcPr>
            <w:tcW w:w="787" w:type="dxa"/>
            <w:hideMark/>
          </w:tcPr>
          <w:p w14:paraId="5D86B625"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546.9</w:t>
            </w:r>
          </w:p>
        </w:tc>
        <w:tc>
          <w:tcPr>
            <w:tcW w:w="787" w:type="dxa"/>
            <w:hideMark/>
          </w:tcPr>
          <w:p w14:paraId="14069664"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699.3</w:t>
            </w:r>
          </w:p>
        </w:tc>
        <w:tc>
          <w:tcPr>
            <w:tcW w:w="787" w:type="dxa"/>
            <w:hideMark/>
          </w:tcPr>
          <w:p w14:paraId="5BC431D9"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677.9</w:t>
            </w:r>
          </w:p>
        </w:tc>
        <w:tc>
          <w:tcPr>
            <w:tcW w:w="787" w:type="dxa"/>
            <w:hideMark/>
          </w:tcPr>
          <w:p w14:paraId="10B94287"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754.3</w:t>
            </w:r>
          </w:p>
        </w:tc>
        <w:tc>
          <w:tcPr>
            <w:tcW w:w="786" w:type="dxa"/>
            <w:noWrap/>
            <w:hideMark/>
          </w:tcPr>
          <w:p w14:paraId="2E39EFB7"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37.9</w:t>
            </w:r>
          </w:p>
        </w:tc>
        <w:tc>
          <w:tcPr>
            <w:tcW w:w="800" w:type="dxa"/>
            <w:noWrap/>
            <w:hideMark/>
          </w:tcPr>
          <w:p w14:paraId="7FADFB9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99.0</w:t>
            </w:r>
          </w:p>
        </w:tc>
      </w:tr>
      <w:tr w:rsidR="00127B81" w:rsidRPr="000E1B7E" w14:paraId="0F9F02ED"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noWrap/>
            <w:hideMark/>
          </w:tcPr>
          <w:p w14:paraId="1933C1BE"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Rental Income Tax</w:t>
            </w:r>
          </w:p>
        </w:tc>
        <w:tc>
          <w:tcPr>
            <w:tcW w:w="772" w:type="dxa"/>
            <w:hideMark/>
          </w:tcPr>
          <w:p w14:paraId="719C4992"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72" w:type="dxa"/>
            <w:hideMark/>
          </w:tcPr>
          <w:p w14:paraId="13BF650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72" w:type="dxa"/>
            <w:hideMark/>
          </w:tcPr>
          <w:p w14:paraId="30942C57"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72" w:type="dxa"/>
            <w:hideMark/>
          </w:tcPr>
          <w:p w14:paraId="3F75DB2D"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268.9</w:t>
            </w:r>
          </w:p>
        </w:tc>
        <w:tc>
          <w:tcPr>
            <w:tcW w:w="787" w:type="dxa"/>
            <w:hideMark/>
          </w:tcPr>
          <w:p w14:paraId="27661176"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27.6</w:t>
            </w:r>
          </w:p>
        </w:tc>
        <w:tc>
          <w:tcPr>
            <w:tcW w:w="787" w:type="dxa"/>
            <w:hideMark/>
          </w:tcPr>
          <w:p w14:paraId="11B8939E"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55.0</w:t>
            </w:r>
          </w:p>
        </w:tc>
        <w:tc>
          <w:tcPr>
            <w:tcW w:w="787" w:type="dxa"/>
            <w:hideMark/>
          </w:tcPr>
          <w:p w14:paraId="7103CD44"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71.7</w:t>
            </w:r>
          </w:p>
        </w:tc>
        <w:tc>
          <w:tcPr>
            <w:tcW w:w="787" w:type="dxa"/>
            <w:hideMark/>
          </w:tcPr>
          <w:p w14:paraId="39E6A4B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88.7</w:t>
            </w:r>
          </w:p>
        </w:tc>
        <w:tc>
          <w:tcPr>
            <w:tcW w:w="786" w:type="dxa"/>
            <w:noWrap/>
            <w:hideMark/>
          </w:tcPr>
          <w:p w14:paraId="604AA406"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221.0</w:t>
            </w:r>
          </w:p>
        </w:tc>
        <w:tc>
          <w:tcPr>
            <w:tcW w:w="800" w:type="dxa"/>
            <w:noWrap/>
            <w:hideMark/>
          </w:tcPr>
          <w:p w14:paraId="2A83715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N/A</w:t>
            </w:r>
          </w:p>
        </w:tc>
      </w:tr>
      <w:tr w:rsidR="00127B81" w:rsidRPr="000E1B7E" w14:paraId="2783E889"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noWrap/>
            <w:hideMark/>
          </w:tcPr>
          <w:p w14:paraId="623FF10C"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Tax on Bank Interest</w:t>
            </w:r>
          </w:p>
        </w:tc>
        <w:tc>
          <w:tcPr>
            <w:tcW w:w="772" w:type="dxa"/>
            <w:hideMark/>
          </w:tcPr>
          <w:p w14:paraId="4A0F46FB"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73.6</w:t>
            </w:r>
          </w:p>
        </w:tc>
        <w:tc>
          <w:tcPr>
            <w:tcW w:w="772" w:type="dxa"/>
            <w:hideMark/>
          </w:tcPr>
          <w:p w14:paraId="4722DB0F"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102.3</w:t>
            </w:r>
          </w:p>
        </w:tc>
        <w:tc>
          <w:tcPr>
            <w:tcW w:w="772" w:type="dxa"/>
            <w:hideMark/>
          </w:tcPr>
          <w:p w14:paraId="1F3A9A0E"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222.6</w:t>
            </w:r>
          </w:p>
        </w:tc>
        <w:tc>
          <w:tcPr>
            <w:tcW w:w="772" w:type="dxa"/>
            <w:hideMark/>
          </w:tcPr>
          <w:p w14:paraId="2634C921"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87" w:type="dxa"/>
            <w:hideMark/>
          </w:tcPr>
          <w:p w14:paraId="5214B9C0"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290.4</w:t>
            </w:r>
          </w:p>
        </w:tc>
        <w:tc>
          <w:tcPr>
            <w:tcW w:w="787" w:type="dxa"/>
            <w:hideMark/>
          </w:tcPr>
          <w:p w14:paraId="0026CE86"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355.2</w:t>
            </w:r>
          </w:p>
        </w:tc>
        <w:tc>
          <w:tcPr>
            <w:tcW w:w="787" w:type="dxa"/>
            <w:hideMark/>
          </w:tcPr>
          <w:p w14:paraId="6BCDA100"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473.8</w:t>
            </w:r>
          </w:p>
        </w:tc>
        <w:tc>
          <w:tcPr>
            <w:tcW w:w="787" w:type="dxa"/>
            <w:hideMark/>
          </w:tcPr>
          <w:p w14:paraId="4AA6714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457.0</w:t>
            </w:r>
          </w:p>
        </w:tc>
        <w:tc>
          <w:tcPr>
            <w:tcW w:w="786" w:type="dxa"/>
            <w:noWrap/>
            <w:hideMark/>
          </w:tcPr>
          <w:p w14:paraId="6E55088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57.4</w:t>
            </w:r>
          </w:p>
        </w:tc>
        <w:tc>
          <w:tcPr>
            <w:tcW w:w="800" w:type="dxa"/>
            <w:noWrap/>
            <w:hideMark/>
          </w:tcPr>
          <w:p w14:paraId="4F346141"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294.7</w:t>
            </w:r>
          </w:p>
        </w:tc>
      </w:tr>
      <w:tr w:rsidR="00127B81" w:rsidRPr="000E1B7E" w14:paraId="64390710"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noWrap/>
            <w:hideMark/>
          </w:tcPr>
          <w:p w14:paraId="0A7C9528"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Casino Tax</w:t>
            </w:r>
          </w:p>
        </w:tc>
        <w:tc>
          <w:tcPr>
            <w:tcW w:w="772" w:type="dxa"/>
            <w:hideMark/>
          </w:tcPr>
          <w:p w14:paraId="6872DAA6"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4.8</w:t>
            </w:r>
          </w:p>
        </w:tc>
        <w:tc>
          <w:tcPr>
            <w:tcW w:w="772" w:type="dxa"/>
            <w:hideMark/>
          </w:tcPr>
          <w:p w14:paraId="193AF836"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5.4</w:t>
            </w:r>
          </w:p>
        </w:tc>
        <w:tc>
          <w:tcPr>
            <w:tcW w:w="772" w:type="dxa"/>
            <w:hideMark/>
          </w:tcPr>
          <w:p w14:paraId="0650E44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7.4</w:t>
            </w:r>
          </w:p>
        </w:tc>
        <w:tc>
          <w:tcPr>
            <w:tcW w:w="772" w:type="dxa"/>
            <w:hideMark/>
          </w:tcPr>
          <w:p w14:paraId="6852DF52"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w:t>
            </w:r>
          </w:p>
        </w:tc>
        <w:tc>
          <w:tcPr>
            <w:tcW w:w="787" w:type="dxa"/>
            <w:hideMark/>
          </w:tcPr>
          <w:p w14:paraId="4E4E30F8"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13.9</w:t>
            </w:r>
          </w:p>
        </w:tc>
        <w:tc>
          <w:tcPr>
            <w:tcW w:w="787" w:type="dxa"/>
            <w:hideMark/>
          </w:tcPr>
          <w:p w14:paraId="28B96E5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17.4</w:t>
            </w:r>
          </w:p>
        </w:tc>
        <w:tc>
          <w:tcPr>
            <w:tcW w:w="787" w:type="dxa"/>
            <w:hideMark/>
          </w:tcPr>
          <w:p w14:paraId="6CC9D33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26.6</w:t>
            </w:r>
          </w:p>
        </w:tc>
        <w:tc>
          <w:tcPr>
            <w:tcW w:w="787" w:type="dxa"/>
            <w:hideMark/>
          </w:tcPr>
          <w:p w14:paraId="15B800B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29.2</w:t>
            </w:r>
          </w:p>
        </w:tc>
        <w:tc>
          <w:tcPr>
            <w:tcW w:w="786" w:type="dxa"/>
            <w:noWrap/>
            <w:hideMark/>
          </w:tcPr>
          <w:p w14:paraId="4F00B836"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110.8</w:t>
            </w:r>
          </w:p>
        </w:tc>
        <w:tc>
          <w:tcPr>
            <w:tcW w:w="800" w:type="dxa"/>
            <w:noWrap/>
            <w:hideMark/>
          </w:tcPr>
          <w:p w14:paraId="69A7C4E2"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189.0</w:t>
            </w:r>
          </w:p>
        </w:tc>
      </w:tr>
      <w:tr w:rsidR="00127B81" w:rsidRPr="000E1B7E" w14:paraId="320685BD"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noWrap/>
            <w:hideMark/>
          </w:tcPr>
          <w:p w14:paraId="7AD0DF67"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Other</w:t>
            </w:r>
          </w:p>
        </w:tc>
        <w:tc>
          <w:tcPr>
            <w:tcW w:w="772" w:type="dxa"/>
            <w:hideMark/>
          </w:tcPr>
          <w:p w14:paraId="3A177684"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8.0</w:t>
            </w:r>
          </w:p>
        </w:tc>
        <w:tc>
          <w:tcPr>
            <w:tcW w:w="772" w:type="dxa"/>
            <w:hideMark/>
          </w:tcPr>
          <w:p w14:paraId="312A88C9"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1.7</w:t>
            </w:r>
          </w:p>
        </w:tc>
        <w:tc>
          <w:tcPr>
            <w:tcW w:w="772" w:type="dxa"/>
            <w:hideMark/>
          </w:tcPr>
          <w:p w14:paraId="47CE50E6"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17.9</w:t>
            </w:r>
          </w:p>
        </w:tc>
        <w:tc>
          <w:tcPr>
            <w:tcW w:w="772" w:type="dxa"/>
            <w:hideMark/>
          </w:tcPr>
          <w:p w14:paraId="51026524"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406.7</w:t>
            </w:r>
          </w:p>
        </w:tc>
        <w:tc>
          <w:tcPr>
            <w:tcW w:w="787" w:type="dxa"/>
            <w:hideMark/>
          </w:tcPr>
          <w:p w14:paraId="63EEEAE5"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42.2</w:t>
            </w:r>
          </w:p>
        </w:tc>
        <w:tc>
          <w:tcPr>
            <w:tcW w:w="787" w:type="dxa"/>
            <w:hideMark/>
          </w:tcPr>
          <w:p w14:paraId="5FB644B5"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42.9</w:t>
            </w:r>
          </w:p>
        </w:tc>
        <w:tc>
          <w:tcPr>
            <w:tcW w:w="787" w:type="dxa"/>
            <w:hideMark/>
          </w:tcPr>
          <w:p w14:paraId="6E76B4B5"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46.3</w:t>
            </w:r>
          </w:p>
        </w:tc>
        <w:tc>
          <w:tcPr>
            <w:tcW w:w="787" w:type="dxa"/>
            <w:hideMark/>
          </w:tcPr>
          <w:p w14:paraId="5AFF859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55.2</w:t>
            </w:r>
          </w:p>
        </w:tc>
        <w:tc>
          <w:tcPr>
            <w:tcW w:w="786" w:type="dxa"/>
            <w:noWrap/>
            <w:hideMark/>
          </w:tcPr>
          <w:p w14:paraId="17B55CE9"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30.8</w:t>
            </w:r>
          </w:p>
        </w:tc>
        <w:tc>
          <w:tcPr>
            <w:tcW w:w="800" w:type="dxa"/>
            <w:noWrap/>
            <w:hideMark/>
          </w:tcPr>
          <w:p w14:paraId="23BA02B4"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426.4</w:t>
            </w:r>
          </w:p>
        </w:tc>
      </w:tr>
      <w:tr w:rsidR="00127B81" w:rsidRPr="000E1B7E" w14:paraId="34F3E89E"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3F456F0A"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Indirect Domestic Taxes</w:t>
            </w:r>
          </w:p>
        </w:tc>
        <w:tc>
          <w:tcPr>
            <w:tcW w:w="772" w:type="dxa"/>
            <w:hideMark/>
          </w:tcPr>
          <w:p w14:paraId="65C1A22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1,039.8</w:t>
            </w:r>
          </w:p>
        </w:tc>
        <w:tc>
          <w:tcPr>
            <w:tcW w:w="772" w:type="dxa"/>
            <w:hideMark/>
          </w:tcPr>
          <w:p w14:paraId="5075C17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1,296.1</w:t>
            </w:r>
          </w:p>
        </w:tc>
        <w:tc>
          <w:tcPr>
            <w:tcW w:w="772" w:type="dxa"/>
            <w:hideMark/>
          </w:tcPr>
          <w:p w14:paraId="508C37F7"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1,731.0</w:t>
            </w:r>
          </w:p>
        </w:tc>
        <w:tc>
          <w:tcPr>
            <w:tcW w:w="772" w:type="dxa"/>
            <w:hideMark/>
          </w:tcPr>
          <w:p w14:paraId="2E4BE5F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1,900.2</w:t>
            </w:r>
          </w:p>
        </w:tc>
        <w:tc>
          <w:tcPr>
            <w:tcW w:w="787" w:type="dxa"/>
            <w:hideMark/>
          </w:tcPr>
          <w:p w14:paraId="30C2B390"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2,148.6</w:t>
            </w:r>
          </w:p>
        </w:tc>
        <w:tc>
          <w:tcPr>
            <w:tcW w:w="787" w:type="dxa"/>
            <w:hideMark/>
          </w:tcPr>
          <w:p w14:paraId="386F6BF0"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2,443.3</w:t>
            </w:r>
          </w:p>
        </w:tc>
        <w:tc>
          <w:tcPr>
            <w:tcW w:w="787" w:type="dxa"/>
            <w:hideMark/>
          </w:tcPr>
          <w:p w14:paraId="258C9AC0"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2,842.2</w:t>
            </w:r>
          </w:p>
        </w:tc>
        <w:tc>
          <w:tcPr>
            <w:tcW w:w="787" w:type="dxa"/>
            <w:hideMark/>
          </w:tcPr>
          <w:p w14:paraId="1E1972F2"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3,188.7</w:t>
            </w:r>
          </w:p>
        </w:tc>
        <w:tc>
          <w:tcPr>
            <w:tcW w:w="786" w:type="dxa"/>
            <w:noWrap/>
            <w:hideMark/>
          </w:tcPr>
          <w:p w14:paraId="515B746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48.4</w:t>
            </w:r>
          </w:p>
        </w:tc>
        <w:tc>
          <w:tcPr>
            <w:tcW w:w="800" w:type="dxa"/>
            <w:noWrap/>
            <w:hideMark/>
          </w:tcPr>
          <w:p w14:paraId="3C8E2A27"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106.6</w:t>
            </w:r>
          </w:p>
        </w:tc>
      </w:tr>
      <w:tr w:rsidR="00127B81" w:rsidRPr="000E1B7E" w14:paraId="3AFE260A" w14:textId="77777777" w:rsidTr="00127B81">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0C2FD60F"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Excise duty</w:t>
            </w:r>
          </w:p>
        </w:tc>
        <w:tc>
          <w:tcPr>
            <w:tcW w:w="772" w:type="dxa"/>
            <w:hideMark/>
          </w:tcPr>
          <w:p w14:paraId="2233BD11"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315.6</w:t>
            </w:r>
          </w:p>
        </w:tc>
        <w:tc>
          <w:tcPr>
            <w:tcW w:w="772" w:type="dxa"/>
            <w:hideMark/>
          </w:tcPr>
          <w:p w14:paraId="35E8F0D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372.8</w:t>
            </w:r>
          </w:p>
        </w:tc>
        <w:tc>
          <w:tcPr>
            <w:tcW w:w="772" w:type="dxa"/>
            <w:hideMark/>
          </w:tcPr>
          <w:p w14:paraId="446B723E"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451.8</w:t>
            </w:r>
          </w:p>
        </w:tc>
        <w:tc>
          <w:tcPr>
            <w:tcW w:w="772" w:type="dxa"/>
            <w:hideMark/>
          </w:tcPr>
          <w:p w14:paraId="690A9913"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546.3</w:t>
            </w:r>
          </w:p>
        </w:tc>
        <w:tc>
          <w:tcPr>
            <w:tcW w:w="787" w:type="dxa"/>
            <w:hideMark/>
          </w:tcPr>
          <w:p w14:paraId="569F64F6"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638.5</w:t>
            </w:r>
          </w:p>
        </w:tc>
        <w:tc>
          <w:tcPr>
            <w:tcW w:w="787" w:type="dxa"/>
            <w:hideMark/>
          </w:tcPr>
          <w:p w14:paraId="3BF12342"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671.1</w:t>
            </w:r>
          </w:p>
        </w:tc>
        <w:tc>
          <w:tcPr>
            <w:tcW w:w="787" w:type="dxa"/>
            <w:hideMark/>
          </w:tcPr>
          <w:p w14:paraId="2CE2786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819.8</w:t>
            </w:r>
          </w:p>
        </w:tc>
        <w:tc>
          <w:tcPr>
            <w:tcW w:w="787" w:type="dxa"/>
            <w:hideMark/>
          </w:tcPr>
          <w:p w14:paraId="07324165"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953.9</w:t>
            </w:r>
          </w:p>
        </w:tc>
        <w:tc>
          <w:tcPr>
            <w:tcW w:w="786" w:type="dxa"/>
            <w:noWrap/>
            <w:hideMark/>
          </w:tcPr>
          <w:p w14:paraId="2E036CB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49.4</w:t>
            </w:r>
          </w:p>
        </w:tc>
        <w:tc>
          <w:tcPr>
            <w:tcW w:w="800" w:type="dxa"/>
            <w:noWrap/>
            <w:hideMark/>
          </w:tcPr>
          <w:p w14:paraId="546ED56A" w14:textId="77777777" w:rsidR="00127B81" w:rsidRPr="000E1B7E" w:rsidRDefault="00127B81" w:rsidP="005959B5">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102.3</w:t>
            </w:r>
          </w:p>
        </w:tc>
      </w:tr>
      <w:tr w:rsidR="00127B81" w:rsidRPr="000E1B7E" w14:paraId="25752F7A" w14:textId="77777777" w:rsidTr="00127B81">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18" w:type="dxa"/>
            <w:hideMark/>
          </w:tcPr>
          <w:p w14:paraId="43062201" w14:textId="77777777" w:rsidR="00127B81" w:rsidRPr="000E1B7E" w:rsidRDefault="00127B81" w:rsidP="005959B5">
            <w:pPr>
              <w:spacing w:line="360" w:lineRule="auto"/>
              <w:jc w:val="both"/>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Value Added Tax</w:t>
            </w:r>
          </w:p>
        </w:tc>
        <w:tc>
          <w:tcPr>
            <w:tcW w:w="772" w:type="dxa"/>
            <w:hideMark/>
          </w:tcPr>
          <w:p w14:paraId="5D53481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724.2</w:t>
            </w:r>
          </w:p>
        </w:tc>
        <w:tc>
          <w:tcPr>
            <w:tcW w:w="772" w:type="dxa"/>
            <w:hideMark/>
          </w:tcPr>
          <w:p w14:paraId="5F00ADD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923.2</w:t>
            </w:r>
          </w:p>
        </w:tc>
        <w:tc>
          <w:tcPr>
            <w:tcW w:w="772" w:type="dxa"/>
            <w:hideMark/>
          </w:tcPr>
          <w:p w14:paraId="381AAA2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1,279.2</w:t>
            </w:r>
          </w:p>
        </w:tc>
        <w:tc>
          <w:tcPr>
            <w:tcW w:w="772" w:type="dxa"/>
            <w:hideMark/>
          </w:tcPr>
          <w:p w14:paraId="71FECD8B"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1,353.9</w:t>
            </w:r>
          </w:p>
        </w:tc>
        <w:tc>
          <w:tcPr>
            <w:tcW w:w="787" w:type="dxa"/>
            <w:hideMark/>
          </w:tcPr>
          <w:p w14:paraId="572047DA"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1,510.2</w:t>
            </w:r>
          </w:p>
        </w:tc>
        <w:tc>
          <w:tcPr>
            <w:tcW w:w="787" w:type="dxa"/>
            <w:hideMark/>
          </w:tcPr>
          <w:p w14:paraId="0C7167DD"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1,772.1</w:t>
            </w:r>
          </w:p>
        </w:tc>
        <w:tc>
          <w:tcPr>
            <w:tcW w:w="787" w:type="dxa"/>
            <w:hideMark/>
          </w:tcPr>
          <w:p w14:paraId="75AA51D0"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2,022.4</w:t>
            </w:r>
          </w:p>
        </w:tc>
        <w:tc>
          <w:tcPr>
            <w:tcW w:w="787" w:type="dxa"/>
            <w:hideMark/>
          </w:tcPr>
          <w:p w14:paraId="2211922C"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6"/>
                <w:szCs w:val="16"/>
                <w:lang w:val="en-US"/>
              </w:rPr>
            </w:pPr>
            <w:r w:rsidRPr="000E1B7E">
              <w:rPr>
                <w:rFonts w:ascii="Times New Roman" w:eastAsia="Times New Roman" w:hAnsi="Times New Roman" w:cs="Times New Roman"/>
                <w:b/>
                <w:bCs/>
                <w:sz w:val="16"/>
                <w:szCs w:val="16"/>
                <w:lang w:val="en-US"/>
              </w:rPr>
              <w:t>2,234.8</w:t>
            </w:r>
          </w:p>
        </w:tc>
        <w:tc>
          <w:tcPr>
            <w:tcW w:w="786" w:type="dxa"/>
            <w:noWrap/>
            <w:hideMark/>
          </w:tcPr>
          <w:p w14:paraId="17217455"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48.0</w:t>
            </w:r>
          </w:p>
        </w:tc>
        <w:tc>
          <w:tcPr>
            <w:tcW w:w="800" w:type="dxa"/>
            <w:noWrap/>
            <w:hideMark/>
          </w:tcPr>
          <w:p w14:paraId="7978AC41" w14:textId="77777777" w:rsidR="00127B81" w:rsidRPr="000E1B7E" w:rsidRDefault="00127B81" w:rsidP="005959B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val="en-US"/>
              </w:rPr>
            </w:pPr>
            <w:r w:rsidRPr="000E1B7E">
              <w:rPr>
                <w:rFonts w:ascii="Times New Roman" w:eastAsia="Times New Roman" w:hAnsi="Times New Roman" w:cs="Times New Roman"/>
                <w:sz w:val="16"/>
                <w:szCs w:val="16"/>
                <w:lang w:val="en-US"/>
              </w:rPr>
              <w:t>108.5</w:t>
            </w:r>
          </w:p>
        </w:tc>
      </w:tr>
    </w:tbl>
    <w:p w14:paraId="1BAB2A86" w14:textId="77777777" w:rsidR="00425169" w:rsidRPr="000E1B7E" w:rsidRDefault="00425169" w:rsidP="005959B5">
      <w:pPr>
        <w:pStyle w:val="Normal1"/>
        <w:spacing w:after="0" w:line="360" w:lineRule="auto"/>
        <w:jc w:val="both"/>
        <w:rPr>
          <w:rFonts w:ascii="Times New Roman" w:hAnsi="Times New Roman" w:cs="Times New Roman"/>
          <w:sz w:val="24"/>
          <w:szCs w:val="24"/>
        </w:rPr>
      </w:pPr>
      <w:r w:rsidRPr="000E1B7E">
        <w:rPr>
          <w:rFonts w:ascii="Times New Roman" w:hAnsi="Times New Roman" w:cs="Times New Roman"/>
          <w:sz w:val="24"/>
          <w:szCs w:val="24"/>
        </w:rPr>
        <w:t>Source: MFPED</w:t>
      </w:r>
    </w:p>
    <w:p w14:paraId="108B09EF" w14:textId="77777777" w:rsidR="00127B81" w:rsidRPr="000E1B7E" w:rsidRDefault="00127B81"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i/>
          <w:sz w:val="24"/>
          <w:szCs w:val="24"/>
        </w:rPr>
        <w:t xml:space="preserve">Tax to GDP ratio Increases but slightly behind target: </w:t>
      </w:r>
      <w:r w:rsidRPr="000E1B7E">
        <w:rPr>
          <w:rFonts w:ascii="Times New Roman" w:hAnsi="Times New Roman"/>
          <w:sz w:val="24"/>
          <w:szCs w:val="24"/>
        </w:rPr>
        <w:t>Within the first three years of NDP II implementation, the tax to GDP ratio increased by 13.3 percent</w:t>
      </w:r>
      <w:r w:rsidR="00763524" w:rsidRPr="000E1B7E">
        <w:rPr>
          <w:rFonts w:ascii="Times New Roman" w:hAnsi="Times New Roman"/>
          <w:sz w:val="24"/>
          <w:szCs w:val="24"/>
        </w:rPr>
        <w:t>,</w:t>
      </w:r>
      <w:r w:rsidRPr="000E1B7E">
        <w:rPr>
          <w:rFonts w:ascii="Times New Roman" w:hAnsi="Times New Roman"/>
          <w:sz w:val="24"/>
          <w:szCs w:val="24"/>
        </w:rPr>
        <w:t xml:space="preserve">from 12.7% in 2014/15 to 14.4% in 2017/18. This improvement in the tax to GDP ratio is </w:t>
      </w:r>
      <w:r w:rsidR="00C01697" w:rsidRPr="000E1B7E">
        <w:rPr>
          <w:rFonts w:ascii="Times New Roman" w:hAnsi="Times New Roman"/>
          <w:sz w:val="24"/>
          <w:szCs w:val="24"/>
        </w:rPr>
        <w:t xml:space="preserve">in line with NDP II projections, which envisaged a revenue to GDP ratio of 14.4% in 2017/18 (excluding grants). </w:t>
      </w:r>
      <w:r w:rsidRPr="000E1B7E">
        <w:rPr>
          <w:rFonts w:ascii="Times New Roman" w:hAnsi="Times New Roman"/>
          <w:sz w:val="24"/>
          <w:szCs w:val="24"/>
        </w:rPr>
        <w:t xml:space="preserve">The increase was driven by a 15.8% increase in the domestic tax collection to GDP ratio and a 9% increase in the taxes on international trade to GDP ratio. The Tax and Non-Tax Revenue collection as a Percent of GDP performance is summarised in the table </w:t>
      </w:r>
      <w:r w:rsidR="00583E81" w:rsidRPr="000E1B7E">
        <w:rPr>
          <w:rFonts w:ascii="Times New Roman" w:hAnsi="Times New Roman"/>
          <w:sz w:val="24"/>
          <w:szCs w:val="24"/>
        </w:rPr>
        <w:t>12</w:t>
      </w:r>
      <w:r w:rsidRPr="000E1B7E">
        <w:rPr>
          <w:rFonts w:ascii="Times New Roman" w:hAnsi="Times New Roman"/>
          <w:sz w:val="24"/>
          <w:szCs w:val="24"/>
        </w:rPr>
        <w:t>.</w:t>
      </w:r>
    </w:p>
    <w:p w14:paraId="4108D297" w14:textId="77777777" w:rsidR="00C01697" w:rsidRPr="000E1B7E" w:rsidRDefault="00C01697"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Despite this performance, in line with NDP II, revenue mobilisation has faced challenges. The government and URA have faced difficulties in reining in tax concessions, despite this </w:t>
      </w:r>
      <w:r w:rsidRPr="000E1B7E">
        <w:rPr>
          <w:rFonts w:ascii="Times New Roman" w:hAnsi="Times New Roman"/>
          <w:sz w:val="24"/>
          <w:szCs w:val="24"/>
        </w:rPr>
        <w:lastRenderedPageBreak/>
        <w:t>being a commitment in NDP II</w:t>
      </w:r>
      <w:r w:rsidR="00650173" w:rsidRPr="000E1B7E">
        <w:rPr>
          <w:rFonts w:ascii="Times New Roman" w:hAnsi="Times New Roman"/>
          <w:sz w:val="24"/>
          <w:szCs w:val="24"/>
        </w:rPr>
        <w:t xml:space="preserve"> – hence the poor performance of corporate tax revenues</w:t>
      </w:r>
      <w:r w:rsidRPr="000E1B7E">
        <w:rPr>
          <w:rFonts w:ascii="Times New Roman" w:hAnsi="Times New Roman"/>
          <w:sz w:val="24"/>
          <w:szCs w:val="24"/>
        </w:rPr>
        <w:t xml:space="preserve">. </w:t>
      </w:r>
      <w:r w:rsidR="00650173" w:rsidRPr="000E1B7E">
        <w:rPr>
          <w:rFonts w:ascii="Times New Roman" w:hAnsi="Times New Roman"/>
          <w:sz w:val="24"/>
          <w:szCs w:val="24"/>
        </w:rPr>
        <w:t xml:space="preserve">Collections and compliance are also considered to remain weak in some areas. </w:t>
      </w:r>
    </w:p>
    <w:p w14:paraId="0A83D09D" w14:textId="77777777" w:rsidR="00127B81" w:rsidRPr="000E1B7E" w:rsidRDefault="00127B81" w:rsidP="005959B5">
      <w:pPr>
        <w:jc w:val="both"/>
      </w:pPr>
    </w:p>
    <w:p w14:paraId="7DE6BDC5" w14:textId="77777777" w:rsidR="00127B81" w:rsidRPr="000E1B7E" w:rsidRDefault="000672A9" w:rsidP="000672A9">
      <w:pPr>
        <w:pStyle w:val="Caption"/>
        <w:rPr>
          <w:rFonts w:ascii="Times New Roman" w:eastAsia="Times New Roman" w:hAnsi="Times New Roman" w:cs="Times New Roman"/>
          <w:b/>
          <w:bCs/>
          <w:i w:val="0"/>
          <w:iCs w:val="0"/>
          <w:color w:val="auto"/>
          <w:sz w:val="20"/>
          <w:szCs w:val="20"/>
        </w:rPr>
      </w:pPr>
      <w:bookmarkStart w:id="97" w:name="_Toc3483122"/>
      <w:r w:rsidRPr="000E1B7E">
        <w:rPr>
          <w:rFonts w:ascii="Times New Roman" w:eastAsia="Times New Roman" w:hAnsi="Times New Roman" w:cs="Times New Roman"/>
          <w:b/>
          <w:bCs/>
          <w:i w:val="0"/>
          <w:iCs w:val="0"/>
          <w:color w:val="auto"/>
          <w:sz w:val="20"/>
          <w:szCs w:val="20"/>
        </w:rPr>
        <w:t xml:space="preserve">Table </w:t>
      </w:r>
      <w:r w:rsidR="001232BF" w:rsidRPr="000E1B7E">
        <w:rPr>
          <w:rFonts w:ascii="Times New Roman" w:eastAsia="Times New Roman" w:hAnsi="Times New Roman" w:cs="Times New Roman"/>
          <w:b/>
          <w:bCs/>
          <w:i w:val="0"/>
          <w:iCs w:val="0"/>
          <w:color w:val="auto"/>
          <w:sz w:val="20"/>
          <w:szCs w:val="20"/>
        </w:rPr>
        <w:fldChar w:fldCharType="begin"/>
      </w:r>
      <w:r w:rsidRPr="000E1B7E">
        <w:rPr>
          <w:rFonts w:ascii="Times New Roman" w:eastAsia="Times New Roman" w:hAnsi="Times New Roman" w:cs="Times New Roman"/>
          <w:b/>
          <w:bCs/>
          <w:i w:val="0"/>
          <w:iCs w:val="0"/>
          <w:color w:val="auto"/>
          <w:sz w:val="20"/>
          <w:szCs w:val="20"/>
        </w:rPr>
        <w:instrText xml:space="preserve"> SEQ Table \* ARABIC </w:instrText>
      </w:r>
      <w:r w:rsidR="001232BF" w:rsidRPr="000E1B7E">
        <w:rPr>
          <w:rFonts w:ascii="Times New Roman" w:eastAsia="Times New Roman" w:hAnsi="Times New Roman" w:cs="Times New Roman"/>
          <w:b/>
          <w:bCs/>
          <w:i w:val="0"/>
          <w:iCs w:val="0"/>
          <w:color w:val="auto"/>
          <w:sz w:val="20"/>
          <w:szCs w:val="20"/>
        </w:rPr>
        <w:fldChar w:fldCharType="separate"/>
      </w:r>
      <w:r w:rsidR="006461AC" w:rsidRPr="000E1B7E">
        <w:rPr>
          <w:rFonts w:ascii="Times New Roman" w:eastAsia="Times New Roman" w:hAnsi="Times New Roman" w:cs="Times New Roman"/>
          <w:b/>
          <w:bCs/>
          <w:i w:val="0"/>
          <w:iCs w:val="0"/>
          <w:noProof/>
          <w:color w:val="auto"/>
          <w:sz w:val="20"/>
          <w:szCs w:val="20"/>
        </w:rPr>
        <w:t>12</w:t>
      </w:r>
      <w:r w:rsidR="001232BF" w:rsidRPr="000E1B7E">
        <w:rPr>
          <w:rFonts w:ascii="Times New Roman" w:eastAsia="Times New Roman" w:hAnsi="Times New Roman" w:cs="Times New Roman"/>
          <w:b/>
          <w:bCs/>
          <w:i w:val="0"/>
          <w:iCs w:val="0"/>
          <w:color w:val="auto"/>
          <w:sz w:val="20"/>
          <w:szCs w:val="20"/>
        </w:rPr>
        <w:fldChar w:fldCharType="end"/>
      </w:r>
      <w:r w:rsidR="00127B81" w:rsidRPr="000E1B7E">
        <w:rPr>
          <w:rFonts w:ascii="Times New Roman" w:eastAsia="Times New Roman" w:hAnsi="Times New Roman" w:cs="Times New Roman"/>
          <w:b/>
          <w:bCs/>
          <w:i w:val="0"/>
          <w:iCs w:val="0"/>
          <w:color w:val="auto"/>
          <w:sz w:val="20"/>
          <w:szCs w:val="20"/>
        </w:rPr>
        <w:t>: Tax and Non-Tax Revenue collection as a Percent of GDP</w:t>
      </w:r>
      <w:bookmarkEnd w:id="97"/>
    </w:p>
    <w:tbl>
      <w:tblPr>
        <w:tblStyle w:val="LightGrid4"/>
        <w:tblW w:w="5220" w:type="pct"/>
        <w:tblLayout w:type="fixed"/>
        <w:tblLook w:val="04A0" w:firstRow="1" w:lastRow="0" w:firstColumn="1" w:lastColumn="0" w:noHBand="0" w:noVBand="1"/>
      </w:tblPr>
      <w:tblGrid>
        <w:gridCol w:w="3153"/>
        <w:gridCol w:w="854"/>
        <w:gridCol w:w="1055"/>
        <w:gridCol w:w="1063"/>
        <w:gridCol w:w="1063"/>
        <w:gridCol w:w="1182"/>
        <w:gridCol w:w="1381"/>
      </w:tblGrid>
      <w:tr w:rsidR="00127B81" w:rsidRPr="000E1B7E" w14:paraId="7E770E1E" w14:textId="77777777" w:rsidTr="00B538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180B2B40" w14:textId="77777777" w:rsidR="00127B81" w:rsidRPr="000E1B7E" w:rsidRDefault="00127B81" w:rsidP="005959B5">
            <w:pPr>
              <w:jc w:val="both"/>
              <w:rPr>
                <w:rFonts w:ascii="Times New Roman" w:eastAsia="Times New Roman" w:hAnsi="Times New Roman" w:cs="Times New Roman"/>
                <w:sz w:val="20"/>
                <w:szCs w:val="20"/>
                <w:lang w:val="en-US"/>
              </w:rPr>
            </w:pPr>
          </w:p>
        </w:tc>
        <w:tc>
          <w:tcPr>
            <w:tcW w:w="438" w:type="pct"/>
            <w:noWrap/>
            <w:hideMark/>
          </w:tcPr>
          <w:p w14:paraId="7F86F350" w14:textId="77777777" w:rsidR="00127B81" w:rsidRPr="000E1B7E" w:rsidRDefault="00127B81" w:rsidP="005959B5">
            <w:pPr>
              <w:ind w:left="-82" w:right="-13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2014/15</w:t>
            </w:r>
          </w:p>
        </w:tc>
        <w:tc>
          <w:tcPr>
            <w:tcW w:w="541" w:type="pct"/>
            <w:noWrap/>
            <w:hideMark/>
          </w:tcPr>
          <w:p w14:paraId="773145AF" w14:textId="77777777" w:rsidR="00127B81" w:rsidRPr="000E1B7E" w:rsidRDefault="00127B81" w:rsidP="005959B5">
            <w:pPr>
              <w:ind w:left="-82" w:right="-13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2015/16</w:t>
            </w:r>
          </w:p>
        </w:tc>
        <w:tc>
          <w:tcPr>
            <w:tcW w:w="545" w:type="pct"/>
            <w:noWrap/>
            <w:hideMark/>
          </w:tcPr>
          <w:p w14:paraId="384B5412" w14:textId="77777777" w:rsidR="00127B81" w:rsidRPr="000E1B7E" w:rsidRDefault="00127B81" w:rsidP="005959B5">
            <w:pPr>
              <w:ind w:left="-82" w:right="-13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2016/17</w:t>
            </w:r>
          </w:p>
        </w:tc>
        <w:tc>
          <w:tcPr>
            <w:tcW w:w="545" w:type="pct"/>
            <w:noWrap/>
            <w:hideMark/>
          </w:tcPr>
          <w:p w14:paraId="3CE4F601" w14:textId="77777777" w:rsidR="00127B81" w:rsidRPr="000E1B7E" w:rsidRDefault="00127B81" w:rsidP="005959B5">
            <w:pPr>
              <w:ind w:left="-82" w:right="-13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2017/18</w:t>
            </w:r>
          </w:p>
        </w:tc>
        <w:tc>
          <w:tcPr>
            <w:tcW w:w="606" w:type="pct"/>
          </w:tcPr>
          <w:p w14:paraId="36BE586F" w14:textId="77777777" w:rsidR="00127B81" w:rsidRPr="000E1B7E" w:rsidRDefault="00127B81" w:rsidP="005959B5">
            <w:pPr>
              <w:ind w:left="-82" w:right="-13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Increase</w:t>
            </w:r>
          </w:p>
        </w:tc>
        <w:tc>
          <w:tcPr>
            <w:tcW w:w="708" w:type="pct"/>
          </w:tcPr>
          <w:p w14:paraId="3F536C85" w14:textId="77777777" w:rsidR="00127B81" w:rsidRPr="000E1B7E" w:rsidRDefault="00127B81" w:rsidP="005959B5">
            <w:pPr>
              <w:ind w:left="-82" w:right="-132"/>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%age Change</w:t>
            </w:r>
          </w:p>
        </w:tc>
      </w:tr>
      <w:tr w:rsidR="00127B81" w:rsidRPr="000E1B7E" w14:paraId="4FA924B7"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38659301" w14:textId="77777777" w:rsidR="00127B81" w:rsidRPr="000E1B7E" w:rsidRDefault="00127B81"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 xml:space="preserve">Net URA Collection </w:t>
            </w:r>
          </w:p>
        </w:tc>
        <w:tc>
          <w:tcPr>
            <w:tcW w:w="438" w:type="pct"/>
            <w:noWrap/>
            <w:hideMark/>
          </w:tcPr>
          <w:p w14:paraId="2BC55BD1"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12.7</w:t>
            </w:r>
          </w:p>
        </w:tc>
        <w:tc>
          <w:tcPr>
            <w:tcW w:w="541" w:type="pct"/>
            <w:noWrap/>
            <w:hideMark/>
          </w:tcPr>
          <w:p w14:paraId="4D601B38"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13.5</w:t>
            </w:r>
          </w:p>
        </w:tc>
        <w:tc>
          <w:tcPr>
            <w:tcW w:w="545" w:type="pct"/>
            <w:noWrap/>
            <w:hideMark/>
          </w:tcPr>
          <w:p w14:paraId="7B011951"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13.9</w:t>
            </w:r>
          </w:p>
        </w:tc>
        <w:tc>
          <w:tcPr>
            <w:tcW w:w="545" w:type="pct"/>
            <w:noWrap/>
            <w:hideMark/>
          </w:tcPr>
          <w:p w14:paraId="743540CB"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14.4</w:t>
            </w:r>
          </w:p>
        </w:tc>
        <w:tc>
          <w:tcPr>
            <w:tcW w:w="606" w:type="pct"/>
            <w:vAlign w:val="bottom"/>
          </w:tcPr>
          <w:p w14:paraId="3A039C10"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1.7</w:t>
            </w:r>
          </w:p>
        </w:tc>
        <w:tc>
          <w:tcPr>
            <w:tcW w:w="708" w:type="pct"/>
            <w:vAlign w:val="bottom"/>
          </w:tcPr>
          <w:p w14:paraId="3786F671"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13.3</w:t>
            </w:r>
          </w:p>
        </w:tc>
      </w:tr>
      <w:tr w:rsidR="00127B81" w:rsidRPr="000E1B7E" w14:paraId="1EFA91AE"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26F26E41" w14:textId="77777777" w:rsidR="00127B81" w:rsidRPr="000E1B7E" w:rsidRDefault="00127B81"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Gross Revenues (Includes NTR)</w:t>
            </w:r>
          </w:p>
        </w:tc>
        <w:tc>
          <w:tcPr>
            <w:tcW w:w="438" w:type="pct"/>
            <w:noWrap/>
            <w:hideMark/>
          </w:tcPr>
          <w:p w14:paraId="3D7C6B10"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13.2</w:t>
            </w:r>
          </w:p>
        </w:tc>
        <w:tc>
          <w:tcPr>
            <w:tcW w:w="541" w:type="pct"/>
            <w:noWrap/>
            <w:hideMark/>
          </w:tcPr>
          <w:p w14:paraId="6924082C"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13.8</w:t>
            </w:r>
          </w:p>
        </w:tc>
        <w:tc>
          <w:tcPr>
            <w:tcW w:w="545" w:type="pct"/>
            <w:noWrap/>
            <w:hideMark/>
          </w:tcPr>
          <w:p w14:paraId="265A6524"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14.1</w:t>
            </w:r>
          </w:p>
        </w:tc>
        <w:tc>
          <w:tcPr>
            <w:tcW w:w="545" w:type="pct"/>
            <w:noWrap/>
            <w:hideMark/>
          </w:tcPr>
          <w:p w14:paraId="74E6D1CB"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14.6</w:t>
            </w:r>
          </w:p>
        </w:tc>
        <w:tc>
          <w:tcPr>
            <w:tcW w:w="606" w:type="pct"/>
            <w:vAlign w:val="bottom"/>
          </w:tcPr>
          <w:p w14:paraId="560B5008"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1.4</w:t>
            </w:r>
          </w:p>
        </w:tc>
        <w:tc>
          <w:tcPr>
            <w:tcW w:w="708" w:type="pct"/>
            <w:vAlign w:val="bottom"/>
          </w:tcPr>
          <w:p w14:paraId="0B0A2358"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10.3</w:t>
            </w:r>
          </w:p>
        </w:tc>
      </w:tr>
      <w:tr w:rsidR="00127B81" w:rsidRPr="000E1B7E" w14:paraId="276979AB"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0DB38838" w14:textId="77777777" w:rsidR="00127B81" w:rsidRPr="000E1B7E" w:rsidRDefault="00127B81"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Domestic Taxes</w:t>
            </w:r>
          </w:p>
        </w:tc>
        <w:tc>
          <w:tcPr>
            <w:tcW w:w="438" w:type="pct"/>
            <w:noWrap/>
            <w:hideMark/>
          </w:tcPr>
          <w:p w14:paraId="3B7D952D"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7.3</w:t>
            </w:r>
          </w:p>
        </w:tc>
        <w:tc>
          <w:tcPr>
            <w:tcW w:w="541" w:type="pct"/>
            <w:noWrap/>
            <w:hideMark/>
          </w:tcPr>
          <w:p w14:paraId="5BD0A81A"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7.9</w:t>
            </w:r>
          </w:p>
        </w:tc>
        <w:tc>
          <w:tcPr>
            <w:tcW w:w="545" w:type="pct"/>
            <w:noWrap/>
            <w:hideMark/>
          </w:tcPr>
          <w:p w14:paraId="6ECDD598"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8.2</w:t>
            </w:r>
          </w:p>
        </w:tc>
        <w:tc>
          <w:tcPr>
            <w:tcW w:w="545" w:type="pct"/>
            <w:noWrap/>
            <w:hideMark/>
          </w:tcPr>
          <w:p w14:paraId="6988147D"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8.4</w:t>
            </w:r>
          </w:p>
        </w:tc>
        <w:tc>
          <w:tcPr>
            <w:tcW w:w="606" w:type="pct"/>
            <w:vAlign w:val="bottom"/>
          </w:tcPr>
          <w:p w14:paraId="2486EB62"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1.1</w:t>
            </w:r>
          </w:p>
        </w:tc>
        <w:tc>
          <w:tcPr>
            <w:tcW w:w="708" w:type="pct"/>
            <w:vAlign w:val="bottom"/>
          </w:tcPr>
          <w:p w14:paraId="6700DE9F"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15.8</w:t>
            </w:r>
          </w:p>
        </w:tc>
      </w:tr>
      <w:tr w:rsidR="00127B81" w:rsidRPr="000E1B7E" w14:paraId="24B44993"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146D4AEC" w14:textId="77777777" w:rsidR="00127B81" w:rsidRPr="000E1B7E" w:rsidRDefault="00127B81"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O/w</w:t>
            </w:r>
          </w:p>
        </w:tc>
        <w:tc>
          <w:tcPr>
            <w:tcW w:w="438" w:type="pct"/>
            <w:noWrap/>
            <w:hideMark/>
          </w:tcPr>
          <w:p w14:paraId="3FE0033F"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p>
        </w:tc>
        <w:tc>
          <w:tcPr>
            <w:tcW w:w="541" w:type="pct"/>
            <w:noWrap/>
            <w:hideMark/>
          </w:tcPr>
          <w:p w14:paraId="0FE9549E"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p>
        </w:tc>
        <w:tc>
          <w:tcPr>
            <w:tcW w:w="545" w:type="pct"/>
            <w:noWrap/>
            <w:hideMark/>
          </w:tcPr>
          <w:p w14:paraId="055FE4E1"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p>
        </w:tc>
        <w:tc>
          <w:tcPr>
            <w:tcW w:w="545" w:type="pct"/>
            <w:noWrap/>
            <w:hideMark/>
          </w:tcPr>
          <w:p w14:paraId="4ADC370C"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p>
        </w:tc>
        <w:tc>
          <w:tcPr>
            <w:tcW w:w="606" w:type="pct"/>
          </w:tcPr>
          <w:p w14:paraId="7D38A0BF"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p>
        </w:tc>
        <w:tc>
          <w:tcPr>
            <w:tcW w:w="708" w:type="pct"/>
          </w:tcPr>
          <w:p w14:paraId="007BB3FB"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p>
        </w:tc>
      </w:tr>
      <w:tr w:rsidR="00127B81" w:rsidRPr="000E1B7E" w14:paraId="06E7635E"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33775862" w14:textId="77777777" w:rsidR="00127B81" w:rsidRPr="000E1B7E" w:rsidRDefault="00127B81" w:rsidP="005959B5">
            <w:pPr>
              <w:jc w:val="both"/>
              <w:rPr>
                <w:rFonts w:ascii="Times New Roman" w:eastAsia="Times New Roman" w:hAnsi="Times New Roman" w:cs="Times New Roman"/>
                <w:i/>
                <w:iCs/>
                <w:sz w:val="20"/>
                <w:szCs w:val="20"/>
                <w:lang w:val="en-US"/>
              </w:rPr>
            </w:pPr>
            <w:r w:rsidRPr="000E1B7E">
              <w:rPr>
                <w:rFonts w:ascii="Times New Roman" w:eastAsia="Times New Roman" w:hAnsi="Times New Roman" w:cs="Times New Roman"/>
                <w:i/>
                <w:iCs/>
                <w:sz w:val="20"/>
                <w:szCs w:val="20"/>
                <w:lang w:val="en-US"/>
              </w:rPr>
              <w:t xml:space="preserve"> Direct Domestic Taxes</w:t>
            </w:r>
          </w:p>
        </w:tc>
        <w:tc>
          <w:tcPr>
            <w:tcW w:w="438" w:type="pct"/>
            <w:noWrap/>
            <w:hideMark/>
          </w:tcPr>
          <w:p w14:paraId="04866DA0"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4.2</w:t>
            </w:r>
          </w:p>
        </w:tc>
        <w:tc>
          <w:tcPr>
            <w:tcW w:w="541" w:type="pct"/>
            <w:noWrap/>
            <w:hideMark/>
          </w:tcPr>
          <w:p w14:paraId="34284FEE"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4.5</w:t>
            </w:r>
          </w:p>
        </w:tc>
        <w:tc>
          <w:tcPr>
            <w:tcW w:w="545" w:type="pct"/>
            <w:noWrap/>
            <w:hideMark/>
          </w:tcPr>
          <w:p w14:paraId="098F3385"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4.6</w:t>
            </w:r>
          </w:p>
        </w:tc>
        <w:tc>
          <w:tcPr>
            <w:tcW w:w="545" w:type="pct"/>
            <w:noWrap/>
            <w:hideMark/>
          </w:tcPr>
          <w:p w14:paraId="55B82D2D"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4.6</w:t>
            </w:r>
          </w:p>
        </w:tc>
        <w:tc>
          <w:tcPr>
            <w:tcW w:w="606" w:type="pct"/>
            <w:vAlign w:val="bottom"/>
          </w:tcPr>
          <w:p w14:paraId="15A9EDDB"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rPr>
            </w:pPr>
            <w:r w:rsidRPr="000E1B7E">
              <w:rPr>
                <w:rFonts w:ascii="Times New Roman" w:hAnsi="Times New Roman" w:cs="Times New Roman"/>
                <w:b/>
                <w:i/>
                <w:sz w:val="20"/>
                <w:szCs w:val="20"/>
              </w:rPr>
              <w:t>0.4</w:t>
            </w:r>
          </w:p>
        </w:tc>
        <w:tc>
          <w:tcPr>
            <w:tcW w:w="708" w:type="pct"/>
            <w:vAlign w:val="bottom"/>
          </w:tcPr>
          <w:p w14:paraId="3316A5E7"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rPr>
            </w:pPr>
            <w:r w:rsidRPr="000E1B7E">
              <w:rPr>
                <w:rFonts w:ascii="Times New Roman" w:hAnsi="Times New Roman" w:cs="Times New Roman"/>
                <w:b/>
                <w:i/>
                <w:sz w:val="20"/>
                <w:szCs w:val="20"/>
              </w:rPr>
              <w:t>9.4</w:t>
            </w:r>
          </w:p>
        </w:tc>
      </w:tr>
      <w:tr w:rsidR="00127B81" w:rsidRPr="000E1B7E" w14:paraId="5DAEF7E5"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75DBB575"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 xml:space="preserve"> PAYE</w:t>
            </w:r>
          </w:p>
        </w:tc>
        <w:tc>
          <w:tcPr>
            <w:tcW w:w="438" w:type="pct"/>
            <w:noWrap/>
            <w:hideMark/>
          </w:tcPr>
          <w:p w14:paraId="08CD3F12"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2.1</w:t>
            </w:r>
          </w:p>
        </w:tc>
        <w:tc>
          <w:tcPr>
            <w:tcW w:w="541" w:type="pct"/>
            <w:noWrap/>
            <w:hideMark/>
          </w:tcPr>
          <w:p w14:paraId="44F948DD"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2.2</w:t>
            </w:r>
          </w:p>
        </w:tc>
        <w:tc>
          <w:tcPr>
            <w:tcW w:w="545" w:type="pct"/>
            <w:noWrap/>
            <w:hideMark/>
          </w:tcPr>
          <w:p w14:paraId="2A6D3063"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2.3</w:t>
            </w:r>
          </w:p>
        </w:tc>
        <w:tc>
          <w:tcPr>
            <w:tcW w:w="545" w:type="pct"/>
            <w:noWrap/>
            <w:hideMark/>
          </w:tcPr>
          <w:p w14:paraId="39E6013C"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2.4</w:t>
            </w:r>
          </w:p>
        </w:tc>
        <w:tc>
          <w:tcPr>
            <w:tcW w:w="606" w:type="pct"/>
            <w:vAlign w:val="bottom"/>
          </w:tcPr>
          <w:p w14:paraId="47CA2846"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0.3</w:t>
            </w:r>
          </w:p>
        </w:tc>
        <w:tc>
          <w:tcPr>
            <w:tcW w:w="708" w:type="pct"/>
            <w:vAlign w:val="bottom"/>
          </w:tcPr>
          <w:p w14:paraId="3177D83A"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13.0</w:t>
            </w:r>
          </w:p>
        </w:tc>
      </w:tr>
      <w:tr w:rsidR="00127B81" w:rsidRPr="000E1B7E" w14:paraId="46DA1433"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1C68E954"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 xml:space="preserve"> Corporate Tax</w:t>
            </w:r>
          </w:p>
        </w:tc>
        <w:tc>
          <w:tcPr>
            <w:tcW w:w="438" w:type="pct"/>
            <w:noWrap/>
            <w:hideMark/>
          </w:tcPr>
          <w:p w14:paraId="7FCC0CE2"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0.9</w:t>
            </w:r>
          </w:p>
        </w:tc>
        <w:tc>
          <w:tcPr>
            <w:tcW w:w="541" w:type="pct"/>
            <w:noWrap/>
            <w:hideMark/>
          </w:tcPr>
          <w:p w14:paraId="52174458"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0.9</w:t>
            </w:r>
          </w:p>
        </w:tc>
        <w:tc>
          <w:tcPr>
            <w:tcW w:w="545" w:type="pct"/>
            <w:noWrap/>
            <w:hideMark/>
          </w:tcPr>
          <w:p w14:paraId="61A5C2C0"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0.8</w:t>
            </w:r>
          </w:p>
        </w:tc>
        <w:tc>
          <w:tcPr>
            <w:tcW w:w="545" w:type="pct"/>
            <w:noWrap/>
            <w:hideMark/>
          </w:tcPr>
          <w:p w14:paraId="2F2D3756"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0.9</w:t>
            </w:r>
          </w:p>
        </w:tc>
        <w:tc>
          <w:tcPr>
            <w:tcW w:w="606" w:type="pct"/>
            <w:vAlign w:val="bottom"/>
          </w:tcPr>
          <w:p w14:paraId="74B0B42F"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(0.1)</w:t>
            </w:r>
          </w:p>
        </w:tc>
        <w:tc>
          <w:tcPr>
            <w:tcW w:w="708" w:type="pct"/>
            <w:vAlign w:val="bottom"/>
          </w:tcPr>
          <w:p w14:paraId="39FD5607"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(5.8)</w:t>
            </w:r>
          </w:p>
        </w:tc>
      </w:tr>
      <w:tr w:rsidR="00127B81" w:rsidRPr="000E1B7E" w14:paraId="04EAC202"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3745B135"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 xml:space="preserve"> Presumptive  Tax</w:t>
            </w:r>
          </w:p>
        </w:tc>
        <w:tc>
          <w:tcPr>
            <w:tcW w:w="438" w:type="pct"/>
            <w:noWrap/>
            <w:hideMark/>
          </w:tcPr>
          <w:p w14:paraId="07AC1F71"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w:t>
            </w:r>
          </w:p>
        </w:tc>
        <w:tc>
          <w:tcPr>
            <w:tcW w:w="541" w:type="pct"/>
            <w:noWrap/>
            <w:hideMark/>
          </w:tcPr>
          <w:p w14:paraId="713ED5B7"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0.0</w:t>
            </w:r>
          </w:p>
        </w:tc>
        <w:tc>
          <w:tcPr>
            <w:tcW w:w="545" w:type="pct"/>
            <w:noWrap/>
            <w:hideMark/>
          </w:tcPr>
          <w:p w14:paraId="1299B901"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0.0</w:t>
            </w:r>
          </w:p>
        </w:tc>
        <w:tc>
          <w:tcPr>
            <w:tcW w:w="545" w:type="pct"/>
            <w:noWrap/>
            <w:hideMark/>
          </w:tcPr>
          <w:p w14:paraId="2E5B2804"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0.0</w:t>
            </w:r>
          </w:p>
        </w:tc>
        <w:tc>
          <w:tcPr>
            <w:tcW w:w="606" w:type="pct"/>
            <w:vAlign w:val="bottom"/>
          </w:tcPr>
          <w:p w14:paraId="7A1AF452"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0.0</w:t>
            </w:r>
          </w:p>
        </w:tc>
        <w:tc>
          <w:tcPr>
            <w:tcW w:w="708" w:type="pct"/>
            <w:vAlign w:val="bottom"/>
          </w:tcPr>
          <w:p w14:paraId="771BE9F1"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127B81" w:rsidRPr="000E1B7E" w14:paraId="0589CAC0"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3D217927"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 xml:space="preserve"> Withholding Tax</w:t>
            </w:r>
          </w:p>
        </w:tc>
        <w:tc>
          <w:tcPr>
            <w:tcW w:w="438" w:type="pct"/>
            <w:noWrap/>
            <w:hideMark/>
          </w:tcPr>
          <w:p w14:paraId="4831B05F"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0.7</w:t>
            </w:r>
          </w:p>
        </w:tc>
        <w:tc>
          <w:tcPr>
            <w:tcW w:w="541" w:type="pct"/>
            <w:noWrap/>
            <w:hideMark/>
          </w:tcPr>
          <w:p w14:paraId="3548193C"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0.8</w:t>
            </w:r>
          </w:p>
        </w:tc>
        <w:tc>
          <w:tcPr>
            <w:tcW w:w="545" w:type="pct"/>
            <w:noWrap/>
            <w:hideMark/>
          </w:tcPr>
          <w:p w14:paraId="29FCDBC7"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0.7</w:t>
            </w:r>
          </w:p>
        </w:tc>
        <w:tc>
          <w:tcPr>
            <w:tcW w:w="545" w:type="pct"/>
            <w:noWrap/>
            <w:hideMark/>
          </w:tcPr>
          <w:p w14:paraId="648837FC"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0.8</w:t>
            </w:r>
          </w:p>
        </w:tc>
        <w:tc>
          <w:tcPr>
            <w:tcW w:w="606" w:type="pct"/>
            <w:vAlign w:val="bottom"/>
          </w:tcPr>
          <w:p w14:paraId="58D89E74"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0.0</w:t>
            </w:r>
          </w:p>
        </w:tc>
        <w:tc>
          <w:tcPr>
            <w:tcW w:w="708" w:type="pct"/>
            <w:vAlign w:val="bottom"/>
          </w:tcPr>
          <w:p w14:paraId="0943B52A"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5.0</w:t>
            </w:r>
          </w:p>
        </w:tc>
      </w:tr>
      <w:tr w:rsidR="00127B81" w:rsidRPr="000E1B7E" w14:paraId="13C7C550"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1233EDF6"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Rental Income Tax</w:t>
            </w:r>
          </w:p>
        </w:tc>
        <w:tc>
          <w:tcPr>
            <w:tcW w:w="438" w:type="pct"/>
            <w:noWrap/>
            <w:hideMark/>
          </w:tcPr>
          <w:p w14:paraId="6D3CB169"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0.0</w:t>
            </w:r>
          </w:p>
        </w:tc>
        <w:tc>
          <w:tcPr>
            <w:tcW w:w="541" w:type="pct"/>
            <w:noWrap/>
            <w:hideMark/>
          </w:tcPr>
          <w:p w14:paraId="4C6EE814"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0.1</w:t>
            </w:r>
          </w:p>
        </w:tc>
        <w:tc>
          <w:tcPr>
            <w:tcW w:w="545" w:type="pct"/>
            <w:noWrap/>
            <w:hideMark/>
          </w:tcPr>
          <w:p w14:paraId="55CA2680"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0.1</w:t>
            </w:r>
          </w:p>
        </w:tc>
        <w:tc>
          <w:tcPr>
            <w:tcW w:w="545" w:type="pct"/>
            <w:noWrap/>
            <w:hideMark/>
          </w:tcPr>
          <w:p w14:paraId="4733D12B"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0.1</w:t>
            </w:r>
          </w:p>
        </w:tc>
        <w:tc>
          <w:tcPr>
            <w:tcW w:w="606" w:type="pct"/>
            <w:vAlign w:val="bottom"/>
          </w:tcPr>
          <w:p w14:paraId="29EC4234"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0.1</w:t>
            </w:r>
          </w:p>
        </w:tc>
        <w:tc>
          <w:tcPr>
            <w:tcW w:w="708" w:type="pct"/>
            <w:vAlign w:val="bottom"/>
          </w:tcPr>
          <w:p w14:paraId="67B487B9"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144.3</w:t>
            </w:r>
          </w:p>
        </w:tc>
      </w:tr>
      <w:tr w:rsidR="00127B81" w:rsidRPr="000E1B7E" w14:paraId="58A7EAF0"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71E94043"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Tax on Bank Interest</w:t>
            </w:r>
          </w:p>
        </w:tc>
        <w:tc>
          <w:tcPr>
            <w:tcW w:w="438" w:type="pct"/>
            <w:noWrap/>
            <w:hideMark/>
          </w:tcPr>
          <w:p w14:paraId="1C533F01"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0.4</w:t>
            </w:r>
          </w:p>
        </w:tc>
        <w:tc>
          <w:tcPr>
            <w:tcW w:w="541" w:type="pct"/>
            <w:noWrap/>
            <w:hideMark/>
          </w:tcPr>
          <w:p w14:paraId="40A4DC29"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0.4</w:t>
            </w:r>
          </w:p>
        </w:tc>
        <w:tc>
          <w:tcPr>
            <w:tcW w:w="545" w:type="pct"/>
            <w:noWrap/>
            <w:hideMark/>
          </w:tcPr>
          <w:p w14:paraId="0F9EDFB9"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0.5</w:t>
            </w:r>
          </w:p>
        </w:tc>
        <w:tc>
          <w:tcPr>
            <w:tcW w:w="545" w:type="pct"/>
            <w:noWrap/>
            <w:hideMark/>
          </w:tcPr>
          <w:p w14:paraId="5CF972FA"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0.5</w:t>
            </w:r>
          </w:p>
        </w:tc>
        <w:tc>
          <w:tcPr>
            <w:tcW w:w="606" w:type="pct"/>
            <w:vAlign w:val="bottom"/>
          </w:tcPr>
          <w:p w14:paraId="68BCD88E"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0.1</w:t>
            </w:r>
          </w:p>
        </w:tc>
        <w:tc>
          <w:tcPr>
            <w:tcW w:w="708" w:type="pct"/>
            <w:vAlign w:val="bottom"/>
          </w:tcPr>
          <w:p w14:paraId="2FCCA377"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19.8</w:t>
            </w:r>
          </w:p>
        </w:tc>
      </w:tr>
      <w:tr w:rsidR="00127B81" w:rsidRPr="000E1B7E" w14:paraId="3399FE9B"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3CECE9CE" w14:textId="77777777" w:rsidR="00127B81" w:rsidRPr="000E1B7E" w:rsidRDefault="00127B81" w:rsidP="005959B5">
            <w:pPr>
              <w:jc w:val="both"/>
              <w:rPr>
                <w:rFonts w:ascii="Times New Roman" w:eastAsia="Times New Roman" w:hAnsi="Times New Roman" w:cs="Times New Roman"/>
                <w:i/>
                <w:iCs/>
                <w:sz w:val="20"/>
                <w:szCs w:val="20"/>
                <w:lang w:val="en-US"/>
              </w:rPr>
            </w:pPr>
            <w:r w:rsidRPr="000E1B7E">
              <w:rPr>
                <w:rFonts w:ascii="Times New Roman" w:eastAsia="Times New Roman" w:hAnsi="Times New Roman" w:cs="Times New Roman"/>
                <w:i/>
                <w:iCs/>
                <w:sz w:val="20"/>
                <w:szCs w:val="20"/>
                <w:lang w:val="en-US"/>
              </w:rPr>
              <w:t>Indirect Domestic Taxes</w:t>
            </w:r>
          </w:p>
        </w:tc>
        <w:tc>
          <w:tcPr>
            <w:tcW w:w="438" w:type="pct"/>
            <w:noWrap/>
            <w:hideMark/>
          </w:tcPr>
          <w:p w14:paraId="67D25DE6"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2.8</w:t>
            </w:r>
          </w:p>
        </w:tc>
        <w:tc>
          <w:tcPr>
            <w:tcW w:w="541" w:type="pct"/>
            <w:noWrap/>
            <w:hideMark/>
          </w:tcPr>
          <w:p w14:paraId="0C692723"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2.9</w:t>
            </w:r>
          </w:p>
        </w:tc>
        <w:tc>
          <w:tcPr>
            <w:tcW w:w="545" w:type="pct"/>
            <w:noWrap/>
            <w:hideMark/>
          </w:tcPr>
          <w:p w14:paraId="390F1061"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3.1</w:t>
            </w:r>
          </w:p>
        </w:tc>
        <w:tc>
          <w:tcPr>
            <w:tcW w:w="545" w:type="pct"/>
            <w:noWrap/>
            <w:hideMark/>
          </w:tcPr>
          <w:p w14:paraId="11F42897"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i/>
                <w:iCs/>
                <w:sz w:val="20"/>
                <w:szCs w:val="20"/>
                <w:lang w:val="en-US"/>
              </w:rPr>
            </w:pPr>
            <w:r w:rsidRPr="000E1B7E">
              <w:rPr>
                <w:rFonts w:ascii="Times New Roman" w:eastAsia="Times New Roman" w:hAnsi="Times New Roman" w:cs="Times New Roman"/>
                <w:b/>
                <w:bCs/>
                <w:i/>
                <w:iCs/>
                <w:sz w:val="20"/>
                <w:szCs w:val="20"/>
                <w:lang w:val="en-US"/>
              </w:rPr>
              <w:t>3.2</w:t>
            </w:r>
          </w:p>
        </w:tc>
        <w:tc>
          <w:tcPr>
            <w:tcW w:w="606" w:type="pct"/>
            <w:vAlign w:val="bottom"/>
          </w:tcPr>
          <w:p w14:paraId="5EC5EA0B"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0"/>
                <w:szCs w:val="20"/>
              </w:rPr>
            </w:pPr>
            <w:r w:rsidRPr="000E1B7E">
              <w:rPr>
                <w:rFonts w:ascii="Times New Roman" w:hAnsi="Times New Roman" w:cs="Times New Roman"/>
                <w:b/>
                <w:i/>
                <w:sz w:val="20"/>
                <w:szCs w:val="20"/>
              </w:rPr>
              <w:t>0.4</w:t>
            </w:r>
          </w:p>
        </w:tc>
        <w:tc>
          <w:tcPr>
            <w:tcW w:w="708" w:type="pct"/>
            <w:vAlign w:val="bottom"/>
          </w:tcPr>
          <w:p w14:paraId="69B082E2"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sz w:val="20"/>
                <w:szCs w:val="20"/>
              </w:rPr>
            </w:pPr>
            <w:r w:rsidRPr="000E1B7E">
              <w:rPr>
                <w:rFonts w:ascii="Times New Roman" w:hAnsi="Times New Roman" w:cs="Times New Roman"/>
                <w:b/>
                <w:i/>
                <w:sz w:val="20"/>
                <w:szCs w:val="20"/>
              </w:rPr>
              <w:t>13.0</w:t>
            </w:r>
          </w:p>
        </w:tc>
      </w:tr>
      <w:tr w:rsidR="00127B81" w:rsidRPr="000E1B7E" w14:paraId="5BEB63D4"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35C9465E"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Excise duty:</w:t>
            </w:r>
          </w:p>
        </w:tc>
        <w:tc>
          <w:tcPr>
            <w:tcW w:w="438" w:type="pct"/>
            <w:noWrap/>
            <w:hideMark/>
          </w:tcPr>
          <w:p w14:paraId="059D579F"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0.8</w:t>
            </w:r>
          </w:p>
        </w:tc>
        <w:tc>
          <w:tcPr>
            <w:tcW w:w="541" w:type="pct"/>
            <w:noWrap/>
            <w:hideMark/>
          </w:tcPr>
          <w:p w14:paraId="00372F94"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0.8</w:t>
            </w:r>
          </w:p>
        </w:tc>
        <w:tc>
          <w:tcPr>
            <w:tcW w:w="545" w:type="pct"/>
            <w:noWrap/>
            <w:hideMark/>
          </w:tcPr>
          <w:p w14:paraId="6028F8CF"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0.9</w:t>
            </w:r>
          </w:p>
        </w:tc>
        <w:tc>
          <w:tcPr>
            <w:tcW w:w="545" w:type="pct"/>
            <w:noWrap/>
            <w:hideMark/>
          </w:tcPr>
          <w:p w14:paraId="1EDE184F"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0.9</w:t>
            </w:r>
          </w:p>
        </w:tc>
        <w:tc>
          <w:tcPr>
            <w:tcW w:w="606" w:type="pct"/>
            <w:vAlign w:val="bottom"/>
          </w:tcPr>
          <w:p w14:paraId="49576145"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0.1</w:t>
            </w:r>
          </w:p>
        </w:tc>
        <w:tc>
          <w:tcPr>
            <w:tcW w:w="708" w:type="pct"/>
            <w:vAlign w:val="bottom"/>
          </w:tcPr>
          <w:p w14:paraId="383B745A"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13.7</w:t>
            </w:r>
          </w:p>
        </w:tc>
      </w:tr>
      <w:tr w:rsidR="00127B81" w:rsidRPr="000E1B7E" w14:paraId="3B2DA0CE"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7061B2A0" w14:textId="77777777" w:rsidR="00127B81" w:rsidRPr="000E1B7E" w:rsidRDefault="00127B81"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Value Added Tax:</w:t>
            </w:r>
          </w:p>
        </w:tc>
        <w:tc>
          <w:tcPr>
            <w:tcW w:w="438" w:type="pct"/>
            <w:noWrap/>
            <w:hideMark/>
          </w:tcPr>
          <w:p w14:paraId="6F0E9291"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w:t>
            </w:r>
          </w:p>
        </w:tc>
        <w:tc>
          <w:tcPr>
            <w:tcW w:w="541" w:type="pct"/>
            <w:noWrap/>
            <w:hideMark/>
          </w:tcPr>
          <w:p w14:paraId="1D19BAFD"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2.1</w:t>
            </w:r>
          </w:p>
        </w:tc>
        <w:tc>
          <w:tcPr>
            <w:tcW w:w="545" w:type="pct"/>
            <w:noWrap/>
            <w:hideMark/>
          </w:tcPr>
          <w:p w14:paraId="7F274E8D"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2.2</w:t>
            </w:r>
          </w:p>
        </w:tc>
        <w:tc>
          <w:tcPr>
            <w:tcW w:w="545" w:type="pct"/>
            <w:noWrap/>
            <w:hideMark/>
          </w:tcPr>
          <w:p w14:paraId="21FD84D7"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2.2</w:t>
            </w:r>
          </w:p>
        </w:tc>
        <w:tc>
          <w:tcPr>
            <w:tcW w:w="606" w:type="pct"/>
            <w:vAlign w:val="bottom"/>
          </w:tcPr>
          <w:p w14:paraId="15DDEB46"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0.2</w:t>
            </w:r>
          </w:p>
        </w:tc>
        <w:tc>
          <w:tcPr>
            <w:tcW w:w="708" w:type="pct"/>
            <w:vAlign w:val="bottom"/>
          </w:tcPr>
          <w:p w14:paraId="7D97949F"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12.6</w:t>
            </w:r>
          </w:p>
        </w:tc>
      </w:tr>
      <w:tr w:rsidR="00127B81" w:rsidRPr="000E1B7E" w14:paraId="44DE02FB"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607EE137" w14:textId="77777777" w:rsidR="00127B81" w:rsidRPr="000E1B7E" w:rsidRDefault="00127B81"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Taxes on International Trade</w:t>
            </w:r>
          </w:p>
        </w:tc>
        <w:tc>
          <w:tcPr>
            <w:tcW w:w="438" w:type="pct"/>
            <w:noWrap/>
            <w:hideMark/>
          </w:tcPr>
          <w:p w14:paraId="7E92E7C6"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5.7</w:t>
            </w:r>
          </w:p>
        </w:tc>
        <w:tc>
          <w:tcPr>
            <w:tcW w:w="541" w:type="pct"/>
            <w:noWrap/>
            <w:hideMark/>
          </w:tcPr>
          <w:p w14:paraId="64D28D3D"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5.8</w:t>
            </w:r>
          </w:p>
        </w:tc>
        <w:tc>
          <w:tcPr>
            <w:tcW w:w="545" w:type="pct"/>
            <w:noWrap/>
            <w:hideMark/>
          </w:tcPr>
          <w:p w14:paraId="7C81562A"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5.9</w:t>
            </w:r>
          </w:p>
        </w:tc>
        <w:tc>
          <w:tcPr>
            <w:tcW w:w="545" w:type="pct"/>
            <w:noWrap/>
            <w:hideMark/>
          </w:tcPr>
          <w:p w14:paraId="08D396E0"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6.2</w:t>
            </w:r>
          </w:p>
        </w:tc>
        <w:tc>
          <w:tcPr>
            <w:tcW w:w="606" w:type="pct"/>
            <w:vAlign w:val="bottom"/>
          </w:tcPr>
          <w:p w14:paraId="384FCE8A"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0.5</w:t>
            </w:r>
          </w:p>
        </w:tc>
        <w:tc>
          <w:tcPr>
            <w:tcW w:w="708" w:type="pct"/>
            <w:vAlign w:val="bottom"/>
          </w:tcPr>
          <w:p w14:paraId="68B362B1" w14:textId="77777777" w:rsidR="00127B81" w:rsidRPr="000E1B7E" w:rsidRDefault="00127B81"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9.0</w:t>
            </w:r>
          </w:p>
        </w:tc>
      </w:tr>
      <w:tr w:rsidR="00127B81" w:rsidRPr="000E1B7E" w14:paraId="14DDCA31" w14:textId="77777777" w:rsidTr="00B538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hideMark/>
          </w:tcPr>
          <w:p w14:paraId="1425397E" w14:textId="77777777" w:rsidR="00127B81" w:rsidRPr="000E1B7E" w:rsidRDefault="00127B81"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Non Tax Revenue (NTR)</w:t>
            </w:r>
          </w:p>
        </w:tc>
        <w:tc>
          <w:tcPr>
            <w:tcW w:w="438" w:type="pct"/>
            <w:noWrap/>
            <w:hideMark/>
          </w:tcPr>
          <w:p w14:paraId="731B563C"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0.3</w:t>
            </w:r>
          </w:p>
        </w:tc>
        <w:tc>
          <w:tcPr>
            <w:tcW w:w="541" w:type="pct"/>
            <w:noWrap/>
            <w:hideMark/>
          </w:tcPr>
          <w:p w14:paraId="7AC8363A"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0.5</w:t>
            </w:r>
          </w:p>
        </w:tc>
        <w:tc>
          <w:tcPr>
            <w:tcW w:w="545" w:type="pct"/>
            <w:noWrap/>
            <w:hideMark/>
          </w:tcPr>
          <w:p w14:paraId="6DD547C7"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0.3</w:t>
            </w:r>
          </w:p>
        </w:tc>
        <w:tc>
          <w:tcPr>
            <w:tcW w:w="545" w:type="pct"/>
            <w:noWrap/>
            <w:hideMark/>
          </w:tcPr>
          <w:p w14:paraId="2A2F8F1C"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0.4</w:t>
            </w:r>
          </w:p>
        </w:tc>
        <w:tc>
          <w:tcPr>
            <w:tcW w:w="606" w:type="pct"/>
            <w:vAlign w:val="bottom"/>
          </w:tcPr>
          <w:p w14:paraId="7D91FBB6"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0.1</w:t>
            </w:r>
          </w:p>
        </w:tc>
        <w:tc>
          <w:tcPr>
            <w:tcW w:w="708" w:type="pct"/>
            <w:vAlign w:val="bottom"/>
          </w:tcPr>
          <w:p w14:paraId="64726D73" w14:textId="77777777" w:rsidR="00127B81" w:rsidRPr="000E1B7E" w:rsidRDefault="00127B81" w:rsidP="005959B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29.1</w:t>
            </w:r>
          </w:p>
        </w:tc>
      </w:tr>
      <w:tr w:rsidR="00C01697" w:rsidRPr="000E1B7E" w14:paraId="5D5884AA" w14:textId="77777777" w:rsidTr="00B538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17" w:type="pct"/>
            <w:noWrap/>
          </w:tcPr>
          <w:p w14:paraId="1BA2857B" w14:textId="77777777" w:rsidR="00C01697" w:rsidRPr="000E1B7E" w:rsidRDefault="00C01697" w:rsidP="005959B5">
            <w:pPr>
              <w:jc w:val="both"/>
              <w:rPr>
                <w:rFonts w:ascii="Times New Roman" w:hAnsi="Times New Roman" w:cs="Times New Roman"/>
                <w:sz w:val="20"/>
                <w:szCs w:val="20"/>
                <w:lang w:val="en-US"/>
              </w:rPr>
            </w:pPr>
            <w:r w:rsidRPr="000E1B7E">
              <w:rPr>
                <w:rFonts w:ascii="Times New Roman" w:hAnsi="Times New Roman" w:cs="Times New Roman"/>
                <w:sz w:val="20"/>
                <w:szCs w:val="20"/>
                <w:lang w:val="en-US"/>
              </w:rPr>
              <w:t>NDP II projection</w:t>
            </w:r>
          </w:p>
        </w:tc>
        <w:tc>
          <w:tcPr>
            <w:tcW w:w="438" w:type="pct"/>
            <w:noWrap/>
          </w:tcPr>
          <w:p w14:paraId="44E784B1" w14:textId="77777777" w:rsidR="00C01697" w:rsidRPr="000E1B7E" w:rsidRDefault="00C01697"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0E1B7E">
              <w:rPr>
                <w:rFonts w:ascii="Times New Roman" w:hAnsi="Times New Roman" w:cs="Times New Roman"/>
                <w:sz w:val="20"/>
                <w:szCs w:val="20"/>
                <w:lang w:val="en-US"/>
              </w:rPr>
              <w:t>13.0</w:t>
            </w:r>
          </w:p>
        </w:tc>
        <w:tc>
          <w:tcPr>
            <w:tcW w:w="541" w:type="pct"/>
            <w:noWrap/>
          </w:tcPr>
          <w:p w14:paraId="00DA5F4F" w14:textId="77777777" w:rsidR="00C01697" w:rsidRPr="000E1B7E" w:rsidRDefault="00C01697"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0E1B7E">
              <w:rPr>
                <w:rFonts w:ascii="Times New Roman" w:hAnsi="Times New Roman" w:cs="Times New Roman"/>
                <w:sz w:val="20"/>
                <w:szCs w:val="20"/>
                <w:lang w:val="en-US"/>
              </w:rPr>
              <w:t>13.5</w:t>
            </w:r>
          </w:p>
        </w:tc>
        <w:tc>
          <w:tcPr>
            <w:tcW w:w="545" w:type="pct"/>
            <w:noWrap/>
          </w:tcPr>
          <w:p w14:paraId="5487077B" w14:textId="77777777" w:rsidR="00C01697" w:rsidRPr="000E1B7E" w:rsidRDefault="00C01697"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0E1B7E">
              <w:rPr>
                <w:rFonts w:ascii="Times New Roman" w:hAnsi="Times New Roman" w:cs="Times New Roman"/>
                <w:sz w:val="20"/>
                <w:szCs w:val="20"/>
                <w:lang w:val="en-US"/>
              </w:rPr>
              <w:t>14.0</w:t>
            </w:r>
          </w:p>
        </w:tc>
        <w:tc>
          <w:tcPr>
            <w:tcW w:w="545" w:type="pct"/>
            <w:noWrap/>
          </w:tcPr>
          <w:p w14:paraId="5B36D2D9" w14:textId="77777777" w:rsidR="00C01697" w:rsidRPr="000E1B7E" w:rsidRDefault="00C01697"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0E1B7E">
              <w:rPr>
                <w:rFonts w:ascii="Times New Roman" w:hAnsi="Times New Roman" w:cs="Times New Roman"/>
                <w:sz w:val="20"/>
                <w:szCs w:val="20"/>
                <w:lang w:val="en-US"/>
              </w:rPr>
              <w:t>14.4</w:t>
            </w:r>
          </w:p>
        </w:tc>
        <w:tc>
          <w:tcPr>
            <w:tcW w:w="606" w:type="pct"/>
            <w:vAlign w:val="bottom"/>
          </w:tcPr>
          <w:p w14:paraId="6143B9FA" w14:textId="77777777" w:rsidR="00C01697" w:rsidRPr="000E1B7E" w:rsidRDefault="00C01697"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1.4</w:t>
            </w:r>
          </w:p>
        </w:tc>
        <w:tc>
          <w:tcPr>
            <w:tcW w:w="708" w:type="pct"/>
            <w:vAlign w:val="bottom"/>
          </w:tcPr>
          <w:p w14:paraId="7E42A247" w14:textId="77777777" w:rsidR="00C01697" w:rsidRPr="000E1B7E" w:rsidRDefault="00C01697" w:rsidP="005959B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1B7E">
              <w:rPr>
                <w:rFonts w:ascii="Times New Roman" w:hAnsi="Times New Roman" w:cs="Times New Roman"/>
                <w:sz w:val="20"/>
                <w:szCs w:val="20"/>
              </w:rPr>
              <w:t>10.8</w:t>
            </w:r>
          </w:p>
        </w:tc>
      </w:tr>
    </w:tbl>
    <w:p w14:paraId="27E645CD" w14:textId="77777777" w:rsidR="00991B1B" w:rsidRPr="000E1B7E" w:rsidRDefault="00425169" w:rsidP="005959B5">
      <w:pPr>
        <w:pStyle w:val="Normal1"/>
        <w:spacing w:after="0" w:line="360" w:lineRule="auto"/>
        <w:jc w:val="both"/>
        <w:rPr>
          <w:rFonts w:ascii="Times New Roman" w:hAnsi="Times New Roman" w:cs="Times New Roman"/>
          <w:sz w:val="24"/>
          <w:szCs w:val="24"/>
        </w:rPr>
      </w:pPr>
      <w:r w:rsidRPr="000E1B7E">
        <w:rPr>
          <w:rFonts w:ascii="Times New Roman" w:hAnsi="Times New Roman" w:cs="Times New Roman"/>
          <w:sz w:val="24"/>
          <w:szCs w:val="24"/>
        </w:rPr>
        <w:t>Source: MFPED</w:t>
      </w:r>
    </w:p>
    <w:p w14:paraId="48108D5C" w14:textId="77777777" w:rsidR="005A7031" w:rsidRPr="000E1B7E" w:rsidRDefault="005A7031" w:rsidP="00C11847">
      <w:pPr>
        <w:pStyle w:val="DeltaSeched2"/>
      </w:pPr>
      <w:bookmarkStart w:id="98" w:name="_Toc3478385"/>
      <w:bookmarkStart w:id="99" w:name="_Toc11956267"/>
      <w:r w:rsidRPr="000E1B7E">
        <w:t>Composition of expenditure</w:t>
      </w:r>
      <w:bookmarkEnd w:id="98"/>
      <w:bookmarkEnd w:id="99"/>
    </w:p>
    <w:p w14:paraId="3E0BCBA1" w14:textId="77777777" w:rsidR="005A7031" w:rsidRPr="000E1B7E" w:rsidRDefault="005A7031"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sz w:val="24"/>
          <w:szCs w:val="24"/>
        </w:rPr>
        <w:t xml:space="preserve">Both </w:t>
      </w:r>
      <w:r w:rsidR="00650173" w:rsidRPr="000E1B7E">
        <w:rPr>
          <w:rFonts w:ascii="Times New Roman" w:hAnsi="Times New Roman"/>
          <w:b/>
          <w:sz w:val="24"/>
          <w:szCs w:val="24"/>
        </w:rPr>
        <w:t>d</w:t>
      </w:r>
      <w:r w:rsidRPr="000E1B7E">
        <w:rPr>
          <w:rFonts w:ascii="Times New Roman" w:hAnsi="Times New Roman"/>
          <w:b/>
          <w:sz w:val="24"/>
          <w:szCs w:val="24"/>
        </w:rPr>
        <w:t xml:space="preserve">evelopment and recurrent spending are driving the recent fiscal expansion, although development spending is expected to </w:t>
      </w:r>
      <w:r w:rsidR="00671D65" w:rsidRPr="000E1B7E">
        <w:rPr>
          <w:rFonts w:ascii="Times New Roman" w:hAnsi="Times New Roman"/>
          <w:b/>
          <w:sz w:val="24"/>
          <w:szCs w:val="24"/>
        </w:rPr>
        <w:t xml:space="preserve">increase faster than </w:t>
      </w:r>
      <w:r w:rsidRPr="000E1B7E">
        <w:rPr>
          <w:rFonts w:ascii="Times New Roman" w:hAnsi="Times New Roman"/>
          <w:b/>
          <w:sz w:val="24"/>
          <w:szCs w:val="24"/>
        </w:rPr>
        <w:t xml:space="preserve">recurrent spending. </w:t>
      </w:r>
      <w:r w:rsidRPr="000E1B7E">
        <w:rPr>
          <w:rFonts w:ascii="Times New Roman" w:hAnsi="Times New Roman"/>
          <w:sz w:val="24"/>
          <w:szCs w:val="24"/>
        </w:rPr>
        <w:t xml:space="preserve">The gap between recurrent and development </w:t>
      </w:r>
      <w:r w:rsidR="00122916" w:rsidRPr="000E1B7E">
        <w:rPr>
          <w:rFonts w:ascii="Times New Roman" w:hAnsi="Times New Roman"/>
          <w:sz w:val="24"/>
          <w:szCs w:val="24"/>
        </w:rPr>
        <w:t>spending is declining (Figure 12</w:t>
      </w:r>
      <w:r w:rsidRPr="000E1B7E">
        <w:rPr>
          <w:rFonts w:ascii="Times New Roman" w:hAnsi="Times New Roman"/>
          <w:sz w:val="24"/>
          <w:szCs w:val="24"/>
        </w:rPr>
        <w:t>). Recurrent expenditure increased from 10.8</w:t>
      </w:r>
      <w:r w:rsidRPr="000E1B7E">
        <w:rPr>
          <w:rFonts w:ascii="Times New Roman" w:eastAsia="Times New Roman" w:hAnsi="Times New Roman"/>
          <w:sz w:val="24"/>
          <w:szCs w:val="24"/>
        </w:rPr>
        <w:t>%</w:t>
      </w:r>
      <w:r w:rsidR="00650173" w:rsidRPr="000E1B7E">
        <w:rPr>
          <w:rFonts w:ascii="Times New Roman" w:hAnsi="Times New Roman"/>
          <w:sz w:val="24"/>
          <w:szCs w:val="24"/>
        </w:rPr>
        <w:t xml:space="preserve">of GDP </w:t>
      </w:r>
      <w:r w:rsidRPr="000E1B7E">
        <w:rPr>
          <w:rFonts w:ascii="Times New Roman" w:hAnsi="Times New Roman"/>
          <w:sz w:val="24"/>
          <w:szCs w:val="24"/>
        </w:rPr>
        <w:t xml:space="preserve">in 2015/16 to 11.2% in 2017/18, while over the same period, development expenditure increased from </w:t>
      </w:r>
      <w:r w:rsidR="00650173" w:rsidRPr="000E1B7E">
        <w:rPr>
          <w:rFonts w:ascii="Times New Roman" w:hAnsi="Times New Roman"/>
          <w:sz w:val="24"/>
          <w:szCs w:val="24"/>
        </w:rPr>
        <w:t>7.0</w:t>
      </w:r>
      <w:r w:rsidRPr="000E1B7E">
        <w:rPr>
          <w:rFonts w:ascii="Times New Roman" w:hAnsi="Times New Roman"/>
          <w:sz w:val="24"/>
          <w:szCs w:val="24"/>
        </w:rPr>
        <w:t>% of GDP to 7.</w:t>
      </w:r>
      <w:r w:rsidR="00650173" w:rsidRPr="000E1B7E">
        <w:rPr>
          <w:rFonts w:ascii="Times New Roman" w:hAnsi="Times New Roman"/>
          <w:sz w:val="24"/>
          <w:szCs w:val="24"/>
        </w:rPr>
        <w:t>6</w:t>
      </w:r>
      <w:r w:rsidRPr="000E1B7E">
        <w:rPr>
          <w:rFonts w:ascii="Times New Roman" w:hAnsi="Times New Roman"/>
          <w:sz w:val="24"/>
          <w:szCs w:val="24"/>
        </w:rPr>
        <w:t xml:space="preserve">%. However, development expenditure is projected to move closer to recurrent expenditure in </w:t>
      </w:r>
      <w:r w:rsidR="00671D65" w:rsidRPr="000E1B7E">
        <w:rPr>
          <w:rFonts w:ascii="Times New Roman" w:hAnsi="Times New Roman"/>
          <w:sz w:val="24"/>
          <w:szCs w:val="24"/>
        </w:rPr>
        <w:t xml:space="preserve">the </w:t>
      </w:r>
      <w:r w:rsidRPr="000E1B7E">
        <w:rPr>
          <w:rFonts w:ascii="Times New Roman" w:hAnsi="Times New Roman"/>
          <w:sz w:val="24"/>
          <w:szCs w:val="24"/>
        </w:rPr>
        <w:t xml:space="preserve">2018/19 financial year. Despite </w:t>
      </w:r>
      <w:r w:rsidR="00583E81" w:rsidRPr="000E1B7E">
        <w:rPr>
          <w:rFonts w:ascii="Times New Roman" w:hAnsi="Times New Roman"/>
          <w:sz w:val="24"/>
          <w:szCs w:val="24"/>
        </w:rPr>
        <w:t xml:space="preserve">the </w:t>
      </w:r>
      <w:r w:rsidRPr="000E1B7E">
        <w:rPr>
          <w:rFonts w:ascii="Times New Roman" w:hAnsi="Times New Roman"/>
          <w:sz w:val="24"/>
          <w:szCs w:val="24"/>
        </w:rPr>
        <w:t>Government</w:t>
      </w:r>
      <w:r w:rsidR="00583E81" w:rsidRPr="000E1B7E">
        <w:rPr>
          <w:rFonts w:ascii="Times New Roman" w:hAnsi="Times New Roman"/>
          <w:sz w:val="24"/>
          <w:szCs w:val="24"/>
        </w:rPr>
        <w:t>’s</w:t>
      </w:r>
      <w:r w:rsidRPr="000E1B7E">
        <w:rPr>
          <w:rFonts w:ascii="Times New Roman" w:hAnsi="Times New Roman"/>
          <w:sz w:val="24"/>
          <w:szCs w:val="24"/>
        </w:rPr>
        <w:t xml:space="preserve"> efforts to direct more spending towards development expenditure, the increasing cost of public administration</w:t>
      </w:r>
      <w:r w:rsidR="00650173" w:rsidRPr="000E1B7E">
        <w:rPr>
          <w:rFonts w:ascii="Times New Roman" w:hAnsi="Times New Roman"/>
          <w:sz w:val="24"/>
          <w:szCs w:val="24"/>
        </w:rPr>
        <w:t>, as well as slow implementation of projects,</w:t>
      </w:r>
      <w:r w:rsidRPr="000E1B7E">
        <w:rPr>
          <w:rFonts w:ascii="Times New Roman" w:hAnsi="Times New Roman"/>
          <w:sz w:val="24"/>
          <w:szCs w:val="24"/>
        </w:rPr>
        <w:t xml:space="preserve"> ha</w:t>
      </w:r>
      <w:r w:rsidR="00583E81" w:rsidRPr="000E1B7E">
        <w:rPr>
          <w:rFonts w:ascii="Times New Roman" w:hAnsi="Times New Roman"/>
          <w:sz w:val="24"/>
          <w:szCs w:val="24"/>
        </w:rPr>
        <w:t>ve</w:t>
      </w:r>
      <w:r w:rsidRPr="000E1B7E">
        <w:rPr>
          <w:rFonts w:ascii="Times New Roman" w:hAnsi="Times New Roman"/>
          <w:sz w:val="24"/>
          <w:szCs w:val="24"/>
        </w:rPr>
        <w:t xml:space="preserve"> constrained development </w:t>
      </w:r>
      <w:r w:rsidR="00650173" w:rsidRPr="000E1B7E">
        <w:rPr>
          <w:rFonts w:ascii="Times New Roman" w:hAnsi="Times New Roman"/>
          <w:sz w:val="24"/>
          <w:szCs w:val="24"/>
        </w:rPr>
        <w:t>spending</w:t>
      </w:r>
      <w:r w:rsidRPr="000E1B7E">
        <w:rPr>
          <w:rFonts w:ascii="Times New Roman" w:hAnsi="Times New Roman"/>
          <w:sz w:val="24"/>
          <w:szCs w:val="24"/>
        </w:rPr>
        <w:t xml:space="preserve">. </w:t>
      </w:r>
    </w:p>
    <w:p w14:paraId="658FA4B8" w14:textId="77777777" w:rsidR="00AD678D" w:rsidRPr="000E1B7E" w:rsidRDefault="000672A9" w:rsidP="000672A9">
      <w:pPr>
        <w:pStyle w:val="Caption"/>
        <w:rPr>
          <w:rFonts w:ascii="Times New Roman" w:eastAsia="Calibri" w:hAnsi="Times New Roman" w:cs="Times New Roman"/>
          <w:b/>
          <w:i w:val="0"/>
          <w:iCs w:val="0"/>
          <w:color w:val="auto"/>
          <w:sz w:val="24"/>
          <w:szCs w:val="24"/>
          <w:lang w:val="en-GB"/>
        </w:rPr>
      </w:pPr>
      <w:bookmarkStart w:id="100" w:name="_Toc3483156"/>
      <w:r w:rsidRPr="000E1B7E">
        <w:rPr>
          <w:rFonts w:ascii="Times New Roman" w:eastAsia="Calibri" w:hAnsi="Times New Roman" w:cs="Times New Roman"/>
          <w:b/>
          <w:i w:val="0"/>
          <w:iCs w:val="0"/>
          <w:color w:val="auto"/>
          <w:sz w:val="24"/>
          <w:szCs w:val="24"/>
          <w:lang w:val="en-GB"/>
        </w:rPr>
        <w:lastRenderedPageBreak/>
        <w:t xml:space="preserve">Figure </w:t>
      </w:r>
      <w:r w:rsidR="00FD5BA9">
        <w:rPr>
          <w:rFonts w:ascii="Times New Roman" w:eastAsia="Calibri" w:hAnsi="Times New Roman" w:cs="Times New Roman"/>
          <w:b/>
          <w:i w:val="0"/>
          <w:iCs w:val="0"/>
          <w:color w:val="auto"/>
          <w:sz w:val="24"/>
          <w:szCs w:val="24"/>
          <w:lang w:val="en-GB"/>
        </w:rPr>
        <w:t>6</w:t>
      </w:r>
      <w:r w:rsidR="00AD678D" w:rsidRPr="000E1B7E">
        <w:rPr>
          <w:rFonts w:ascii="Times New Roman" w:eastAsia="Calibri" w:hAnsi="Times New Roman" w:cs="Times New Roman"/>
          <w:b/>
          <w:i w:val="0"/>
          <w:iCs w:val="0"/>
          <w:color w:val="auto"/>
          <w:sz w:val="24"/>
          <w:szCs w:val="24"/>
          <w:lang w:val="en-GB"/>
        </w:rPr>
        <w:t>:Development and recurrent spending</w:t>
      </w:r>
      <w:bookmarkEnd w:id="100"/>
    </w:p>
    <w:p w14:paraId="52AF20C0" w14:textId="77777777" w:rsidR="005A7031" w:rsidRPr="000E1B7E" w:rsidRDefault="005A7031" w:rsidP="005959B5">
      <w:pPr>
        <w:jc w:val="both"/>
      </w:pPr>
      <w:r w:rsidRPr="000E1B7E">
        <w:rPr>
          <w:noProof/>
          <w:lang w:eastAsia="en-GB"/>
        </w:rPr>
        <w:drawing>
          <wp:inline distT="0" distB="0" distL="0" distR="0" wp14:anchorId="04099F2F" wp14:editId="002C7A36">
            <wp:extent cx="5838825" cy="2743200"/>
            <wp:effectExtent l="0" t="0" r="0" b="0"/>
            <wp:docPr id="10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8853E6" w14:textId="77777777" w:rsidR="00886FE8" w:rsidRPr="000E1B7E" w:rsidRDefault="00886FE8" w:rsidP="005959B5">
      <w:pPr>
        <w:jc w:val="both"/>
      </w:pPr>
      <w:r w:rsidRPr="000E1B7E">
        <w:t>Source: MFPED</w:t>
      </w:r>
    </w:p>
    <w:p w14:paraId="4007527B" w14:textId="77777777" w:rsidR="00092902" w:rsidRPr="000E1B7E" w:rsidRDefault="00E62AAB"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color w:val="000000"/>
          <w:sz w:val="24"/>
          <w:szCs w:val="24"/>
        </w:rPr>
        <w:t>Expenditure to Finance NDP II</w:t>
      </w:r>
      <w:r w:rsidRPr="000E1B7E">
        <w:rPr>
          <w:rFonts w:ascii="Times New Roman" w:hAnsi="Times New Roman"/>
          <w:color w:val="000000"/>
          <w:sz w:val="24"/>
          <w:szCs w:val="24"/>
        </w:rPr>
        <w:t xml:space="preserve">: </w:t>
      </w:r>
      <w:r w:rsidR="00367345" w:rsidRPr="000E1B7E">
        <w:rPr>
          <w:rFonts w:ascii="Times New Roman" w:hAnsi="Times New Roman"/>
          <w:color w:val="000000"/>
          <w:sz w:val="24"/>
          <w:szCs w:val="24"/>
        </w:rPr>
        <w:t xml:space="preserve">As shown in the </w:t>
      </w:r>
      <w:r w:rsidR="00583E81" w:rsidRPr="000E1B7E">
        <w:rPr>
          <w:rFonts w:ascii="Times New Roman" w:hAnsi="Times New Roman"/>
          <w:color w:val="000000"/>
          <w:sz w:val="24"/>
          <w:szCs w:val="24"/>
        </w:rPr>
        <w:t>figure 12</w:t>
      </w:r>
      <w:r w:rsidR="00367345" w:rsidRPr="000E1B7E">
        <w:rPr>
          <w:rFonts w:ascii="Times New Roman" w:hAnsi="Times New Roman"/>
          <w:color w:val="000000"/>
          <w:sz w:val="24"/>
          <w:szCs w:val="24"/>
        </w:rPr>
        <w:t xml:space="preserve">, </w:t>
      </w:r>
      <w:r w:rsidR="005909F8" w:rsidRPr="000E1B7E">
        <w:rPr>
          <w:rFonts w:ascii="Times New Roman" w:hAnsi="Times New Roman"/>
          <w:color w:val="000000"/>
          <w:sz w:val="24"/>
          <w:szCs w:val="24"/>
        </w:rPr>
        <w:t xml:space="preserve">whereas average spending is projected to reach 22% </w:t>
      </w:r>
      <w:r w:rsidR="00BC4652" w:rsidRPr="000E1B7E">
        <w:rPr>
          <w:rFonts w:ascii="Times New Roman" w:hAnsi="Times New Roman"/>
          <w:color w:val="000000"/>
          <w:sz w:val="24"/>
          <w:szCs w:val="24"/>
        </w:rPr>
        <w:t xml:space="preserve">of GDP </w:t>
      </w:r>
      <w:r w:rsidR="005909F8" w:rsidRPr="000E1B7E">
        <w:rPr>
          <w:rFonts w:ascii="Times New Roman" w:hAnsi="Times New Roman"/>
          <w:color w:val="000000"/>
          <w:sz w:val="24"/>
          <w:szCs w:val="24"/>
        </w:rPr>
        <w:t xml:space="preserve">in 2019/20, average spending over the first three years </w:t>
      </w:r>
      <w:r w:rsidR="000E6378" w:rsidRPr="000E1B7E">
        <w:rPr>
          <w:rFonts w:ascii="Times New Roman" w:hAnsi="Times New Roman"/>
          <w:color w:val="000000"/>
          <w:sz w:val="24"/>
          <w:szCs w:val="24"/>
        </w:rPr>
        <w:t xml:space="preserve">of NDP II </w:t>
      </w:r>
      <w:r w:rsidR="005909F8" w:rsidRPr="000E1B7E">
        <w:rPr>
          <w:rFonts w:ascii="Times New Roman" w:hAnsi="Times New Roman"/>
          <w:color w:val="000000"/>
          <w:sz w:val="24"/>
          <w:szCs w:val="24"/>
        </w:rPr>
        <w:t xml:space="preserve">has averaged 19.9% of GDP. This is lower than </w:t>
      </w:r>
      <w:r w:rsidR="000E6378" w:rsidRPr="000E1B7E">
        <w:rPr>
          <w:rFonts w:ascii="Times New Roman" w:hAnsi="Times New Roman"/>
          <w:color w:val="000000"/>
          <w:sz w:val="24"/>
          <w:szCs w:val="24"/>
        </w:rPr>
        <w:t xml:space="preserve">the </w:t>
      </w:r>
      <w:r w:rsidR="005909F8" w:rsidRPr="000E1B7E">
        <w:rPr>
          <w:rFonts w:ascii="Times New Roman" w:hAnsi="Times New Roman"/>
          <w:color w:val="000000"/>
          <w:sz w:val="24"/>
          <w:szCs w:val="24"/>
        </w:rPr>
        <w:t>projected NDP II spending that was projected to peak at 23</w:t>
      </w:r>
      <w:r w:rsidR="000E6378" w:rsidRPr="000E1B7E">
        <w:rPr>
          <w:rFonts w:ascii="Times New Roman" w:hAnsi="Times New Roman"/>
          <w:color w:val="000000"/>
          <w:sz w:val="24"/>
          <w:szCs w:val="24"/>
        </w:rPr>
        <w:t>.0</w:t>
      </w:r>
      <w:r w:rsidR="005909F8" w:rsidRPr="000E1B7E">
        <w:rPr>
          <w:rFonts w:ascii="Times New Roman" w:hAnsi="Times New Roman"/>
          <w:color w:val="000000"/>
          <w:sz w:val="24"/>
          <w:szCs w:val="24"/>
        </w:rPr>
        <w:t xml:space="preserve">% of GDP in 2016/17. </w:t>
      </w:r>
      <w:r w:rsidR="00BC4652" w:rsidRPr="000E1B7E">
        <w:rPr>
          <w:rFonts w:ascii="Times New Roman" w:hAnsi="Times New Roman"/>
          <w:color w:val="000000"/>
          <w:sz w:val="24"/>
          <w:szCs w:val="24"/>
        </w:rPr>
        <w:t xml:space="preserve">Lower overall </w:t>
      </w:r>
      <w:r w:rsidR="005909F8" w:rsidRPr="000E1B7E">
        <w:rPr>
          <w:rFonts w:ascii="Times New Roman" w:hAnsi="Times New Roman"/>
          <w:color w:val="000000"/>
          <w:sz w:val="24"/>
          <w:szCs w:val="24"/>
        </w:rPr>
        <w:t xml:space="preserve">spending is partly attributed to the slow </w:t>
      </w:r>
      <w:r w:rsidR="000E6378" w:rsidRPr="000E1B7E">
        <w:rPr>
          <w:rFonts w:ascii="Times New Roman" w:hAnsi="Times New Roman"/>
          <w:color w:val="000000"/>
          <w:sz w:val="24"/>
          <w:szCs w:val="24"/>
        </w:rPr>
        <w:t xml:space="preserve">implementation </w:t>
      </w:r>
      <w:r w:rsidR="005909F8" w:rsidRPr="000E1B7E">
        <w:rPr>
          <w:rFonts w:ascii="Times New Roman" w:hAnsi="Times New Roman"/>
          <w:color w:val="000000"/>
          <w:sz w:val="24"/>
          <w:szCs w:val="24"/>
        </w:rPr>
        <w:t xml:space="preserve">of some infrastructure projects. </w:t>
      </w:r>
      <w:r w:rsidR="00092902" w:rsidRPr="000E1B7E">
        <w:rPr>
          <w:rFonts w:ascii="Times New Roman" w:hAnsi="Times New Roman"/>
          <w:sz w:val="24"/>
          <w:szCs w:val="24"/>
        </w:rPr>
        <w:t xml:space="preserve">It is also quite unlikely that such a large and growing development budget can be implemented efficiently. First, there is an absorptive capacity issue, and whether the economy can absorb such an increase in spending without running into capacity problems leading to inflation. Second, </w:t>
      </w:r>
      <w:r w:rsidR="005307FA" w:rsidRPr="000E1B7E">
        <w:rPr>
          <w:rFonts w:ascii="Times New Roman" w:hAnsi="Times New Roman"/>
          <w:sz w:val="24"/>
          <w:szCs w:val="24"/>
        </w:rPr>
        <w:t>robust process for selecting development projects for inclusion in the national development plan</w:t>
      </w:r>
      <w:r w:rsidR="00092902" w:rsidRPr="000E1B7E">
        <w:rPr>
          <w:rFonts w:ascii="Times New Roman" w:hAnsi="Times New Roman"/>
          <w:sz w:val="24"/>
          <w:szCs w:val="24"/>
        </w:rPr>
        <w:t>, i.e. focusing on high return</w:t>
      </w:r>
      <w:r w:rsidR="005307FA" w:rsidRPr="000E1B7E">
        <w:rPr>
          <w:rFonts w:ascii="Times New Roman" w:hAnsi="Times New Roman"/>
          <w:sz w:val="24"/>
          <w:szCs w:val="24"/>
        </w:rPr>
        <w:t xml:space="preserve"> projects with proper appraisal before inclusion in the National Development Plan. </w:t>
      </w:r>
      <w:r w:rsidR="00092902" w:rsidRPr="000E1B7E">
        <w:rPr>
          <w:rFonts w:ascii="Times New Roman" w:hAnsi="Times New Roman"/>
          <w:sz w:val="24"/>
          <w:szCs w:val="24"/>
        </w:rPr>
        <w:t xml:space="preserve">Third, </w:t>
      </w:r>
      <w:r w:rsidR="005307FA" w:rsidRPr="000E1B7E">
        <w:rPr>
          <w:rFonts w:ascii="Times New Roman" w:hAnsi="Times New Roman"/>
          <w:sz w:val="24"/>
          <w:szCs w:val="24"/>
        </w:rPr>
        <w:t>low efficiency in implementing development projects on account of wastage and leakages.</w:t>
      </w:r>
    </w:p>
    <w:p w14:paraId="73F40DCD" w14:textId="77777777" w:rsidR="009D5CE2" w:rsidRPr="000E1B7E" w:rsidRDefault="00E92F2C" w:rsidP="00F85D24">
      <w:pPr>
        <w:pStyle w:val="DeltaBodytext"/>
        <w:numPr>
          <w:ilvl w:val="0"/>
          <w:numId w:val="26"/>
        </w:numPr>
        <w:spacing w:before="240" w:line="360" w:lineRule="auto"/>
        <w:ind w:left="567" w:hanging="567"/>
        <w:rPr>
          <w:rFonts w:ascii="Times New Roman" w:hAnsi="Times New Roman"/>
          <w:bCs/>
          <w:color w:val="000000"/>
          <w:sz w:val="24"/>
          <w:szCs w:val="24"/>
        </w:rPr>
      </w:pPr>
      <w:r w:rsidRPr="000E1B7E">
        <w:rPr>
          <w:rFonts w:ascii="Times New Roman" w:hAnsi="Times New Roman"/>
          <w:b/>
          <w:sz w:val="24"/>
          <w:szCs w:val="24"/>
        </w:rPr>
        <w:t xml:space="preserve">Infrastructure </w:t>
      </w:r>
      <w:r w:rsidR="00E62AAB" w:rsidRPr="000E1B7E">
        <w:rPr>
          <w:rFonts w:ascii="Times New Roman" w:hAnsi="Times New Roman"/>
          <w:b/>
          <w:sz w:val="24"/>
          <w:szCs w:val="24"/>
        </w:rPr>
        <w:t>projects implementation</w:t>
      </w:r>
      <w:r w:rsidRPr="000E1B7E">
        <w:rPr>
          <w:rFonts w:ascii="Times New Roman" w:hAnsi="Times New Roman"/>
          <w:sz w:val="24"/>
          <w:szCs w:val="24"/>
        </w:rPr>
        <w:t xml:space="preserve">: </w:t>
      </w:r>
      <w:r w:rsidR="00E62AAB" w:rsidRPr="000E1B7E">
        <w:rPr>
          <w:rFonts w:ascii="Times New Roman" w:hAnsi="Times New Roman"/>
          <w:sz w:val="24"/>
          <w:szCs w:val="24"/>
        </w:rPr>
        <w:t xml:space="preserve">Government commitment to accelerate spending on infrastructure projects has been realised </w:t>
      </w:r>
      <w:r w:rsidR="00BC4652" w:rsidRPr="000E1B7E">
        <w:rPr>
          <w:rFonts w:ascii="Times New Roman" w:hAnsi="Times New Roman"/>
          <w:sz w:val="24"/>
          <w:szCs w:val="24"/>
        </w:rPr>
        <w:t xml:space="preserve">to some extent, </w:t>
      </w:r>
      <w:r w:rsidR="00E62AAB" w:rsidRPr="000E1B7E">
        <w:rPr>
          <w:rFonts w:ascii="Times New Roman" w:hAnsi="Times New Roman"/>
          <w:sz w:val="24"/>
          <w:szCs w:val="24"/>
        </w:rPr>
        <w:t xml:space="preserve">and most of the prioritised projects under NDP II are </w:t>
      </w:r>
      <w:r w:rsidR="00BC4652" w:rsidRPr="000E1B7E">
        <w:rPr>
          <w:rFonts w:ascii="Times New Roman" w:hAnsi="Times New Roman"/>
          <w:sz w:val="24"/>
          <w:szCs w:val="24"/>
        </w:rPr>
        <w:t xml:space="preserve">in the process of </w:t>
      </w:r>
      <w:r w:rsidR="00E62AAB" w:rsidRPr="000E1B7E">
        <w:rPr>
          <w:rFonts w:ascii="Times New Roman" w:hAnsi="Times New Roman"/>
          <w:sz w:val="24"/>
          <w:szCs w:val="24"/>
        </w:rPr>
        <w:t>being implemented</w:t>
      </w:r>
      <w:r w:rsidR="00BC4652" w:rsidRPr="000E1B7E">
        <w:rPr>
          <w:rFonts w:ascii="Times New Roman" w:hAnsi="Times New Roman"/>
          <w:sz w:val="24"/>
          <w:szCs w:val="24"/>
        </w:rPr>
        <w:t xml:space="preserve">,although are </w:t>
      </w:r>
      <w:r w:rsidR="00E62AAB" w:rsidRPr="000E1B7E">
        <w:rPr>
          <w:rFonts w:ascii="Times New Roman" w:hAnsi="Times New Roman"/>
          <w:sz w:val="24"/>
          <w:szCs w:val="24"/>
        </w:rPr>
        <w:t>at different levels of completion</w:t>
      </w:r>
      <w:r w:rsidR="000E6378" w:rsidRPr="000E1B7E">
        <w:rPr>
          <w:rFonts w:ascii="Times New Roman" w:hAnsi="Times New Roman"/>
          <w:sz w:val="24"/>
          <w:szCs w:val="24"/>
        </w:rPr>
        <w:t xml:space="preserve"> and many are behind schedule</w:t>
      </w:r>
      <w:r w:rsidR="00E62AAB" w:rsidRPr="000E1B7E">
        <w:rPr>
          <w:rFonts w:ascii="Times New Roman" w:hAnsi="Times New Roman"/>
          <w:sz w:val="24"/>
          <w:szCs w:val="24"/>
        </w:rPr>
        <w:t xml:space="preserve">. The main projects that are significantly behind schedule include </w:t>
      </w:r>
      <w:r w:rsidR="00BC4652" w:rsidRPr="000E1B7E">
        <w:rPr>
          <w:rFonts w:ascii="Times New Roman" w:hAnsi="Times New Roman"/>
          <w:sz w:val="24"/>
          <w:szCs w:val="24"/>
        </w:rPr>
        <w:t xml:space="preserve">the </w:t>
      </w:r>
      <w:r w:rsidR="00E62AAB" w:rsidRPr="000E1B7E">
        <w:rPr>
          <w:rFonts w:ascii="Times New Roman" w:hAnsi="Times New Roman"/>
          <w:sz w:val="24"/>
          <w:szCs w:val="24"/>
          <w:lang w:val="en-US"/>
        </w:rPr>
        <w:t xml:space="preserve">Hoima Oil Refinery, oil pipeline, Standard Gauge Railway and </w:t>
      </w:r>
      <w:r w:rsidR="00E62AAB" w:rsidRPr="000E1B7E">
        <w:rPr>
          <w:rFonts w:ascii="Times New Roman" w:hAnsi="Times New Roman"/>
          <w:sz w:val="24"/>
          <w:szCs w:val="24"/>
          <w:lang w:val="en-US"/>
        </w:rPr>
        <w:lastRenderedPageBreak/>
        <w:t>the Ayago hydro power plant (600MW</w:t>
      </w:r>
      <w:r w:rsidR="00BC4652" w:rsidRPr="000E1B7E">
        <w:rPr>
          <w:rFonts w:ascii="Times New Roman" w:hAnsi="Times New Roman"/>
          <w:sz w:val="24"/>
          <w:szCs w:val="24"/>
          <w:lang w:val="en-US"/>
        </w:rPr>
        <w:t>)</w:t>
      </w:r>
      <w:r w:rsidR="00E62AAB" w:rsidRPr="000E1B7E">
        <w:rPr>
          <w:rFonts w:ascii="Times New Roman" w:hAnsi="Times New Roman"/>
          <w:sz w:val="24"/>
          <w:szCs w:val="24"/>
          <w:lang w:val="en-US"/>
        </w:rPr>
        <w:t xml:space="preserve">. A summary of the implementation status of the infrastructure projects is attached in </w:t>
      </w:r>
      <w:r w:rsidR="000E6378" w:rsidRPr="000E1B7E">
        <w:rPr>
          <w:rFonts w:ascii="Times New Roman" w:hAnsi="Times New Roman"/>
          <w:sz w:val="24"/>
          <w:szCs w:val="24"/>
          <w:lang w:val="en-US"/>
        </w:rPr>
        <w:t xml:space="preserve">Appendix </w:t>
      </w:r>
      <w:r w:rsidR="00E62AAB" w:rsidRPr="000E1B7E">
        <w:rPr>
          <w:rFonts w:ascii="Times New Roman" w:hAnsi="Times New Roman"/>
          <w:sz w:val="24"/>
          <w:szCs w:val="24"/>
          <w:lang w:val="en-US"/>
        </w:rPr>
        <w:t>II.</w:t>
      </w:r>
      <w:r w:rsidR="009D5CE2" w:rsidRPr="000E1B7E">
        <w:rPr>
          <w:rFonts w:ascii="Times New Roman" w:hAnsi="Times New Roman"/>
          <w:bCs/>
          <w:color w:val="000000"/>
          <w:sz w:val="24"/>
          <w:szCs w:val="24"/>
        </w:rPr>
        <w:t>Appendix IV</w:t>
      </w:r>
      <w:r w:rsidR="002B20CC" w:rsidRPr="000E1B7E">
        <w:rPr>
          <w:rFonts w:ascii="Times New Roman" w:hAnsi="Times New Roman"/>
          <w:bCs/>
          <w:color w:val="000000"/>
          <w:sz w:val="24"/>
          <w:szCs w:val="24"/>
        </w:rPr>
        <w:t>-VII</w:t>
      </w:r>
      <w:r w:rsidR="009D5CE2" w:rsidRPr="000E1B7E">
        <w:rPr>
          <w:rFonts w:ascii="Times New Roman" w:hAnsi="Times New Roman"/>
          <w:bCs/>
          <w:color w:val="000000"/>
          <w:sz w:val="24"/>
          <w:szCs w:val="24"/>
        </w:rPr>
        <w:t xml:space="preserve"> provides implementation progress of 83 national roads under rehabilitation</w:t>
      </w:r>
      <w:r w:rsidR="002B20CC" w:rsidRPr="000E1B7E">
        <w:rPr>
          <w:rFonts w:ascii="Times New Roman" w:hAnsi="Times New Roman"/>
          <w:bCs/>
          <w:color w:val="000000"/>
          <w:sz w:val="24"/>
          <w:szCs w:val="24"/>
        </w:rPr>
        <w:t xml:space="preserve">, </w:t>
      </w:r>
      <w:r w:rsidR="004009FC" w:rsidRPr="000E1B7E">
        <w:rPr>
          <w:rFonts w:ascii="Times New Roman" w:hAnsi="Times New Roman"/>
          <w:bCs/>
          <w:color w:val="000000"/>
          <w:sz w:val="24"/>
          <w:szCs w:val="24"/>
        </w:rPr>
        <w:t xml:space="preserve">bridges and </w:t>
      </w:r>
      <w:r w:rsidR="000E6378" w:rsidRPr="000E1B7E">
        <w:rPr>
          <w:rFonts w:ascii="Times New Roman" w:hAnsi="Times New Roman"/>
          <w:bCs/>
          <w:color w:val="000000"/>
          <w:sz w:val="24"/>
          <w:szCs w:val="24"/>
        </w:rPr>
        <w:t xml:space="preserve">energy </w:t>
      </w:r>
      <w:r w:rsidR="004009FC" w:rsidRPr="000E1B7E">
        <w:rPr>
          <w:rFonts w:ascii="Times New Roman" w:hAnsi="Times New Roman"/>
          <w:bCs/>
          <w:color w:val="000000"/>
          <w:sz w:val="24"/>
          <w:szCs w:val="24"/>
        </w:rPr>
        <w:t>projects prioritised under NDP II</w:t>
      </w:r>
      <w:r w:rsidR="009D5CE2" w:rsidRPr="000E1B7E">
        <w:rPr>
          <w:rFonts w:ascii="Times New Roman" w:hAnsi="Times New Roman"/>
          <w:bCs/>
          <w:color w:val="000000"/>
          <w:sz w:val="24"/>
          <w:szCs w:val="24"/>
        </w:rPr>
        <w:t xml:space="preserve">. </w:t>
      </w:r>
    </w:p>
    <w:p w14:paraId="74C2587F" w14:textId="77777777" w:rsidR="00354EE5" w:rsidRPr="000E1B7E" w:rsidRDefault="00354EE5"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Slow project implementation was carried forward from NDP I, leading to </w:t>
      </w:r>
      <w:r w:rsidR="000E6378" w:rsidRPr="000E1B7E">
        <w:rPr>
          <w:rFonts w:ascii="Times New Roman" w:hAnsi="Times New Roman"/>
          <w:sz w:val="24"/>
          <w:szCs w:val="24"/>
        </w:rPr>
        <w:t xml:space="preserve">slower economic </w:t>
      </w:r>
      <w:r w:rsidRPr="000E1B7E">
        <w:rPr>
          <w:rFonts w:ascii="Times New Roman" w:hAnsi="Times New Roman"/>
          <w:sz w:val="24"/>
          <w:szCs w:val="24"/>
        </w:rPr>
        <w:t xml:space="preserve">growth. </w:t>
      </w:r>
      <w:r w:rsidR="000E6378" w:rsidRPr="000E1B7E">
        <w:rPr>
          <w:rFonts w:ascii="Times New Roman" w:hAnsi="Times New Roman"/>
          <w:sz w:val="24"/>
          <w:szCs w:val="24"/>
        </w:rPr>
        <w:t xml:space="preserve">This </w:t>
      </w:r>
      <w:r w:rsidRPr="000E1B7E">
        <w:rPr>
          <w:rFonts w:ascii="Times New Roman" w:hAnsi="Times New Roman"/>
          <w:sz w:val="24"/>
          <w:szCs w:val="24"/>
        </w:rPr>
        <w:t xml:space="preserve">also attributed to: </w:t>
      </w:r>
    </w:p>
    <w:p w14:paraId="5EC9F70C" w14:textId="77777777" w:rsidR="00354EE5" w:rsidRPr="000E1B7E" w:rsidRDefault="000E6378" w:rsidP="00F85D24">
      <w:pPr>
        <w:pStyle w:val="ListParagraph"/>
        <w:numPr>
          <w:ilvl w:val="1"/>
          <w:numId w:val="15"/>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Lengthy </w:t>
      </w:r>
      <w:r w:rsidR="00354EE5" w:rsidRPr="000E1B7E">
        <w:rPr>
          <w:rFonts w:ascii="Times New Roman" w:hAnsi="Times New Roman"/>
          <w:sz w:val="24"/>
          <w:szCs w:val="24"/>
        </w:rPr>
        <w:t>procurement process</w:t>
      </w:r>
      <w:r w:rsidRPr="000E1B7E">
        <w:rPr>
          <w:rFonts w:ascii="Times New Roman" w:hAnsi="Times New Roman"/>
          <w:sz w:val="24"/>
          <w:szCs w:val="24"/>
        </w:rPr>
        <w:t>es</w:t>
      </w:r>
      <w:r w:rsidR="00354EE5" w:rsidRPr="000E1B7E">
        <w:rPr>
          <w:rFonts w:ascii="Times New Roman" w:hAnsi="Times New Roman"/>
          <w:sz w:val="24"/>
          <w:szCs w:val="24"/>
        </w:rPr>
        <w:t xml:space="preserve"> that undermine project implementation. For example, the procurement process </w:t>
      </w:r>
      <w:r w:rsidRPr="000E1B7E">
        <w:rPr>
          <w:rFonts w:ascii="Times New Roman" w:hAnsi="Times New Roman"/>
          <w:sz w:val="24"/>
          <w:szCs w:val="24"/>
        </w:rPr>
        <w:t xml:space="preserve">for </w:t>
      </w:r>
      <w:r w:rsidR="00354EE5" w:rsidRPr="000E1B7E">
        <w:rPr>
          <w:rFonts w:ascii="Times New Roman" w:hAnsi="Times New Roman"/>
          <w:sz w:val="24"/>
          <w:szCs w:val="24"/>
        </w:rPr>
        <w:t>a road construction project</w:t>
      </w:r>
      <w:r w:rsidRPr="000E1B7E">
        <w:rPr>
          <w:rFonts w:ascii="Times New Roman" w:hAnsi="Times New Roman"/>
          <w:sz w:val="24"/>
          <w:szCs w:val="24"/>
        </w:rPr>
        <w:t xml:space="preserve"> can</w:t>
      </w:r>
      <w:r w:rsidR="00583E81" w:rsidRPr="000E1B7E">
        <w:rPr>
          <w:rFonts w:ascii="Times New Roman" w:hAnsi="Times New Roman"/>
          <w:sz w:val="24"/>
          <w:szCs w:val="24"/>
        </w:rPr>
        <w:t xml:space="preserve"> take upto</w:t>
      </w:r>
      <w:r w:rsidR="00354EE5" w:rsidRPr="000E1B7E">
        <w:rPr>
          <w:rFonts w:ascii="Times New Roman" w:hAnsi="Times New Roman"/>
          <w:sz w:val="24"/>
          <w:szCs w:val="24"/>
        </w:rPr>
        <w:t xml:space="preserve"> 2 years; </w:t>
      </w:r>
    </w:p>
    <w:p w14:paraId="05176B64" w14:textId="77777777" w:rsidR="00354EE5" w:rsidRPr="000E1B7E" w:rsidRDefault="00354EE5" w:rsidP="00F85D24">
      <w:pPr>
        <w:pStyle w:val="ListParagraph"/>
        <w:numPr>
          <w:ilvl w:val="1"/>
          <w:numId w:val="15"/>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Inability to </w:t>
      </w:r>
      <w:r w:rsidR="00894DF2" w:rsidRPr="000E1B7E">
        <w:rPr>
          <w:rFonts w:ascii="Times New Roman" w:hAnsi="Times New Roman"/>
          <w:sz w:val="24"/>
          <w:szCs w:val="24"/>
        </w:rPr>
        <w:t>adequately budget</w:t>
      </w:r>
      <w:r w:rsidRPr="000E1B7E">
        <w:rPr>
          <w:rFonts w:ascii="Times New Roman" w:hAnsi="Times New Roman"/>
          <w:sz w:val="24"/>
          <w:szCs w:val="24"/>
        </w:rPr>
        <w:t xml:space="preserve"> for government counter</w:t>
      </w:r>
      <w:r w:rsidR="000E6378" w:rsidRPr="000E1B7E">
        <w:rPr>
          <w:rFonts w:ascii="Times New Roman" w:hAnsi="Times New Roman"/>
          <w:sz w:val="24"/>
          <w:szCs w:val="24"/>
        </w:rPr>
        <w:t xml:space="preserve">part </w:t>
      </w:r>
      <w:r w:rsidRPr="000E1B7E">
        <w:rPr>
          <w:rFonts w:ascii="Times New Roman" w:hAnsi="Times New Roman"/>
          <w:sz w:val="24"/>
          <w:szCs w:val="24"/>
        </w:rPr>
        <w:t>funding, leading to delays in implementation</w:t>
      </w:r>
      <w:r w:rsidR="000E6378" w:rsidRPr="000E1B7E">
        <w:rPr>
          <w:rFonts w:ascii="Times New Roman" w:hAnsi="Times New Roman"/>
          <w:sz w:val="24"/>
          <w:szCs w:val="24"/>
        </w:rPr>
        <w:t>;</w:t>
      </w:r>
    </w:p>
    <w:p w14:paraId="6E7FA19C" w14:textId="77777777" w:rsidR="00354EE5" w:rsidRPr="000E1B7E" w:rsidRDefault="00354EE5" w:rsidP="00F85D24">
      <w:pPr>
        <w:pStyle w:val="ListParagraph"/>
        <w:numPr>
          <w:ilvl w:val="1"/>
          <w:numId w:val="15"/>
        </w:numPr>
        <w:spacing w:line="360" w:lineRule="auto"/>
        <w:ind w:left="1276" w:hanging="709"/>
        <w:rPr>
          <w:rFonts w:ascii="Times New Roman" w:hAnsi="Times New Roman"/>
          <w:sz w:val="24"/>
          <w:szCs w:val="24"/>
        </w:rPr>
      </w:pPr>
      <w:r w:rsidRPr="000E1B7E">
        <w:rPr>
          <w:rFonts w:ascii="Times New Roman" w:hAnsi="Times New Roman"/>
          <w:sz w:val="24"/>
          <w:szCs w:val="24"/>
        </w:rPr>
        <w:t>Weak management and supervision of projects</w:t>
      </w:r>
      <w:r w:rsidR="000E6378" w:rsidRPr="000E1B7E">
        <w:rPr>
          <w:rFonts w:ascii="Times New Roman" w:hAnsi="Times New Roman"/>
          <w:sz w:val="24"/>
          <w:szCs w:val="24"/>
        </w:rPr>
        <w:t>;</w:t>
      </w:r>
    </w:p>
    <w:p w14:paraId="3167C60C" w14:textId="77777777" w:rsidR="00354EE5" w:rsidRPr="000E1B7E" w:rsidRDefault="00354EE5" w:rsidP="00F85D24">
      <w:pPr>
        <w:pStyle w:val="ListParagraph"/>
        <w:numPr>
          <w:ilvl w:val="1"/>
          <w:numId w:val="15"/>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Weak project preparation before </w:t>
      </w:r>
      <w:r w:rsidR="000E6378" w:rsidRPr="000E1B7E">
        <w:rPr>
          <w:rFonts w:ascii="Times New Roman" w:hAnsi="Times New Roman"/>
          <w:sz w:val="24"/>
          <w:szCs w:val="24"/>
        </w:rPr>
        <w:t xml:space="preserve">inclusion </w:t>
      </w:r>
      <w:r w:rsidRPr="000E1B7E">
        <w:rPr>
          <w:rFonts w:ascii="Times New Roman" w:hAnsi="Times New Roman"/>
          <w:sz w:val="24"/>
          <w:szCs w:val="24"/>
        </w:rPr>
        <w:t xml:space="preserve">in the national development plan. </w:t>
      </w:r>
      <w:r w:rsidR="000E6378" w:rsidRPr="000E1B7E">
        <w:rPr>
          <w:rFonts w:ascii="Times New Roman" w:hAnsi="Times New Roman"/>
          <w:sz w:val="24"/>
          <w:szCs w:val="24"/>
        </w:rPr>
        <w:t>Projects are typically included in the NDP on the basis of outline ideas, and before detailed design and assessment of feasibility (even pre-feasbility). M</w:t>
      </w:r>
      <w:r w:rsidRPr="000E1B7E">
        <w:rPr>
          <w:rFonts w:ascii="Times New Roman" w:hAnsi="Times New Roman"/>
          <w:sz w:val="24"/>
          <w:szCs w:val="24"/>
        </w:rPr>
        <w:t xml:space="preserve">any priority projects are </w:t>
      </w:r>
      <w:r w:rsidR="000E6378" w:rsidRPr="000E1B7E">
        <w:rPr>
          <w:rFonts w:ascii="Times New Roman" w:hAnsi="Times New Roman"/>
          <w:sz w:val="24"/>
          <w:szCs w:val="24"/>
        </w:rPr>
        <w:t xml:space="preserve">large and require </w:t>
      </w:r>
      <w:r w:rsidR="0097486F" w:rsidRPr="000E1B7E">
        <w:rPr>
          <w:rFonts w:ascii="Times New Roman" w:hAnsi="Times New Roman"/>
          <w:sz w:val="24"/>
          <w:szCs w:val="24"/>
        </w:rPr>
        <w:t xml:space="preserve">lengthy preparatory work. </w:t>
      </w:r>
      <w:r w:rsidRPr="000E1B7E">
        <w:rPr>
          <w:rFonts w:ascii="Times New Roman" w:hAnsi="Times New Roman"/>
          <w:sz w:val="24"/>
          <w:szCs w:val="24"/>
        </w:rPr>
        <w:t>For example, the design of a road project can take upto two years</w:t>
      </w:r>
      <w:r w:rsidR="0097486F" w:rsidRPr="000E1B7E">
        <w:rPr>
          <w:rFonts w:ascii="Times New Roman" w:hAnsi="Times New Roman"/>
          <w:sz w:val="24"/>
          <w:szCs w:val="24"/>
        </w:rPr>
        <w:t xml:space="preserve">,while </w:t>
      </w:r>
      <w:r w:rsidRPr="000E1B7E">
        <w:rPr>
          <w:rFonts w:ascii="Times New Roman" w:hAnsi="Times New Roman"/>
          <w:sz w:val="24"/>
          <w:szCs w:val="24"/>
        </w:rPr>
        <w:t xml:space="preserve">procurement can also take upto two years. Therefore, </w:t>
      </w:r>
      <w:r w:rsidR="0097486F" w:rsidRPr="000E1B7E">
        <w:rPr>
          <w:rFonts w:ascii="Times New Roman" w:hAnsi="Times New Roman"/>
          <w:sz w:val="24"/>
          <w:szCs w:val="24"/>
        </w:rPr>
        <w:t xml:space="preserve">including </w:t>
      </w:r>
      <w:r w:rsidR="00894DF2" w:rsidRPr="000E1B7E">
        <w:rPr>
          <w:rFonts w:ascii="Times New Roman" w:hAnsi="Times New Roman"/>
          <w:sz w:val="24"/>
          <w:szCs w:val="24"/>
        </w:rPr>
        <w:t xml:space="preserve">a project within the NDP before completion of project preparation means that the NDP </w:t>
      </w:r>
      <w:r w:rsidR="000E6378" w:rsidRPr="000E1B7E">
        <w:rPr>
          <w:rFonts w:ascii="Times New Roman" w:hAnsi="Times New Roman"/>
          <w:sz w:val="24"/>
          <w:szCs w:val="24"/>
        </w:rPr>
        <w:t xml:space="preserve">can finish </w:t>
      </w:r>
      <w:r w:rsidR="00894DF2" w:rsidRPr="000E1B7E">
        <w:rPr>
          <w:rFonts w:ascii="Times New Roman" w:hAnsi="Times New Roman"/>
          <w:sz w:val="24"/>
          <w:szCs w:val="24"/>
        </w:rPr>
        <w:t>before the project is completed</w:t>
      </w:r>
      <w:r w:rsidR="0097486F" w:rsidRPr="000E1B7E">
        <w:rPr>
          <w:rFonts w:ascii="Times New Roman" w:hAnsi="Times New Roman"/>
          <w:sz w:val="24"/>
          <w:szCs w:val="24"/>
        </w:rPr>
        <w:t>, and expenditures on project implemention (which is where most of the expenditures are required) may fall behind schedule</w:t>
      </w:r>
      <w:r w:rsidR="00894DF2" w:rsidRPr="000E1B7E">
        <w:rPr>
          <w:rFonts w:ascii="Times New Roman" w:hAnsi="Times New Roman"/>
          <w:sz w:val="24"/>
          <w:szCs w:val="24"/>
        </w:rPr>
        <w:t xml:space="preserve">. </w:t>
      </w:r>
    </w:p>
    <w:p w14:paraId="7525953F" w14:textId="77777777" w:rsidR="005A62E4" w:rsidRPr="000E1B7E" w:rsidRDefault="005A62E4" w:rsidP="00F85D24">
      <w:pPr>
        <w:pStyle w:val="ListParagraph"/>
        <w:numPr>
          <w:ilvl w:val="1"/>
          <w:numId w:val="15"/>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A further concern is that projects are not subject to cost-benefit appraisal or a pre-feasibility assessment prior to inclusion in the NDP. This means that projects cannot be properly prioritised and matched to the available resources. Without a rational economic basis for prioritisation (based on assessment of socio-economic rates of return), the choice of projects will not maximise the economic development impact </w:t>
      </w:r>
      <w:r w:rsidRPr="000E1B7E">
        <w:rPr>
          <w:rFonts w:ascii="Times New Roman" w:hAnsi="Times New Roman"/>
          <w:sz w:val="24"/>
          <w:szCs w:val="24"/>
        </w:rPr>
        <w:lastRenderedPageBreak/>
        <w:t xml:space="preserve">of development spending, nor will it support decisions as to which projects to implement, and in which order, given resource constraints. </w:t>
      </w:r>
    </w:p>
    <w:p w14:paraId="3DDB7864" w14:textId="77777777" w:rsidR="00154B27" w:rsidRPr="000E1B7E" w:rsidRDefault="00154B27" w:rsidP="00154B27">
      <w:pPr>
        <w:spacing w:line="360" w:lineRule="auto"/>
        <w:jc w:val="both"/>
      </w:pPr>
    </w:p>
    <w:p w14:paraId="27A65A63" w14:textId="77777777" w:rsidR="00154B27" w:rsidRPr="000E1B7E" w:rsidRDefault="00154B27" w:rsidP="00154B27">
      <w:pPr>
        <w:pStyle w:val="DeltaSeched2"/>
      </w:pPr>
      <w:bookmarkStart w:id="101" w:name="_Toc3478383"/>
      <w:bookmarkStart w:id="102" w:name="_Toc11956268"/>
      <w:r w:rsidRPr="000E1B7E">
        <w:t>Public Debt</w:t>
      </w:r>
      <w:bookmarkEnd w:id="101"/>
      <w:bookmarkEnd w:id="102"/>
    </w:p>
    <w:p w14:paraId="33E65B70" w14:textId="77777777" w:rsidR="00154B27" w:rsidRPr="000E1B7E" w:rsidRDefault="00154B27" w:rsidP="00154B27">
      <w:pPr>
        <w:pStyle w:val="DeltaBodytext"/>
        <w:numPr>
          <w:ilvl w:val="0"/>
          <w:numId w:val="26"/>
        </w:numPr>
        <w:spacing w:before="240" w:line="360" w:lineRule="auto"/>
        <w:ind w:left="567" w:hanging="567"/>
        <w:rPr>
          <w:rFonts w:ascii="Times New Roman" w:hAnsi="Times New Roman"/>
        </w:rPr>
      </w:pPr>
      <w:r w:rsidRPr="000E1B7E">
        <w:rPr>
          <w:rFonts w:ascii="Times New Roman" w:hAnsi="Times New Roman"/>
          <w:sz w:val="24"/>
          <w:szCs w:val="24"/>
        </w:rPr>
        <w:t>The fiscal deficit was financed through a combination of domestic and external borrowing. Over the first three years of NDP II, Government has relied more on external funding sources than domestic financing of the deficit,as shown in the figure 6 below.</w:t>
      </w:r>
    </w:p>
    <w:p w14:paraId="274E9881" w14:textId="77777777" w:rsidR="00154B27" w:rsidRPr="000E1B7E" w:rsidRDefault="00154B27" w:rsidP="00154B27">
      <w:pPr>
        <w:pStyle w:val="Caption"/>
        <w:rPr>
          <w:rFonts w:ascii="Times New Roman" w:eastAsia="Calibri" w:hAnsi="Times New Roman" w:cs="Times New Roman"/>
          <w:b/>
          <w:i w:val="0"/>
          <w:iCs w:val="0"/>
          <w:color w:val="auto"/>
          <w:sz w:val="24"/>
          <w:szCs w:val="24"/>
          <w:lang w:val="en-GB"/>
        </w:rPr>
      </w:pPr>
      <w:bookmarkStart w:id="103" w:name="_Toc3483150"/>
      <w:r w:rsidRPr="000E1B7E">
        <w:rPr>
          <w:rFonts w:ascii="Times New Roman" w:eastAsia="Calibri" w:hAnsi="Times New Roman" w:cs="Times New Roman"/>
          <w:b/>
          <w:i w:val="0"/>
          <w:iCs w:val="0"/>
          <w:color w:val="auto"/>
          <w:sz w:val="24"/>
          <w:szCs w:val="24"/>
          <w:lang w:val="en-GB"/>
        </w:rPr>
        <w:t xml:space="preserve">Figure </w:t>
      </w:r>
      <w:r w:rsidR="00FD5BA9">
        <w:rPr>
          <w:rFonts w:ascii="Times New Roman" w:eastAsia="Calibri" w:hAnsi="Times New Roman" w:cs="Times New Roman"/>
          <w:b/>
          <w:i w:val="0"/>
          <w:iCs w:val="0"/>
          <w:color w:val="auto"/>
          <w:sz w:val="24"/>
          <w:szCs w:val="24"/>
          <w:lang w:val="en-GB"/>
        </w:rPr>
        <w:t>7</w:t>
      </w:r>
      <w:r w:rsidRPr="000E1B7E">
        <w:rPr>
          <w:rFonts w:ascii="Times New Roman" w:eastAsia="Calibri" w:hAnsi="Times New Roman" w:cs="Times New Roman"/>
          <w:b/>
          <w:i w:val="0"/>
          <w:iCs w:val="0"/>
          <w:color w:val="auto"/>
          <w:sz w:val="24"/>
          <w:szCs w:val="24"/>
          <w:lang w:val="en-GB"/>
        </w:rPr>
        <w:t>: Sources of financing for Deficit</w:t>
      </w:r>
      <w:bookmarkEnd w:id="103"/>
    </w:p>
    <w:p w14:paraId="0D3D44EA" w14:textId="77777777" w:rsidR="00154B27" w:rsidRPr="000E1B7E" w:rsidRDefault="00154B27" w:rsidP="00154B27">
      <w:pPr>
        <w:jc w:val="both"/>
      </w:pPr>
      <w:r w:rsidRPr="000E1B7E">
        <w:rPr>
          <w:noProof/>
          <w:lang w:eastAsia="en-GB"/>
        </w:rPr>
        <w:drawing>
          <wp:inline distT="0" distB="0" distL="0" distR="0" wp14:anchorId="45591C92" wp14:editId="06A9D44D">
            <wp:extent cx="5419725" cy="277177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897364" w14:textId="77777777" w:rsidR="00154B27" w:rsidRPr="000E1B7E" w:rsidRDefault="00154B27" w:rsidP="00154B27">
      <w:pPr>
        <w:spacing w:line="360" w:lineRule="auto"/>
        <w:jc w:val="both"/>
      </w:pPr>
      <w:r w:rsidRPr="000E1B7E">
        <w:t>Source: MFPED</w:t>
      </w:r>
    </w:p>
    <w:p w14:paraId="6E1C8783" w14:textId="77777777" w:rsidR="00154B27" w:rsidRPr="000E1B7E" w:rsidRDefault="00154B27" w:rsidP="00154B27">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External borrowing has been dominated by concessional and non-concessional project loans. Over the first four years of NDP II (including projections for 2018/19), concessional project loans accounted for 52% of external financing, while non-concessional project loans accounted for 39%, budget support accounted for 5% while revolving credit funds account for 4%.  The distribution of the various financing instruments over the four years of NDP II is summarized in Figure 7</w:t>
      </w:r>
      <w:r w:rsidR="00E00CC2" w:rsidRPr="000E1B7E">
        <w:rPr>
          <w:rFonts w:ascii="Times New Roman" w:hAnsi="Times New Roman"/>
          <w:sz w:val="24"/>
          <w:szCs w:val="24"/>
        </w:rPr>
        <w:t xml:space="preserve"> </w:t>
      </w:r>
      <w:r w:rsidRPr="000E1B7E">
        <w:rPr>
          <w:rFonts w:ascii="Times New Roman" w:hAnsi="Times New Roman"/>
          <w:sz w:val="24"/>
          <w:szCs w:val="24"/>
        </w:rPr>
        <w:t>below.</w:t>
      </w:r>
    </w:p>
    <w:p w14:paraId="578791AB" w14:textId="77777777" w:rsidR="00E00CC2" w:rsidRPr="000E1B7E" w:rsidRDefault="00E00CC2" w:rsidP="00E00CC2">
      <w:pPr>
        <w:pStyle w:val="DeltaBodytext"/>
        <w:spacing w:before="240" w:line="360" w:lineRule="auto"/>
        <w:ind w:left="567"/>
        <w:rPr>
          <w:rFonts w:ascii="Times New Roman" w:hAnsi="Times New Roman"/>
          <w:sz w:val="24"/>
          <w:szCs w:val="24"/>
        </w:rPr>
      </w:pPr>
    </w:p>
    <w:p w14:paraId="06EC3F3E" w14:textId="77777777" w:rsidR="00154B27" w:rsidRPr="000E1B7E" w:rsidRDefault="00154B27" w:rsidP="00154B27">
      <w:pPr>
        <w:pStyle w:val="Caption"/>
        <w:spacing w:after="120"/>
        <w:rPr>
          <w:rFonts w:ascii="Times New Roman" w:eastAsia="Calibri" w:hAnsi="Times New Roman" w:cs="Times New Roman"/>
          <w:b/>
          <w:i w:val="0"/>
          <w:iCs w:val="0"/>
          <w:color w:val="auto"/>
          <w:sz w:val="24"/>
          <w:szCs w:val="24"/>
          <w:lang w:val="en-GB"/>
        </w:rPr>
      </w:pPr>
      <w:bookmarkStart w:id="104" w:name="_Toc3483151"/>
      <w:r w:rsidRPr="000E1B7E">
        <w:rPr>
          <w:rFonts w:ascii="Times New Roman" w:eastAsia="Calibri" w:hAnsi="Times New Roman" w:cs="Times New Roman"/>
          <w:b/>
          <w:i w:val="0"/>
          <w:iCs w:val="0"/>
          <w:color w:val="auto"/>
          <w:sz w:val="24"/>
          <w:szCs w:val="24"/>
          <w:lang w:val="en-GB"/>
        </w:rPr>
        <w:lastRenderedPageBreak/>
        <w:t xml:space="preserve">Figure </w:t>
      </w:r>
      <w:r w:rsidR="00FD5BA9">
        <w:rPr>
          <w:rFonts w:ascii="Times New Roman" w:eastAsia="Calibri" w:hAnsi="Times New Roman" w:cs="Times New Roman"/>
          <w:b/>
          <w:i w:val="0"/>
          <w:iCs w:val="0"/>
          <w:color w:val="auto"/>
          <w:sz w:val="24"/>
          <w:szCs w:val="24"/>
          <w:lang w:val="en-GB"/>
        </w:rPr>
        <w:t>8</w:t>
      </w:r>
      <w:r w:rsidRPr="000E1B7E">
        <w:rPr>
          <w:rFonts w:ascii="Times New Roman" w:eastAsia="Calibri" w:hAnsi="Times New Roman" w:cs="Times New Roman"/>
          <w:b/>
          <w:i w:val="0"/>
          <w:iCs w:val="0"/>
          <w:color w:val="auto"/>
          <w:sz w:val="24"/>
          <w:szCs w:val="24"/>
          <w:lang w:val="en-GB"/>
        </w:rPr>
        <w:t>: Financing instruments-NDP II (Billion Uganda shillings)</w:t>
      </w:r>
      <w:bookmarkEnd w:id="104"/>
    </w:p>
    <w:p w14:paraId="3042D324" w14:textId="77777777" w:rsidR="00154B27" w:rsidRPr="000E1B7E" w:rsidRDefault="00154B27" w:rsidP="00154B27">
      <w:pPr>
        <w:jc w:val="both"/>
      </w:pPr>
      <w:r w:rsidRPr="000E1B7E">
        <w:rPr>
          <w:noProof/>
          <w:lang w:eastAsia="en-GB"/>
        </w:rPr>
        <w:drawing>
          <wp:inline distT="0" distB="0" distL="0" distR="0" wp14:anchorId="3C4245DF" wp14:editId="557F42D1">
            <wp:extent cx="5915025" cy="2543175"/>
            <wp:effectExtent l="0" t="0" r="0"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AAC69A" w14:textId="77777777" w:rsidR="00154B27" w:rsidRPr="000E1B7E" w:rsidRDefault="00154B27" w:rsidP="00154B27">
      <w:pPr>
        <w:spacing w:line="360" w:lineRule="auto"/>
        <w:jc w:val="both"/>
      </w:pPr>
      <w:r w:rsidRPr="000E1B7E">
        <w:t>Source: MFPED</w:t>
      </w:r>
    </w:p>
    <w:p w14:paraId="4891B01A" w14:textId="77777777" w:rsidR="00E00CC2" w:rsidRPr="000E1B7E" w:rsidRDefault="00E00CC2" w:rsidP="00154B27">
      <w:pPr>
        <w:spacing w:line="360" w:lineRule="auto"/>
        <w:jc w:val="both"/>
      </w:pPr>
    </w:p>
    <w:p w14:paraId="181DAB17" w14:textId="77777777" w:rsidR="00154B27" w:rsidRPr="000E1B7E" w:rsidRDefault="00154B27" w:rsidP="00154B27">
      <w:pPr>
        <w:jc w:val="both"/>
        <w:rPr>
          <w:b/>
        </w:rPr>
      </w:pPr>
      <w:r w:rsidRPr="000E1B7E">
        <w:rPr>
          <w:b/>
        </w:rPr>
        <w:t>Public debt increasing, but less than projected in NDP II</w:t>
      </w:r>
    </w:p>
    <w:p w14:paraId="45395C6F" w14:textId="77777777" w:rsidR="00154B27" w:rsidRPr="000E1B7E" w:rsidRDefault="00154B27" w:rsidP="00154B27">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Government’s continued reliance on public debt to finance the budget deficit has increased debt to unprecedented levels. Public debt as a percentage of GDP has increased from 31.2% in 2014/15 to 41.5% in 2017/18. Domestic debt peaked at 13.1% of GDP in 2015/16 before falling to 12.9% of GDP in 2017/18. On the other hand, external debt has continued to increase over the review period from 18.9% in 2014/15 reaching 27.3% of GDP in 2017/18 shown in the figure 8. </w:t>
      </w:r>
    </w:p>
    <w:p w14:paraId="449BE850" w14:textId="77777777" w:rsidR="00154B27" w:rsidRPr="000E1B7E" w:rsidRDefault="00154B27" w:rsidP="00154B27">
      <w:pPr>
        <w:pStyle w:val="Caption"/>
        <w:keepNext/>
        <w:jc w:val="both"/>
        <w:rPr>
          <w:rFonts w:ascii="Times New Roman" w:eastAsia="Calibri" w:hAnsi="Times New Roman" w:cs="Times New Roman"/>
          <w:b/>
          <w:i w:val="0"/>
          <w:iCs w:val="0"/>
          <w:color w:val="auto"/>
          <w:sz w:val="24"/>
          <w:szCs w:val="24"/>
          <w:lang w:val="en-GB"/>
        </w:rPr>
      </w:pPr>
      <w:bookmarkStart w:id="105" w:name="_Toc3483152"/>
      <w:r w:rsidRPr="000E1B7E">
        <w:rPr>
          <w:rFonts w:ascii="Times New Roman" w:eastAsia="Calibri" w:hAnsi="Times New Roman" w:cs="Times New Roman"/>
          <w:b/>
          <w:i w:val="0"/>
          <w:iCs w:val="0"/>
          <w:color w:val="auto"/>
          <w:sz w:val="24"/>
          <w:szCs w:val="24"/>
          <w:lang w:val="en-GB"/>
        </w:rPr>
        <w:lastRenderedPageBreak/>
        <w:t xml:space="preserve">Figure </w:t>
      </w:r>
      <w:r w:rsidR="00FD5BA9">
        <w:rPr>
          <w:rFonts w:ascii="Times New Roman" w:eastAsia="Calibri" w:hAnsi="Times New Roman" w:cs="Times New Roman"/>
          <w:b/>
          <w:i w:val="0"/>
          <w:iCs w:val="0"/>
          <w:color w:val="auto"/>
          <w:sz w:val="24"/>
          <w:szCs w:val="24"/>
          <w:lang w:val="en-GB"/>
        </w:rPr>
        <w:t>9</w:t>
      </w:r>
      <w:r w:rsidRPr="000E1B7E">
        <w:rPr>
          <w:rFonts w:ascii="Times New Roman" w:eastAsia="Calibri" w:hAnsi="Times New Roman" w:cs="Times New Roman"/>
          <w:b/>
          <w:i w:val="0"/>
          <w:iCs w:val="0"/>
          <w:color w:val="auto"/>
          <w:sz w:val="24"/>
          <w:szCs w:val="24"/>
          <w:lang w:val="en-GB"/>
        </w:rPr>
        <w:t>: Public Debt (% of GDP)</w:t>
      </w:r>
      <w:bookmarkEnd w:id="105"/>
    </w:p>
    <w:p w14:paraId="2C2C24AC" w14:textId="77777777" w:rsidR="00154B27" w:rsidRPr="000E1B7E" w:rsidRDefault="00154B27" w:rsidP="00154B27">
      <w:pPr>
        <w:spacing w:line="360" w:lineRule="auto"/>
        <w:jc w:val="both"/>
      </w:pPr>
      <w:r w:rsidRPr="000E1B7E">
        <w:rPr>
          <w:noProof/>
          <w:lang w:eastAsia="en-GB"/>
        </w:rPr>
        <w:drawing>
          <wp:inline distT="0" distB="0" distL="0" distR="0" wp14:anchorId="0E333EB8" wp14:editId="5EF9D6CF">
            <wp:extent cx="5731510" cy="2971800"/>
            <wp:effectExtent l="0" t="0" r="254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487ABA2" w14:textId="77777777" w:rsidR="00154B27" w:rsidRPr="000E1B7E" w:rsidRDefault="00154B27" w:rsidP="00154B27">
      <w:pPr>
        <w:spacing w:line="360" w:lineRule="auto"/>
        <w:jc w:val="both"/>
      </w:pPr>
      <w:r w:rsidRPr="000E1B7E">
        <w:t>Source: MFPED</w:t>
      </w:r>
    </w:p>
    <w:p w14:paraId="53D034D3" w14:textId="77777777" w:rsidR="00154B27" w:rsidRPr="000E1B7E" w:rsidRDefault="00154B27" w:rsidP="00154B27">
      <w:pPr>
        <w:pStyle w:val="DeltaBodytext"/>
        <w:numPr>
          <w:ilvl w:val="0"/>
          <w:numId w:val="26"/>
        </w:numPr>
        <w:spacing w:before="240" w:line="360" w:lineRule="auto"/>
        <w:ind w:left="567" w:hanging="567"/>
        <w:rPr>
          <w:rFonts w:ascii="Times New Roman" w:eastAsia="Times New Roman" w:hAnsi="Times New Roman"/>
          <w:sz w:val="24"/>
          <w:szCs w:val="24"/>
        </w:rPr>
      </w:pPr>
      <w:r w:rsidRPr="000E1B7E">
        <w:rPr>
          <w:rFonts w:ascii="Times New Roman" w:eastAsia="Times New Roman" w:hAnsi="Times New Roman"/>
          <w:sz w:val="24"/>
          <w:szCs w:val="24"/>
        </w:rPr>
        <w:t>The buildup in public debt has been in an effort to achieve the government’s objective of reducing the infrastructure gap in order to reduce costs and improve Uganda’s competitiveness, thereby enabling higher and more sustainable growth over the medium to long term. Whereas the public debt-to-GDP ratio is still below the benchmark level of 56 percent</w:t>
      </w:r>
      <w:r w:rsidRPr="000E1B7E">
        <w:rPr>
          <w:rStyle w:val="FootnoteReference"/>
          <w:rFonts w:ascii="Times New Roman" w:eastAsia="Times New Roman" w:hAnsi="Times New Roman"/>
          <w:sz w:val="24"/>
          <w:szCs w:val="24"/>
        </w:rPr>
        <w:footnoteReference w:id="8"/>
      </w:r>
      <w:r w:rsidRPr="000E1B7E">
        <w:rPr>
          <w:rFonts w:ascii="Times New Roman" w:eastAsia="Times New Roman" w:hAnsi="Times New Roman"/>
          <w:sz w:val="24"/>
          <w:szCs w:val="24"/>
        </w:rPr>
        <w:t xml:space="preserve">associated with heightened public debt vulnerabilities for medium performers and the EAC monetary Union protocol, the risk of debt stress is high,given that a number of priority infrastructure projects like the standard gauge railway, oil refinery and oil pipeline are yet to be fullyimplemented and hence will require substantially more debt financing.  </w:t>
      </w:r>
    </w:p>
    <w:p w14:paraId="75876DB9" w14:textId="77777777" w:rsidR="00154B27" w:rsidRPr="000E1B7E" w:rsidRDefault="00154B27" w:rsidP="00154B27">
      <w:pPr>
        <w:pStyle w:val="DeltaBodytext"/>
        <w:numPr>
          <w:ilvl w:val="0"/>
          <w:numId w:val="26"/>
        </w:numPr>
        <w:spacing w:before="240" w:line="360" w:lineRule="auto"/>
        <w:ind w:left="567" w:hanging="567"/>
        <w:rPr>
          <w:rFonts w:ascii="Times New Roman" w:eastAsia="Times New Roman" w:hAnsi="Times New Roman"/>
          <w:sz w:val="24"/>
          <w:szCs w:val="24"/>
        </w:rPr>
      </w:pPr>
      <w:r w:rsidRPr="000E1B7E">
        <w:rPr>
          <w:rFonts w:ascii="Times New Roman" w:eastAsia="Times New Roman" w:hAnsi="Times New Roman"/>
          <w:sz w:val="24"/>
          <w:szCs w:val="24"/>
        </w:rPr>
        <w:t xml:space="preserve">Notwithstanding higher public debt, the increase is lower than projected in NDP II. In 2017/18 the actual level of public debt was 41.5% of GDP, compared to the NDP II projection of 42.0%. This reflects lower than projected expenditure and deficits. </w:t>
      </w:r>
    </w:p>
    <w:p w14:paraId="678941B3" w14:textId="77777777" w:rsidR="00154B27" w:rsidRPr="000E1B7E" w:rsidRDefault="00154B27" w:rsidP="00154B27">
      <w:pPr>
        <w:pStyle w:val="DeltaBodytext"/>
        <w:numPr>
          <w:ilvl w:val="0"/>
          <w:numId w:val="26"/>
        </w:numPr>
        <w:spacing w:before="240" w:line="360" w:lineRule="auto"/>
        <w:ind w:left="567" w:hanging="567"/>
        <w:rPr>
          <w:rFonts w:ascii="Times New Roman" w:eastAsia="Times New Roman" w:hAnsi="Times New Roman"/>
          <w:sz w:val="24"/>
          <w:szCs w:val="24"/>
        </w:rPr>
      </w:pPr>
      <w:r w:rsidRPr="000E1B7E">
        <w:rPr>
          <w:rFonts w:ascii="Times New Roman" w:eastAsia="Times New Roman" w:hAnsi="Times New Roman"/>
          <w:sz w:val="24"/>
          <w:szCs w:val="24"/>
        </w:rPr>
        <w:t xml:space="preserve">Even though the increase in debt is well within sustainability limits, it is nevertheless causing actual or potential problems. Domestic debt is leading to crowding out of lending to the </w:t>
      </w:r>
      <w:r w:rsidRPr="000E1B7E">
        <w:rPr>
          <w:rFonts w:ascii="Times New Roman" w:eastAsia="Times New Roman" w:hAnsi="Times New Roman"/>
          <w:sz w:val="24"/>
          <w:szCs w:val="24"/>
        </w:rPr>
        <w:lastRenderedPageBreak/>
        <w:t xml:space="preserve">private sector, and it is not yet clear that investments financed by external debt will generate the returns necessary to service the debt. This raises questions as to whether the (higher) projected increase in debt in NDP II would have had an adverse impact, given the implications for domestic borrowing and on crowding out. </w:t>
      </w:r>
    </w:p>
    <w:p w14:paraId="17AA54A9" w14:textId="77777777" w:rsidR="00154B27" w:rsidRPr="000E1B7E" w:rsidRDefault="00154B27" w:rsidP="00154B27">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b/>
          <w:sz w:val="24"/>
          <w:szCs w:val="24"/>
        </w:rPr>
        <w:t>Government interest payments are on the steady rise</w:t>
      </w:r>
      <w:r w:rsidRPr="000E1B7E">
        <w:rPr>
          <w:rFonts w:ascii="Times New Roman" w:hAnsi="Times New Roman"/>
          <w:sz w:val="24"/>
          <w:szCs w:val="24"/>
        </w:rPr>
        <w:t xml:space="preserve">. This is in line with Government’s increasing deficit financing. In 2015/16, government interest payments accounted for 1.98% of GDP, increasing to 2.58% of GDP in 2016/17 and 2.65% of GDP in 2017/18. In terms of Government expenditure, interest payments accounted for 10.05% of Government expenditure in 2015/16,increasing to 13.5% in 2016/17 and 12.9% in 2017/18. Interest payments are projected to increase further in the medium term on account of increased borrowing. The increase in interest payments is largely attributed to increased use of short term domestic financing to finance government spending. Indeed, over the period FY2015/16 to FY2018/19 (projected), domestic interest payments accounts for 81.7% of the total interest payments while external interest payments accounted for only 18.3%, reflecting the burden of using short-term domestic borrowing instruments to finance the budget deficit  Figure 9 show the trend and distribution of interest payments over the period under review. Although domestic debt is much smaller than external debt, the interest rate on domestic debt is much higher than on external debt (although they are denominated in different currencies). </w:t>
      </w:r>
      <w:r w:rsidRPr="000E1B7E">
        <w:rPr>
          <w:rFonts w:ascii="Times New Roman" w:eastAsia="Times New Roman" w:hAnsi="Times New Roman"/>
          <w:sz w:val="24"/>
          <w:szCs w:val="24"/>
        </w:rPr>
        <w:t xml:space="preserve">Hence exchange rate depreciation continues to increase the Uganda shilling equivalent of the foreign debt stock, which with potential for increasing the debt budget in the long-term – this is one of the trade-offs for the lower interest rate on foreign currency debt. </w:t>
      </w:r>
    </w:p>
    <w:p w14:paraId="7C7E88B2" w14:textId="77777777" w:rsidR="00154B27" w:rsidRPr="000E1B7E" w:rsidRDefault="00154B27" w:rsidP="00154B27">
      <w:pPr>
        <w:pStyle w:val="Normal1"/>
        <w:spacing w:after="0" w:line="240" w:lineRule="auto"/>
        <w:jc w:val="both"/>
        <w:rPr>
          <w:rFonts w:ascii="Times New Roman" w:hAnsi="Times New Roman" w:cs="Times New Roman"/>
        </w:rPr>
      </w:pPr>
    </w:p>
    <w:p w14:paraId="1D4F0270" w14:textId="77777777" w:rsidR="000B7A9D" w:rsidRDefault="000B7A9D">
      <w:pPr>
        <w:rPr>
          <w:b/>
        </w:rPr>
      </w:pPr>
      <w:bookmarkStart w:id="106" w:name="_Toc3483153"/>
      <w:r>
        <w:rPr>
          <w:b/>
          <w:i/>
          <w:iCs/>
        </w:rPr>
        <w:br w:type="page"/>
      </w:r>
    </w:p>
    <w:p w14:paraId="7B1D3A35" w14:textId="77777777" w:rsidR="00154B27" w:rsidRPr="000E1B7E" w:rsidRDefault="00154B27" w:rsidP="00154B27">
      <w:pPr>
        <w:pStyle w:val="Caption"/>
        <w:rPr>
          <w:rFonts w:ascii="Times New Roman" w:eastAsia="Times New Roman" w:hAnsi="Times New Roman" w:cs="Times New Roman"/>
          <w:b/>
          <w:i w:val="0"/>
          <w:iCs w:val="0"/>
          <w:color w:val="auto"/>
          <w:sz w:val="24"/>
          <w:szCs w:val="24"/>
          <w:lang w:val="en-GB"/>
        </w:rPr>
      </w:pPr>
      <w:r w:rsidRPr="000E1B7E">
        <w:rPr>
          <w:rFonts w:ascii="Times New Roman" w:eastAsia="Times New Roman" w:hAnsi="Times New Roman" w:cs="Times New Roman"/>
          <w:b/>
          <w:i w:val="0"/>
          <w:iCs w:val="0"/>
          <w:color w:val="auto"/>
          <w:sz w:val="24"/>
          <w:szCs w:val="24"/>
          <w:lang w:val="en-GB"/>
        </w:rPr>
        <w:lastRenderedPageBreak/>
        <w:t xml:space="preserve">Figure </w:t>
      </w:r>
      <w:r w:rsidR="00FD5BA9">
        <w:rPr>
          <w:rFonts w:ascii="Times New Roman" w:eastAsia="Times New Roman" w:hAnsi="Times New Roman" w:cs="Times New Roman"/>
          <w:b/>
          <w:i w:val="0"/>
          <w:iCs w:val="0"/>
          <w:color w:val="auto"/>
          <w:sz w:val="24"/>
          <w:szCs w:val="24"/>
          <w:lang w:val="en-GB"/>
        </w:rPr>
        <w:t>10</w:t>
      </w:r>
      <w:r w:rsidRPr="000E1B7E">
        <w:rPr>
          <w:rFonts w:ascii="Times New Roman" w:eastAsia="Times New Roman" w:hAnsi="Times New Roman" w:cs="Times New Roman"/>
          <w:b/>
          <w:i w:val="0"/>
          <w:iCs w:val="0"/>
          <w:color w:val="auto"/>
          <w:sz w:val="24"/>
          <w:szCs w:val="24"/>
          <w:lang w:val="en-GB"/>
        </w:rPr>
        <w:t>: Trend and distribution of interest payments</w:t>
      </w:r>
      <w:bookmarkEnd w:id="106"/>
    </w:p>
    <w:p w14:paraId="2B4EF3F3" w14:textId="77777777" w:rsidR="00154B27" w:rsidRPr="000E1B7E" w:rsidRDefault="00154B27" w:rsidP="00154B27">
      <w:pPr>
        <w:pStyle w:val="Normal1"/>
        <w:spacing w:after="0" w:line="240" w:lineRule="auto"/>
        <w:jc w:val="both"/>
        <w:rPr>
          <w:rFonts w:ascii="Times New Roman" w:hAnsi="Times New Roman" w:cs="Times New Roman"/>
          <w:b/>
        </w:rPr>
      </w:pPr>
      <w:r w:rsidRPr="000E1B7E">
        <w:rPr>
          <w:rFonts w:ascii="Times New Roman" w:hAnsi="Times New Roman" w:cs="Times New Roman"/>
          <w:b/>
          <w:noProof/>
          <w:lang w:val="en-GB" w:eastAsia="en-GB"/>
        </w:rPr>
        <w:drawing>
          <wp:inline distT="0" distB="0" distL="0" distR="0" wp14:anchorId="31B2A55B" wp14:editId="2D7E6BF3">
            <wp:extent cx="5734050" cy="3200400"/>
            <wp:effectExtent l="0" t="0" r="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EF16BF3" w14:textId="77777777" w:rsidR="00154B27" w:rsidRPr="000E1B7E" w:rsidRDefault="00154B27" w:rsidP="00154B27">
      <w:pPr>
        <w:pStyle w:val="Normal1"/>
        <w:spacing w:after="0" w:line="360" w:lineRule="auto"/>
        <w:jc w:val="both"/>
        <w:rPr>
          <w:rFonts w:ascii="Times New Roman" w:eastAsia="Times New Roman" w:hAnsi="Times New Roman" w:cs="Times New Roman"/>
          <w:sz w:val="24"/>
          <w:szCs w:val="24"/>
        </w:rPr>
      </w:pPr>
      <w:r w:rsidRPr="000E1B7E">
        <w:rPr>
          <w:rFonts w:ascii="Times New Roman" w:eastAsia="Times New Roman" w:hAnsi="Times New Roman" w:cs="Times New Roman"/>
          <w:sz w:val="24"/>
          <w:szCs w:val="24"/>
        </w:rPr>
        <w:t>Source: Bank of Uganda</w:t>
      </w:r>
    </w:p>
    <w:p w14:paraId="5EC7055E" w14:textId="77777777" w:rsidR="00154B27" w:rsidRPr="000E1B7E" w:rsidRDefault="00154B27" w:rsidP="00154B27">
      <w:pPr>
        <w:pStyle w:val="Normal1"/>
        <w:spacing w:after="0" w:line="360" w:lineRule="auto"/>
        <w:jc w:val="both"/>
        <w:rPr>
          <w:rFonts w:ascii="Times New Roman" w:hAnsi="Times New Roman" w:cs="Times New Roman"/>
          <w:b/>
          <w:sz w:val="24"/>
          <w:szCs w:val="24"/>
        </w:rPr>
      </w:pPr>
      <w:r w:rsidRPr="000E1B7E">
        <w:rPr>
          <w:rFonts w:ascii="Times New Roman" w:hAnsi="Times New Roman" w:cs="Times New Roman"/>
          <w:b/>
          <w:sz w:val="24"/>
          <w:szCs w:val="24"/>
        </w:rPr>
        <w:t>Domestic Debt Holders</w:t>
      </w:r>
    </w:p>
    <w:p w14:paraId="1425DAEA" w14:textId="77777777" w:rsidR="00154B27" w:rsidRPr="000E1B7E" w:rsidRDefault="00154B27" w:rsidP="00154B27">
      <w:pPr>
        <w:pStyle w:val="DeltaBodytext"/>
        <w:numPr>
          <w:ilvl w:val="0"/>
          <w:numId w:val="26"/>
        </w:numPr>
        <w:spacing w:before="240" w:line="360" w:lineRule="auto"/>
        <w:ind w:left="567" w:hanging="567"/>
        <w:rPr>
          <w:rFonts w:ascii="Times New Roman" w:hAnsi="Times New Roman"/>
          <w:b/>
          <w:sz w:val="24"/>
          <w:szCs w:val="24"/>
        </w:rPr>
      </w:pPr>
      <w:r w:rsidRPr="000E1B7E">
        <w:rPr>
          <w:rFonts w:ascii="Times New Roman" w:hAnsi="Times New Roman"/>
          <w:sz w:val="24"/>
          <w:szCs w:val="24"/>
        </w:rPr>
        <w:t xml:space="preserve">Commercial banks remain the biggest holder of domestic debt. As of December 2017, commercial banks were holding 45% of domestic debt,closely followed by pension and provident funds with 40% of the total. High domestic debt holdings by commercial banks have continued to crowd out lending to the private sector and to maintain high interest rates as commercial </w:t>
      </w:r>
      <w:r w:rsidRPr="000E1B7E">
        <w:rPr>
          <w:rFonts w:ascii="Times New Roman" w:eastAsia="Times New Roman" w:hAnsi="Times New Roman"/>
          <w:sz w:val="24"/>
          <w:szCs w:val="24"/>
        </w:rPr>
        <w:t>banks</w:t>
      </w:r>
      <w:r w:rsidRPr="000E1B7E">
        <w:rPr>
          <w:rFonts w:ascii="Times New Roman" w:hAnsi="Times New Roman"/>
          <w:sz w:val="24"/>
          <w:szCs w:val="24"/>
        </w:rPr>
        <w:t xml:space="preserve"> prefer to lend to Government than to the private sector on the account of the high yields on Government bonds and treasury bills. Despite these yields, which are high in both nominal and real terms, holdings of domestic debt by non-residents (offshore) has been declining. This may reflect uncertainty over the stability of the UGX-USD exchange rate. </w:t>
      </w:r>
    </w:p>
    <w:p w14:paraId="0B4C0ED7" w14:textId="77777777" w:rsidR="00154B27" w:rsidRPr="000E1B7E" w:rsidRDefault="00154B27" w:rsidP="00154B27">
      <w:pPr>
        <w:rPr>
          <w:rFonts w:eastAsia="Calibri"/>
          <w:b/>
          <w:lang w:val="en-US"/>
        </w:rPr>
      </w:pPr>
      <w:r w:rsidRPr="000E1B7E">
        <w:rPr>
          <w:rFonts w:eastAsia="Calibri"/>
          <w:b/>
          <w:i/>
          <w:iCs/>
        </w:rPr>
        <w:br w:type="page"/>
      </w:r>
    </w:p>
    <w:p w14:paraId="7FE1FAAF" w14:textId="77777777" w:rsidR="00154B27" w:rsidRPr="000E1B7E" w:rsidRDefault="00154B27" w:rsidP="00154B27">
      <w:pPr>
        <w:pStyle w:val="Caption"/>
        <w:rPr>
          <w:rFonts w:ascii="Times New Roman" w:eastAsia="Calibri" w:hAnsi="Times New Roman" w:cs="Times New Roman"/>
          <w:b/>
          <w:i w:val="0"/>
          <w:iCs w:val="0"/>
          <w:color w:val="auto"/>
          <w:sz w:val="24"/>
          <w:szCs w:val="24"/>
        </w:rPr>
      </w:pPr>
      <w:bookmarkStart w:id="107" w:name="_Toc3483154"/>
      <w:r w:rsidRPr="000E1B7E">
        <w:rPr>
          <w:rFonts w:ascii="Times New Roman" w:eastAsia="Calibri" w:hAnsi="Times New Roman" w:cs="Times New Roman"/>
          <w:b/>
          <w:i w:val="0"/>
          <w:iCs w:val="0"/>
          <w:color w:val="auto"/>
          <w:sz w:val="24"/>
          <w:szCs w:val="24"/>
        </w:rPr>
        <w:lastRenderedPageBreak/>
        <w:t xml:space="preserve">Figure </w:t>
      </w:r>
      <w:r w:rsidR="001232BF" w:rsidRPr="000E1B7E">
        <w:rPr>
          <w:rFonts w:ascii="Times New Roman" w:eastAsia="Calibri" w:hAnsi="Times New Roman" w:cs="Times New Roman"/>
          <w:b/>
          <w:i w:val="0"/>
          <w:iCs w:val="0"/>
          <w:color w:val="auto"/>
          <w:sz w:val="24"/>
          <w:szCs w:val="24"/>
        </w:rPr>
        <w:fldChar w:fldCharType="begin"/>
      </w:r>
      <w:r w:rsidRPr="000E1B7E">
        <w:rPr>
          <w:rFonts w:ascii="Times New Roman" w:eastAsia="Calibri" w:hAnsi="Times New Roman" w:cs="Times New Roman"/>
          <w:b/>
          <w:i w:val="0"/>
          <w:iCs w:val="0"/>
          <w:color w:val="auto"/>
          <w:sz w:val="24"/>
          <w:szCs w:val="24"/>
        </w:rPr>
        <w:instrText xml:space="preserve"> SEQ Figure \* ARABIC </w:instrText>
      </w:r>
      <w:r w:rsidR="001232BF" w:rsidRPr="000E1B7E">
        <w:rPr>
          <w:rFonts w:ascii="Times New Roman" w:eastAsia="Calibri" w:hAnsi="Times New Roman" w:cs="Times New Roman"/>
          <w:b/>
          <w:i w:val="0"/>
          <w:iCs w:val="0"/>
          <w:color w:val="auto"/>
          <w:sz w:val="24"/>
          <w:szCs w:val="24"/>
        </w:rPr>
        <w:fldChar w:fldCharType="separate"/>
      </w:r>
      <w:r w:rsidRPr="000E1B7E">
        <w:rPr>
          <w:rFonts w:ascii="Times New Roman" w:eastAsia="Calibri" w:hAnsi="Times New Roman" w:cs="Times New Roman"/>
          <w:b/>
          <w:i w:val="0"/>
          <w:iCs w:val="0"/>
          <w:noProof/>
          <w:color w:val="auto"/>
          <w:sz w:val="24"/>
          <w:szCs w:val="24"/>
        </w:rPr>
        <w:t>1</w:t>
      </w:r>
      <w:r w:rsidR="00FD5BA9">
        <w:rPr>
          <w:rFonts w:ascii="Times New Roman" w:eastAsia="Calibri" w:hAnsi="Times New Roman" w:cs="Times New Roman"/>
          <w:b/>
          <w:i w:val="0"/>
          <w:iCs w:val="0"/>
          <w:noProof/>
          <w:color w:val="auto"/>
          <w:sz w:val="24"/>
          <w:szCs w:val="24"/>
        </w:rPr>
        <w:t>1</w:t>
      </w:r>
      <w:r w:rsidR="001232BF" w:rsidRPr="000E1B7E">
        <w:rPr>
          <w:rFonts w:ascii="Times New Roman" w:eastAsia="Calibri" w:hAnsi="Times New Roman" w:cs="Times New Roman"/>
          <w:b/>
          <w:i w:val="0"/>
          <w:iCs w:val="0"/>
          <w:color w:val="auto"/>
          <w:sz w:val="24"/>
          <w:szCs w:val="24"/>
        </w:rPr>
        <w:fldChar w:fldCharType="end"/>
      </w:r>
      <w:r w:rsidRPr="000E1B7E">
        <w:rPr>
          <w:rFonts w:ascii="Times New Roman" w:eastAsia="Calibri" w:hAnsi="Times New Roman" w:cs="Times New Roman"/>
          <w:b/>
          <w:i w:val="0"/>
          <w:iCs w:val="0"/>
          <w:color w:val="auto"/>
          <w:sz w:val="24"/>
          <w:szCs w:val="24"/>
        </w:rPr>
        <w:t>: Domestic Debt  Distribution by holding</w:t>
      </w:r>
      <w:bookmarkEnd w:id="107"/>
    </w:p>
    <w:p w14:paraId="1B5B0EB4" w14:textId="77777777" w:rsidR="00154B27" w:rsidRPr="000E1B7E" w:rsidRDefault="00154B27" w:rsidP="00154B27">
      <w:pPr>
        <w:pStyle w:val="Normal1"/>
        <w:spacing w:after="0" w:line="240" w:lineRule="auto"/>
        <w:jc w:val="both"/>
        <w:rPr>
          <w:rFonts w:ascii="Times New Roman" w:hAnsi="Times New Roman" w:cs="Times New Roman"/>
          <w:b/>
        </w:rPr>
      </w:pPr>
      <w:r w:rsidRPr="000E1B7E">
        <w:rPr>
          <w:rFonts w:ascii="Times New Roman" w:hAnsi="Times New Roman" w:cs="Times New Roman"/>
          <w:b/>
          <w:noProof/>
          <w:lang w:val="en-GB" w:eastAsia="en-GB"/>
        </w:rPr>
        <w:drawing>
          <wp:inline distT="0" distB="0" distL="0" distR="0" wp14:anchorId="66002596" wp14:editId="2EAEE34E">
            <wp:extent cx="5730281" cy="2986548"/>
            <wp:effectExtent l="19050" t="0" r="3769"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5731510" cy="2987189"/>
                    </a:xfrm>
                    <a:prstGeom prst="rect">
                      <a:avLst/>
                    </a:prstGeom>
                    <a:noFill/>
                    <a:ln w="9525">
                      <a:noFill/>
                      <a:miter lim="800000"/>
                      <a:headEnd/>
                      <a:tailEnd/>
                    </a:ln>
                  </pic:spPr>
                </pic:pic>
              </a:graphicData>
            </a:graphic>
          </wp:inline>
        </w:drawing>
      </w:r>
    </w:p>
    <w:p w14:paraId="0F4FBE13" w14:textId="77777777" w:rsidR="00154B27" w:rsidRPr="000E1B7E" w:rsidRDefault="00154B27" w:rsidP="00154B27">
      <w:pPr>
        <w:pStyle w:val="Normal1"/>
        <w:spacing w:after="0" w:line="240" w:lineRule="auto"/>
        <w:jc w:val="both"/>
        <w:rPr>
          <w:rFonts w:ascii="Times New Roman" w:hAnsi="Times New Roman" w:cs="Times New Roman"/>
          <w:b/>
        </w:rPr>
      </w:pPr>
    </w:p>
    <w:p w14:paraId="013B989A" w14:textId="77777777" w:rsidR="00154B27" w:rsidRPr="000E1B7E" w:rsidRDefault="00154B27" w:rsidP="00154B27">
      <w:pPr>
        <w:pStyle w:val="Normal1"/>
        <w:spacing w:after="0" w:line="360" w:lineRule="auto"/>
        <w:jc w:val="both"/>
        <w:rPr>
          <w:rFonts w:ascii="Times New Roman" w:hAnsi="Times New Roman" w:cs="Times New Roman"/>
          <w:sz w:val="24"/>
          <w:szCs w:val="24"/>
        </w:rPr>
      </w:pPr>
      <w:r w:rsidRPr="000E1B7E">
        <w:rPr>
          <w:rFonts w:ascii="Times New Roman" w:hAnsi="Times New Roman" w:cs="Times New Roman"/>
          <w:sz w:val="24"/>
          <w:szCs w:val="24"/>
        </w:rPr>
        <w:t>Source: MFPED-Annual report on Public Debt and Grants (2017/18)</w:t>
      </w:r>
    </w:p>
    <w:p w14:paraId="6659FA2D" w14:textId="77777777" w:rsidR="00154B27" w:rsidRPr="000E1B7E" w:rsidRDefault="00154B27" w:rsidP="00154B27">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Government has continued shifting towards issuing more long-term domestic borrowing instruments (Treasury bonds) as compared to short-term domestic borrowing instruments (treasury bills). As of end of 2017, Treasury bonds accounted for 75.9% of the domestic debt stock, while treasury bills accounted for 24.1% of the domestic debt, reflecting continued improvement in domestic debt risk management as reflected in the figure below.</w:t>
      </w:r>
    </w:p>
    <w:p w14:paraId="24DF6CF6" w14:textId="77777777" w:rsidR="00154B27" w:rsidRPr="000E1B7E" w:rsidRDefault="00154B27" w:rsidP="00154B27">
      <w:pPr>
        <w:pStyle w:val="Caption"/>
        <w:spacing w:after="0"/>
        <w:rPr>
          <w:rFonts w:ascii="Times New Roman" w:eastAsia="Calibri" w:hAnsi="Times New Roman" w:cs="Times New Roman"/>
          <w:b/>
          <w:i w:val="0"/>
          <w:iCs w:val="0"/>
          <w:color w:val="auto"/>
          <w:sz w:val="24"/>
          <w:szCs w:val="24"/>
          <w:lang w:val="en-GB"/>
        </w:rPr>
      </w:pPr>
      <w:bookmarkStart w:id="108" w:name="_Toc3483155"/>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Pr="000E1B7E">
        <w:rPr>
          <w:rFonts w:ascii="Times New Roman" w:eastAsia="Calibri" w:hAnsi="Times New Roman" w:cs="Times New Roman"/>
          <w:b/>
          <w:i w:val="0"/>
          <w:iCs w:val="0"/>
          <w:noProof/>
          <w:color w:val="auto"/>
          <w:sz w:val="24"/>
          <w:szCs w:val="24"/>
          <w:lang w:val="en-GB"/>
        </w:rPr>
        <w:t>1</w:t>
      </w:r>
      <w:r w:rsidR="00FD5BA9">
        <w:rPr>
          <w:rFonts w:ascii="Times New Roman" w:eastAsia="Calibri" w:hAnsi="Times New Roman" w:cs="Times New Roman"/>
          <w:b/>
          <w:i w:val="0"/>
          <w:iCs w:val="0"/>
          <w:noProof/>
          <w:color w:val="auto"/>
          <w:sz w:val="24"/>
          <w:szCs w:val="24"/>
          <w:lang w:val="en-GB"/>
        </w:rPr>
        <w:t>2</w:t>
      </w:r>
      <w:r w:rsidR="001232BF" w:rsidRPr="000E1B7E">
        <w:rPr>
          <w:rFonts w:ascii="Times New Roman" w:eastAsia="Calibri" w:hAnsi="Times New Roman" w:cs="Times New Roman"/>
          <w:b/>
          <w:i w:val="0"/>
          <w:iCs w:val="0"/>
          <w:color w:val="auto"/>
          <w:sz w:val="24"/>
          <w:szCs w:val="24"/>
          <w:lang w:val="en-GB"/>
        </w:rPr>
        <w:fldChar w:fldCharType="end"/>
      </w:r>
      <w:r w:rsidRPr="000E1B7E">
        <w:rPr>
          <w:rFonts w:ascii="Times New Roman" w:eastAsia="Calibri" w:hAnsi="Times New Roman" w:cs="Times New Roman"/>
          <w:b/>
          <w:i w:val="0"/>
          <w:iCs w:val="0"/>
          <w:color w:val="auto"/>
          <w:sz w:val="24"/>
          <w:szCs w:val="24"/>
          <w:lang w:val="en-GB"/>
        </w:rPr>
        <w:t>: Distribution of Domestic debt holding by Category</w:t>
      </w:r>
      <w:bookmarkEnd w:id="108"/>
    </w:p>
    <w:p w14:paraId="2A63EBCA" w14:textId="77777777" w:rsidR="00154B27" w:rsidRPr="000E1B7E" w:rsidRDefault="00154B27" w:rsidP="00154B27">
      <w:pPr>
        <w:pStyle w:val="Normal1"/>
        <w:spacing w:after="0" w:line="240" w:lineRule="auto"/>
        <w:jc w:val="both"/>
        <w:rPr>
          <w:rFonts w:ascii="Times New Roman" w:hAnsi="Times New Roman" w:cs="Times New Roman"/>
          <w:b/>
        </w:rPr>
      </w:pPr>
      <w:r w:rsidRPr="000E1B7E">
        <w:rPr>
          <w:rFonts w:ascii="Times New Roman" w:hAnsi="Times New Roman" w:cs="Times New Roman"/>
          <w:b/>
          <w:noProof/>
          <w:lang w:val="en-GB" w:eastAsia="en-GB"/>
        </w:rPr>
        <w:drawing>
          <wp:inline distT="0" distB="0" distL="0" distR="0" wp14:anchorId="0652EBD3" wp14:editId="362DB1E1">
            <wp:extent cx="5229225" cy="2331899"/>
            <wp:effectExtent l="19050" t="0" r="9525" b="0"/>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5328610" cy="2376218"/>
                    </a:xfrm>
                    <a:prstGeom prst="rect">
                      <a:avLst/>
                    </a:prstGeom>
                    <a:noFill/>
                    <a:ln w="9525">
                      <a:noFill/>
                      <a:miter lim="800000"/>
                      <a:headEnd/>
                      <a:tailEnd/>
                    </a:ln>
                  </pic:spPr>
                </pic:pic>
              </a:graphicData>
            </a:graphic>
          </wp:inline>
        </w:drawing>
      </w:r>
    </w:p>
    <w:p w14:paraId="565976BA" w14:textId="77777777" w:rsidR="00154B27" w:rsidRPr="000E1B7E" w:rsidRDefault="00154B27" w:rsidP="00154B27">
      <w:pPr>
        <w:pStyle w:val="Normal1"/>
        <w:spacing w:after="0" w:line="240" w:lineRule="auto"/>
        <w:jc w:val="both"/>
        <w:rPr>
          <w:rFonts w:ascii="Times New Roman" w:hAnsi="Times New Roman" w:cs="Times New Roman"/>
          <w:sz w:val="24"/>
          <w:szCs w:val="24"/>
        </w:rPr>
      </w:pPr>
      <w:r w:rsidRPr="000E1B7E">
        <w:rPr>
          <w:rFonts w:ascii="Times New Roman" w:hAnsi="Times New Roman" w:cs="Times New Roman"/>
          <w:sz w:val="24"/>
          <w:szCs w:val="24"/>
        </w:rPr>
        <w:t>Source: MFPED-Annual report on Public Debt and Grants (2017/18)</w:t>
      </w:r>
    </w:p>
    <w:p w14:paraId="412CAF50" w14:textId="77777777" w:rsidR="00154B27" w:rsidRPr="000E1B7E" w:rsidRDefault="00154B27" w:rsidP="00154B27">
      <w:pPr>
        <w:spacing w:line="360" w:lineRule="auto"/>
      </w:pPr>
    </w:p>
    <w:p w14:paraId="6A4E5F8F" w14:textId="77777777" w:rsidR="00E92F2C" w:rsidRPr="000E1B7E" w:rsidRDefault="00E92F2C" w:rsidP="00C11847">
      <w:pPr>
        <w:pStyle w:val="DeltaSeched2"/>
      </w:pPr>
      <w:bookmarkStart w:id="109" w:name="_Toc3478386"/>
      <w:bookmarkStart w:id="110" w:name="_Toc11956269"/>
      <w:r w:rsidRPr="000E1B7E">
        <w:t xml:space="preserve">NDP II </w:t>
      </w:r>
      <w:r w:rsidR="002033B8" w:rsidRPr="000E1B7E">
        <w:t>Funding</w:t>
      </w:r>
      <w:bookmarkEnd w:id="109"/>
      <w:bookmarkEnd w:id="110"/>
    </w:p>
    <w:p w14:paraId="5BB4E66F" w14:textId="77777777" w:rsidR="00E92F2C" w:rsidRPr="000E1B7E" w:rsidRDefault="002033B8" w:rsidP="00F85D24">
      <w:pPr>
        <w:pStyle w:val="DeltaBodytext"/>
        <w:numPr>
          <w:ilvl w:val="0"/>
          <w:numId w:val="26"/>
        </w:numPr>
        <w:spacing w:before="240" w:line="360" w:lineRule="auto"/>
        <w:ind w:left="567" w:hanging="567"/>
        <w:rPr>
          <w:rFonts w:ascii="Times New Roman" w:hAnsi="Times New Roman"/>
          <w:sz w:val="24"/>
          <w:szCs w:val="24"/>
        </w:rPr>
      </w:pPr>
      <w:r w:rsidRPr="000E1B7E">
        <w:rPr>
          <w:rFonts w:ascii="Times New Roman" w:hAnsi="Times New Roman"/>
          <w:sz w:val="24"/>
          <w:szCs w:val="24"/>
        </w:rPr>
        <w:t>Government funding for NDP II over the five years was projected at a total of UGX 113.7 trillion</w:t>
      </w:r>
      <w:r w:rsidR="00E92F2C" w:rsidRPr="000E1B7E">
        <w:rPr>
          <w:rFonts w:ascii="Times New Roman" w:hAnsi="Times New Roman"/>
          <w:sz w:val="24"/>
          <w:szCs w:val="24"/>
        </w:rPr>
        <w:t>.</w:t>
      </w:r>
      <w:r w:rsidRPr="000E1B7E">
        <w:rPr>
          <w:rFonts w:ascii="Times New Roman" w:hAnsi="Times New Roman"/>
          <w:sz w:val="24"/>
          <w:szCs w:val="24"/>
        </w:rPr>
        <w:t xml:space="preserve"> Of this, 59</w:t>
      </w:r>
      <w:r w:rsidR="00056980" w:rsidRPr="000E1B7E">
        <w:rPr>
          <w:rFonts w:ascii="Times New Roman" w:hAnsi="Times New Roman"/>
          <w:sz w:val="24"/>
          <w:szCs w:val="24"/>
        </w:rPr>
        <w:t>.6</w:t>
      </w:r>
      <w:r w:rsidRPr="000E1B7E">
        <w:rPr>
          <w:rFonts w:ascii="Times New Roman" w:hAnsi="Times New Roman"/>
          <w:sz w:val="24"/>
          <w:szCs w:val="24"/>
        </w:rPr>
        <w:t xml:space="preserve"> trillion (52.4%) was allocated towards development </w:t>
      </w:r>
      <w:r w:rsidR="00CA67C6" w:rsidRPr="000E1B7E">
        <w:rPr>
          <w:rFonts w:ascii="Times New Roman" w:hAnsi="Times New Roman"/>
          <w:sz w:val="24"/>
          <w:szCs w:val="24"/>
        </w:rPr>
        <w:t>expenditures while</w:t>
      </w:r>
      <w:r w:rsidRPr="000E1B7E">
        <w:rPr>
          <w:rFonts w:ascii="Times New Roman" w:hAnsi="Times New Roman"/>
          <w:sz w:val="24"/>
          <w:szCs w:val="24"/>
        </w:rPr>
        <w:t xml:space="preserve"> 54</w:t>
      </w:r>
      <w:r w:rsidR="00056980" w:rsidRPr="000E1B7E">
        <w:rPr>
          <w:rFonts w:ascii="Times New Roman" w:hAnsi="Times New Roman"/>
          <w:sz w:val="24"/>
          <w:szCs w:val="24"/>
        </w:rPr>
        <w:t>.1</w:t>
      </w:r>
      <w:r w:rsidRPr="000E1B7E">
        <w:rPr>
          <w:rFonts w:ascii="Times New Roman" w:hAnsi="Times New Roman"/>
          <w:sz w:val="24"/>
          <w:szCs w:val="24"/>
        </w:rPr>
        <w:t xml:space="preserve"> trillion (</w:t>
      </w:r>
      <w:r w:rsidR="00CA67C6" w:rsidRPr="000E1B7E">
        <w:rPr>
          <w:rFonts w:ascii="Times New Roman" w:hAnsi="Times New Roman"/>
          <w:sz w:val="24"/>
          <w:szCs w:val="24"/>
        </w:rPr>
        <w:t>47.5%) was allocated towards financing recurrent expenditures. Of the current expenditures, 22</w:t>
      </w:r>
      <w:r w:rsidR="00056980" w:rsidRPr="000E1B7E">
        <w:rPr>
          <w:rFonts w:ascii="Times New Roman" w:hAnsi="Times New Roman"/>
          <w:sz w:val="24"/>
          <w:szCs w:val="24"/>
        </w:rPr>
        <w:t>.1</w:t>
      </w:r>
      <w:r w:rsidR="00CA67C6" w:rsidRPr="000E1B7E">
        <w:rPr>
          <w:rFonts w:ascii="Times New Roman" w:hAnsi="Times New Roman"/>
          <w:sz w:val="24"/>
          <w:szCs w:val="24"/>
        </w:rPr>
        <w:t xml:space="preserve"> trillion (19.4% of total budget) was towards wages and salaries, while 32</w:t>
      </w:r>
      <w:r w:rsidR="00056980" w:rsidRPr="000E1B7E">
        <w:rPr>
          <w:rFonts w:ascii="Times New Roman" w:hAnsi="Times New Roman"/>
          <w:sz w:val="24"/>
          <w:szCs w:val="24"/>
        </w:rPr>
        <w:t>.</w:t>
      </w:r>
      <w:r w:rsidR="00CA67C6" w:rsidRPr="000E1B7E">
        <w:rPr>
          <w:rFonts w:ascii="Times New Roman" w:hAnsi="Times New Roman"/>
          <w:sz w:val="24"/>
          <w:szCs w:val="24"/>
        </w:rPr>
        <w:t>0 (28.2</w:t>
      </w:r>
      <w:r w:rsidR="00683386" w:rsidRPr="000E1B7E">
        <w:rPr>
          <w:rFonts w:ascii="Times New Roman" w:hAnsi="Times New Roman"/>
          <w:sz w:val="24"/>
          <w:szCs w:val="24"/>
        </w:rPr>
        <w:t>%</w:t>
      </w:r>
      <w:r w:rsidR="00CA67C6" w:rsidRPr="000E1B7E">
        <w:rPr>
          <w:rFonts w:ascii="Times New Roman" w:hAnsi="Times New Roman"/>
          <w:sz w:val="24"/>
          <w:szCs w:val="24"/>
        </w:rPr>
        <w:t xml:space="preserve"> of total budget) was towards non-wage recurrent expenditures.</w:t>
      </w:r>
    </w:p>
    <w:p w14:paraId="45F92955" w14:textId="77777777" w:rsidR="00486F6A" w:rsidRPr="000E1B7E" w:rsidRDefault="00683386" w:rsidP="00F85D24">
      <w:pPr>
        <w:pStyle w:val="DeltaBodytext"/>
        <w:numPr>
          <w:ilvl w:val="0"/>
          <w:numId w:val="26"/>
        </w:numPr>
        <w:autoSpaceDE w:val="0"/>
        <w:autoSpaceDN w:val="0"/>
        <w:adjustRightInd w:val="0"/>
        <w:spacing w:before="240" w:line="360" w:lineRule="auto"/>
        <w:ind w:left="567" w:hanging="567"/>
        <w:rPr>
          <w:rFonts w:ascii="Times New Roman" w:hAnsi="Times New Roman"/>
        </w:rPr>
      </w:pPr>
      <w:r w:rsidRPr="000E1B7E">
        <w:rPr>
          <w:rFonts w:ascii="Times New Roman" w:hAnsi="Times New Roman"/>
          <w:b/>
          <w:i/>
          <w:sz w:val="24"/>
          <w:szCs w:val="24"/>
        </w:rPr>
        <w:t>Budget out</w:t>
      </w:r>
      <w:r w:rsidR="00720268" w:rsidRPr="000E1B7E">
        <w:rPr>
          <w:rFonts w:ascii="Times New Roman" w:hAnsi="Times New Roman"/>
          <w:b/>
          <w:i/>
          <w:sz w:val="24"/>
          <w:szCs w:val="24"/>
        </w:rPr>
        <w:t>-turn at 69.8%:</w:t>
      </w:r>
      <w:r w:rsidR="00720268" w:rsidRPr="000E1B7E">
        <w:rPr>
          <w:rFonts w:ascii="Times New Roman" w:hAnsi="Times New Roman"/>
          <w:sz w:val="24"/>
          <w:szCs w:val="24"/>
        </w:rPr>
        <w:t xml:space="preserve"> A review of the annual budgets for the three years under NDP II revealed that the total approved budgets for the three years was 79</w:t>
      </w:r>
      <w:r w:rsidR="002B1CA9" w:rsidRPr="000E1B7E">
        <w:rPr>
          <w:rFonts w:ascii="Times New Roman" w:hAnsi="Times New Roman"/>
          <w:sz w:val="24"/>
          <w:szCs w:val="24"/>
        </w:rPr>
        <w:t>.</w:t>
      </w:r>
      <w:r w:rsidR="00720268" w:rsidRPr="000E1B7E">
        <w:rPr>
          <w:rFonts w:ascii="Times New Roman" w:hAnsi="Times New Roman"/>
          <w:sz w:val="24"/>
          <w:szCs w:val="24"/>
        </w:rPr>
        <w:t>3 trillion, representing 69.8% of the total NDP II budget of 113</w:t>
      </w:r>
      <w:r w:rsidR="002B1CA9" w:rsidRPr="000E1B7E">
        <w:rPr>
          <w:rFonts w:ascii="Times New Roman" w:hAnsi="Times New Roman"/>
          <w:sz w:val="24"/>
          <w:szCs w:val="24"/>
        </w:rPr>
        <w:t>.</w:t>
      </w:r>
      <w:r w:rsidR="00720268" w:rsidRPr="000E1B7E">
        <w:rPr>
          <w:rFonts w:ascii="Times New Roman" w:hAnsi="Times New Roman"/>
          <w:sz w:val="24"/>
          <w:szCs w:val="24"/>
        </w:rPr>
        <w:t xml:space="preserve">6 trillion. However, total expenditure over the three years </w:t>
      </w:r>
      <w:r w:rsidR="004270A7" w:rsidRPr="000E1B7E">
        <w:rPr>
          <w:rFonts w:ascii="Times New Roman" w:hAnsi="Times New Roman"/>
          <w:sz w:val="24"/>
          <w:szCs w:val="24"/>
        </w:rPr>
        <w:t xml:space="preserve">was </w:t>
      </w:r>
      <w:r w:rsidR="00720268" w:rsidRPr="000E1B7E">
        <w:rPr>
          <w:rFonts w:ascii="Times New Roman" w:hAnsi="Times New Roman"/>
          <w:sz w:val="24"/>
          <w:szCs w:val="24"/>
        </w:rPr>
        <w:t>54</w:t>
      </w:r>
      <w:r w:rsidR="002B1CA9" w:rsidRPr="000E1B7E">
        <w:rPr>
          <w:rFonts w:ascii="Times New Roman" w:hAnsi="Times New Roman"/>
          <w:sz w:val="24"/>
          <w:szCs w:val="24"/>
        </w:rPr>
        <w:t>.</w:t>
      </w:r>
      <w:r w:rsidR="00720268" w:rsidRPr="000E1B7E">
        <w:rPr>
          <w:rFonts w:ascii="Times New Roman" w:hAnsi="Times New Roman"/>
          <w:sz w:val="24"/>
          <w:szCs w:val="24"/>
        </w:rPr>
        <w:t xml:space="preserve">6 trillion, equivalent to 48.1% of the NDP II budget. Therefore, for the first three years (60% of the NDP period), 48.1% of the NDP II budget has been </w:t>
      </w:r>
      <w:r w:rsidR="009E4D47" w:rsidRPr="000E1B7E">
        <w:rPr>
          <w:rFonts w:ascii="Times New Roman" w:hAnsi="Times New Roman"/>
          <w:sz w:val="24"/>
          <w:szCs w:val="24"/>
        </w:rPr>
        <w:t>spent</w:t>
      </w:r>
      <w:r w:rsidR="00720268" w:rsidRPr="000E1B7E">
        <w:rPr>
          <w:rFonts w:ascii="Times New Roman" w:hAnsi="Times New Roman"/>
          <w:sz w:val="24"/>
          <w:szCs w:val="24"/>
        </w:rPr>
        <w:t xml:space="preserve">.A review of budget </w:t>
      </w:r>
      <w:r w:rsidR="00FD5300" w:rsidRPr="000E1B7E">
        <w:rPr>
          <w:rFonts w:ascii="Times New Roman" w:hAnsi="Times New Roman"/>
          <w:sz w:val="24"/>
          <w:szCs w:val="24"/>
        </w:rPr>
        <w:t xml:space="preserve">expenditures </w:t>
      </w:r>
      <w:r w:rsidR="00486F6A" w:rsidRPr="000E1B7E">
        <w:rPr>
          <w:rFonts w:ascii="Times New Roman" w:hAnsi="Times New Roman"/>
          <w:sz w:val="24"/>
          <w:szCs w:val="24"/>
        </w:rPr>
        <w:t xml:space="preserve">revealed </w:t>
      </w:r>
      <w:r w:rsidR="00FD5300" w:rsidRPr="000E1B7E">
        <w:rPr>
          <w:rFonts w:ascii="Times New Roman" w:hAnsi="Times New Roman"/>
          <w:sz w:val="24"/>
          <w:szCs w:val="24"/>
        </w:rPr>
        <w:t xml:space="preserve">a </w:t>
      </w:r>
      <w:r w:rsidR="00486F6A" w:rsidRPr="000E1B7E">
        <w:rPr>
          <w:rFonts w:ascii="Times New Roman" w:hAnsi="Times New Roman"/>
          <w:sz w:val="24"/>
          <w:szCs w:val="24"/>
        </w:rPr>
        <w:t>69.8% outturn in 2015/16</w:t>
      </w:r>
      <w:r w:rsidR="00FD5300" w:rsidRPr="000E1B7E">
        <w:rPr>
          <w:rFonts w:ascii="Times New Roman" w:hAnsi="Times New Roman"/>
          <w:sz w:val="24"/>
          <w:szCs w:val="24"/>
        </w:rPr>
        <w:t xml:space="preserve"> (i.e. the percentage of the approved budget that was actually spent)</w:t>
      </w:r>
      <w:r w:rsidR="00486F6A" w:rsidRPr="000E1B7E">
        <w:rPr>
          <w:rFonts w:ascii="Times New Roman" w:hAnsi="Times New Roman"/>
          <w:sz w:val="24"/>
          <w:szCs w:val="24"/>
        </w:rPr>
        <w:t xml:space="preserve">, 66.2% in 2016/17 and 70.5% in 2017/18. </w:t>
      </w:r>
      <w:r w:rsidR="00720268" w:rsidRPr="000E1B7E">
        <w:rPr>
          <w:rFonts w:ascii="Times New Roman" w:hAnsi="Times New Roman"/>
          <w:sz w:val="24"/>
          <w:szCs w:val="24"/>
        </w:rPr>
        <w:t xml:space="preserve">Accordingly, the budget outturn over the review period is estimated at 68.8% of the total budget as </w:t>
      </w:r>
      <w:r w:rsidR="00486F6A" w:rsidRPr="000E1B7E">
        <w:rPr>
          <w:rFonts w:ascii="Times New Roman" w:hAnsi="Times New Roman"/>
          <w:sz w:val="24"/>
          <w:szCs w:val="24"/>
        </w:rPr>
        <w:t>reflected</w:t>
      </w:r>
      <w:r w:rsidR="00720268" w:rsidRPr="000E1B7E">
        <w:rPr>
          <w:rFonts w:ascii="Times New Roman" w:hAnsi="Times New Roman"/>
          <w:sz w:val="24"/>
          <w:szCs w:val="24"/>
        </w:rPr>
        <w:t xml:space="preserve"> in figure </w:t>
      </w:r>
      <w:r w:rsidR="004D579D" w:rsidRPr="000E1B7E">
        <w:rPr>
          <w:rFonts w:ascii="Times New Roman" w:hAnsi="Times New Roman"/>
          <w:sz w:val="24"/>
          <w:szCs w:val="24"/>
        </w:rPr>
        <w:t>1</w:t>
      </w:r>
      <w:r w:rsidR="00894DF2" w:rsidRPr="000E1B7E">
        <w:rPr>
          <w:rFonts w:ascii="Times New Roman" w:hAnsi="Times New Roman"/>
          <w:sz w:val="24"/>
          <w:szCs w:val="24"/>
        </w:rPr>
        <w:t>3.</w:t>
      </w:r>
    </w:p>
    <w:p w14:paraId="02B38922" w14:textId="77777777" w:rsidR="002A6CCF" w:rsidRPr="000E1B7E" w:rsidRDefault="002A6CCF" w:rsidP="002A6CCF">
      <w:pPr>
        <w:pStyle w:val="DeltaBodytext"/>
        <w:numPr>
          <w:ilvl w:val="0"/>
          <w:numId w:val="26"/>
        </w:numPr>
        <w:autoSpaceDE w:val="0"/>
        <w:autoSpaceDN w:val="0"/>
        <w:adjustRightInd w:val="0"/>
        <w:spacing w:before="240" w:line="360" w:lineRule="auto"/>
        <w:ind w:left="567" w:hanging="567"/>
        <w:rPr>
          <w:rFonts w:ascii="Times New Roman" w:hAnsi="Times New Roman"/>
          <w:color w:val="000000"/>
          <w:sz w:val="24"/>
          <w:szCs w:val="24"/>
          <w:lang w:val="en-US"/>
        </w:rPr>
      </w:pPr>
      <w:bookmarkStart w:id="111" w:name="_Toc3483157"/>
      <w:r w:rsidRPr="000E1B7E">
        <w:rPr>
          <w:rFonts w:ascii="Times New Roman" w:hAnsi="Times New Roman"/>
          <w:b/>
          <w:i/>
          <w:sz w:val="24"/>
          <w:szCs w:val="24"/>
        </w:rPr>
        <w:t xml:space="preserve">Development Budget most affected by spending short-falls: </w:t>
      </w:r>
      <w:r w:rsidRPr="000E1B7E">
        <w:rPr>
          <w:rFonts w:ascii="Times New Roman" w:hAnsi="Times New Roman"/>
          <w:sz w:val="24"/>
          <w:szCs w:val="24"/>
        </w:rPr>
        <w:t>Of the</w:t>
      </w:r>
      <w:r w:rsidR="001A0126" w:rsidRPr="000E1B7E">
        <w:rPr>
          <w:rFonts w:ascii="Times New Roman" w:hAnsi="Times New Roman"/>
          <w:sz w:val="24"/>
          <w:szCs w:val="24"/>
        </w:rPr>
        <w:t xml:space="preserve"> </w:t>
      </w:r>
      <w:r w:rsidRPr="000E1B7E">
        <w:rPr>
          <w:rFonts w:ascii="Times New Roman" w:hAnsi="Times New Roman"/>
          <w:color w:val="000000"/>
          <w:sz w:val="24"/>
          <w:szCs w:val="24"/>
          <w:lang w:val="en-US"/>
        </w:rPr>
        <w:t>54.6 trillion spend over the first three years of NDP II, 30.4 trillion (55.6%) was recurrent expenditures. This is higher that the projected allocation of 47.5% of NDP II budget going to recurrent expenditures.  On the other hand, 20.2 trillion (37%) of spending was towards development expenditure, which is lower than the NDP II target of 52.4% of the budget.  The allocation of spending for the first three years of NDP II is summarized in table 13.</w:t>
      </w:r>
    </w:p>
    <w:p w14:paraId="3CA09C5E" w14:textId="77777777" w:rsidR="009D49BF" w:rsidRPr="000E1B7E" w:rsidRDefault="009D49BF">
      <w:pPr>
        <w:rPr>
          <w:rFonts w:eastAsia="Calibri"/>
          <w:b/>
        </w:rPr>
      </w:pPr>
      <w:r w:rsidRPr="000E1B7E">
        <w:rPr>
          <w:rFonts w:eastAsia="Calibri"/>
          <w:b/>
          <w:i/>
          <w:iCs/>
        </w:rPr>
        <w:br w:type="page"/>
      </w:r>
    </w:p>
    <w:p w14:paraId="789B92C5" w14:textId="77777777" w:rsidR="00720268" w:rsidRPr="000E1B7E" w:rsidRDefault="000672A9" w:rsidP="000672A9">
      <w:pPr>
        <w:pStyle w:val="Caption"/>
        <w:rPr>
          <w:rFonts w:ascii="Times New Roman" w:eastAsia="Calibri" w:hAnsi="Times New Roman" w:cs="Times New Roman"/>
          <w:b/>
          <w:i w:val="0"/>
          <w:iCs w:val="0"/>
          <w:color w:val="auto"/>
          <w:sz w:val="24"/>
          <w:szCs w:val="24"/>
          <w:lang w:val="en-GB"/>
        </w:rPr>
      </w:pPr>
      <w:r w:rsidRPr="000E1B7E">
        <w:rPr>
          <w:rFonts w:ascii="Times New Roman" w:eastAsia="Calibri" w:hAnsi="Times New Roman" w:cs="Times New Roman"/>
          <w:b/>
          <w:i w:val="0"/>
          <w:iCs w:val="0"/>
          <w:color w:val="auto"/>
          <w:sz w:val="24"/>
          <w:szCs w:val="24"/>
          <w:lang w:val="en-GB"/>
        </w:rPr>
        <w:lastRenderedPageBreak/>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13</w:t>
      </w:r>
      <w:r w:rsidR="001232BF" w:rsidRPr="000E1B7E">
        <w:rPr>
          <w:rFonts w:ascii="Times New Roman" w:eastAsia="Calibri" w:hAnsi="Times New Roman" w:cs="Times New Roman"/>
          <w:b/>
          <w:i w:val="0"/>
          <w:iCs w:val="0"/>
          <w:color w:val="auto"/>
          <w:sz w:val="24"/>
          <w:szCs w:val="24"/>
          <w:lang w:val="en-GB"/>
        </w:rPr>
        <w:fldChar w:fldCharType="end"/>
      </w:r>
      <w:r w:rsidR="00486F6A" w:rsidRPr="000E1B7E">
        <w:rPr>
          <w:rFonts w:ascii="Times New Roman" w:eastAsia="Calibri" w:hAnsi="Times New Roman" w:cs="Times New Roman"/>
          <w:b/>
          <w:i w:val="0"/>
          <w:iCs w:val="0"/>
          <w:color w:val="auto"/>
          <w:sz w:val="24"/>
          <w:szCs w:val="24"/>
          <w:lang w:val="en-GB"/>
        </w:rPr>
        <w:t>: Budget outturn over the review period</w:t>
      </w:r>
      <w:bookmarkEnd w:id="111"/>
    </w:p>
    <w:p w14:paraId="035A917F" w14:textId="77777777" w:rsidR="00720268" w:rsidRPr="000E1B7E" w:rsidRDefault="00720268" w:rsidP="005959B5">
      <w:pPr>
        <w:autoSpaceDE w:val="0"/>
        <w:autoSpaceDN w:val="0"/>
        <w:adjustRightInd w:val="0"/>
        <w:jc w:val="both"/>
      </w:pPr>
      <w:r w:rsidRPr="000E1B7E">
        <w:rPr>
          <w:noProof/>
          <w:lang w:eastAsia="en-GB"/>
        </w:rPr>
        <w:drawing>
          <wp:inline distT="0" distB="0" distL="0" distR="0" wp14:anchorId="120DCF5F" wp14:editId="36D91FB1">
            <wp:extent cx="5840648" cy="3097162"/>
            <wp:effectExtent l="19050" t="0" r="26752" b="7988"/>
            <wp:docPr id="116"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48C676A" w14:textId="77777777" w:rsidR="00683386" w:rsidRPr="000E1B7E" w:rsidRDefault="00886FE8" w:rsidP="005959B5">
      <w:pPr>
        <w:autoSpaceDE w:val="0"/>
        <w:autoSpaceDN w:val="0"/>
        <w:adjustRightInd w:val="0"/>
        <w:jc w:val="both"/>
      </w:pPr>
      <w:r w:rsidRPr="000E1B7E">
        <w:t>Source: MFPED</w:t>
      </w:r>
    </w:p>
    <w:p w14:paraId="596822C6" w14:textId="77777777" w:rsidR="00886FE8" w:rsidRPr="000E1B7E" w:rsidRDefault="00886FE8" w:rsidP="005959B5">
      <w:pPr>
        <w:autoSpaceDE w:val="0"/>
        <w:autoSpaceDN w:val="0"/>
        <w:adjustRightInd w:val="0"/>
        <w:jc w:val="both"/>
      </w:pPr>
    </w:p>
    <w:p w14:paraId="0B0AFAE5" w14:textId="77777777" w:rsidR="00720268" w:rsidRPr="000E1B7E" w:rsidRDefault="000672A9" w:rsidP="000672A9">
      <w:pPr>
        <w:pStyle w:val="Caption"/>
        <w:rPr>
          <w:rFonts w:ascii="Times New Roman" w:eastAsia="Calibri" w:hAnsi="Times New Roman" w:cs="Times New Roman"/>
          <w:b/>
          <w:i w:val="0"/>
          <w:iCs w:val="0"/>
          <w:color w:val="000000"/>
          <w:sz w:val="24"/>
          <w:szCs w:val="24"/>
        </w:rPr>
      </w:pPr>
      <w:bookmarkStart w:id="112" w:name="_Toc3483123"/>
      <w:r w:rsidRPr="000E1B7E">
        <w:rPr>
          <w:rFonts w:ascii="Times New Roman" w:eastAsia="Calibri" w:hAnsi="Times New Roman" w:cs="Times New Roman"/>
          <w:b/>
          <w:i w:val="0"/>
          <w:iCs w:val="0"/>
          <w:color w:val="000000"/>
          <w:sz w:val="24"/>
          <w:szCs w:val="24"/>
        </w:rPr>
        <w:t xml:space="preserve">Table </w:t>
      </w:r>
      <w:r w:rsidR="001232BF" w:rsidRPr="000E1B7E">
        <w:rPr>
          <w:rFonts w:ascii="Times New Roman" w:eastAsia="Calibri" w:hAnsi="Times New Roman" w:cs="Times New Roman"/>
          <w:b/>
          <w:i w:val="0"/>
          <w:iCs w:val="0"/>
          <w:color w:val="000000"/>
          <w:sz w:val="24"/>
          <w:szCs w:val="24"/>
        </w:rPr>
        <w:fldChar w:fldCharType="begin"/>
      </w:r>
      <w:r w:rsidRPr="000E1B7E">
        <w:rPr>
          <w:rFonts w:ascii="Times New Roman" w:eastAsia="Calibri" w:hAnsi="Times New Roman" w:cs="Times New Roman"/>
          <w:b/>
          <w:i w:val="0"/>
          <w:iCs w:val="0"/>
          <w:color w:val="000000"/>
          <w:sz w:val="24"/>
          <w:szCs w:val="24"/>
        </w:rPr>
        <w:instrText xml:space="preserve"> SEQ Table \* ARABIC </w:instrText>
      </w:r>
      <w:r w:rsidR="001232BF" w:rsidRPr="000E1B7E">
        <w:rPr>
          <w:rFonts w:ascii="Times New Roman" w:eastAsia="Calibri" w:hAnsi="Times New Roman" w:cs="Times New Roman"/>
          <w:b/>
          <w:i w:val="0"/>
          <w:iCs w:val="0"/>
          <w:color w:val="000000"/>
          <w:sz w:val="24"/>
          <w:szCs w:val="24"/>
        </w:rPr>
        <w:fldChar w:fldCharType="separate"/>
      </w:r>
      <w:r w:rsidR="006461AC" w:rsidRPr="000E1B7E">
        <w:rPr>
          <w:rFonts w:ascii="Times New Roman" w:eastAsia="Calibri" w:hAnsi="Times New Roman" w:cs="Times New Roman"/>
          <w:b/>
          <w:i w:val="0"/>
          <w:iCs w:val="0"/>
          <w:noProof/>
          <w:color w:val="000000"/>
          <w:sz w:val="24"/>
          <w:szCs w:val="24"/>
        </w:rPr>
        <w:t>13</w:t>
      </w:r>
      <w:r w:rsidR="001232BF" w:rsidRPr="000E1B7E">
        <w:rPr>
          <w:rFonts w:ascii="Times New Roman" w:eastAsia="Calibri" w:hAnsi="Times New Roman" w:cs="Times New Roman"/>
          <w:b/>
          <w:i w:val="0"/>
          <w:iCs w:val="0"/>
          <w:color w:val="000000"/>
          <w:sz w:val="24"/>
          <w:szCs w:val="24"/>
        </w:rPr>
        <w:fldChar w:fldCharType="end"/>
      </w:r>
      <w:r w:rsidR="004D579D" w:rsidRPr="000E1B7E">
        <w:rPr>
          <w:rFonts w:ascii="Times New Roman" w:eastAsia="Calibri" w:hAnsi="Times New Roman" w:cs="Times New Roman"/>
          <w:b/>
          <w:i w:val="0"/>
          <w:iCs w:val="0"/>
          <w:color w:val="000000"/>
          <w:sz w:val="24"/>
          <w:szCs w:val="24"/>
        </w:rPr>
        <w:t xml:space="preserve">: </w:t>
      </w:r>
      <w:r w:rsidRPr="000E1B7E">
        <w:rPr>
          <w:rFonts w:ascii="Times New Roman" w:eastAsia="Calibri" w:hAnsi="Times New Roman" w:cs="Times New Roman"/>
          <w:b/>
          <w:i w:val="0"/>
          <w:iCs w:val="0"/>
          <w:color w:val="000000"/>
          <w:sz w:val="24"/>
          <w:szCs w:val="24"/>
        </w:rPr>
        <w:t>A</w:t>
      </w:r>
      <w:r w:rsidR="004D579D" w:rsidRPr="000E1B7E">
        <w:rPr>
          <w:rFonts w:ascii="Times New Roman" w:eastAsia="Calibri" w:hAnsi="Times New Roman" w:cs="Times New Roman"/>
          <w:b/>
          <w:i w:val="0"/>
          <w:iCs w:val="0"/>
          <w:color w:val="000000"/>
          <w:sz w:val="24"/>
          <w:szCs w:val="24"/>
        </w:rPr>
        <w:t>llocation of spending for the first three years of NDP II</w:t>
      </w:r>
      <w:bookmarkEnd w:id="112"/>
    </w:p>
    <w:tbl>
      <w:tblPr>
        <w:tblStyle w:val="LightGrid1"/>
        <w:tblW w:w="9915" w:type="dxa"/>
        <w:tblLook w:val="04A0" w:firstRow="1" w:lastRow="0" w:firstColumn="1" w:lastColumn="0" w:noHBand="0" w:noVBand="1"/>
      </w:tblPr>
      <w:tblGrid>
        <w:gridCol w:w="2705"/>
        <w:gridCol w:w="1350"/>
        <w:gridCol w:w="1170"/>
        <w:gridCol w:w="1260"/>
        <w:gridCol w:w="1260"/>
        <w:gridCol w:w="720"/>
        <w:gridCol w:w="1450"/>
      </w:tblGrid>
      <w:tr w:rsidR="00486F6A" w:rsidRPr="000E1B7E" w14:paraId="0A50B3F8" w14:textId="77777777" w:rsidTr="00886FE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3F47EB6C" w14:textId="77777777" w:rsidR="00486F6A" w:rsidRPr="000E1B7E" w:rsidRDefault="00486F6A" w:rsidP="005959B5">
            <w:pPr>
              <w:jc w:val="both"/>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 </w:t>
            </w:r>
          </w:p>
        </w:tc>
        <w:tc>
          <w:tcPr>
            <w:tcW w:w="1350" w:type="dxa"/>
            <w:noWrap/>
            <w:hideMark/>
          </w:tcPr>
          <w:p w14:paraId="451F6BF8" w14:textId="77777777" w:rsidR="00486F6A" w:rsidRPr="000E1B7E" w:rsidRDefault="00486F6A"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2015/16</w:t>
            </w:r>
          </w:p>
        </w:tc>
        <w:tc>
          <w:tcPr>
            <w:tcW w:w="1170" w:type="dxa"/>
            <w:noWrap/>
            <w:hideMark/>
          </w:tcPr>
          <w:p w14:paraId="617DEBD9" w14:textId="77777777" w:rsidR="00486F6A" w:rsidRPr="000E1B7E" w:rsidRDefault="00486F6A"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2016/17</w:t>
            </w:r>
          </w:p>
        </w:tc>
        <w:tc>
          <w:tcPr>
            <w:tcW w:w="1260" w:type="dxa"/>
            <w:noWrap/>
            <w:hideMark/>
          </w:tcPr>
          <w:p w14:paraId="36CDCD1B" w14:textId="77777777" w:rsidR="00486F6A" w:rsidRPr="000E1B7E" w:rsidRDefault="00486F6A"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2017/18</w:t>
            </w:r>
          </w:p>
        </w:tc>
        <w:tc>
          <w:tcPr>
            <w:tcW w:w="1260" w:type="dxa"/>
            <w:noWrap/>
            <w:hideMark/>
          </w:tcPr>
          <w:p w14:paraId="10426685" w14:textId="77777777" w:rsidR="00486F6A" w:rsidRPr="000E1B7E" w:rsidRDefault="00486F6A"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sz w:val="20"/>
                <w:szCs w:val="20"/>
                <w:lang w:val="en-US"/>
              </w:rPr>
              <w:t>2015/16- 2017/18</w:t>
            </w:r>
          </w:p>
        </w:tc>
        <w:tc>
          <w:tcPr>
            <w:tcW w:w="720" w:type="dxa"/>
            <w:vMerge w:val="restart"/>
            <w:noWrap/>
            <w:hideMark/>
          </w:tcPr>
          <w:p w14:paraId="5E63AA65" w14:textId="77777777" w:rsidR="00486F6A" w:rsidRPr="000E1B7E" w:rsidRDefault="00486F6A"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color w:val="000000"/>
                <w:sz w:val="20"/>
                <w:szCs w:val="20"/>
                <w:lang w:val="en-US"/>
              </w:rPr>
              <w:t>%age share</w:t>
            </w:r>
          </w:p>
        </w:tc>
        <w:tc>
          <w:tcPr>
            <w:tcW w:w="1450" w:type="dxa"/>
            <w:vMerge w:val="restart"/>
            <w:noWrap/>
            <w:hideMark/>
          </w:tcPr>
          <w:p w14:paraId="308CD9BB" w14:textId="77777777" w:rsidR="00486F6A" w:rsidRPr="000E1B7E" w:rsidRDefault="00486F6A"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lang w:val="en-US"/>
              </w:rPr>
            </w:pPr>
          </w:p>
          <w:p w14:paraId="2689AA22" w14:textId="77777777" w:rsidR="00486F6A" w:rsidRPr="000E1B7E" w:rsidRDefault="00486F6A"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0E1B7E">
              <w:rPr>
                <w:rFonts w:ascii="Times New Roman" w:eastAsia="Times New Roman" w:hAnsi="Times New Roman" w:cs="Times New Roman"/>
                <w:color w:val="000000"/>
                <w:sz w:val="20"/>
                <w:szCs w:val="20"/>
                <w:lang w:val="en-US"/>
              </w:rPr>
              <w:t>%age share NDP II</w:t>
            </w:r>
          </w:p>
        </w:tc>
      </w:tr>
      <w:tr w:rsidR="00486F6A" w:rsidRPr="000E1B7E" w14:paraId="4DC7BDEC" w14:textId="77777777" w:rsidTr="00886FE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5514EDDC" w14:textId="77777777" w:rsidR="00486F6A" w:rsidRPr="000E1B7E" w:rsidRDefault="00486F6A"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Expenditures and net lending</w:t>
            </w:r>
          </w:p>
        </w:tc>
        <w:tc>
          <w:tcPr>
            <w:tcW w:w="1350" w:type="dxa"/>
            <w:noWrap/>
            <w:hideMark/>
          </w:tcPr>
          <w:p w14:paraId="1EF5F6AD"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16,727</w:t>
            </w:r>
          </w:p>
        </w:tc>
        <w:tc>
          <w:tcPr>
            <w:tcW w:w="1170" w:type="dxa"/>
            <w:noWrap/>
            <w:hideMark/>
          </w:tcPr>
          <w:p w14:paraId="5D0517F3"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17,437</w:t>
            </w:r>
          </w:p>
        </w:tc>
        <w:tc>
          <w:tcPr>
            <w:tcW w:w="1260" w:type="dxa"/>
            <w:noWrap/>
            <w:hideMark/>
          </w:tcPr>
          <w:p w14:paraId="27749B99"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20,450</w:t>
            </w:r>
          </w:p>
        </w:tc>
        <w:tc>
          <w:tcPr>
            <w:tcW w:w="1260" w:type="dxa"/>
            <w:noWrap/>
            <w:hideMark/>
          </w:tcPr>
          <w:p w14:paraId="3F81F9A6"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54,615</w:t>
            </w:r>
          </w:p>
        </w:tc>
        <w:tc>
          <w:tcPr>
            <w:tcW w:w="720" w:type="dxa"/>
            <w:vMerge/>
            <w:noWrap/>
            <w:hideMark/>
          </w:tcPr>
          <w:p w14:paraId="78533090"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450" w:type="dxa"/>
            <w:vMerge/>
            <w:noWrap/>
            <w:hideMark/>
          </w:tcPr>
          <w:p w14:paraId="2A7B0DA8"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r>
      <w:tr w:rsidR="00486F6A" w:rsidRPr="000E1B7E" w14:paraId="11888736" w14:textId="77777777" w:rsidTr="00886FE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02CDE30D" w14:textId="77777777" w:rsidR="00486F6A" w:rsidRPr="000E1B7E" w:rsidRDefault="00486F6A"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 xml:space="preserve"> Recurrent expenditures</w:t>
            </w:r>
          </w:p>
        </w:tc>
        <w:tc>
          <w:tcPr>
            <w:tcW w:w="1350" w:type="dxa"/>
            <w:noWrap/>
            <w:hideMark/>
          </w:tcPr>
          <w:p w14:paraId="2F8C14CF"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9,169</w:t>
            </w:r>
          </w:p>
        </w:tc>
        <w:tc>
          <w:tcPr>
            <w:tcW w:w="1170" w:type="dxa"/>
            <w:noWrap/>
            <w:hideMark/>
          </w:tcPr>
          <w:p w14:paraId="2C070DB0"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9,994</w:t>
            </w:r>
          </w:p>
        </w:tc>
        <w:tc>
          <w:tcPr>
            <w:tcW w:w="1260" w:type="dxa"/>
            <w:noWrap/>
            <w:hideMark/>
          </w:tcPr>
          <w:p w14:paraId="25A4E42B"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11,213</w:t>
            </w:r>
          </w:p>
        </w:tc>
        <w:tc>
          <w:tcPr>
            <w:tcW w:w="1260" w:type="dxa"/>
            <w:noWrap/>
            <w:hideMark/>
          </w:tcPr>
          <w:p w14:paraId="41D2072F"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30,376</w:t>
            </w:r>
          </w:p>
        </w:tc>
        <w:tc>
          <w:tcPr>
            <w:tcW w:w="720" w:type="dxa"/>
            <w:noWrap/>
            <w:hideMark/>
          </w:tcPr>
          <w:p w14:paraId="316A6D71"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55.6</w:t>
            </w:r>
          </w:p>
        </w:tc>
        <w:tc>
          <w:tcPr>
            <w:tcW w:w="1450" w:type="dxa"/>
            <w:noWrap/>
            <w:hideMark/>
          </w:tcPr>
          <w:p w14:paraId="5AF559F2"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rPr>
              <w:t>47.5</w:t>
            </w:r>
          </w:p>
        </w:tc>
      </w:tr>
      <w:tr w:rsidR="00993A0C" w:rsidRPr="000E1B7E" w14:paraId="54D7ED9D" w14:textId="77777777" w:rsidTr="00886FE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3DB7E47B" w14:textId="77777777" w:rsidR="00486F6A" w:rsidRPr="000E1B7E" w:rsidRDefault="00486F6A" w:rsidP="005959B5">
            <w:pPr>
              <w:jc w:val="both"/>
              <w:rPr>
                <w:rFonts w:ascii="Times New Roman" w:eastAsia="Times New Roman" w:hAnsi="Times New Roman" w:cs="Times New Roman"/>
                <w:b w:val="0"/>
                <w:color w:val="000000"/>
                <w:sz w:val="20"/>
                <w:szCs w:val="20"/>
                <w:lang w:val="en-US"/>
              </w:rPr>
            </w:pPr>
            <w:r w:rsidRPr="000E1B7E">
              <w:rPr>
                <w:rFonts w:ascii="Times New Roman" w:eastAsia="Times New Roman" w:hAnsi="Times New Roman" w:cs="Times New Roman"/>
                <w:b w:val="0"/>
                <w:color w:val="000000"/>
                <w:sz w:val="20"/>
                <w:szCs w:val="20"/>
                <w:lang w:val="en-US"/>
              </w:rPr>
              <w:t>o/w Wages and salaries</w:t>
            </w:r>
          </w:p>
        </w:tc>
        <w:tc>
          <w:tcPr>
            <w:tcW w:w="1350" w:type="dxa"/>
            <w:noWrap/>
            <w:hideMark/>
          </w:tcPr>
          <w:p w14:paraId="52C50F8F"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2,966</w:t>
            </w:r>
          </w:p>
        </w:tc>
        <w:tc>
          <w:tcPr>
            <w:tcW w:w="1170" w:type="dxa"/>
            <w:noWrap/>
            <w:hideMark/>
          </w:tcPr>
          <w:p w14:paraId="6CF2C8B9"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3,382</w:t>
            </w:r>
          </w:p>
        </w:tc>
        <w:tc>
          <w:tcPr>
            <w:tcW w:w="1260" w:type="dxa"/>
            <w:noWrap/>
            <w:hideMark/>
          </w:tcPr>
          <w:p w14:paraId="390B5100"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3,576</w:t>
            </w:r>
          </w:p>
        </w:tc>
        <w:tc>
          <w:tcPr>
            <w:tcW w:w="1260" w:type="dxa"/>
            <w:noWrap/>
            <w:hideMark/>
          </w:tcPr>
          <w:p w14:paraId="022F4725"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9,924</w:t>
            </w:r>
          </w:p>
        </w:tc>
        <w:tc>
          <w:tcPr>
            <w:tcW w:w="720" w:type="dxa"/>
            <w:noWrap/>
            <w:hideMark/>
          </w:tcPr>
          <w:p w14:paraId="6AC8F742"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18.2</w:t>
            </w:r>
          </w:p>
        </w:tc>
        <w:tc>
          <w:tcPr>
            <w:tcW w:w="1450" w:type="dxa"/>
            <w:noWrap/>
            <w:hideMark/>
          </w:tcPr>
          <w:p w14:paraId="3AC28E40"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rPr>
              <w:t>19.4</w:t>
            </w:r>
          </w:p>
        </w:tc>
      </w:tr>
      <w:tr w:rsidR="00486F6A" w:rsidRPr="000E1B7E" w14:paraId="3CEC7147" w14:textId="77777777" w:rsidTr="00886FE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7AC37AFF" w14:textId="77777777" w:rsidR="00486F6A" w:rsidRPr="000E1B7E" w:rsidRDefault="00486F6A" w:rsidP="005959B5">
            <w:pPr>
              <w:jc w:val="both"/>
              <w:rPr>
                <w:rFonts w:ascii="Times New Roman" w:eastAsia="Times New Roman" w:hAnsi="Times New Roman" w:cs="Times New Roman"/>
                <w:b w:val="0"/>
                <w:color w:val="000000"/>
                <w:sz w:val="20"/>
                <w:szCs w:val="20"/>
                <w:lang w:val="en-US"/>
              </w:rPr>
            </w:pPr>
            <w:r w:rsidRPr="000E1B7E">
              <w:rPr>
                <w:rFonts w:ascii="Times New Roman" w:eastAsia="Times New Roman" w:hAnsi="Times New Roman" w:cs="Times New Roman"/>
                <w:b w:val="0"/>
                <w:color w:val="000000"/>
                <w:sz w:val="20"/>
                <w:szCs w:val="20"/>
                <w:lang w:val="en-US"/>
              </w:rPr>
              <w:t>o/w Non Wage</w:t>
            </w:r>
          </w:p>
        </w:tc>
        <w:tc>
          <w:tcPr>
            <w:tcW w:w="1350" w:type="dxa"/>
            <w:noWrap/>
            <w:hideMark/>
          </w:tcPr>
          <w:p w14:paraId="3852761C"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4,520</w:t>
            </w:r>
          </w:p>
        </w:tc>
        <w:tc>
          <w:tcPr>
            <w:tcW w:w="1170" w:type="dxa"/>
            <w:noWrap/>
            <w:hideMark/>
          </w:tcPr>
          <w:p w14:paraId="4E89D22F"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4,252</w:t>
            </w:r>
          </w:p>
        </w:tc>
        <w:tc>
          <w:tcPr>
            <w:tcW w:w="1260" w:type="dxa"/>
            <w:noWrap/>
            <w:hideMark/>
          </w:tcPr>
          <w:p w14:paraId="18512FE4"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4,989</w:t>
            </w:r>
          </w:p>
        </w:tc>
        <w:tc>
          <w:tcPr>
            <w:tcW w:w="1260" w:type="dxa"/>
            <w:noWrap/>
            <w:hideMark/>
          </w:tcPr>
          <w:p w14:paraId="7DA6F6FF"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13,761</w:t>
            </w:r>
          </w:p>
        </w:tc>
        <w:tc>
          <w:tcPr>
            <w:tcW w:w="720" w:type="dxa"/>
            <w:noWrap/>
            <w:hideMark/>
          </w:tcPr>
          <w:p w14:paraId="095E852F"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25.2</w:t>
            </w:r>
          </w:p>
        </w:tc>
        <w:tc>
          <w:tcPr>
            <w:tcW w:w="1450" w:type="dxa"/>
            <w:noWrap/>
            <w:hideMark/>
          </w:tcPr>
          <w:p w14:paraId="0A2808F6"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rPr>
              <w:t>28.2</w:t>
            </w:r>
          </w:p>
        </w:tc>
      </w:tr>
      <w:tr w:rsidR="00993A0C" w:rsidRPr="000E1B7E" w14:paraId="532A5AB0" w14:textId="77777777" w:rsidTr="00886FE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55C27534" w14:textId="77777777" w:rsidR="00486F6A" w:rsidRPr="000E1B7E" w:rsidRDefault="00486F6A" w:rsidP="005959B5">
            <w:pPr>
              <w:jc w:val="both"/>
              <w:rPr>
                <w:rFonts w:ascii="Times New Roman" w:eastAsia="Times New Roman" w:hAnsi="Times New Roman" w:cs="Times New Roman"/>
                <w:b w:val="0"/>
                <w:color w:val="000000"/>
                <w:sz w:val="20"/>
                <w:szCs w:val="20"/>
                <w:lang w:val="en-US"/>
              </w:rPr>
            </w:pPr>
            <w:r w:rsidRPr="000E1B7E">
              <w:rPr>
                <w:rFonts w:ascii="Times New Roman" w:eastAsia="Times New Roman" w:hAnsi="Times New Roman" w:cs="Times New Roman"/>
                <w:b w:val="0"/>
                <w:color w:val="000000"/>
                <w:sz w:val="20"/>
                <w:szCs w:val="20"/>
                <w:lang w:val="en-US"/>
              </w:rPr>
              <w:t xml:space="preserve"> o/w Interest payments</w:t>
            </w:r>
          </w:p>
        </w:tc>
        <w:tc>
          <w:tcPr>
            <w:tcW w:w="1350" w:type="dxa"/>
            <w:noWrap/>
            <w:hideMark/>
          </w:tcPr>
          <w:p w14:paraId="20171F83"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1,682</w:t>
            </w:r>
          </w:p>
        </w:tc>
        <w:tc>
          <w:tcPr>
            <w:tcW w:w="1170" w:type="dxa"/>
            <w:noWrap/>
            <w:hideMark/>
          </w:tcPr>
          <w:p w14:paraId="3220B357"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2,360</w:t>
            </w:r>
          </w:p>
        </w:tc>
        <w:tc>
          <w:tcPr>
            <w:tcW w:w="1260" w:type="dxa"/>
            <w:noWrap/>
            <w:hideMark/>
          </w:tcPr>
          <w:p w14:paraId="2B8CE6C6"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2,648</w:t>
            </w:r>
          </w:p>
        </w:tc>
        <w:tc>
          <w:tcPr>
            <w:tcW w:w="1260" w:type="dxa"/>
            <w:noWrap/>
            <w:hideMark/>
          </w:tcPr>
          <w:p w14:paraId="577E0F6C"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6,690</w:t>
            </w:r>
          </w:p>
        </w:tc>
        <w:tc>
          <w:tcPr>
            <w:tcW w:w="720" w:type="dxa"/>
            <w:noWrap/>
            <w:hideMark/>
          </w:tcPr>
          <w:p w14:paraId="1A2285BE"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12.2</w:t>
            </w:r>
          </w:p>
        </w:tc>
        <w:tc>
          <w:tcPr>
            <w:tcW w:w="1450" w:type="dxa"/>
            <w:noWrap/>
            <w:hideMark/>
          </w:tcPr>
          <w:p w14:paraId="397185E4"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r>
      <w:tr w:rsidR="00486F6A" w:rsidRPr="000E1B7E" w14:paraId="463964A0" w14:textId="77777777" w:rsidTr="00886FE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1AE5EA21" w14:textId="77777777" w:rsidR="00486F6A" w:rsidRPr="000E1B7E" w:rsidRDefault="00486F6A"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 xml:space="preserve"> Development expenditures</w:t>
            </w:r>
          </w:p>
        </w:tc>
        <w:tc>
          <w:tcPr>
            <w:tcW w:w="1350" w:type="dxa"/>
            <w:noWrap/>
            <w:hideMark/>
          </w:tcPr>
          <w:p w14:paraId="0153C5D0"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5,907</w:t>
            </w:r>
          </w:p>
        </w:tc>
        <w:tc>
          <w:tcPr>
            <w:tcW w:w="1170" w:type="dxa"/>
            <w:noWrap/>
            <w:hideMark/>
          </w:tcPr>
          <w:p w14:paraId="05D87D87"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6,718</w:t>
            </w:r>
          </w:p>
        </w:tc>
        <w:tc>
          <w:tcPr>
            <w:tcW w:w="1260" w:type="dxa"/>
            <w:noWrap/>
            <w:hideMark/>
          </w:tcPr>
          <w:p w14:paraId="5D546A07"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7,590</w:t>
            </w:r>
          </w:p>
        </w:tc>
        <w:tc>
          <w:tcPr>
            <w:tcW w:w="1260" w:type="dxa"/>
            <w:noWrap/>
            <w:hideMark/>
          </w:tcPr>
          <w:p w14:paraId="0A74668C"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20,215</w:t>
            </w:r>
          </w:p>
        </w:tc>
        <w:tc>
          <w:tcPr>
            <w:tcW w:w="720" w:type="dxa"/>
            <w:noWrap/>
            <w:hideMark/>
          </w:tcPr>
          <w:p w14:paraId="2E8EAE7A"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37.0</w:t>
            </w:r>
          </w:p>
        </w:tc>
        <w:tc>
          <w:tcPr>
            <w:tcW w:w="1450" w:type="dxa"/>
            <w:noWrap/>
            <w:hideMark/>
          </w:tcPr>
          <w:p w14:paraId="32C838D7"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rPr>
              <w:t>52.4</w:t>
            </w:r>
          </w:p>
        </w:tc>
      </w:tr>
      <w:tr w:rsidR="00993A0C" w:rsidRPr="000E1B7E" w14:paraId="6AE8DA0C" w14:textId="77777777" w:rsidTr="00886FE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22D623C5" w14:textId="77777777" w:rsidR="00486F6A" w:rsidRPr="000E1B7E" w:rsidRDefault="00486F6A" w:rsidP="005959B5">
            <w:pPr>
              <w:jc w:val="both"/>
              <w:rPr>
                <w:rFonts w:ascii="Times New Roman" w:eastAsia="Times New Roman" w:hAnsi="Times New Roman" w:cs="Times New Roman"/>
                <w:b w:val="0"/>
                <w:color w:val="000000"/>
                <w:sz w:val="20"/>
                <w:szCs w:val="20"/>
                <w:lang w:val="en-US"/>
              </w:rPr>
            </w:pPr>
            <w:r w:rsidRPr="000E1B7E">
              <w:rPr>
                <w:rFonts w:ascii="Times New Roman" w:eastAsia="Times New Roman" w:hAnsi="Times New Roman" w:cs="Times New Roman"/>
                <w:b w:val="0"/>
                <w:color w:val="000000"/>
                <w:sz w:val="20"/>
                <w:szCs w:val="20"/>
                <w:lang w:val="en-US"/>
              </w:rPr>
              <w:t xml:space="preserve">  Net lending and investment</w:t>
            </w:r>
          </w:p>
        </w:tc>
        <w:tc>
          <w:tcPr>
            <w:tcW w:w="1350" w:type="dxa"/>
            <w:noWrap/>
            <w:hideMark/>
          </w:tcPr>
          <w:p w14:paraId="0C2707A6"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1,532</w:t>
            </w:r>
          </w:p>
        </w:tc>
        <w:tc>
          <w:tcPr>
            <w:tcW w:w="1170" w:type="dxa"/>
            <w:noWrap/>
            <w:hideMark/>
          </w:tcPr>
          <w:p w14:paraId="505D1EEE"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541</w:t>
            </w:r>
          </w:p>
        </w:tc>
        <w:tc>
          <w:tcPr>
            <w:tcW w:w="1260" w:type="dxa"/>
            <w:noWrap/>
            <w:hideMark/>
          </w:tcPr>
          <w:p w14:paraId="1F787012"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0E1B7E">
              <w:rPr>
                <w:sz w:val="20"/>
                <w:szCs w:val="20"/>
                <w:lang w:val="en-US"/>
              </w:rPr>
              <w:t>1,283</w:t>
            </w:r>
          </w:p>
        </w:tc>
        <w:tc>
          <w:tcPr>
            <w:tcW w:w="1260" w:type="dxa"/>
            <w:noWrap/>
            <w:hideMark/>
          </w:tcPr>
          <w:p w14:paraId="6A7033AF"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3,356</w:t>
            </w:r>
          </w:p>
        </w:tc>
        <w:tc>
          <w:tcPr>
            <w:tcW w:w="720" w:type="dxa"/>
            <w:noWrap/>
            <w:hideMark/>
          </w:tcPr>
          <w:p w14:paraId="6D7BB5E9"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6.1</w:t>
            </w:r>
          </w:p>
        </w:tc>
        <w:tc>
          <w:tcPr>
            <w:tcW w:w="1450" w:type="dxa"/>
            <w:noWrap/>
            <w:hideMark/>
          </w:tcPr>
          <w:p w14:paraId="3DFE96B8" w14:textId="77777777" w:rsidR="00486F6A" w:rsidRPr="000E1B7E" w:rsidRDefault="00486F6A"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r>
      <w:tr w:rsidR="00486F6A" w:rsidRPr="000E1B7E" w14:paraId="38FA6D8A" w14:textId="77777777" w:rsidTr="00886FE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705" w:type="dxa"/>
            <w:noWrap/>
            <w:hideMark/>
          </w:tcPr>
          <w:p w14:paraId="0201E9F6" w14:textId="77777777" w:rsidR="00486F6A" w:rsidRPr="000E1B7E" w:rsidRDefault="00486F6A"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Other spending (clearance of arrears)</w:t>
            </w:r>
          </w:p>
        </w:tc>
        <w:tc>
          <w:tcPr>
            <w:tcW w:w="1350" w:type="dxa"/>
            <w:noWrap/>
            <w:hideMark/>
          </w:tcPr>
          <w:p w14:paraId="1E792F8D"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119</w:t>
            </w:r>
          </w:p>
        </w:tc>
        <w:tc>
          <w:tcPr>
            <w:tcW w:w="1170" w:type="dxa"/>
            <w:noWrap/>
            <w:hideMark/>
          </w:tcPr>
          <w:p w14:paraId="2A21FC02"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184</w:t>
            </w:r>
          </w:p>
        </w:tc>
        <w:tc>
          <w:tcPr>
            <w:tcW w:w="1260" w:type="dxa"/>
            <w:noWrap/>
            <w:hideMark/>
          </w:tcPr>
          <w:p w14:paraId="74CDA3A7"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sz w:val="20"/>
                <w:szCs w:val="20"/>
                <w:lang w:val="en-US"/>
              </w:rPr>
            </w:pPr>
            <w:r w:rsidRPr="000E1B7E">
              <w:rPr>
                <w:sz w:val="20"/>
                <w:szCs w:val="20"/>
                <w:lang w:val="en-US"/>
              </w:rPr>
              <w:t>364</w:t>
            </w:r>
          </w:p>
        </w:tc>
        <w:tc>
          <w:tcPr>
            <w:tcW w:w="1260" w:type="dxa"/>
            <w:noWrap/>
            <w:hideMark/>
          </w:tcPr>
          <w:p w14:paraId="100C3016"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667</w:t>
            </w:r>
          </w:p>
        </w:tc>
        <w:tc>
          <w:tcPr>
            <w:tcW w:w="720" w:type="dxa"/>
            <w:noWrap/>
            <w:hideMark/>
          </w:tcPr>
          <w:p w14:paraId="3E9D7D8E"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1.2</w:t>
            </w:r>
          </w:p>
        </w:tc>
        <w:tc>
          <w:tcPr>
            <w:tcW w:w="1450" w:type="dxa"/>
            <w:noWrap/>
            <w:hideMark/>
          </w:tcPr>
          <w:p w14:paraId="3AE687F4" w14:textId="77777777" w:rsidR="00486F6A" w:rsidRPr="000E1B7E" w:rsidRDefault="00486F6A"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r>
    </w:tbl>
    <w:p w14:paraId="7A490F10" w14:textId="77777777" w:rsidR="00886FE8" w:rsidRPr="000E1B7E" w:rsidRDefault="00886FE8" w:rsidP="005959B5">
      <w:pPr>
        <w:autoSpaceDE w:val="0"/>
        <w:autoSpaceDN w:val="0"/>
        <w:adjustRightInd w:val="0"/>
        <w:jc w:val="both"/>
      </w:pPr>
      <w:r w:rsidRPr="000E1B7E">
        <w:t>Source: MFPED</w:t>
      </w:r>
    </w:p>
    <w:p w14:paraId="5FD3C109" w14:textId="77777777" w:rsidR="00CE4889" w:rsidRPr="000E1B7E" w:rsidRDefault="00993A0C"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Overall, whereas the thrust of </w:t>
      </w:r>
      <w:r w:rsidR="004270A7" w:rsidRPr="000E1B7E">
        <w:rPr>
          <w:rFonts w:ascii="Times New Roman" w:hAnsi="Times New Roman"/>
          <w:sz w:val="24"/>
          <w:szCs w:val="24"/>
        </w:rPr>
        <w:t xml:space="preserve">the </w:t>
      </w:r>
      <w:r w:rsidRPr="000E1B7E">
        <w:rPr>
          <w:rFonts w:ascii="Times New Roman" w:hAnsi="Times New Roman"/>
          <w:sz w:val="24"/>
          <w:szCs w:val="24"/>
        </w:rPr>
        <w:t xml:space="preserve">NDP II funding strategy is to frontload infrastructure </w:t>
      </w:r>
      <w:r w:rsidR="004270A7" w:rsidRPr="000E1B7E">
        <w:rPr>
          <w:rFonts w:ascii="Times New Roman" w:hAnsi="Times New Roman"/>
          <w:sz w:val="24"/>
          <w:szCs w:val="24"/>
        </w:rPr>
        <w:t>investment</w:t>
      </w:r>
      <w:r w:rsidRPr="000E1B7E">
        <w:rPr>
          <w:rFonts w:ascii="Times New Roman" w:hAnsi="Times New Roman"/>
          <w:sz w:val="24"/>
          <w:szCs w:val="24"/>
        </w:rPr>
        <w:t>, by allocating more budgetary resources under the development budget,</w:t>
      </w:r>
      <w:r w:rsidR="00CE4889" w:rsidRPr="000E1B7E">
        <w:rPr>
          <w:rFonts w:ascii="Times New Roman" w:hAnsi="Times New Roman"/>
          <w:sz w:val="24"/>
          <w:szCs w:val="24"/>
        </w:rPr>
        <w:t xml:space="preserve"> the development budget expenditure has been less than projected under NDP II. The reason for the underspend</w:t>
      </w:r>
      <w:r w:rsidR="00910179" w:rsidRPr="000E1B7E">
        <w:rPr>
          <w:rFonts w:ascii="Times New Roman" w:hAnsi="Times New Roman"/>
          <w:sz w:val="24"/>
          <w:szCs w:val="24"/>
        </w:rPr>
        <w:t>ing</w:t>
      </w:r>
      <w:r w:rsidR="00CE4889" w:rsidRPr="000E1B7E">
        <w:rPr>
          <w:rFonts w:ascii="Times New Roman" w:hAnsi="Times New Roman"/>
          <w:sz w:val="24"/>
          <w:szCs w:val="24"/>
        </w:rPr>
        <w:t xml:space="preserve"> on the development budget could be mainily because of delays in project </w:t>
      </w:r>
      <w:r w:rsidR="00CE4889" w:rsidRPr="000E1B7E">
        <w:rPr>
          <w:rFonts w:ascii="Times New Roman" w:hAnsi="Times New Roman"/>
          <w:sz w:val="24"/>
          <w:szCs w:val="24"/>
        </w:rPr>
        <w:lastRenderedPageBreak/>
        <w:t xml:space="preserve">implementation as most of the development expenditure was to be funded through external loans. </w:t>
      </w:r>
    </w:p>
    <w:p w14:paraId="59A16995" w14:textId="77777777" w:rsidR="00F009A5" w:rsidRPr="000E1B7E" w:rsidRDefault="00F009A5" w:rsidP="005959B5">
      <w:pPr>
        <w:autoSpaceDE w:val="0"/>
        <w:autoSpaceDN w:val="0"/>
        <w:adjustRightInd w:val="0"/>
        <w:spacing w:line="360" w:lineRule="auto"/>
        <w:jc w:val="both"/>
        <w:rPr>
          <w:b/>
        </w:rPr>
      </w:pPr>
      <w:r w:rsidRPr="000E1B7E">
        <w:rPr>
          <w:b/>
        </w:rPr>
        <w:t>Government Budget Expenditure and NDP II Sector Allocation Alignment</w:t>
      </w:r>
    </w:p>
    <w:p w14:paraId="205C67E0" w14:textId="77777777" w:rsidR="0038289F" w:rsidRPr="000E1B7E" w:rsidRDefault="0038289F"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A review of actual Government expenditure against target NDP II sector allocation reveals significant misalignment between NDP II target</w:t>
      </w:r>
      <w:r w:rsidR="001376B0" w:rsidRPr="000E1B7E">
        <w:rPr>
          <w:rFonts w:ascii="Times New Roman" w:hAnsi="Times New Roman"/>
          <w:sz w:val="24"/>
          <w:szCs w:val="24"/>
        </w:rPr>
        <w:t>s</w:t>
      </w:r>
      <w:r w:rsidRPr="000E1B7E">
        <w:rPr>
          <w:rFonts w:ascii="Times New Roman" w:hAnsi="Times New Roman"/>
          <w:sz w:val="24"/>
          <w:szCs w:val="24"/>
        </w:rPr>
        <w:t xml:space="preserve"> and actual expenditures over the first three years of NDP II</w:t>
      </w:r>
      <w:r w:rsidR="001376B0" w:rsidRPr="000E1B7E">
        <w:rPr>
          <w:rFonts w:ascii="Times New Roman" w:hAnsi="Times New Roman"/>
          <w:sz w:val="24"/>
          <w:szCs w:val="24"/>
        </w:rPr>
        <w:t>,</w:t>
      </w:r>
      <w:r w:rsidRPr="000E1B7E">
        <w:rPr>
          <w:rFonts w:ascii="Times New Roman" w:hAnsi="Times New Roman"/>
          <w:sz w:val="24"/>
          <w:szCs w:val="24"/>
        </w:rPr>
        <w:t xml:space="preserve"> as briefly discussed below.</w:t>
      </w:r>
    </w:p>
    <w:p w14:paraId="1409C1B0" w14:textId="77777777" w:rsidR="007E2B5F" w:rsidRPr="000E1B7E" w:rsidRDefault="0038289F" w:rsidP="00F85D24">
      <w:pPr>
        <w:pStyle w:val="ListParagraph"/>
        <w:numPr>
          <w:ilvl w:val="0"/>
          <w:numId w:val="16"/>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First, out of the </w:t>
      </w:r>
      <w:r w:rsidR="00C65BBD" w:rsidRPr="000E1B7E">
        <w:rPr>
          <w:rFonts w:ascii="Times New Roman" w:hAnsi="Times New Roman"/>
          <w:sz w:val="24"/>
          <w:szCs w:val="24"/>
        </w:rPr>
        <w:t>15</w:t>
      </w:r>
      <w:r w:rsidRPr="000E1B7E">
        <w:rPr>
          <w:rFonts w:ascii="Times New Roman" w:hAnsi="Times New Roman"/>
          <w:sz w:val="24"/>
          <w:szCs w:val="24"/>
        </w:rPr>
        <w:t xml:space="preserve"> sectors in NDP II, only </w:t>
      </w:r>
      <w:r w:rsidR="00C65BBD" w:rsidRPr="000E1B7E">
        <w:rPr>
          <w:rFonts w:ascii="Times New Roman" w:hAnsi="Times New Roman"/>
          <w:sz w:val="24"/>
          <w:szCs w:val="24"/>
        </w:rPr>
        <w:t>four</w:t>
      </w:r>
      <w:r w:rsidRPr="000E1B7E">
        <w:rPr>
          <w:rFonts w:ascii="Times New Roman" w:hAnsi="Times New Roman"/>
          <w:sz w:val="24"/>
          <w:szCs w:val="24"/>
        </w:rPr>
        <w:t xml:space="preserve"> sectors received funding above allocations in NDP II targets</w:t>
      </w:r>
      <w:r w:rsidR="001376B0" w:rsidRPr="000E1B7E">
        <w:rPr>
          <w:rFonts w:ascii="Times New Roman" w:hAnsi="Times New Roman"/>
          <w:sz w:val="24"/>
          <w:szCs w:val="24"/>
        </w:rPr>
        <w:t>. T</w:t>
      </w:r>
      <w:r w:rsidRPr="000E1B7E">
        <w:rPr>
          <w:rFonts w:ascii="Times New Roman" w:hAnsi="Times New Roman"/>
          <w:sz w:val="24"/>
          <w:szCs w:val="24"/>
        </w:rPr>
        <w:t xml:space="preserve">hese were: 1) </w:t>
      </w:r>
      <w:r w:rsidRPr="000E1B7E">
        <w:rPr>
          <w:rFonts w:ascii="Times New Roman" w:hAnsi="Times New Roman"/>
          <w:color w:val="000000"/>
          <w:sz w:val="24"/>
          <w:szCs w:val="24"/>
          <w:lang w:val="en-US"/>
        </w:rPr>
        <w:t xml:space="preserve">Social Development, 2)Public Administration, </w:t>
      </w:r>
      <w:r w:rsidR="00C65BBD" w:rsidRPr="000E1B7E">
        <w:rPr>
          <w:rFonts w:ascii="Times New Roman" w:hAnsi="Times New Roman"/>
          <w:color w:val="000000"/>
          <w:sz w:val="24"/>
          <w:szCs w:val="24"/>
          <w:lang w:val="en-US"/>
        </w:rPr>
        <w:t>3</w:t>
      </w:r>
      <w:r w:rsidRPr="000E1B7E">
        <w:rPr>
          <w:rFonts w:ascii="Times New Roman" w:hAnsi="Times New Roman"/>
          <w:color w:val="000000"/>
          <w:sz w:val="24"/>
          <w:szCs w:val="24"/>
          <w:lang w:val="en-US"/>
        </w:rPr>
        <w:t xml:space="preserve">)Justice, Law and Order, and </w:t>
      </w:r>
      <w:r w:rsidR="00C65BBD" w:rsidRPr="000E1B7E">
        <w:rPr>
          <w:rFonts w:ascii="Times New Roman" w:hAnsi="Times New Roman"/>
          <w:color w:val="000000"/>
          <w:sz w:val="24"/>
          <w:szCs w:val="24"/>
          <w:lang w:val="en-US"/>
        </w:rPr>
        <w:t>4</w:t>
      </w:r>
      <w:r w:rsidRPr="000E1B7E">
        <w:rPr>
          <w:rFonts w:ascii="Times New Roman" w:hAnsi="Times New Roman"/>
          <w:color w:val="000000"/>
          <w:sz w:val="24"/>
          <w:szCs w:val="24"/>
          <w:lang w:val="en-US"/>
        </w:rPr>
        <w:t xml:space="preserve">)Legislature and Accountability. </w:t>
      </w:r>
    </w:p>
    <w:p w14:paraId="55583116" w14:textId="77777777" w:rsidR="0038289F" w:rsidRPr="000E1B7E" w:rsidRDefault="0038289F" w:rsidP="00F85D24">
      <w:pPr>
        <w:pStyle w:val="ListParagraph"/>
        <w:numPr>
          <w:ilvl w:val="0"/>
          <w:numId w:val="16"/>
        </w:numPr>
        <w:spacing w:line="360" w:lineRule="auto"/>
        <w:ind w:left="1276" w:hanging="709"/>
        <w:rPr>
          <w:rFonts w:ascii="Times New Roman" w:hAnsi="Times New Roman"/>
          <w:sz w:val="24"/>
          <w:szCs w:val="24"/>
        </w:rPr>
      </w:pPr>
      <w:r w:rsidRPr="000E1B7E">
        <w:rPr>
          <w:rFonts w:ascii="Times New Roman" w:hAnsi="Times New Roman"/>
          <w:sz w:val="24"/>
          <w:szCs w:val="24"/>
        </w:rPr>
        <w:t>Second, all the growth sector</w:t>
      </w:r>
      <w:r w:rsidR="001376B0" w:rsidRPr="000E1B7E">
        <w:rPr>
          <w:rFonts w:ascii="Times New Roman" w:hAnsi="Times New Roman"/>
          <w:sz w:val="24"/>
          <w:szCs w:val="24"/>
        </w:rPr>
        <w:t>s</w:t>
      </w:r>
      <w:r w:rsidRPr="000E1B7E">
        <w:rPr>
          <w:rFonts w:ascii="Times New Roman" w:hAnsi="Times New Roman"/>
          <w:sz w:val="24"/>
          <w:szCs w:val="24"/>
        </w:rPr>
        <w:t xml:space="preserve"> that were projected to lead the growth of the economy have received less than the projected budget allocation in NDP II. </w:t>
      </w:r>
      <w:r w:rsidR="001128C0" w:rsidRPr="000E1B7E">
        <w:rPr>
          <w:rFonts w:ascii="Times New Roman" w:hAnsi="Times New Roman"/>
          <w:sz w:val="24"/>
          <w:szCs w:val="24"/>
        </w:rPr>
        <w:t>These include: a)Energy and Mineral Development</w:t>
      </w:r>
      <w:r w:rsidR="001376B0" w:rsidRPr="000E1B7E">
        <w:rPr>
          <w:rFonts w:ascii="Times New Roman" w:hAnsi="Times New Roman"/>
          <w:sz w:val="24"/>
          <w:szCs w:val="24"/>
        </w:rPr>
        <w:t xml:space="preserve">, which </w:t>
      </w:r>
      <w:r w:rsidR="001128C0" w:rsidRPr="000E1B7E">
        <w:rPr>
          <w:rFonts w:ascii="Times New Roman" w:hAnsi="Times New Roman"/>
          <w:sz w:val="24"/>
          <w:szCs w:val="24"/>
        </w:rPr>
        <w:t xml:space="preserve">was projected to </w:t>
      </w:r>
      <w:r w:rsidR="001376B0" w:rsidRPr="000E1B7E">
        <w:rPr>
          <w:rFonts w:ascii="Times New Roman" w:hAnsi="Times New Roman"/>
          <w:sz w:val="24"/>
          <w:szCs w:val="24"/>
        </w:rPr>
        <w:t xml:space="preserve">be </w:t>
      </w:r>
      <w:r w:rsidR="001128C0" w:rsidRPr="000E1B7E">
        <w:rPr>
          <w:rFonts w:ascii="Times New Roman" w:hAnsi="Times New Roman"/>
          <w:sz w:val="24"/>
          <w:szCs w:val="24"/>
        </w:rPr>
        <w:t>allocated 14.97% of the budget but received only 2.27% of the Government expenditure over the three years; b)</w:t>
      </w:r>
      <w:r w:rsidR="007E2B5F" w:rsidRPr="000E1B7E">
        <w:rPr>
          <w:rFonts w:ascii="Times New Roman" w:hAnsi="Times New Roman"/>
          <w:sz w:val="24"/>
          <w:szCs w:val="24"/>
        </w:rPr>
        <w:t xml:space="preserve"> Works and Transport was projected to receive 21.17% of the NDP budget but received only 10.8% of the actual expenditure</w:t>
      </w:r>
      <w:r w:rsidR="001376B0" w:rsidRPr="000E1B7E">
        <w:rPr>
          <w:rFonts w:ascii="Times New Roman" w:hAnsi="Times New Roman"/>
          <w:sz w:val="24"/>
          <w:szCs w:val="24"/>
        </w:rPr>
        <w:t>;</w:t>
      </w:r>
      <w:r w:rsidR="007E2B5F" w:rsidRPr="000E1B7E">
        <w:rPr>
          <w:rFonts w:ascii="Times New Roman" w:hAnsi="Times New Roman"/>
          <w:sz w:val="24"/>
          <w:szCs w:val="24"/>
        </w:rPr>
        <w:t xml:space="preserve"> c) Education was projected to receive 12.53% of the budget but received 10.87% of the actual expenditure</w:t>
      </w:r>
      <w:r w:rsidR="001376B0" w:rsidRPr="000E1B7E">
        <w:rPr>
          <w:rFonts w:ascii="Times New Roman" w:hAnsi="Times New Roman"/>
          <w:sz w:val="24"/>
          <w:szCs w:val="24"/>
        </w:rPr>
        <w:t>; and</w:t>
      </w:r>
      <w:r w:rsidR="007E2B5F" w:rsidRPr="000E1B7E">
        <w:rPr>
          <w:rFonts w:ascii="Times New Roman" w:hAnsi="Times New Roman"/>
          <w:sz w:val="24"/>
          <w:szCs w:val="24"/>
        </w:rPr>
        <w:t xml:space="preserve"> d) Health was projected to receive 8.5% but received 4.57% of the actual expenditure. </w:t>
      </w:r>
    </w:p>
    <w:p w14:paraId="33600304" w14:textId="77777777" w:rsidR="007E2B5F" w:rsidRPr="000E1B7E" w:rsidRDefault="007E2B5F" w:rsidP="00F85D24">
      <w:pPr>
        <w:pStyle w:val="ListParagraph"/>
        <w:numPr>
          <w:ilvl w:val="0"/>
          <w:numId w:val="16"/>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Third, </w:t>
      </w:r>
      <w:r w:rsidR="00B11131" w:rsidRPr="000E1B7E">
        <w:rPr>
          <w:rFonts w:ascii="Times New Roman" w:hAnsi="Times New Roman"/>
          <w:sz w:val="24"/>
          <w:szCs w:val="24"/>
        </w:rPr>
        <w:t xml:space="preserve">the </w:t>
      </w:r>
      <w:r w:rsidRPr="000E1B7E">
        <w:rPr>
          <w:rFonts w:ascii="Times New Roman" w:hAnsi="Times New Roman"/>
          <w:sz w:val="24"/>
          <w:szCs w:val="24"/>
        </w:rPr>
        <w:t xml:space="preserve">NDP II target budget allocation towards </w:t>
      </w:r>
      <w:r w:rsidR="00FC35B8" w:rsidRPr="000E1B7E">
        <w:rPr>
          <w:rFonts w:ascii="Times New Roman" w:hAnsi="Times New Roman"/>
          <w:sz w:val="24"/>
          <w:szCs w:val="24"/>
        </w:rPr>
        <w:t xml:space="preserve">interest </w:t>
      </w:r>
      <w:r w:rsidRPr="000E1B7E">
        <w:rPr>
          <w:rFonts w:ascii="Times New Roman" w:hAnsi="Times New Roman"/>
          <w:sz w:val="24"/>
          <w:szCs w:val="24"/>
        </w:rPr>
        <w:t>payment</w:t>
      </w:r>
      <w:r w:rsidR="00B11131" w:rsidRPr="000E1B7E">
        <w:rPr>
          <w:rFonts w:ascii="Times New Roman" w:hAnsi="Times New Roman"/>
          <w:sz w:val="24"/>
          <w:szCs w:val="24"/>
        </w:rPr>
        <w:t>s</w:t>
      </w:r>
      <w:r w:rsidR="00286AE0" w:rsidRPr="000E1B7E">
        <w:rPr>
          <w:rFonts w:ascii="Times New Roman" w:hAnsi="Times New Roman"/>
          <w:sz w:val="24"/>
          <w:szCs w:val="24"/>
        </w:rPr>
        <w:t xml:space="preserve"> </w:t>
      </w:r>
      <w:r w:rsidRPr="000E1B7E">
        <w:rPr>
          <w:rFonts w:ascii="Times New Roman" w:hAnsi="Times New Roman"/>
          <w:sz w:val="24"/>
          <w:szCs w:val="24"/>
        </w:rPr>
        <w:t>was 8.23% of the budget resources</w:t>
      </w:r>
      <w:r w:rsidR="00B11131" w:rsidRPr="000E1B7E">
        <w:rPr>
          <w:rFonts w:ascii="Times New Roman" w:hAnsi="Times New Roman"/>
          <w:sz w:val="24"/>
          <w:szCs w:val="24"/>
        </w:rPr>
        <w:t>,</w:t>
      </w:r>
      <w:r w:rsidRPr="000E1B7E">
        <w:rPr>
          <w:rFonts w:ascii="Times New Roman" w:hAnsi="Times New Roman"/>
          <w:sz w:val="24"/>
          <w:szCs w:val="24"/>
        </w:rPr>
        <w:t xml:space="preserve"> but it has accounted for </w:t>
      </w:r>
      <w:r w:rsidR="00A53164" w:rsidRPr="000E1B7E">
        <w:rPr>
          <w:rFonts w:ascii="Times New Roman" w:hAnsi="Times New Roman"/>
          <w:sz w:val="24"/>
          <w:szCs w:val="24"/>
        </w:rPr>
        <w:t>12</w:t>
      </w:r>
      <w:r w:rsidRPr="000E1B7E">
        <w:rPr>
          <w:rFonts w:ascii="Times New Roman" w:hAnsi="Times New Roman"/>
          <w:sz w:val="24"/>
          <w:szCs w:val="24"/>
        </w:rPr>
        <w:t>.2% of the actual government expenditure. Interest payment</w:t>
      </w:r>
      <w:r w:rsidR="00A53164" w:rsidRPr="000E1B7E">
        <w:rPr>
          <w:rFonts w:ascii="Times New Roman" w:hAnsi="Times New Roman"/>
          <w:sz w:val="24"/>
          <w:szCs w:val="24"/>
        </w:rPr>
        <w:t>s</w:t>
      </w:r>
      <w:r w:rsidR="00286AE0" w:rsidRPr="000E1B7E">
        <w:rPr>
          <w:rFonts w:ascii="Times New Roman" w:hAnsi="Times New Roman"/>
          <w:sz w:val="24"/>
          <w:szCs w:val="24"/>
        </w:rPr>
        <w:t xml:space="preserve"> </w:t>
      </w:r>
      <w:r w:rsidR="00A53164" w:rsidRPr="000E1B7E">
        <w:rPr>
          <w:rFonts w:ascii="Times New Roman" w:hAnsi="Times New Roman"/>
          <w:sz w:val="24"/>
          <w:szCs w:val="24"/>
        </w:rPr>
        <w:t xml:space="preserve">may therefore have </w:t>
      </w:r>
      <w:r w:rsidRPr="000E1B7E">
        <w:rPr>
          <w:rFonts w:ascii="Times New Roman" w:hAnsi="Times New Roman"/>
          <w:sz w:val="24"/>
          <w:szCs w:val="24"/>
        </w:rPr>
        <w:t xml:space="preserve">crowded out </w:t>
      </w:r>
      <w:r w:rsidR="00FC35B8" w:rsidRPr="000E1B7E">
        <w:rPr>
          <w:rFonts w:ascii="Times New Roman" w:hAnsi="Times New Roman"/>
          <w:sz w:val="24"/>
          <w:szCs w:val="24"/>
        </w:rPr>
        <w:t xml:space="preserve">other </w:t>
      </w:r>
      <w:r w:rsidRPr="000E1B7E">
        <w:rPr>
          <w:rFonts w:ascii="Times New Roman" w:hAnsi="Times New Roman"/>
          <w:sz w:val="24"/>
          <w:szCs w:val="24"/>
        </w:rPr>
        <w:t>public expenditure</w:t>
      </w:r>
      <w:r w:rsidR="00FC35B8" w:rsidRPr="000E1B7E">
        <w:rPr>
          <w:rFonts w:ascii="Times New Roman" w:hAnsi="Times New Roman"/>
          <w:sz w:val="24"/>
          <w:szCs w:val="24"/>
        </w:rPr>
        <w:t>s(e.g. on economic infrastructure or social spending) to some extent</w:t>
      </w:r>
      <w:r w:rsidRPr="000E1B7E">
        <w:rPr>
          <w:rFonts w:ascii="Times New Roman" w:hAnsi="Times New Roman"/>
          <w:sz w:val="24"/>
          <w:szCs w:val="24"/>
        </w:rPr>
        <w:t xml:space="preserve">. This is amidst continued borrowing </w:t>
      </w:r>
      <w:r w:rsidR="00FC35B8" w:rsidRPr="000E1B7E">
        <w:rPr>
          <w:rFonts w:ascii="Times New Roman" w:hAnsi="Times New Roman"/>
          <w:sz w:val="24"/>
          <w:szCs w:val="24"/>
        </w:rPr>
        <w:t>against</w:t>
      </w:r>
      <w:r w:rsidRPr="000E1B7E">
        <w:rPr>
          <w:rFonts w:ascii="Times New Roman" w:hAnsi="Times New Roman"/>
          <w:sz w:val="24"/>
          <w:szCs w:val="24"/>
        </w:rPr>
        <w:t xml:space="preserve">the backdrop of expected oil revenues in the medium term. </w:t>
      </w:r>
    </w:p>
    <w:p w14:paraId="05608B1F" w14:textId="77777777" w:rsidR="00B11131" w:rsidRPr="000E1B7E" w:rsidRDefault="00232B04" w:rsidP="00F85D24">
      <w:pPr>
        <w:pStyle w:val="ListParagraph"/>
        <w:numPr>
          <w:ilvl w:val="0"/>
          <w:numId w:val="16"/>
        </w:numPr>
        <w:spacing w:line="360" w:lineRule="auto"/>
        <w:ind w:left="1276" w:hanging="709"/>
        <w:rPr>
          <w:rFonts w:ascii="Times New Roman" w:hAnsi="Times New Roman"/>
          <w:sz w:val="24"/>
          <w:szCs w:val="24"/>
        </w:rPr>
      </w:pPr>
      <w:r w:rsidRPr="000E1B7E">
        <w:rPr>
          <w:rFonts w:ascii="Times New Roman" w:hAnsi="Times New Roman"/>
          <w:sz w:val="24"/>
          <w:szCs w:val="24"/>
        </w:rPr>
        <w:t>Fourth, the expected development outcome</w:t>
      </w:r>
      <w:r w:rsidR="00FC35B8" w:rsidRPr="000E1B7E">
        <w:rPr>
          <w:rFonts w:ascii="Times New Roman" w:hAnsi="Times New Roman"/>
          <w:sz w:val="24"/>
          <w:szCs w:val="24"/>
        </w:rPr>
        <w:t>s</w:t>
      </w:r>
      <w:r w:rsidRPr="000E1B7E">
        <w:rPr>
          <w:rFonts w:ascii="Times New Roman" w:hAnsi="Times New Roman"/>
          <w:sz w:val="24"/>
          <w:szCs w:val="24"/>
        </w:rPr>
        <w:t xml:space="preserve"> associated with NDP II public expenditure </w:t>
      </w:r>
      <w:r w:rsidR="00FC35B8" w:rsidRPr="000E1B7E">
        <w:rPr>
          <w:rFonts w:ascii="Times New Roman" w:hAnsi="Times New Roman"/>
          <w:sz w:val="24"/>
          <w:szCs w:val="24"/>
        </w:rPr>
        <w:t>are</w:t>
      </w:r>
      <w:r w:rsidR="00C65BBD" w:rsidRPr="000E1B7E">
        <w:rPr>
          <w:rFonts w:ascii="Times New Roman" w:hAnsi="Times New Roman"/>
          <w:sz w:val="24"/>
          <w:szCs w:val="24"/>
        </w:rPr>
        <w:t xml:space="preserve"> </w:t>
      </w:r>
      <w:r w:rsidRPr="000E1B7E">
        <w:rPr>
          <w:rFonts w:ascii="Times New Roman" w:hAnsi="Times New Roman"/>
          <w:sz w:val="24"/>
          <w:szCs w:val="24"/>
        </w:rPr>
        <w:t>unlikely to be realized on account of the less than targeted public expenditure, which was foreseen as the driver of growth under NDP II period.</w:t>
      </w:r>
      <w:r w:rsidR="00FC35B8" w:rsidRPr="000E1B7E">
        <w:rPr>
          <w:rFonts w:ascii="Times New Roman" w:hAnsi="Times New Roman"/>
          <w:sz w:val="24"/>
          <w:szCs w:val="24"/>
        </w:rPr>
        <w:t xml:space="preserve">It is likely that the NDP II development spending commitments, based on the </w:t>
      </w:r>
      <w:r w:rsidR="00FC35B8" w:rsidRPr="000E1B7E">
        <w:rPr>
          <w:rFonts w:ascii="Times New Roman" w:hAnsi="Times New Roman"/>
          <w:sz w:val="24"/>
          <w:szCs w:val="24"/>
        </w:rPr>
        <w:lastRenderedPageBreak/>
        <w:t xml:space="preserve">implementation of major projects, were unrealistic and never likely to be met, especially given the lack of project preparation. </w:t>
      </w:r>
    </w:p>
    <w:p w14:paraId="63C5CF7E" w14:textId="77777777" w:rsidR="0063211D" w:rsidRPr="000E1B7E" w:rsidRDefault="00B11131"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The effectiveness of public spending in boosting growth could be improved in various ways. First, the establishment of a the proposed project bank is essential. This would mean that projects are subject to sufficient preparatory work to (i) establish a reliable costing figure and (ii) undertake a pre-feasibility assessment including a cost-benefit appraisal. This would enable the implementation period to be shortened, due to the preparatory work undertaken</w:t>
      </w:r>
      <w:r w:rsidR="000D5454" w:rsidRPr="000E1B7E">
        <w:rPr>
          <w:rFonts w:ascii="Times New Roman" w:hAnsi="Times New Roman"/>
          <w:sz w:val="24"/>
          <w:szCs w:val="24"/>
        </w:rPr>
        <w:t>, as well as ensure that projects are not constrained by inadequate funding due to poor initial costing. It would also enable the prioritisation of project</w:t>
      </w:r>
      <w:r w:rsidR="00AF5654" w:rsidRPr="000E1B7E">
        <w:rPr>
          <w:rFonts w:ascii="Times New Roman" w:hAnsi="Times New Roman"/>
          <w:sz w:val="24"/>
          <w:szCs w:val="24"/>
        </w:rPr>
        <w:t>s</w:t>
      </w:r>
      <w:r w:rsidR="000D5454" w:rsidRPr="000E1B7E">
        <w:rPr>
          <w:rFonts w:ascii="Times New Roman" w:hAnsi="Times New Roman"/>
          <w:sz w:val="24"/>
          <w:szCs w:val="24"/>
        </w:rPr>
        <w:t xml:space="preserve"> to have the greatest development impact.</w:t>
      </w:r>
    </w:p>
    <w:p w14:paraId="36B60D8F" w14:textId="77777777" w:rsidR="00766F1D" w:rsidRPr="000E1B7E" w:rsidRDefault="005E042B" w:rsidP="005E042B">
      <w:pPr>
        <w:pStyle w:val="Caption"/>
        <w:jc w:val="both"/>
        <w:rPr>
          <w:rFonts w:ascii="Times New Roman" w:eastAsia="Calibri" w:hAnsi="Times New Roman" w:cs="Times New Roman"/>
          <w:b/>
          <w:i w:val="0"/>
          <w:iCs w:val="0"/>
          <w:color w:val="auto"/>
          <w:sz w:val="24"/>
          <w:szCs w:val="24"/>
          <w:lang w:val="en-GB"/>
        </w:rPr>
      </w:pPr>
      <w:bookmarkStart w:id="113" w:name="_Toc3483124"/>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14</w:t>
      </w:r>
      <w:r w:rsidR="001232BF" w:rsidRPr="000E1B7E">
        <w:rPr>
          <w:rFonts w:ascii="Times New Roman" w:eastAsia="Calibri" w:hAnsi="Times New Roman" w:cs="Times New Roman"/>
          <w:b/>
          <w:i w:val="0"/>
          <w:iCs w:val="0"/>
          <w:color w:val="auto"/>
          <w:sz w:val="24"/>
          <w:szCs w:val="24"/>
          <w:lang w:val="en-GB"/>
        </w:rPr>
        <w:fldChar w:fldCharType="end"/>
      </w:r>
      <w:r w:rsidR="007E2B5F" w:rsidRPr="000E1B7E">
        <w:rPr>
          <w:rFonts w:ascii="Times New Roman" w:eastAsia="Calibri" w:hAnsi="Times New Roman" w:cs="Times New Roman"/>
          <w:b/>
          <w:i w:val="0"/>
          <w:iCs w:val="0"/>
          <w:color w:val="auto"/>
          <w:sz w:val="24"/>
          <w:szCs w:val="24"/>
          <w:lang w:val="en-GB"/>
        </w:rPr>
        <w:t xml:space="preserve">: </w:t>
      </w:r>
      <w:r w:rsidR="00F009A5" w:rsidRPr="000E1B7E">
        <w:rPr>
          <w:rFonts w:ascii="Times New Roman" w:eastAsia="Calibri" w:hAnsi="Times New Roman" w:cs="Times New Roman"/>
          <w:b/>
          <w:i w:val="0"/>
          <w:iCs w:val="0"/>
          <w:color w:val="auto"/>
          <w:sz w:val="24"/>
          <w:szCs w:val="24"/>
          <w:lang w:val="en-GB"/>
        </w:rPr>
        <w:t xml:space="preserve">Government </w:t>
      </w:r>
      <w:r w:rsidR="00232B04" w:rsidRPr="000E1B7E">
        <w:rPr>
          <w:rFonts w:ascii="Times New Roman" w:eastAsia="Calibri" w:hAnsi="Times New Roman" w:cs="Times New Roman"/>
          <w:b/>
          <w:i w:val="0"/>
          <w:iCs w:val="0"/>
          <w:color w:val="auto"/>
          <w:sz w:val="24"/>
          <w:szCs w:val="24"/>
          <w:lang w:val="en-GB"/>
        </w:rPr>
        <w:t xml:space="preserve">Actual </w:t>
      </w:r>
      <w:r w:rsidR="00F009A5" w:rsidRPr="000E1B7E">
        <w:rPr>
          <w:rFonts w:ascii="Times New Roman" w:eastAsia="Calibri" w:hAnsi="Times New Roman" w:cs="Times New Roman"/>
          <w:b/>
          <w:i w:val="0"/>
          <w:iCs w:val="0"/>
          <w:color w:val="auto"/>
          <w:sz w:val="24"/>
          <w:szCs w:val="24"/>
          <w:lang w:val="en-GB"/>
        </w:rPr>
        <w:t xml:space="preserve">Expenditure and </w:t>
      </w:r>
      <w:r w:rsidR="00766F1D" w:rsidRPr="000E1B7E">
        <w:rPr>
          <w:rFonts w:ascii="Times New Roman" w:eastAsia="Calibri" w:hAnsi="Times New Roman" w:cs="Times New Roman"/>
          <w:b/>
          <w:i w:val="0"/>
          <w:iCs w:val="0"/>
          <w:color w:val="auto"/>
          <w:sz w:val="24"/>
          <w:szCs w:val="24"/>
          <w:lang w:val="en-GB"/>
        </w:rPr>
        <w:t>NDP II</w:t>
      </w:r>
      <w:r w:rsidR="00C65BBD" w:rsidRPr="000E1B7E">
        <w:rPr>
          <w:rFonts w:ascii="Times New Roman" w:eastAsia="Calibri" w:hAnsi="Times New Roman" w:cs="Times New Roman"/>
          <w:b/>
          <w:i w:val="0"/>
          <w:iCs w:val="0"/>
          <w:color w:val="auto"/>
          <w:sz w:val="24"/>
          <w:szCs w:val="24"/>
          <w:lang w:val="en-GB"/>
        </w:rPr>
        <w:t xml:space="preserve"> </w:t>
      </w:r>
      <w:r w:rsidR="00232B04" w:rsidRPr="000E1B7E">
        <w:rPr>
          <w:rFonts w:ascii="Times New Roman" w:eastAsia="Calibri" w:hAnsi="Times New Roman" w:cs="Times New Roman"/>
          <w:b/>
          <w:i w:val="0"/>
          <w:iCs w:val="0"/>
          <w:color w:val="auto"/>
          <w:sz w:val="24"/>
          <w:szCs w:val="24"/>
          <w:lang w:val="en-GB"/>
        </w:rPr>
        <w:t xml:space="preserve">Sector </w:t>
      </w:r>
      <w:r w:rsidR="00F009A5" w:rsidRPr="000E1B7E">
        <w:rPr>
          <w:rFonts w:ascii="Times New Roman" w:eastAsia="Calibri" w:hAnsi="Times New Roman" w:cs="Times New Roman"/>
          <w:b/>
          <w:i w:val="0"/>
          <w:iCs w:val="0"/>
          <w:color w:val="auto"/>
          <w:sz w:val="24"/>
          <w:szCs w:val="24"/>
          <w:lang w:val="en-GB"/>
        </w:rPr>
        <w:t>Allocation</w:t>
      </w:r>
      <w:r w:rsidR="00766F1D" w:rsidRPr="000E1B7E">
        <w:rPr>
          <w:rFonts w:ascii="Times New Roman" w:eastAsia="Calibri" w:hAnsi="Times New Roman" w:cs="Times New Roman"/>
          <w:b/>
          <w:i w:val="0"/>
          <w:iCs w:val="0"/>
          <w:color w:val="auto"/>
          <w:sz w:val="24"/>
          <w:szCs w:val="24"/>
          <w:lang w:val="en-GB"/>
        </w:rPr>
        <w:t xml:space="preserve"> Alignment</w:t>
      </w:r>
      <w:r w:rsidR="00232B04" w:rsidRPr="000E1B7E">
        <w:rPr>
          <w:rFonts w:ascii="Times New Roman" w:eastAsia="Calibri" w:hAnsi="Times New Roman" w:cs="Times New Roman"/>
          <w:b/>
          <w:i w:val="0"/>
          <w:iCs w:val="0"/>
          <w:color w:val="auto"/>
          <w:sz w:val="24"/>
          <w:szCs w:val="24"/>
          <w:lang w:val="en-GB"/>
        </w:rPr>
        <w:t xml:space="preserve"> (Percentages)</w:t>
      </w:r>
      <w:bookmarkEnd w:id="113"/>
    </w:p>
    <w:tbl>
      <w:tblPr>
        <w:tblStyle w:val="LightGrid1"/>
        <w:tblW w:w="9826" w:type="dxa"/>
        <w:tblLook w:val="04A0" w:firstRow="1" w:lastRow="0" w:firstColumn="1" w:lastColumn="0" w:noHBand="0" w:noVBand="1"/>
      </w:tblPr>
      <w:tblGrid>
        <w:gridCol w:w="2673"/>
        <w:gridCol w:w="828"/>
        <w:gridCol w:w="717"/>
        <w:gridCol w:w="828"/>
        <w:gridCol w:w="717"/>
        <w:gridCol w:w="828"/>
        <w:gridCol w:w="717"/>
        <w:gridCol w:w="961"/>
        <w:gridCol w:w="773"/>
        <w:gridCol w:w="786"/>
      </w:tblGrid>
      <w:tr w:rsidR="0038289F" w:rsidRPr="000E1B7E" w14:paraId="18B8F3A7" w14:textId="77777777" w:rsidTr="0038289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0132F94D" w14:textId="77777777" w:rsidR="0038289F" w:rsidRPr="000E1B7E" w:rsidRDefault="0038289F" w:rsidP="005959B5">
            <w:pPr>
              <w:contextualSpacing/>
              <w:jc w:val="both"/>
              <w:rPr>
                <w:rFonts w:ascii="Times New Roman" w:eastAsia="Times New Roman" w:hAnsi="Times New Roman" w:cs="Times New Roman"/>
                <w:color w:val="000000"/>
                <w:sz w:val="18"/>
                <w:szCs w:val="18"/>
                <w:lang w:val="en-US"/>
              </w:rPr>
            </w:pPr>
          </w:p>
        </w:tc>
        <w:tc>
          <w:tcPr>
            <w:tcW w:w="1545" w:type="dxa"/>
            <w:gridSpan w:val="2"/>
            <w:hideMark/>
          </w:tcPr>
          <w:p w14:paraId="1B92A3FD" w14:textId="77777777" w:rsidR="0038289F" w:rsidRPr="000E1B7E" w:rsidRDefault="0038289F"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US"/>
              </w:rPr>
            </w:pPr>
            <w:r w:rsidRPr="000E1B7E">
              <w:rPr>
                <w:rFonts w:ascii="Times New Roman" w:eastAsia="Times New Roman" w:hAnsi="Times New Roman" w:cs="Times New Roman"/>
                <w:color w:val="000000"/>
                <w:sz w:val="18"/>
                <w:szCs w:val="18"/>
                <w:lang w:val="en-US"/>
              </w:rPr>
              <w:t>2015/16</w:t>
            </w:r>
          </w:p>
        </w:tc>
        <w:tc>
          <w:tcPr>
            <w:tcW w:w="1545" w:type="dxa"/>
            <w:gridSpan w:val="2"/>
            <w:hideMark/>
          </w:tcPr>
          <w:p w14:paraId="63A9F069" w14:textId="77777777" w:rsidR="0038289F" w:rsidRPr="000E1B7E" w:rsidRDefault="0038289F"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US"/>
              </w:rPr>
            </w:pPr>
            <w:r w:rsidRPr="000E1B7E">
              <w:rPr>
                <w:rFonts w:ascii="Times New Roman" w:eastAsia="Times New Roman" w:hAnsi="Times New Roman" w:cs="Times New Roman"/>
                <w:color w:val="000000"/>
                <w:sz w:val="18"/>
                <w:szCs w:val="18"/>
                <w:lang w:val="en-US"/>
              </w:rPr>
              <w:t>2016/17</w:t>
            </w:r>
          </w:p>
        </w:tc>
        <w:tc>
          <w:tcPr>
            <w:tcW w:w="1545" w:type="dxa"/>
            <w:gridSpan w:val="2"/>
            <w:hideMark/>
          </w:tcPr>
          <w:p w14:paraId="0978C6C6" w14:textId="77777777" w:rsidR="0038289F" w:rsidRPr="000E1B7E" w:rsidRDefault="0038289F"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US"/>
              </w:rPr>
            </w:pPr>
            <w:r w:rsidRPr="000E1B7E">
              <w:rPr>
                <w:rFonts w:ascii="Times New Roman" w:eastAsia="Times New Roman" w:hAnsi="Times New Roman" w:cs="Times New Roman"/>
                <w:color w:val="000000"/>
                <w:sz w:val="18"/>
                <w:szCs w:val="18"/>
                <w:lang w:val="en-US"/>
              </w:rPr>
              <w:t>2017/18</w:t>
            </w:r>
          </w:p>
        </w:tc>
        <w:tc>
          <w:tcPr>
            <w:tcW w:w="2518" w:type="dxa"/>
            <w:gridSpan w:val="3"/>
            <w:noWrap/>
            <w:hideMark/>
          </w:tcPr>
          <w:p w14:paraId="796E54D2" w14:textId="77777777" w:rsidR="0038289F" w:rsidRPr="000E1B7E" w:rsidRDefault="0038289F" w:rsidP="005959B5">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n-US"/>
              </w:rPr>
            </w:pPr>
            <w:r w:rsidRPr="000E1B7E">
              <w:rPr>
                <w:rFonts w:ascii="Times New Roman" w:eastAsia="Times New Roman" w:hAnsi="Times New Roman" w:cs="Times New Roman"/>
                <w:color w:val="000000"/>
                <w:sz w:val="18"/>
                <w:szCs w:val="18"/>
                <w:lang w:val="en-US"/>
              </w:rPr>
              <w:t>Comparisons</w:t>
            </w:r>
          </w:p>
        </w:tc>
      </w:tr>
      <w:tr w:rsidR="0038289F" w:rsidRPr="000E1B7E" w14:paraId="7A670460" w14:textId="77777777" w:rsidTr="0038289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673" w:type="dxa"/>
            <w:hideMark/>
          </w:tcPr>
          <w:p w14:paraId="0A680EC9" w14:textId="77777777" w:rsidR="0038289F" w:rsidRPr="000E1B7E" w:rsidRDefault="0038289F" w:rsidP="005959B5">
            <w:pPr>
              <w:contextualSpacing/>
              <w:jc w:val="both"/>
              <w:rPr>
                <w:rFonts w:ascii="Times New Roman" w:eastAsia="Times New Roman" w:hAnsi="Times New Roman" w:cs="Times New Roman"/>
                <w:color w:val="000000"/>
                <w:sz w:val="18"/>
                <w:szCs w:val="18"/>
                <w:lang w:val="en-US"/>
              </w:rPr>
            </w:pPr>
            <w:r w:rsidRPr="000E1B7E">
              <w:rPr>
                <w:rFonts w:ascii="Times New Roman" w:eastAsia="Times New Roman" w:hAnsi="Times New Roman" w:cs="Times New Roman"/>
                <w:color w:val="000000"/>
                <w:sz w:val="18"/>
                <w:szCs w:val="18"/>
                <w:lang w:val="en-US"/>
              </w:rPr>
              <w:t xml:space="preserve"> Sector </w:t>
            </w:r>
          </w:p>
        </w:tc>
        <w:tc>
          <w:tcPr>
            <w:tcW w:w="828" w:type="dxa"/>
            <w:hideMark/>
          </w:tcPr>
          <w:p w14:paraId="550BE293"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Budget</w:t>
            </w:r>
          </w:p>
        </w:tc>
        <w:tc>
          <w:tcPr>
            <w:tcW w:w="717" w:type="dxa"/>
            <w:hideMark/>
          </w:tcPr>
          <w:p w14:paraId="44000C06"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Exp</w:t>
            </w:r>
          </w:p>
        </w:tc>
        <w:tc>
          <w:tcPr>
            <w:tcW w:w="828" w:type="dxa"/>
            <w:hideMark/>
          </w:tcPr>
          <w:p w14:paraId="50DA2E3A"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Budget</w:t>
            </w:r>
          </w:p>
        </w:tc>
        <w:tc>
          <w:tcPr>
            <w:tcW w:w="717" w:type="dxa"/>
            <w:hideMark/>
          </w:tcPr>
          <w:p w14:paraId="5D2C3E10"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Exp</w:t>
            </w:r>
          </w:p>
        </w:tc>
        <w:tc>
          <w:tcPr>
            <w:tcW w:w="828" w:type="dxa"/>
            <w:hideMark/>
          </w:tcPr>
          <w:p w14:paraId="0555C13C"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Budget</w:t>
            </w:r>
          </w:p>
        </w:tc>
        <w:tc>
          <w:tcPr>
            <w:tcW w:w="717" w:type="dxa"/>
            <w:hideMark/>
          </w:tcPr>
          <w:p w14:paraId="45E2D0F8"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Exp</w:t>
            </w:r>
          </w:p>
        </w:tc>
        <w:tc>
          <w:tcPr>
            <w:tcW w:w="961" w:type="dxa"/>
            <w:noWrap/>
            <w:hideMark/>
          </w:tcPr>
          <w:p w14:paraId="2977A073"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 xml:space="preserve">Actual </w:t>
            </w:r>
          </w:p>
          <w:p w14:paraId="6D5313E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Average</w:t>
            </w:r>
          </w:p>
          <w:p w14:paraId="272F3A4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Exp</w:t>
            </w:r>
          </w:p>
        </w:tc>
        <w:tc>
          <w:tcPr>
            <w:tcW w:w="773" w:type="dxa"/>
            <w:hideMark/>
          </w:tcPr>
          <w:p w14:paraId="59DB292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NDP II</w:t>
            </w:r>
          </w:p>
          <w:p w14:paraId="47C5BC7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target</w:t>
            </w:r>
          </w:p>
        </w:tc>
        <w:tc>
          <w:tcPr>
            <w:tcW w:w="784" w:type="dxa"/>
            <w:noWrap/>
            <w:hideMark/>
          </w:tcPr>
          <w:p w14:paraId="07DB12A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Remark</w:t>
            </w:r>
          </w:p>
        </w:tc>
      </w:tr>
      <w:tr w:rsidR="0038289F" w:rsidRPr="000E1B7E" w14:paraId="753FD72D"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5D1FDF2B"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01 Agriculture </w:t>
            </w:r>
          </w:p>
        </w:tc>
        <w:tc>
          <w:tcPr>
            <w:tcW w:w="828" w:type="dxa"/>
            <w:noWrap/>
            <w:hideMark/>
          </w:tcPr>
          <w:p w14:paraId="2AC15E0C"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2.28</w:t>
            </w:r>
          </w:p>
        </w:tc>
        <w:tc>
          <w:tcPr>
            <w:tcW w:w="717" w:type="dxa"/>
            <w:noWrap/>
            <w:hideMark/>
          </w:tcPr>
          <w:p w14:paraId="5741BBA3"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2.17</w:t>
            </w:r>
          </w:p>
        </w:tc>
        <w:tc>
          <w:tcPr>
            <w:tcW w:w="828" w:type="dxa"/>
            <w:noWrap/>
            <w:hideMark/>
          </w:tcPr>
          <w:p w14:paraId="0FC84EC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3.19</w:t>
            </w:r>
          </w:p>
        </w:tc>
        <w:tc>
          <w:tcPr>
            <w:tcW w:w="717" w:type="dxa"/>
            <w:noWrap/>
            <w:hideMark/>
          </w:tcPr>
          <w:p w14:paraId="12831E1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3.01</w:t>
            </w:r>
          </w:p>
        </w:tc>
        <w:tc>
          <w:tcPr>
            <w:tcW w:w="828" w:type="dxa"/>
            <w:noWrap/>
            <w:hideMark/>
          </w:tcPr>
          <w:p w14:paraId="4B25D3C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3.02</w:t>
            </w:r>
          </w:p>
        </w:tc>
        <w:tc>
          <w:tcPr>
            <w:tcW w:w="717" w:type="dxa"/>
            <w:noWrap/>
            <w:hideMark/>
          </w:tcPr>
          <w:p w14:paraId="053A9CCA"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2.83</w:t>
            </w:r>
          </w:p>
        </w:tc>
        <w:tc>
          <w:tcPr>
            <w:tcW w:w="961" w:type="dxa"/>
            <w:noWrap/>
            <w:hideMark/>
          </w:tcPr>
          <w:p w14:paraId="349DB1E6"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2.67</w:t>
            </w:r>
          </w:p>
        </w:tc>
        <w:tc>
          <w:tcPr>
            <w:tcW w:w="773" w:type="dxa"/>
            <w:noWrap/>
            <w:hideMark/>
          </w:tcPr>
          <w:p w14:paraId="20BE8718"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3.30</w:t>
            </w:r>
          </w:p>
        </w:tc>
        <w:tc>
          <w:tcPr>
            <w:tcW w:w="784" w:type="dxa"/>
            <w:noWrap/>
            <w:hideMark/>
          </w:tcPr>
          <w:p w14:paraId="4851629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049AFFD8"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2D2ECC84"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02 Lands, Housing and </w:t>
            </w:r>
          </w:p>
          <w:p w14:paraId="77689E78"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Urban Development </w:t>
            </w:r>
          </w:p>
        </w:tc>
        <w:tc>
          <w:tcPr>
            <w:tcW w:w="828" w:type="dxa"/>
            <w:noWrap/>
            <w:hideMark/>
          </w:tcPr>
          <w:p w14:paraId="03945C7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0.42</w:t>
            </w:r>
          </w:p>
        </w:tc>
        <w:tc>
          <w:tcPr>
            <w:tcW w:w="717" w:type="dxa"/>
            <w:noWrap/>
            <w:hideMark/>
          </w:tcPr>
          <w:p w14:paraId="6DAC89F6"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0.35</w:t>
            </w:r>
          </w:p>
        </w:tc>
        <w:tc>
          <w:tcPr>
            <w:tcW w:w="828" w:type="dxa"/>
            <w:noWrap/>
            <w:hideMark/>
          </w:tcPr>
          <w:p w14:paraId="0F3593D0"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0.32</w:t>
            </w:r>
          </w:p>
        </w:tc>
        <w:tc>
          <w:tcPr>
            <w:tcW w:w="717" w:type="dxa"/>
            <w:noWrap/>
            <w:hideMark/>
          </w:tcPr>
          <w:p w14:paraId="1574465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0.37</w:t>
            </w:r>
          </w:p>
        </w:tc>
        <w:tc>
          <w:tcPr>
            <w:tcW w:w="828" w:type="dxa"/>
            <w:noWrap/>
            <w:hideMark/>
          </w:tcPr>
          <w:p w14:paraId="28BB3ECA"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0.28</w:t>
            </w:r>
          </w:p>
        </w:tc>
        <w:tc>
          <w:tcPr>
            <w:tcW w:w="717" w:type="dxa"/>
            <w:noWrap/>
            <w:hideMark/>
          </w:tcPr>
          <w:p w14:paraId="3264944A"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0.46</w:t>
            </w:r>
          </w:p>
        </w:tc>
        <w:tc>
          <w:tcPr>
            <w:tcW w:w="961" w:type="dxa"/>
            <w:noWrap/>
            <w:hideMark/>
          </w:tcPr>
          <w:p w14:paraId="5799AA9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0.39</w:t>
            </w:r>
          </w:p>
        </w:tc>
        <w:tc>
          <w:tcPr>
            <w:tcW w:w="773" w:type="dxa"/>
            <w:noWrap/>
            <w:hideMark/>
          </w:tcPr>
          <w:p w14:paraId="3D32E05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0.67</w:t>
            </w:r>
          </w:p>
        </w:tc>
        <w:tc>
          <w:tcPr>
            <w:tcW w:w="784" w:type="dxa"/>
            <w:noWrap/>
            <w:hideMark/>
          </w:tcPr>
          <w:p w14:paraId="63D52FE3"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3E3AFD0C"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4955B5EB"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03 Energy and Mineral </w:t>
            </w:r>
          </w:p>
          <w:p w14:paraId="7830D7E7"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Development </w:t>
            </w:r>
          </w:p>
        </w:tc>
        <w:tc>
          <w:tcPr>
            <w:tcW w:w="828" w:type="dxa"/>
            <w:noWrap/>
            <w:hideMark/>
          </w:tcPr>
          <w:p w14:paraId="04D7A977"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2.16</w:t>
            </w:r>
          </w:p>
        </w:tc>
        <w:tc>
          <w:tcPr>
            <w:tcW w:w="717" w:type="dxa"/>
            <w:noWrap/>
            <w:hideMark/>
          </w:tcPr>
          <w:p w14:paraId="608CE71C"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2.45</w:t>
            </w:r>
          </w:p>
        </w:tc>
        <w:tc>
          <w:tcPr>
            <w:tcW w:w="828" w:type="dxa"/>
            <w:noWrap/>
            <w:hideMark/>
          </w:tcPr>
          <w:p w14:paraId="188B15CF"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2.50</w:t>
            </w:r>
          </w:p>
        </w:tc>
        <w:tc>
          <w:tcPr>
            <w:tcW w:w="717" w:type="dxa"/>
            <w:noWrap/>
            <w:hideMark/>
          </w:tcPr>
          <w:p w14:paraId="2AD06A9C"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2.17</w:t>
            </w:r>
          </w:p>
        </w:tc>
        <w:tc>
          <w:tcPr>
            <w:tcW w:w="828" w:type="dxa"/>
            <w:noWrap/>
            <w:hideMark/>
          </w:tcPr>
          <w:p w14:paraId="1896B64B"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2.02</w:t>
            </w:r>
          </w:p>
        </w:tc>
        <w:tc>
          <w:tcPr>
            <w:tcW w:w="717" w:type="dxa"/>
            <w:noWrap/>
            <w:hideMark/>
          </w:tcPr>
          <w:p w14:paraId="68DC29FE"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2.19</w:t>
            </w:r>
          </w:p>
        </w:tc>
        <w:tc>
          <w:tcPr>
            <w:tcW w:w="961" w:type="dxa"/>
            <w:noWrap/>
            <w:hideMark/>
          </w:tcPr>
          <w:p w14:paraId="6143F1CD"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2.27</w:t>
            </w:r>
          </w:p>
        </w:tc>
        <w:tc>
          <w:tcPr>
            <w:tcW w:w="773" w:type="dxa"/>
            <w:noWrap/>
            <w:hideMark/>
          </w:tcPr>
          <w:p w14:paraId="06A0415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14.97</w:t>
            </w:r>
          </w:p>
        </w:tc>
        <w:tc>
          <w:tcPr>
            <w:tcW w:w="784" w:type="dxa"/>
            <w:noWrap/>
            <w:hideMark/>
          </w:tcPr>
          <w:p w14:paraId="4CF7170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7846F12A"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780A9437"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04 Works and Transport </w:t>
            </w:r>
          </w:p>
        </w:tc>
        <w:tc>
          <w:tcPr>
            <w:tcW w:w="828" w:type="dxa"/>
            <w:noWrap/>
            <w:hideMark/>
          </w:tcPr>
          <w:p w14:paraId="48E50089"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11.31</w:t>
            </w:r>
          </w:p>
        </w:tc>
        <w:tc>
          <w:tcPr>
            <w:tcW w:w="717" w:type="dxa"/>
            <w:noWrap/>
            <w:hideMark/>
          </w:tcPr>
          <w:p w14:paraId="145259A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10.14</w:t>
            </w:r>
          </w:p>
        </w:tc>
        <w:tc>
          <w:tcPr>
            <w:tcW w:w="828" w:type="dxa"/>
            <w:noWrap/>
            <w:hideMark/>
          </w:tcPr>
          <w:p w14:paraId="3646BD0E"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10.90</w:t>
            </w:r>
          </w:p>
        </w:tc>
        <w:tc>
          <w:tcPr>
            <w:tcW w:w="717" w:type="dxa"/>
            <w:noWrap/>
            <w:hideMark/>
          </w:tcPr>
          <w:p w14:paraId="52CF83F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10.90</w:t>
            </w:r>
          </w:p>
        </w:tc>
        <w:tc>
          <w:tcPr>
            <w:tcW w:w="828" w:type="dxa"/>
            <w:noWrap/>
            <w:hideMark/>
          </w:tcPr>
          <w:p w14:paraId="7E05CE26"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10.86</w:t>
            </w:r>
          </w:p>
        </w:tc>
        <w:tc>
          <w:tcPr>
            <w:tcW w:w="717" w:type="dxa"/>
            <w:noWrap/>
            <w:hideMark/>
          </w:tcPr>
          <w:p w14:paraId="3FC295F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11.37</w:t>
            </w:r>
          </w:p>
        </w:tc>
        <w:tc>
          <w:tcPr>
            <w:tcW w:w="961" w:type="dxa"/>
            <w:noWrap/>
            <w:hideMark/>
          </w:tcPr>
          <w:p w14:paraId="26FF2E6C"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10.80</w:t>
            </w:r>
          </w:p>
        </w:tc>
        <w:tc>
          <w:tcPr>
            <w:tcW w:w="773" w:type="dxa"/>
            <w:noWrap/>
            <w:hideMark/>
          </w:tcPr>
          <w:p w14:paraId="26A49FF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21.17</w:t>
            </w:r>
          </w:p>
        </w:tc>
        <w:tc>
          <w:tcPr>
            <w:tcW w:w="784" w:type="dxa"/>
            <w:noWrap/>
            <w:hideMark/>
          </w:tcPr>
          <w:p w14:paraId="149A233F"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7D0DAAF2" w14:textId="77777777" w:rsidTr="0038289F">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673" w:type="dxa"/>
            <w:hideMark/>
          </w:tcPr>
          <w:p w14:paraId="549ECAD2"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05 ICT</w:t>
            </w:r>
          </w:p>
        </w:tc>
        <w:tc>
          <w:tcPr>
            <w:tcW w:w="828" w:type="dxa"/>
            <w:noWrap/>
            <w:hideMark/>
          </w:tcPr>
          <w:p w14:paraId="6AD7D026"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0.28</w:t>
            </w:r>
          </w:p>
        </w:tc>
        <w:tc>
          <w:tcPr>
            <w:tcW w:w="717" w:type="dxa"/>
            <w:noWrap/>
            <w:hideMark/>
          </w:tcPr>
          <w:p w14:paraId="7459374A"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0.17</w:t>
            </w:r>
          </w:p>
        </w:tc>
        <w:tc>
          <w:tcPr>
            <w:tcW w:w="828" w:type="dxa"/>
            <w:noWrap/>
            <w:hideMark/>
          </w:tcPr>
          <w:p w14:paraId="1DAB0AE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0.29</w:t>
            </w:r>
          </w:p>
        </w:tc>
        <w:tc>
          <w:tcPr>
            <w:tcW w:w="717" w:type="dxa"/>
            <w:noWrap/>
            <w:hideMark/>
          </w:tcPr>
          <w:p w14:paraId="45CDB427"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0.23</w:t>
            </w:r>
          </w:p>
        </w:tc>
        <w:tc>
          <w:tcPr>
            <w:tcW w:w="828" w:type="dxa"/>
            <w:noWrap/>
            <w:hideMark/>
          </w:tcPr>
          <w:p w14:paraId="7F852883"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0.46</w:t>
            </w:r>
          </w:p>
        </w:tc>
        <w:tc>
          <w:tcPr>
            <w:tcW w:w="717" w:type="dxa"/>
            <w:noWrap/>
            <w:hideMark/>
          </w:tcPr>
          <w:p w14:paraId="32701C7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0.30</w:t>
            </w:r>
          </w:p>
        </w:tc>
        <w:tc>
          <w:tcPr>
            <w:tcW w:w="961" w:type="dxa"/>
            <w:noWrap/>
            <w:hideMark/>
          </w:tcPr>
          <w:p w14:paraId="12007984"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0.23</w:t>
            </w:r>
          </w:p>
        </w:tc>
        <w:tc>
          <w:tcPr>
            <w:tcW w:w="773" w:type="dxa"/>
            <w:noWrap/>
            <w:hideMark/>
          </w:tcPr>
          <w:p w14:paraId="37427B98"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0.27</w:t>
            </w:r>
          </w:p>
        </w:tc>
        <w:tc>
          <w:tcPr>
            <w:tcW w:w="784" w:type="dxa"/>
            <w:noWrap/>
            <w:hideMark/>
          </w:tcPr>
          <w:p w14:paraId="0C8C4A5E"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376A0977"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10640BF7"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06 Tourism, Trade and Industry </w:t>
            </w:r>
          </w:p>
        </w:tc>
        <w:tc>
          <w:tcPr>
            <w:tcW w:w="828" w:type="dxa"/>
            <w:noWrap/>
            <w:hideMark/>
          </w:tcPr>
          <w:p w14:paraId="692BB48E"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0.86</w:t>
            </w:r>
          </w:p>
        </w:tc>
        <w:tc>
          <w:tcPr>
            <w:tcW w:w="717" w:type="dxa"/>
            <w:noWrap/>
            <w:hideMark/>
          </w:tcPr>
          <w:p w14:paraId="4CBAA3C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0.78</w:t>
            </w:r>
          </w:p>
        </w:tc>
        <w:tc>
          <w:tcPr>
            <w:tcW w:w="828" w:type="dxa"/>
            <w:noWrap/>
            <w:hideMark/>
          </w:tcPr>
          <w:p w14:paraId="2F29A3E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0.94</w:t>
            </w:r>
          </w:p>
        </w:tc>
        <w:tc>
          <w:tcPr>
            <w:tcW w:w="717" w:type="dxa"/>
            <w:noWrap/>
            <w:hideMark/>
          </w:tcPr>
          <w:p w14:paraId="6B814E2C"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0.82</w:t>
            </w:r>
          </w:p>
        </w:tc>
        <w:tc>
          <w:tcPr>
            <w:tcW w:w="828" w:type="dxa"/>
            <w:noWrap/>
            <w:hideMark/>
          </w:tcPr>
          <w:p w14:paraId="5AA0E0D9"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0.90</w:t>
            </w:r>
          </w:p>
        </w:tc>
        <w:tc>
          <w:tcPr>
            <w:tcW w:w="717" w:type="dxa"/>
            <w:noWrap/>
            <w:hideMark/>
          </w:tcPr>
          <w:p w14:paraId="68DED034"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0.54</w:t>
            </w:r>
          </w:p>
        </w:tc>
        <w:tc>
          <w:tcPr>
            <w:tcW w:w="961" w:type="dxa"/>
            <w:noWrap/>
            <w:hideMark/>
          </w:tcPr>
          <w:p w14:paraId="46E63FE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0.71</w:t>
            </w:r>
          </w:p>
        </w:tc>
        <w:tc>
          <w:tcPr>
            <w:tcW w:w="773" w:type="dxa"/>
            <w:noWrap/>
            <w:hideMark/>
          </w:tcPr>
          <w:p w14:paraId="0A2E085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0.80</w:t>
            </w:r>
          </w:p>
        </w:tc>
        <w:tc>
          <w:tcPr>
            <w:tcW w:w="784" w:type="dxa"/>
            <w:noWrap/>
            <w:hideMark/>
          </w:tcPr>
          <w:p w14:paraId="2302A469"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024842C0"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79F9F258"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07 Education </w:t>
            </w:r>
          </w:p>
        </w:tc>
        <w:tc>
          <w:tcPr>
            <w:tcW w:w="828" w:type="dxa"/>
            <w:noWrap/>
            <w:hideMark/>
          </w:tcPr>
          <w:p w14:paraId="04D30B30"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11.54</w:t>
            </w:r>
          </w:p>
        </w:tc>
        <w:tc>
          <w:tcPr>
            <w:tcW w:w="717" w:type="dxa"/>
            <w:noWrap/>
            <w:hideMark/>
          </w:tcPr>
          <w:p w14:paraId="2F60F59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11.42</w:t>
            </w:r>
          </w:p>
        </w:tc>
        <w:tc>
          <w:tcPr>
            <w:tcW w:w="828" w:type="dxa"/>
            <w:noWrap/>
            <w:hideMark/>
          </w:tcPr>
          <w:p w14:paraId="35BABB2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11.84</w:t>
            </w:r>
          </w:p>
        </w:tc>
        <w:tc>
          <w:tcPr>
            <w:tcW w:w="717" w:type="dxa"/>
            <w:noWrap/>
            <w:hideMark/>
          </w:tcPr>
          <w:p w14:paraId="57AADFCC"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11.11</w:t>
            </w:r>
          </w:p>
        </w:tc>
        <w:tc>
          <w:tcPr>
            <w:tcW w:w="828" w:type="dxa"/>
            <w:noWrap/>
            <w:hideMark/>
          </w:tcPr>
          <w:p w14:paraId="51586F06"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11.12</w:t>
            </w:r>
          </w:p>
        </w:tc>
        <w:tc>
          <w:tcPr>
            <w:tcW w:w="717" w:type="dxa"/>
            <w:noWrap/>
            <w:hideMark/>
          </w:tcPr>
          <w:p w14:paraId="48A811D2"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10.09</w:t>
            </w:r>
          </w:p>
        </w:tc>
        <w:tc>
          <w:tcPr>
            <w:tcW w:w="961" w:type="dxa"/>
            <w:noWrap/>
            <w:hideMark/>
          </w:tcPr>
          <w:p w14:paraId="72C07A8E"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10.87</w:t>
            </w:r>
          </w:p>
        </w:tc>
        <w:tc>
          <w:tcPr>
            <w:tcW w:w="773" w:type="dxa"/>
            <w:noWrap/>
            <w:hideMark/>
          </w:tcPr>
          <w:p w14:paraId="5D2A8E8C"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12.53</w:t>
            </w:r>
          </w:p>
        </w:tc>
        <w:tc>
          <w:tcPr>
            <w:tcW w:w="784" w:type="dxa"/>
            <w:noWrap/>
            <w:hideMark/>
          </w:tcPr>
          <w:p w14:paraId="44AB7F87"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46E62247"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29357806"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08 Health </w:t>
            </w:r>
          </w:p>
        </w:tc>
        <w:tc>
          <w:tcPr>
            <w:tcW w:w="828" w:type="dxa"/>
            <w:noWrap/>
            <w:hideMark/>
          </w:tcPr>
          <w:p w14:paraId="034A4179"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4.62</w:t>
            </w:r>
          </w:p>
        </w:tc>
        <w:tc>
          <w:tcPr>
            <w:tcW w:w="717" w:type="dxa"/>
            <w:noWrap/>
            <w:hideMark/>
          </w:tcPr>
          <w:p w14:paraId="52BE676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4.62</w:t>
            </w:r>
          </w:p>
        </w:tc>
        <w:tc>
          <w:tcPr>
            <w:tcW w:w="828" w:type="dxa"/>
            <w:noWrap/>
            <w:hideMark/>
          </w:tcPr>
          <w:p w14:paraId="6D92510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4.80</w:t>
            </w:r>
          </w:p>
        </w:tc>
        <w:tc>
          <w:tcPr>
            <w:tcW w:w="717" w:type="dxa"/>
            <w:noWrap/>
            <w:hideMark/>
          </w:tcPr>
          <w:p w14:paraId="213AA21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4.52</w:t>
            </w:r>
          </w:p>
        </w:tc>
        <w:tc>
          <w:tcPr>
            <w:tcW w:w="828" w:type="dxa"/>
            <w:noWrap/>
            <w:hideMark/>
          </w:tcPr>
          <w:p w14:paraId="61699A5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4.41</w:t>
            </w:r>
          </w:p>
        </w:tc>
        <w:tc>
          <w:tcPr>
            <w:tcW w:w="717" w:type="dxa"/>
            <w:noWrap/>
            <w:hideMark/>
          </w:tcPr>
          <w:p w14:paraId="2B52956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4.58</w:t>
            </w:r>
          </w:p>
        </w:tc>
        <w:tc>
          <w:tcPr>
            <w:tcW w:w="961" w:type="dxa"/>
            <w:noWrap/>
            <w:hideMark/>
          </w:tcPr>
          <w:p w14:paraId="1A3996AA"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4.57</w:t>
            </w:r>
          </w:p>
        </w:tc>
        <w:tc>
          <w:tcPr>
            <w:tcW w:w="773" w:type="dxa"/>
            <w:noWrap/>
            <w:hideMark/>
          </w:tcPr>
          <w:p w14:paraId="2E55A4DE"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8.53</w:t>
            </w:r>
          </w:p>
        </w:tc>
        <w:tc>
          <w:tcPr>
            <w:tcW w:w="784" w:type="dxa"/>
            <w:noWrap/>
            <w:hideMark/>
          </w:tcPr>
          <w:p w14:paraId="26A2997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57BBDDDD"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05BDD28A"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09 Water and Environment </w:t>
            </w:r>
          </w:p>
        </w:tc>
        <w:tc>
          <w:tcPr>
            <w:tcW w:w="828" w:type="dxa"/>
            <w:noWrap/>
            <w:hideMark/>
          </w:tcPr>
          <w:p w14:paraId="5E42BC51"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1.87</w:t>
            </w:r>
          </w:p>
        </w:tc>
        <w:tc>
          <w:tcPr>
            <w:tcW w:w="717" w:type="dxa"/>
            <w:noWrap/>
            <w:hideMark/>
          </w:tcPr>
          <w:p w14:paraId="413F5481"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1.74</w:t>
            </w:r>
          </w:p>
        </w:tc>
        <w:tc>
          <w:tcPr>
            <w:tcW w:w="828" w:type="dxa"/>
            <w:noWrap/>
            <w:hideMark/>
          </w:tcPr>
          <w:p w14:paraId="3599B3FA"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1.91</w:t>
            </w:r>
          </w:p>
        </w:tc>
        <w:tc>
          <w:tcPr>
            <w:tcW w:w="717" w:type="dxa"/>
            <w:noWrap/>
            <w:hideMark/>
          </w:tcPr>
          <w:p w14:paraId="649A52DD"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1.57</w:t>
            </w:r>
          </w:p>
        </w:tc>
        <w:tc>
          <w:tcPr>
            <w:tcW w:w="828" w:type="dxa"/>
            <w:noWrap/>
            <w:hideMark/>
          </w:tcPr>
          <w:p w14:paraId="0F69C85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2.07</w:t>
            </w:r>
          </w:p>
        </w:tc>
        <w:tc>
          <w:tcPr>
            <w:tcW w:w="717" w:type="dxa"/>
            <w:noWrap/>
            <w:hideMark/>
          </w:tcPr>
          <w:p w14:paraId="6837AC90"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2.01</w:t>
            </w:r>
          </w:p>
        </w:tc>
        <w:tc>
          <w:tcPr>
            <w:tcW w:w="961" w:type="dxa"/>
            <w:noWrap/>
            <w:hideMark/>
          </w:tcPr>
          <w:p w14:paraId="3AE3ECED"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1.77</w:t>
            </w:r>
          </w:p>
        </w:tc>
        <w:tc>
          <w:tcPr>
            <w:tcW w:w="773" w:type="dxa"/>
            <w:noWrap/>
            <w:hideMark/>
          </w:tcPr>
          <w:p w14:paraId="5505070E"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2.37</w:t>
            </w:r>
          </w:p>
        </w:tc>
        <w:tc>
          <w:tcPr>
            <w:tcW w:w="784" w:type="dxa"/>
            <w:noWrap/>
            <w:hideMark/>
          </w:tcPr>
          <w:p w14:paraId="3CEC7E73"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4E37FDBA"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5D3B4A30"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10 Social Development </w:t>
            </w:r>
          </w:p>
        </w:tc>
        <w:tc>
          <w:tcPr>
            <w:tcW w:w="828" w:type="dxa"/>
            <w:noWrap/>
            <w:hideMark/>
          </w:tcPr>
          <w:p w14:paraId="469A0AA6"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0.51</w:t>
            </w:r>
          </w:p>
        </w:tc>
        <w:tc>
          <w:tcPr>
            <w:tcW w:w="717" w:type="dxa"/>
            <w:noWrap/>
            <w:hideMark/>
          </w:tcPr>
          <w:p w14:paraId="1E975BC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0.42</w:t>
            </w:r>
          </w:p>
        </w:tc>
        <w:tc>
          <w:tcPr>
            <w:tcW w:w="828" w:type="dxa"/>
            <w:noWrap/>
            <w:hideMark/>
          </w:tcPr>
          <w:p w14:paraId="2FA869C3"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0.98</w:t>
            </w:r>
          </w:p>
        </w:tc>
        <w:tc>
          <w:tcPr>
            <w:tcW w:w="717" w:type="dxa"/>
            <w:noWrap/>
            <w:hideMark/>
          </w:tcPr>
          <w:p w14:paraId="6AEE2578"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0.61</w:t>
            </w:r>
          </w:p>
        </w:tc>
        <w:tc>
          <w:tcPr>
            <w:tcW w:w="828" w:type="dxa"/>
            <w:noWrap/>
            <w:hideMark/>
          </w:tcPr>
          <w:p w14:paraId="4D205F4F"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0.79</w:t>
            </w:r>
          </w:p>
        </w:tc>
        <w:tc>
          <w:tcPr>
            <w:tcW w:w="717" w:type="dxa"/>
            <w:noWrap/>
            <w:hideMark/>
          </w:tcPr>
          <w:p w14:paraId="6DF5372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0.77</w:t>
            </w:r>
          </w:p>
        </w:tc>
        <w:tc>
          <w:tcPr>
            <w:tcW w:w="961" w:type="dxa"/>
            <w:noWrap/>
            <w:hideMark/>
          </w:tcPr>
          <w:p w14:paraId="73510098"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0.60</w:t>
            </w:r>
          </w:p>
        </w:tc>
        <w:tc>
          <w:tcPr>
            <w:tcW w:w="773" w:type="dxa"/>
            <w:noWrap/>
            <w:hideMark/>
          </w:tcPr>
          <w:p w14:paraId="0590C12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0.37</w:t>
            </w:r>
          </w:p>
        </w:tc>
        <w:tc>
          <w:tcPr>
            <w:tcW w:w="784" w:type="dxa"/>
            <w:noWrap/>
            <w:hideMark/>
          </w:tcPr>
          <w:p w14:paraId="1D4DD6D9"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Above</w:t>
            </w:r>
          </w:p>
        </w:tc>
      </w:tr>
      <w:tr w:rsidR="0038289F" w:rsidRPr="000E1B7E" w14:paraId="1C146C0D"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550D9991"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11 Security </w:t>
            </w:r>
          </w:p>
        </w:tc>
        <w:tc>
          <w:tcPr>
            <w:tcW w:w="828" w:type="dxa"/>
            <w:noWrap/>
            <w:hideMark/>
          </w:tcPr>
          <w:p w14:paraId="05C9371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5.92</w:t>
            </w:r>
          </w:p>
        </w:tc>
        <w:tc>
          <w:tcPr>
            <w:tcW w:w="717" w:type="dxa"/>
            <w:noWrap/>
            <w:hideMark/>
          </w:tcPr>
          <w:p w14:paraId="1352C738"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7.45</w:t>
            </w:r>
          </w:p>
        </w:tc>
        <w:tc>
          <w:tcPr>
            <w:tcW w:w="828" w:type="dxa"/>
            <w:noWrap/>
            <w:hideMark/>
          </w:tcPr>
          <w:p w14:paraId="69B177B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5.61</w:t>
            </w:r>
          </w:p>
        </w:tc>
        <w:tc>
          <w:tcPr>
            <w:tcW w:w="717" w:type="dxa"/>
            <w:noWrap/>
            <w:hideMark/>
          </w:tcPr>
          <w:p w14:paraId="584ADFE1"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5.79</w:t>
            </w:r>
          </w:p>
        </w:tc>
        <w:tc>
          <w:tcPr>
            <w:tcW w:w="828" w:type="dxa"/>
            <w:noWrap/>
            <w:hideMark/>
          </w:tcPr>
          <w:p w14:paraId="4B7B9540"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5.22</w:t>
            </w:r>
          </w:p>
        </w:tc>
        <w:tc>
          <w:tcPr>
            <w:tcW w:w="717" w:type="dxa"/>
            <w:noWrap/>
            <w:hideMark/>
          </w:tcPr>
          <w:p w14:paraId="5F19A246"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7.17</w:t>
            </w:r>
          </w:p>
        </w:tc>
        <w:tc>
          <w:tcPr>
            <w:tcW w:w="961" w:type="dxa"/>
            <w:noWrap/>
            <w:hideMark/>
          </w:tcPr>
          <w:p w14:paraId="75733217"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6.80</w:t>
            </w:r>
          </w:p>
        </w:tc>
        <w:tc>
          <w:tcPr>
            <w:tcW w:w="773" w:type="dxa"/>
            <w:noWrap/>
            <w:hideMark/>
          </w:tcPr>
          <w:p w14:paraId="5F559450"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7.37</w:t>
            </w:r>
          </w:p>
        </w:tc>
        <w:tc>
          <w:tcPr>
            <w:tcW w:w="784" w:type="dxa"/>
            <w:noWrap/>
            <w:hideMark/>
          </w:tcPr>
          <w:p w14:paraId="7127B9EB"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4B176B4F"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5681F5FA"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12 Justice, Law and Order </w:t>
            </w:r>
          </w:p>
        </w:tc>
        <w:tc>
          <w:tcPr>
            <w:tcW w:w="828" w:type="dxa"/>
            <w:noWrap/>
            <w:hideMark/>
          </w:tcPr>
          <w:p w14:paraId="52C66E0E"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5.97</w:t>
            </w:r>
          </w:p>
        </w:tc>
        <w:tc>
          <w:tcPr>
            <w:tcW w:w="717" w:type="dxa"/>
            <w:noWrap/>
            <w:hideMark/>
          </w:tcPr>
          <w:p w14:paraId="2179010E"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6.47</w:t>
            </w:r>
          </w:p>
        </w:tc>
        <w:tc>
          <w:tcPr>
            <w:tcW w:w="828" w:type="dxa"/>
            <w:noWrap/>
            <w:hideMark/>
          </w:tcPr>
          <w:p w14:paraId="3A2A342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5.85</w:t>
            </w:r>
          </w:p>
        </w:tc>
        <w:tc>
          <w:tcPr>
            <w:tcW w:w="717" w:type="dxa"/>
            <w:noWrap/>
            <w:hideMark/>
          </w:tcPr>
          <w:p w14:paraId="001E98C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5.48</w:t>
            </w:r>
          </w:p>
        </w:tc>
        <w:tc>
          <w:tcPr>
            <w:tcW w:w="828" w:type="dxa"/>
            <w:noWrap/>
            <w:hideMark/>
          </w:tcPr>
          <w:p w14:paraId="30D6D18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5.64</w:t>
            </w:r>
          </w:p>
        </w:tc>
        <w:tc>
          <w:tcPr>
            <w:tcW w:w="717" w:type="dxa"/>
            <w:noWrap/>
            <w:hideMark/>
          </w:tcPr>
          <w:p w14:paraId="3C30B80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6.07</w:t>
            </w:r>
          </w:p>
        </w:tc>
        <w:tc>
          <w:tcPr>
            <w:tcW w:w="961" w:type="dxa"/>
            <w:noWrap/>
            <w:hideMark/>
          </w:tcPr>
          <w:p w14:paraId="340FDAAD"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6.01</w:t>
            </w:r>
          </w:p>
        </w:tc>
        <w:tc>
          <w:tcPr>
            <w:tcW w:w="773" w:type="dxa"/>
            <w:noWrap/>
            <w:hideMark/>
          </w:tcPr>
          <w:p w14:paraId="5F44F04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4.93</w:t>
            </w:r>
          </w:p>
        </w:tc>
        <w:tc>
          <w:tcPr>
            <w:tcW w:w="784" w:type="dxa"/>
            <w:noWrap/>
            <w:hideMark/>
          </w:tcPr>
          <w:p w14:paraId="72C3581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Above</w:t>
            </w:r>
          </w:p>
        </w:tc>
      </w:tr>
      <w:tr w:rsidR="0038289F" w:rsidRPr="000E1B7E" w14:paraId="7CB23D66"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5C7C8067"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13 Public Sector Management </w:t>
            </w:r>
          </w:p>
        </w:tc>
        <w:tc>
          <w:tcPr>
            <w:tcW w:w="828" w:type="dxa"/>
            <w:noWrap/>
            <w:hideMark/>
          </w:tcPr>
          <w:p w14:paraId="2F56CCEE"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4.96</w:t>
            </w:r>
          </w:p>
        </w:tc>
        <w:tc>
          <w:tcPr>
            <w:tcW w:w="717" w:type="dxa"/>
            <w:noWrap/>
            <w:hideMark/>
          </w:tcPr>
          <w:p w14:paraId="30009450"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4.99</w:t>
            </w:r>
          </w:p>
        </w:tc>
        <w:tc>
          <w:tcPr>
            <w:tcW w:w="828" w:type="dxa"/>
            <w:noWrap/>
            <w:hideMark/>
          </w:tcPr>
          <w:p w14:paraId="21469057"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5.12</w:t>
            </w:r>
          </w:p>
        </w:tc>
        <w:tc>
          <w:tcPr>
            <w:tcW w:w="717" w:type="dxa"/>
            <w:noWrap/>
            <w:hideMark/>
          </w:tcPr>
          <w:p w14:paraId="2B1C13D4"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5.63</w:t>
            </w:r>
          </w:p>
        </w:tc>
        <w:tc>
          <w:tcPr>
            <w:tcW w:w="828" w:type="dxa"/>
            <w:noWrap/>
            <w:hideMark/>
          </w:tcPr>
          <w:p w14:paraId="6F3164A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5.16</w:t>
            </w:r>
          </w:p>
        </w:tc>
        <w:tc>
          <w:tcPr>
            <w:tcW w:w="717" w:type="dxa"/>
            <w:noWrap/>
            <w:hideMark/>
          </w:tcPr>
          <w:p w14:paraId="54EF8D8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4.87</w:t>
            </w:r>
          </w:p>
        </w:tc>
        <w:tc>
          <w:tcPr>
            <w:tcW w:w="961" w:type="dxa"/>
            <w:noWrap/>
            <w:hideMark/>
          </w:tcPr>
          <w:p w14:paraId="05151757"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5.16</w:t>
            </w:r>
          </w:p>
        </w:tc>
        <w:tc>
          <w:tcPr>
            <w:tcW w:w="773" w:type="dxa"/>
            <w:noWrap/>
            <w:hideMark/>
          </w:tcPr>
          <w:p w14:paraId="152D06ED"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6.23</w:t>
            </w:r>
          </w:p>
        </w:tc>
        <w:tc>
          <w:tcPr>
            <w:tcW w:w="784" w:type="dxa"/>
            <w:noWrap/>
            <w:hideMark/>
          </w:tcPr>
          <w:p w14:paraId="7B6F6CEA"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6F89452A"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5CEA5D93"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14 Accountability </w:t>
            </w:r>
          </w:p>
        </w:tc>
        <w:tc>
          <w:tcPr>
            <w:tcW w:w="828" w:type="dxa"/>
            <w:noWrap/>
            <w:hideMark/>
          </w:tcPr>
          <w:p w14:paraId="2614C36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5.11</w:t>
            </w:r>
          </w:p>
        </w:tc>
        <w:tc>
          <w:tcPr>
            <w:tcW w:w="717" w:type="dxa"/>
            <w:noWrap/>
            <w:hideMark/>
          </w:tcPr>
          <w:p w14:paraId="0599B2BF"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4.76</w:t>
            </w:r>
          </w:p>
        </w:tc>
        <w:tc>
          <w:tcPr>
            <w:tcW w:w="828" w:type="dxa"/>
            <w:noWrap/>
            <w:hideMark/>
          </w:tcPr>
          <w:p w14:paraId="746AF8D0"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4.50</w:t>
            </w:r>
          </w:p>
        </w:tc>
        <w:tc>
          <w:tcPr>
            <w:tcW w:w="717" w:type="dxa"/>
            <w:noWrap/>
            <w:hideMark/>
          </w:tcPr>
          <w:p w14:paraId="46D842F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4.80</w:t>
            </w:r>
          </w:p>
        </w:tc>
        <w:tc>
          <w:tcPr>
            <w:tcW w:w="828" w:type="dxa"/>
            <w:noWrap/>
            <w:hideMark/>
          </w:tcPr>
          <w:p w14:paraId="718CE94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3.76</w:t>
            </w:r>
          </w:p>
        </w:tc>
        <w:tc>
          <w:tcPr>
            <w:tcW w:w="717" w:type="dxa"/>
            <w:noWrap/>
            <w:hideMark/>
          </w:tcPr>
          <w:p w14:paraId="45DEE8F8"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4.31</w:t>
            </w:r>
          </w:p>
        </w:tc>
        <w:tc>
          <w:tcPr>
            <w:tcW w:w="961" w:type="dxa"/>
            <w:noWrap/>
            <w:hideMark/>
          </w:tcPr>
          <w:p w14:paraId="139C3C5A"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4.62</w:t>
            </w:r>
          </w:p>
        </w:tc>
        <w:tc>
          <w:tcPr>
            <w:tcW w:w="773" w:type="dxa"/>
            <w:vMerge w:val="restart"/>
            <w:noWrap/>
            <w:hideMark/>
          </w:tcPr>
          <w:p w14:paraId="6BC3FC6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4.90</w:t>
            </w:r>
          </w:p>
        </w:tc>
        <w:tc>
          <w:tcPr>
            <w:tcW w:w="784" w:type="dxa"/>
            <w:noWrap/>
            <w:hideMark/>
          </w:tcPr>
          <w:p w14:paraId="58B69544"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Below</w:t>
            </w:r>
          </w:p>
        </w:tc>
      </w:tr>
      <w:tr w:rsidR="0038289F" w:rsidRPr="000E1B7E" w14:paraId="08546D9E"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002F58F1"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15 Legislature </w:t>
            </w:r>
          </w:p>
        </w:tc>
        <w:tc>
          <w:tcPr>
            <w:tcW w:w="828" w:type="dxa"/>
            <w:noWrap/>
            <w:hideMark/>
          </w:tcPr>
          <w:p w14:paraId="3373D29E"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2.02</w:t>
            </w:r>
          </w:p>
        </w:tc>
        <w:tc>
          <w:tcPr>
            <w:tcW w:w="717" w:type="dxa"/>
            <w:noWrap/>
            <w:hideMark/>
          </w:tcPr>
          <w:p w14:paraId="7D63D2A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2.28</w:t>
            </w:r>
          </w:p>
        </w:tc>
        <w:tc>
          <w:tcPr>
            <w:tcW w:w="828" w:type="dxa"/>
            <w:noWrap/>
            <w:hideMark/>
          </w:tcPr>
          <w:p w14:paraId="79958EC2"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2.37</w:t>
            </w:r>
          </w:p>
        </w:tc>
        <w:tc>
          <w:tcPr>
            <w:tcW w:w="717" w:type="dxa"/>
            <w:noWrap/>
            <w:hideMark/>
          </w:tcPr>
          <w:p w14:paraId="7992A1EF"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2.48</w:t>
            </w:r>
          </w:p>
        </w:tc>
        <w:tc>
          <w:tcPr>
            <w:tcW w:w="828" w:type="dxa"/>
            <w:noWrap/>
            <w:hideMark/>
          </w:tcPr>
          <w:p w14:paraId="095B389A"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2.21</w:t>
            </w:r>
          </w:p>
        </w:tc>
        <w:tc>
          <w:tcPr>
            <w:tcW w:w="717" w:type="dxa"/>
            <w:noWrap/>
            <w:hideMark/>
          </w:tcPr>
          <w:p w14:paraId="0B971948"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2.63</w:t>
            </w:r>
          </w:p>
        </w:tc>
        <w:tc>
          <w:tcPr>
            <w:tcW w:w="961" w:type="dxa"/>
            <w:noWrap/>
            <w:hideMark/>
          </w:tcPr>
          <w:p w14:paraId="3EB18E83"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2.47</w:t>
            </w:r>
          </w:p>
        </w:tc>
        <w:tc>
          <w:tcPr>
            <w:tcW w:w="773" w:type="dxa"/>
            <w:vMerge/>
            <w:hideMark/>
          </w:tcPr>
          <w:p w14:paraId="3CB509A3"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p>
        </w:tc>
        <w:tc>
          <w:tcPr>
            <w:tcW w:w="784" w:type="dxa"/>
            <w:noWrap/>
            <w:hideMark/>
          </w:tcPr>
          <w:p w14:paraId="083F8816"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Above</w:t>
            </w:r>
          </w:p>
        </w:tc>
      </w:tr>
      <w:tr w:rsidR="0038289F" w:rsidRPr="000E1B7E" w14:paraId="314CBBB6"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29FDEDAA"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16 Public Administration </w:t>
            </w:r>
          </w:p>
        </w:tc>
        <w:tc>
          <w:tcPr>
            <w:tcW w:w="828" w:type="dxa"/>
            <w:noWrap/>
            <w:hideMark/>
          </w:tcPr>
          <w:p w14:paraId="0D934D2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4.16</w:t>
            </w:r>
          </w:p>
        </w:tc>
        <w:tc>
          <w:tcPr>
            <w:tcW w:w="717" w:type="dxa"/>
            <w:noWrap/>
            <w:hideMark/>
          </w:tcPr>
          <w:p w14:paraId="6702B19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4.94</w:t>
            </w:r>
          </w:p>
        </w:tc>
        <w:tc>
          <w:tcPr>
            <w:tcW w:w="828" w:type="dxa"/>
            <w:noWrap/>
            <w:hideMark/>
          </w:tcPr>
          <w:p w14:paraId="6D630BEC"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2.73</w:t>
            </w:r>
          </w:p>
        </w:tc>
        <w:tc>
          <w:tcPr>
            <w:tcW w:w="717" w:type="dxa"/>
            <w:noWrap/>
            <w:hideMark/>
          </w:tcPr>
          <w:p w14:paraId="0BCD4D6E"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2.85</w:t>
            </w:r>
          </w:p>
        </w:tc>
        <w:tc>
          <w:tcPr>
            <w:tcW w:w="828" w:type="dxa"/>
            <w:noWrap/>
            <w:hideMark/>
          </w:tcPr>
          <w:p w14:paraId="5E202FA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2.61</w:t>
            </w:r>
          </w:p>
        </w:tc>
        <w:tc>
          <w:tcPr>
            <w:tcW w:w="717" w:type="dxa"/>
            <w:noWrap/>
            <w:hideMark/>
          </w:tcPr>
          <w:p w14:paraId="13D015F2"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3.27</w:t>
            </w:r>
          </w:p>
        </w:tc>
        <w:tc>
          <w:tcPr>
            <w:tcW w:w="961" w:type="dxa"/>
            <w:noWrap/>
            <w:hideMark/>
          </w:tcPr>
          <w:p w14:paraId="30E6B25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3.69</w:t>
            </w:r>
          </w:p>
        </w:tc>
        <w:tc>
          <w:tcPr>
            <w:tcW w:w="773" w:type="dxa"/>
            <w:noWrap/>
            <w:hideMark/>
          </w:tcPr>
          <w:p w14:paraId="1D53994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3.30</w:t>
            </w:r>
          </w:p>
        </w:tc>
        <w:tc>
          <w:tcPr>
            <w:tcW w:w="784" w:type="dxa"/>
            <w:noWrap/>
            <w:hideMark/>
          </w:tcPr>
          <w:p w14:paraId="2B2B258F"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Above</w:t>
            </w:r>
          </w:p>
        </w:tc>
      </w:tr>
      <w:tr w:rsidR="0038289F" w:rsidRPr="000E1B7E" w14:paraId="23F109EC"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67CA0A02"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 17 Interest Payments </w:t>
            </w:r>
          </w:p>
        </w:tc>
        <w:tc>
          <w:tcPr>
            <w:tcW w:w="828" w:type="dxa"/>
            <w:noWrap/>
            <w:hideMark/>
          </w:tcPr>
          <w:p w14:paraId="4CEEE736"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36.00</w:t>
            </w:r>
          </w:p>
        </w:tc>
        <w:tc>
          <w:tcPr>
            <w:tcW w:w="717" w:type="dxa"/>
            <w:noWrap/>
            <w:hideMark/>
          </w:tcPr>
          <w:p w14:paraId="0428DF7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34.86</w:t>
            </w:r>
          </w:p>
        </w:tc>
        <w:tc>
          <w:tcPr>
            <w:tcW w:w="828" w:type="dxa"/>
            <w:noWrap/>
            <w:hideMark/>
          </w:tcPr>
          <w:p w14:paraId="2F114101"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36.15</w:t>
            </w:r>
          </w:p>
        </w:tc>
        <w:tc>
          <w:tcPr>
            <w:tcW w:w="717" w:type="dxa"/>
            <w:noWrap/>
            <w:hideMark/>
          </w:tcPr>
          <w:p w14:paraId="43F7915D"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37.65</w:t>
            </w:r>
          </w:p>
        </w:tc>
        <w:tc>
          <w:tcPr>
            <w:tcW w:w="828" w:type="dxa"/>
            <w:noWrap/>
            <w:hideMark/>
          </w:tcPr>
          <w:p w14:paraId="0B907A00"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39.14</w:t>
            </w:r>
          </w:p>
        </w:tc>
        <w:tc>
          <w:tcPr>
            <w:tcW w:w="717" w:type="dxa"/>
            <w:noWrap/>
            <w:hideMark/>
          </w:tcPr>
          <w:p w14:paraId="40A503FA"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36.22</w:t>
            </w:r>
          </w:p>
        </w:tc>
        <w:tc>
          <w:tcPr>
            <w:tcW w:w="961" w:type="dxa"/>
            <w:noWrap/>
            <w:hideMark/>
          </w:tcPr>
          <w:p w14:paraId="15966D95"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36.24</w:t>
            </w:r>
          </w:p>
        </w:tc>
        <w:tc>
          <w:tcPr>
            <w:tcW w:w="773" w:type="dxa"/>
            <w:noWrap/>
            <w:hideMark/>
          </w:tcPr>
          <w:p w14:paraId="46F6A5D9"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8.23</w:t>
            </w:r>
          </w:p>
        </w:tc>
        <w:tc>
          <w:tcPr>
            <w:tcW w:w="784" w:type="dxa"/>
            <w:noWrap/>
            <w:hideMark/>
          </w:tcPr>
          <w:p w14:paraId="7F4562ED"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Above</w:t>
            </w:r>
          </w:p>
        </w:tc>
      </w:tr>
      <w:tr w:rsidR="0038289F" w:rsidRPr="000E1B7E" w14:paraId="407AD29B" w14:textId="77777777" w:rsidTr="003828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noWrap/>
            <w:hideMark/>
          </w:tcPr>
          <w:p w14:paraId="711664E5"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18 Science, Innovation </w:t>
            </w:r>
          </w:p>
          <w:p w14:paraId="03298DF2"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and Technology </w:t>
            </w:r>
          </w:p>
        </w:tc>
        <w:tc>
          <w:tcPr>
            <w:tcW w:w="828" w:type="dxa"/>
            <w:noWrap/>
            <w:hideMark/>
          </w:tcPr>
          <w:p w14:paraId="6C372DFD"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p>
        </w:tc>
        <w:tc>
          <w:tcPr>
            <w:tcW w:w="717" w:type="dxa"/>
            <w:noWrap/>
            <w:hideMark/>
          </w:tcPr>
          <w:p w14:paraId="1BEC4225"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p>
        </w:tc>
        <w:tc>
          <w:tcPr>
            <w:tcW w:w="828" w:type="dxa"/>
            <w:noWrap/>
            <w:hideMark/>
          </w:tcPr>
          <w:p w14:paraId="51B239F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p>
        </w:tc>
        <w:tc>
          <w:tcPr>
            <w:tcW w:w="717" w:type="dxa"/>
            <w:noWrap/>
            <w:hideMark/>
          </w:tcPr>
          <w:p w14:paraId="3D669F3C"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p>
        </w:tc>
        <w:tc>
          <w:tcPr>
            <w:tcW w:w="828" w:type="dxa"/>
            <w:noWrap/>
            <w:hideMark/>
          </w:tcPr>
          <w:p w14:paraId="24F786DB"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0.33</w:t>
            </w:r>
          </w:p>
        </w:tc>
        <w:tc>
          <w:tcPr>
            <w:tcW w:w="717" w:type="dxa"/>
            <w:noWrap/>
            <w:hideMark/>
          </w:tcPr>
          <w:p w14:paraId="46FD530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0.34</w:t>
            </w:r>
          </w:p>
        </w:tc>
        <w:tc>
          <w:tcPr>
            <w:tcW w:w="961" w:type="dxa"/>
            <w:noWrap/>
            <w:hideMark/>
          </w:tcPr>
          <w:p w14:paraId="7F671AB7"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0.11</w:t>
            </w:r>
          </w:p>
        </w:tc>
        <w:tc>
          <w:tcPr>
            <w:tcW w:w="773" w:type="dxa"/>
            <w:noWrap/>
            <w:hideMark/>
          </w:tcPr>
          <w:p w14:paraId="3178E341"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N/A</w:t>
            </w:r>
          </w:p>
        </w:tc>
        <w:tc>
          <w:tcPr>
            <w:tcW w:w="784" w:type="dxa"/>
            <w:noWrap/>
            <w:hideMark/>
          </w:tcPr>
          <w:p w14:paraId="05B3095C" w14:textId="77777777" w:rsidR="0038289F" w:rsidRPr="000E1B7E" w:rsidRDefault="0038289F" w:rsidP="005959B5">
            <w:pPr>
              <w:contextualSpacing/>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p>
        </w:tc>
      </w:tr>
      <w:tr w:rsidR="0038289F" w:rsidRPr="000E1B7E" w14:paraId="2323A098" w14:textId="77777777" w:rsidTr="0038289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73" w:type="dxa"/>
            <w:hideMark/>
          </w:tcPr>
          <w:p w14:paraId="42EE6963" w14:textId="77777777" w:rsidR="0038289F" w:rsidRPr="000E1B7E" w:rsidRDefault="0038289F" w:rsidP="005959B5">
            <w:pPr>
              <w:contextualSpacing/>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lastRenderedPageBreak/>
              <w:t xml:space="preserve"> Grand Total </w:t>
            </w:r>
          </w:p>
        </w:tc>
        <w:tc>
          <w:tcPr>
            <w:tcW w:w="828" w:type="dxa"/>
            <w:noWrap/>
            <w:hideMark/>
          </w:tcPr>
          <w:p w14:paraId="4F4DD614"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w:t>
            </w:r>
          </w:p>
        </w:tc>
        <w:tc>
          <w:tcPr>
            <w:tcW w:w="717" w:type="dxa"/>
            <w:noWrap/>
            <w:hideMark/>
          </w:tcPr>
          <w:p w14:paraId="781A924E"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w:t>
            </w:r>
          </w:p>
        </w:tc>
        <w:tc>
          <w:tcPr>
            <w:tcW w:w="828" w:type="dxa"/>
            <w:noWrap/>
            <w:hideMark/>
          </w:tcPr>
          <w:p w14:paraId="2E6BC0C2"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w:t>
            </w:r>
          </w:p>
        </w:tc>
        <w:tc>
          <w:tcPr>
            <w:tcW w:w="717" w:type="dxa"/>
            <w:noWrap/>
            <w:hideMark/>
          </w:tcPr>
          <w:p w14:paraId="76CEA738"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w:t>
            </w:r>
          </w:p>
        </w:tc>
        <w:tc>
          <w:tcPr>
            <w:tcW w:w="828" w:type="dxa"/>
            <w:noWrap/>
            <w:hideMark/>
          </w:tcPr>
          <w:p w14:paraId="70F1F9E4"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w:t>
            </w:r>
          </w:p>
        </w:tc>
        <w:tc>
          <w:tcPr>
            <w:tcW w:w="717" w:type="dxa"/>
            <w:noWrap/>
            <w:hideMark/>
          </w:tcPr>
          <w:p w14:paraId="0E0C850F"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w:t>
            </w:r>
          </w:p>
        </w:tc>
        <w:tc>
          <w:tcPr>
            <w:tcW w:w="961" w:type="dxa"/>
            <w:noWrap/>
            <w:hideMark/>
          </w:tcPr>
          <w:p w14:paraId="11595337"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100</w:t>
            </w:r>
          </w:p>
        </w:tc>
        <w:tc>
          <w:tcPr>
            <w:tcW w:w="773" w:type="dxa"/>
            <w:noWrap/>
            <w:hideMark/>
          </w:tcPr>
          <w:p w14:paraId="2ADA1263"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p>
        </w:tc>
        <w:tc>
          <w:tcPr>
            <w:tcW w:w="784" w:type="dxa"/>
            <w:noWrap/>
            <w:hideMark/>
          </w:tcPr>
          <w:p w14:paraId="0B003CA8" w14:textId="77777777" w:rsidR="0038289F" w:rsidRPr="000E1B7E" w:rsidRDefault="0038289F" w:rsidP="005959B5">
            <w:pPr>
              <w:contextualSpacing/>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p>
        </w:tc>
      </w:tr>
    </w:tbl>
    <w:p w14:paraId="28D4BD77" w14:textId="77777777" w:rsidR="00886FE8" w:rsidRPr="000E1B7E" w:rsidRDefault="00886FE8" w:rsidP="005959B5">
      <w:pPr>
        <w:autoSpaceDE w:val="0"/>
        <w:autoSpaceDN w:val="0"/>
        <w:adjustRightInd w:val="0"/>
        <w:jc w:val="both"/>
      </w:pPr>
      <w:r w:rsidRPr="000E1B7E">
        <w:t>Source: MFPED</w:t>
      </w:r>
    </w:p>
    <w:p w14:paraId="04753455" w14:textId="77777777" w:rsidR="00F009A5" w:rsidRPr="000E1B7E" w:rsidRDefault="00F009A5" w:rsidP="00F85D24">
      <w:pPr>
        <w:pStyle w:val="DeltaBodytext"/>
        <w:numPr>
          <w:ilvl w:val="0"/>
          <w:numId w:val="26"/>
        </w:numPr>
        <w:tabs>
          <w:tab w:val="left" w:pos="1108"/>
        </w:tabs>
        <w:autoSpaceDE w:val="0"/>
        <w:autoSpaceDN w:val="0"/>
        <w:adjustRightInd w:val="0"/>
        <w:spacing w:before="240" w:line="360" w:lineRule="auto"/>
        <w:ind w:left="567" w:hanging="567"/>
        <w:rPr>
          <w:rFonts w:ascii="Times New Roman" w:hAnsi="Times New Roman"/>
        </w:rPr>
      </w:pPr>
      <w:r w:rsidRPr="000E1B7E">
        <w:rPr>
          <w:rFonts w:ascii="Times New Roman" w:hAnsi="Times New Roman"/>
          <w:sz w:val="24"/>
          <w:szCs w:val="24"/>
        </w:rPr>
        <w:t xml:space="preserve">The table </w:t>
      </w:r>
      <w:r w:rsidR="00583E81" w:rsidRPr="000E1B7E">
        <w:rPr>
          <w:rFonts w:ascii="Times New Roman" w:hAnsi="Times New Roman"/>
          <w:sz w:val="24"/>
          <w:szCs w:val="24"/>
        </w:rPr>
        <w:t>15</w:t>
      </w:r>
      <w:r w:rsidRPr="000E1B7E">
        <w:rPr>
          <w:rFonts w:ascii="Times New Roman" w:hAnsi="Times New Roman"/>
          <w:sz w:val="24"/>
          <w:szCs w:val="24"/>
        </w:rPr>
        <w:t xml:space="preserve"> below presents a summary of selected Economic and Financial Indicators over the period 2012/13 to 2017/18.</w:t>
      </w:r>
    </w:p>
    <w:p w14:paraId="1F6559E7" w14:textId="77777777" w:rsidR="00F009A5" w:rsidRPr="000E1B7E" w:rsidRDefault="005E042B" w:rsidP="005E042B">
      <w:pPr>
        <w:pStyle w:val="Caption"/>
        <w:rPr>
          <w:rFonts w:ascii="Times New Roman" w:eastAsia="Calibri" w:hAnsi="Times New Roman" w:cs="Times New Roman"/>
          <w:b/>
          <w:i w:val="0"/>
          <w:iCs w:val="0"/>
          <w:color w:val="auto"/>
          <w:sz w:val="24"/>
          <w:szCs w:val="24"/>
          <w:lang w:val="en-GB"/>
        </w:rPr>
      </w:pPr>
      <w:bookmarkStart w:id="114" w:name="_Toc3483125"/>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15</w:t>
      </w:r>
      <w:r w:rsidR="001232BF" w:rsidRPr="000E1B7E">
        <w:rPr>
          <w:rFonts w:ascii="Times New Roman" w:eastAsia="Calibri" w:hAnsi="Times New Roman" w:cs="Times New Roman"/>
          <w:b/>
          <w:i w:val="0"/>
          <w:iCs w:val="0"/>
          <w:color w:val="auto"/>
          <w:sz w:val="24"/>
          <w:szCs w:val="24"/>
          <w:lang w:val="en-GB"/>
        </w:rPr>
        <w:fldChar w:fldCharType="end"/>
      </w:r>
      <w:r w:rsidR="00F009A5" w:rsidRPr="000E1B7E">
        <w:rPr>
          <w:rFonts w:ascii="Times New Roman" w:eastAsia="Calibri" w:hAnsi="Times New Roman" w:cs="Times New Roman"/>
          <w:b/>
          <w:i w:val="0"/>
          <w:iCs w:val="0"/>
          <w:color w:val="auto"/>
          <w:sz w:val="24"/>
          <w:szCs w:val="24"/>
          <w:lang w:val="en-GB"/>
        </w:rPr>
        <w:t>: Selected indicators of central Government Operations (FY2013/14-2017/18)</w:t>
      </w:r>
      <w:bookmarkEnd w:id="114"/>
    </w:p>
    <w:tbl>
      <w:tblPr>
        <w:tblStyle w:val="LightGrid1"/>
        <w:tblW w:w="5000" w:type="pct"/>
        <w:tblLook w:val="04A0" w:firstRow="1" w:lastRow="0" w:firstColumn="1" w:lastColumn="0" w:noHBand="0" w:noVBand="1"/>
      </w:tblPr>
      <w:tblGrid>
        <w:gridCol w:w="3816"/>
        <w:gridCol w:w="921"/>
        <w:gridCol w:w="921"/>
        <w:gridCol w:w="921"/>
        <w:gridCol w:w="921"/>
        <w:gridCol w:w="921"/>
        <w:gridCol w:w="919"/>
      </w:tblGrid>
      <w:tr w:rsidR="00F009A5" w:rsidRPr="000E1B7E" w14:paraId="0F6F06D9" w14:textId="77777777" w:rsidTr="00F009A5">
        <w:trPr>
          <w:cnfStyle w:val="100000000000" w:firstRow="1" w:lastRow="0" w:firstColumn="0" w:lastColumn="0" w:oddVBand="0" w:evenVBand="0" w:oddHBand="0" w:evenHBand="0" w:firstRowFirstColumn="0" w:firstRowLastColumn="0" w:lastRowFirstColumn="0" w:lastRowLastColumn="0"/>
          <w:trHeight w:val="232"/>
          <w:tblHeader/>
        </w:trPr>
        <w:tc>
          <w:tcPr>
            <w:cnfStyle w:val="001000000000" w:firstRow="0" w:lastRow="0" w:firstColumn="1" w:lastColumn="0" w:oddVBand="0" w:evenVBand="0" w:oddHBand="0" w:evenHBand="0" w:firstRowFirstColumn="0" w:firstRowLastColumn="0" w:lastRowFirstColumn="0" w:lastRowLastColumn="0"/>
            <w:tcW w:w="2043" w:type="pct"/>
            <w:hideMark/>
          </w:tcPr>
          <w:p w14:paraId="0E36AF2A" w14:textId="77777777" w:rsidR="00F009A5" w:rsidRPr="000E1B7E" w:rsidRDefault="00F009A5" w:rsidP="005959B5">
            <w:pPr>
              <w:jc w:val="both"/>
              <w:rPr>
                <w:rFonts w:ascii="Times New Roman" w:eastAsia="Times New Roman" w:hAnsi="Times New Roman" w:cs="Times New Roman"/>
                <w:b w:val="0"/>
                <w:color w:val="000000"/>
                <w:sz w:val="20"/>
                <w:szCs w:val="20"/>
                <w:lang w:val="en-US"/>
              </w:rPr>
            </w:pPr>
            <w:r w:rsidRPr="000E1B7E">
              <w:rPr>
                <w:rFonts w:ascii="Times New Roman" w:eastAsia="Times New Roman" w:hAnsi="Times New Roman" w:cs="Times New Roman"/>
                <w:b w:val="0"/>
                <w:color w:val="000000"/>
                <w:sz w:val="20"/>
                <w:szCs w:val="20"/>
                <w:lang w:val="en-US"/>
              </w:rPr>
              <w:t> </w:t>
            </w:r>
          </w:p>
        </w:tc>
        <w:tc>
          <w:tcPr>
            <w:tcW w:w="493" w:type="pct"/>
            <w:hideMark/>
          </w:tcPr>
          <w:p w14:paraId="62EA933B" w14:textId="77777777" w:rsidR="00F009A5" w:rsidRPr="000E1B7E" w:rsidRDefault="00F009A5"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2012/13</w:t>
            </w:r>
          </w:p>
        </w:tc>
        <w:tc>
          <w:tcPr>
            <w:tcW w:w="493" w:type="pct"/>
            <w:hideMark/>
          </w:tcPr>
          <w:p w14:paraId="5C1F2861" w14:textId="77777777" w:rsidR="00F009A5" w:rsidRPr="000E1B7E" w:rsidRDefault="00F009A5"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2013/14</w:t>
            </w:r>
          </w:p>
        </w:tc>
        <w:tc>
          <w:tcPr>
            <w:tcW w:w="493" w:type="pct"/>
            <w:hideMark/>
          </w:tcPr>
          <w:p w14:paraId="325D0B4C" w14:textId="77777777" w:rsidR="00F009A5" w:rsidRPr="000E1B7E" w:rsidRDefault="00F009A5"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2014/15</w:t>
            </w:r>
          </w:p>
        </w:tc>
        <w:tc>
          <w:tcPr>
            <w:tcW w:w="493" w:type="pct"/>
            <w:hideMark/>
          </w:tcPr>
          <w:p w14:paraId="36873854" w14:textId="77777777" w:rsidR="00F009A5" w:rsidRPr="000E1B7E" w:rsidRDefault="00F009A5"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2015/16</w:t>
            </w:r>
          </w:p>
        </w:tc>
        <w:tc>
          <w:tcPr>
            <w:tcW w:w="493" w:type="pct"/>
            <w:hideMark/>
          </w:tcPr>
          <w:p w14:paraId="7C88C08F" w14:textId="77777777" w:rsidR="00F009A5" w:rsidRPr="000E1B7E" w:rsidRDefault="00F009A5"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2016/17</w:t>
            </w:r>
          </w:p>
        </w:tc>
        <w:tc>
          <w:tcPr>
            <w:tcW w:w="493" w:type="pct"/>
            <w:hideMark/>
          </w:tcPr>
          <w:p w14:paraId="25502A2F" w14:textId="77777777" w:rsidR="00F009A5" w:rsidRPr="000E1B7E" w:rsidRDefault="00F009A5"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2017/18</w:t>
            </w:r>
          </w:p>
        </w:tc>
      </w:tr>
      <w:tr w:rsidR="00F009A5" w:rsidRPr="000E1B7E" w14:paraId="2D09FA4C"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31666808"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Revenue &amp; Grants / GDP</w:t>
            </w:r>
          </w:p>
        </w:tc>
        <w:tc>
          <w:tcPr>
            <w:tcW w:w="493" w:type="pct"/>
            <w:noWrap/>
            <w:hideMark/>
          </w:tcPr>
          <w:p w14:paraId="40B1D366"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13.0%</w:t>
            </w:r>
          </w:p>
        </w:tc>
        <w:tc>
          <w:tcPr>
            <w:tcW w:w="493" w:type="pct"/>
            <w:noWrap/>
            <w:hideMark/>
          </w:tcPr>
          <w:p w14:paraId="0107B764"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12.8%</w:t>
            </w:r>
          </w:p>
        </w:tc>
        <w:tc>
          <w:tcPr>
            <w:tcW w:w="493" w:type="pct"/>
            <w:noWrap/>
            <w:hideMark/>
          </w:tcPr>
          <w:p w14:paraId="201327CF"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14.4%</w:t>
            </w:r>
          </w:p>
        </w:tc>
        <w:tc>
          <w:tcPr>
            <w:tcW w:w="493" w:type="pct"/>
            <w:noWrap/>
            <w:hideMark/>
          </w:tcPr>
          <w:p w14:paraId="19EAF7AF"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15.2%</w:t>
            </w:r>
          </w:p>
        </w:tc>
        <w:tc>
          <w:tcPr>
            <w:tcW w:w="493" w:type="pct"/>
            <w:noWrap/>
            <w:hideMark/>
          </w:tcPr>
          <w:p w14:paraId="662CBE7D"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15.2%</w:t>
            </w:r>
          </w:p>
        </w:tc>
        <w:tc>
          <w:tcPr>
            <w:tcW w:w="493" w:type="pct"/>
            <w:noWrap/>
            <w:hideMark/>
          </w:tcPr>
          <w:p w14:paraId="5D94B5A9"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15.4%</w:t>
            </w:r>
          </w:p>
        </w:tc>
      </w:tr>
      <w:tr w:rsidR="00F009A5" w:rsidRPr="000E1B7E" w14:paraId="1C61436D"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72D410A5" w14:textId="77777777" w:rsidR="00F009A5" w:rsidRPr="000E1B7E" w:rsidRDefault="00F009A5" w:rsidP="005959B5">
            <w:pPr>
              <w:tabs>
                <w:tab w:val="left" w:pos="3000"/>
              </w:tabs>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Domestic Revenue incl Oil / GDP</w:t>
            </w:r>
            <w:r w:rsidRPr="000E1B7E">
              <w:rPr>
                <w:rFonts w:ascii="Times New Roman" w:eastAsia="Times New Roman" w:hAnsi="Times New Roman" w:cs="Times New Roman"/>
                <w:b w:val="0"/>
                <w:sz w:val="20"/>
                <w:szCs w:val="20"/>
                <w:lang w:val="en-US"/>
              </w:rPr>
              <w:tab/>
            </w:r>
          </w:p>
        </w:tc>
        <w:tc>
          <w:tcPr>
            <w:tcW w:w="493" w:type="pct"/>
            <w:noWrap/>
            <w:hideMark/>
          </w:tcPr>
          <w:p w14:paraId="4C8F7E61"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11.5%</w:t>
            </w:r>
          </w:p>
        </w:tc>
        <w:tc>
          <w:tcPr>
            <w:tcW w:w="493" w:type="pct"/>
            <w:noWrap/>
            <w:hideMark/>
          </w:tcPr>
          <w:p w14:paraId="37F03391"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11.8%</w:t>
            </w:r>
          </w:p>
        </w:tc>
        <w:tc>
          <w:tcPr>
            <w:tcW w:w="493" w:type="pct"/>
            <w:noWrap/>
            <w:hideMark/>
          </w:tcPr>
          <w:p w14:paraId="14F723D6"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13.1%</w:t>
            </w:r>
          </w:p>
        </w:tc>
        <w:tc>
          <w:tcPr>
            <w:tcW w:w="493" w:type="pct"/>
            <w:noWrap/>
            <w:hideMark/>
          </w:tcPr>
          <w:p w14:paraId="68267A4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13.8%</w:t>
            </w:r>
          </w:p>
        </w:tc>
        <w:tc>
          <w:tcPr>
            <w:tcW w:w="493" w:type="pct"/>
            <w:noWrap/>
            <w:hideMark/>
          </w:tcPr>
          <w:p w14:paraId="272D8561"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14.1%</w:t>
            </w:r>
          </w:p>
        </w:tc>
        <w:tc>
          <w:tcPr>
            <w:tcW w:w="493" w:type="pct"/>
            <w:noWrap/>
            <w:hideMark/>
          </w:tcPr>
          <w:p w14:paraId="1862ABB0"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14.2%</w:t>
            </w:r>
          </w:p>
        </w:tc>
      </w:tr>
      <w:tr w:rsidR="00F009A5" w:rsidRPr="000E1B7E" w14:paraId="40EEAD32"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5A6460D2"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Domestic Revenue / GDP</w:t>
            </w:r>
          </w:p>
        </w:tc>
        <w:tc>
          <w:tcPr>
            <w:tcW w:w="493" w:type="pct"/>
            <w:noWrap/>
            <w:hideMark/>
          </w:tcPr>
          <w:p w14:paraId="57E34948"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11.5%</w:t>
            </w:r>
          </w:p>
        </w:tc>
        <w:tc>
          <w:tcPr>
            <w:tcW w:w="493" w:type="pct"/>
            <w:noWrap/>
            <w:hideMark/>
          </w:tcPr>
          <w:p w14:paraId="457F25B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11.8%</w:t>
            </w:r>
          </w:p>
        </w:tc>
        <w:tc>
          <w:tcPr>
            <w:tcW w:w="493" w:type="pct"/>
            <w:noWrap/>
            <w:hideMark/>
          </w:tcPr>
          <w:p w14:paraId="39D61600"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13.0%</w:t>
            </w:r>
          </w:p>
        </w:tc>
        <w:tc>
          <w:tcPr>
            <w:tcW w:w="493" w:type="pct"/>
            <w:noWrap/>
            <w:hideMark/>
          </w:tcPr>
          <w:p w14:paraId="6516CCE6"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13.7%</w:t>
            </w:r>
          </w:p>
        </w:tc>
        <w:tc>
          <w:tcPr>
            <w:tcW w:w="493" w:type="pct"/>
            <w:noWrap/>
            <w:hideMark/>
          </w:tcPr>
          <w:p w14:paraId="36BF77A9"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14.0%</w:t>
            </w:r>
          </w:p>
        </w:tc>
        <w:tc>
          <w:tcPr>
            <w:tcW w:w="493" w:type="pct"/>
            <w:noWrap/>
            <w:hideMark/>
          </w:tcPr>
          <w:p w14:paraId="6A5E5BA5"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14.2%</w:t>
            </w:r>
          </w:p>
        </w:tc>
      </w:tr>
      <w:tr w:rsidR="00F009A5" w:rsidRPr="000E1B7E" w14:paraId="2770AA1B"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1F77325B"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Tax revenue incl Oil / GDP</w:t>
            </w:r>
          </w:p>
        </w:tc>
        <w:tc>
          <w:tcPr>
            <w:tcW w:w="493" w:type="pct"/>
            <w:noWrap/>
            <w:hideMark/>
          </w:tcPr>
          <w:p w14:paraId="3AD382B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11.2%</w:t>
            </w:r>
          </w:p>
        </w:tc>
        <w:tc>
          <w:tcPr>
            <w:tcW w:w="493" w:type="pct"/>
            <w:noWrap/>
            <w:hideMark/>
          </w:tcPr>
          <w:p w14:paraId="5F4A35B0"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11.6%</w:t>
            </w:r>
          </w:p>
        </w:tc>
        <w:tc>
          <w:tcPr>
            <w:tcW w:w="493" w:type="pct"/>
            <w:noWrap/>
            <w:hideMark/>
          </w:tcPr>
          <w:p w14:paraId="3CFA9C4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12.7%</w:t>
            </w:r>
          </w:p>
        </w:tc>
        <w:tc>
          <w:tcPr>
            <w:tcW w:w="493" w:type="pct"/>
            <w:noWrap/>
            <w:hideMark/>
          </w:tcPr>
          <w:p w14:paraId="7549DC27"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13.3%</w:t>
            </w:r>
          </w:p>
        </w:tc>
        <w:tc>
          <w:tcPr>
            <w:tcW w:w="493" w:type="pct"/>
            <w:noWrap/>
            <w:hideMark/>
          </w:tcPr>
          <w:p w14:paraId="2D8FC33F"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13.6%</w:t>
            </w:r>
          </w:p>
        </w:tc>
        <w:tc>
          <w:tcPr>
            <w:tcW w:w="493" w:type="pct"/>
            <w:noWrap/>
            <w:hideMark/>
          </w:tcPr>
          <w:p w14:paraId="7F42241F"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13.8%</w:t>
            </w:r>
          </w:p>
        </w:tc>
      </w:tr>
      <w:tr w:rsidR="00F009A5" w:rsidRPr="000E1B7E" w14:paraId="3DCCA673"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283A9691"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Tax revenue / GDP</w:t>
            </w:r>
          </w:p>
        </w:tc>
        <w:tc>
          <w:tcPr>
            <w:tcW w:w="493" w:type="pct"/>
            <w:noWrap/>
            <w:hideMark/>
          </w:tcPr>
          <w:p w14:paraId="6AAEFA76"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11.2%</w:t>
            </w:r>
          </w:p>
        </w:tc>
        <w:tc>
          <w:tcPr>
            <w:tcW w:w="493" w:type="pct"/>
            <w:noWrap/>
            <w:hideMark/>
          </w:tcPr>
          <w:p w14:paraId="55CB6D2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11.6%</w:t>
            </w:r>
          </w:p>
        </w:tc>
        <w:tc>
          <w:tcPr>
            <w:tcW w:w="493" w:type="pct"/>
            <w:noWrap/>
            <w:hideMark/>
          </w:tcPr>
          <w:p w14:paraId="7826C39C"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12.5%</w:t>
            </w:r>
          </w:p>
        </w:tc>
        <w:tc>
          <w:tcPr>
            <w:tcW w:w="493" w:type="pct"/>
            <w:noWrap/>
            <w:hideMark/>
          </w:tcPr>
          <w:p w14:paraId="022B2718"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13.2%</w:t>
            </w:r>
          </w:p>
        </w:tc>
        <w:tc>
          <w:tcPr>
            <w:tcW w:w="493" w:type="pct"/>
            <w:noWrap/>
            <w:hideMark/>
          </w:tcPr>
          <w:p w14:paraId="4C877B17"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13.4%</w:t>
            </w:r>
          </w:p>
        </w:tc>
        <w:tc>
          <w:tcPr>
            <w:tcW w:w="493" w:type="pct"/>
            <w:noWrap/>
            <w:hideMark/>
          </w:tcPr>
          <w:p w14:paraId="048A041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13.8%</w:t>
            </w:r>
          </w:p>
        </w:tc>
      </w:tr>
      <w:tr w:rsidR="00F009A5" w:rsidRPr="000E1B7E" w14:paraId="06F31C40"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6F1A626A"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Total Expenditure (excl domestic arrears repayments) / GDP</w:t>
            </w:r>
          </w:p>
        </w:tc>
        <w:tc>
          <w:tcPr>
            <w:tcW w:w="493" w:type="pct"/>
            <w:noWrap/>
            <w:hideMark/>
          </w:tcPr>
          <w:p w14:paraId="623E7823"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16.4%</w:t>
            </w:r>
          </w:p>
        </w:tc>
        <w:tc>
          <w:tcPr>
            <w:tcW w:w="493" w:type="pct"/>
            <w:noWrap/>
            <w:hideMark/>
          </w:tcPr>
          <w:p w14:paraId="1193CBD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16.8%</w:t>
            </w:r>
          </w:p>
        </w:tc>
        <w:tc>
          <w:tcPr>
            <w:tcW w:w="493" w:type="pct"/>
            <w:noWrap/>
            <w:hideMark/>
          </w:tcPr>
          <w:p w14:paraId="6DFF5A2E"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18.5%</w:t>
            </w:r>
          </w:p>
        </w:tc>
        <w:tc>
          <w:tcPr>
            <w:tcW w:w="493" w:type="pct"/>
            <w:noWrap/>
            <w:hideMark/>
          </w:tcPr>
          <w:p w14:paraId="78339290"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20.0%</w:t>
            </w:r>
          </w:p>
        </w:tc>
        <w:tc>
          <w:tcPr>
            <w:tcW w:w="493" w:type="pct"/>
            <w:noWrap/>
            <w:hideMark/>
          </w:tcPr>
          <w:p w14:paraId="6D8AA841"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18.8%</w:t>
            </w:r>
          </w:p>
        </w:tc>
        <w:tc>
          <w:tcPr>
            <w:tcW w:w="493" w:type="pct"/>
            <w:noWrap/>
            <w:hideMark/>
          </w:tcPr>
          <w:p w14:paraId="7B65AEE2"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19.8%</w:t>
            </w:r>
          </w:p>
        </w:tc>
      </w:tr>
      <w:tr w:rsidR="00F009A5" w:rsidRPr="000E1B7E" w14:paraId="48B12CF9"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378F7860"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Total Expenditure (incl domestic arrears repayments) / GDP</w:t>
            </w:r>
          </w:p>
        </w:tc>
        <w:tc>
          <w:tcPr>
            <w:tcW w:w="493" w:type="pct"/>
            <w:noWrap/>
            <w:hideMark/>
          </w:tcPr>
          <w:p w14:paraId="1609CC66"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16.5%</w:t>
            </w:r>
          </w:p>
        </w:tc>
        <w:tc>
          <w:tcPr>
            <w:tcW w:w="493" w:type="pct"/>
            <w:noWrap/>
            <w:hideMark/>
          </w:tcPr>
          <w:p w14:paraId="10F3308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16.9%</w:t>
            </w:r>
          </w:p>
        </w:tc>
        <w:tc>
          <w:tcPr>
            <w:tcW w:w="493" w:type="pct"/>
            <w:noWrap/>
            <w:hideMark/>
          </w:tcPr>
          <w:p w14:paraId="5C98C1B1"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18.8%</w:t>
            </w:r>
          </w:p>
        </w:tc>
        <w:tc>
          <w:tcPr>
            <w:tcW w:w="493" w:type="pct"/>
            <w:noWrap/>
            <w:hideMark/>
          </w:tcPr>
          <w:p w14:paraId="6B4B94AA"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20.2%</w:t>
            </w:r>
          </w:p>
        </w:tc>
        <w:tc>
          <w:tcPr>
            <w:tcW w:w="493" w:type="pct"/>
            <w:noWrap/>
            <w:hideMark/>
          </w:tcPr>
          <w:p w14:paraId="4D933724"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19.0%</w:t>
            </w:r>
          </w:p>
        </w:tc>
        <w:tc>
          <w:tcPr>
            <w:tcW w:w="493" w:type="pct"/>
            <w:noWrap/>
            <w:hideMark/>
          </w:tcPr>
          <w:p w14:paraId="23B743CF"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20.1%</w:t>
            </w:r>
          </w:p>
        </w:tc>
      </w:tr>
      <w:tr w:rsidR="00F009A5" w:rsidRPr="000E1B7E" w14:paraId="26A7932E"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50171EF4"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Gross Operating Balance / GDP</w:t>
            </w:r>
          </w:p>
        </w:tc>
        <w:tc>
          <w:tcPr>
            <w:tcW w:w="493" w:type="pct"/>
            <w:noWrap/>
            <w:hideMark/>
          </w:tcPr>
          <w:p w14:paraId="220B4FF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w:t>
            </w:r>
          </w:p>
        </w:tc>
        <w:tc>
          <w:tcPr>
            <w:tcW w:w="493" w:type="pct"/>
            <w:noWrap/>
            <w:hideMark/>
          </w:tcPr>
          <w:p w14:paraId="27073143"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0.4%</w:t>
            </w:r>
          </w:p>
        </w:tc>
        <w:tc>
          <w:tcPr>
            <w:tcW w:w="493" w:type="pct"/>
            <w:noWrap/>
            <w:hideMark/>
          </w:tcPr>
          <w:p w14:paraId="59F9A736"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1.9%</w:t>
            </w:r>
          </w:p>
        </w:tc>
        <w:tc>
          <w:tcPr>
            <w:tcW w:w="493" w:type="pct"/>
            <w:noWrap/>
            <w:hideMark/>
          </w:tcPr>
          <w:p w14:paraId="5990B49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1.4%</w:t>
            </w:r>
          </w:p>
        </w:tc>
        <w:tc>
          <w:tcPr>
            <w:tcW w:w="493" w:type="pct"/>
            <w:noWrap/>
            <w:hideMark/>
          </w:tcPr>
          <w:p w14:paraId="1F6C9C89"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0.0%</w:t>
            </w:r>
          </w:p>
        </w:tc>
        <w:tc>
          <w:tcPr>
            <w:tcW w:w="493" w:type="pct"/>
            <w:noWrap/>
            <w:hideMark/>
          </w:tcPr>
          <w:p w14:paraId="24BDF688"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0.0%</w:t>
            </w:r>
          </w:p>
        </w:tc>
      </w:tr>
      <w:tr w:rsidR="00F009A5" w:rsidRPr="000E1B7E" w14:paraId="5941977F"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05C6020A"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Domestic Balance / GDP</w:t>
            </w:r>
          </w:p>
        </w:tc>
        <w:tc>
          <w:tcPr>
            <w:tcW w:w="493" w:type="pct"/>
            <w:noWrap/>
            <w:hideMark/>
          </w:tcPr>
          <w:p w14:paraId="1848E13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-1.4%</w:t>
            </w:r>
          </w:p>
        </w:tc>
        <w:tc>
          <w:tcPr>
            <w:tcW w:w="493" w:type="pct"/>
            <w:noWrap/>
            <w:hideMark/>
          </w:tcPr>
          <w:p w14:paraId="3EF41168"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-2.2%</w:t>
            </w:r>
          </w:p>
        </w:tc>
        <w:tc>
          <w:tcPr>
            <w:tcW w:w="493" w:type="pct"/>
            <w:noWrap/>
            <w:hideMark/>
          </w:tcPr>
          <w:p w14:paraId="344C9F3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-2.9%</w:t>
            </w:r>
          </w:p>
        </w:tc>
        <w:tc>
          <w:tcPr>
            <w:tcW w:w="493" w:type="pct"/>
            <w:noWrap/>
            <w:hideMark/>
          </w:tcPr>
          <w:p w14:paraId="7A85ECE7"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-3.2%</w:t>
            </w:r>
          </w:p>
        </w:tc>
        <w:tc>
          <w:tcPr>
            <w:tcW w:w="493" w:type="pct"/>
            <w:noWrap/>
            <w:hideMark/>
          </w:tcPr>
          <w:p w14:paraId="7EDE62E2"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-1.8%</w:t>
            </w:r>
          </w:p>
        </w:tc>
        <w:tc>
          <w:tcPr>
            <w:tcW w:w="493" w:type="pct"/>
            <w:noWrap/>
            <w:hideMark/>
          </w:tcPr>
          <w:p w14:paraId="348479C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-1.9%</w:t>
            </w:r>
          </w:p>
        </w:tc>
      </w:tr>
      <w:tr w:rsidR="00F009A5" w:rsidRPr="000E1B7E" w14:paraId="23A121F1"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445DBDCD"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Primary Balance / GDP</w:t>
            </w:r>
          </w:p>
        </w:tc>
        <w:tc>
          <w:tcPr>
            <w:tcW w:w="493" w:type="pct"/>
            <w:noWrap/>
            <w:hideMark/>
          </w:tcPr>
          <w:p w14:paraId="5B473311"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-2.1%</w:t>
            </w:r>
          </w:p>
        </w:tc>
        <w:tc>
          <w:tcPr>
            <w:tcW w:w="493" w:type="pct"/>
            <w:noWrap/>
            <w:hideMark/>
          </w:tcPr>
          <w:p w14:paraId="557F0BF6"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-2.7%</w:t>
            </w:r>
          </w:p>
        </w:tc>
        <w:tc>
          <w:tcPr>
            <w:tcW w:w="493" w:type="pct"/>
            <w:noWrap/>
            <w:hideMark/>
          </w:tcPr>
          <w:p w14:paraId="05FAAEB8"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-2.8%</w:t>
            </w:r>
          </w:p>
        </w:tc>
        <w:tc>
          <w:tcPr>
            <w:tcW w:w="493" w:type="pct"/>
            <w:noWrap/>
            <w:hideMark/>
          </w:tcPr>
          <w:p w14:paraId="7D0D6DDB"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-2.9%</w:t>
            </w:r>
          </w:p>
        </w:tc>
        <w:tc>
          <w:tcPr>
            <w:tcW w:w="493" w:type="pct"/>
            <w:noWrap/>
            <w:hideMark/>
          </w:tcPr>
          <w:p w14:paraId="073C606D"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w:t>
            </w:r>
          </w:p>
        </w:tc>
        <w:tc>
          <w:tcPr>
            <w:tcW w:w="493" w:type="pct"/>
            <w:noWrap/>
            <w:hideMark/>
          </w:tcPr>
          <w:p w14:paraId="324BDE6F"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-2.1%</w:t>
            </w:r>
          </w:p>
        </w:tc>
      </w:tr>
      <w:tr w:rsidR="00F009A5" w:rsidRPr="000E1B7E" w14:paraId="47F581B1"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779FD751"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Budget Deficit (excl Grants) / GDP</w:t>
            </w:r>
          </w:p>
        </w:tc>
        <w:tc>
          <w:tcPr>
            <w:tcW w:w="493" w:type="pct"/>
            <w:noWrap/>
            <w:hideMark/>
          </w:tcPr>
          <w:p w14:paraId="4A14242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-5.0%</w:t>
            </w:r>
          </w:p>
        </w:tc>
        <w:tc>
          <w:tcPr>
            <w:tcW w:w="493" w:type="pct"/>
            <w:noWrap/>
            <w:hideMark/>
          </w:tcPr>
          <w:p w14:paraId="01BCC5F7"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-5.1%</w:t>
            </w:r>
          </w:p>
        </w:tc>
        <w:tc>
          <w:tcPr>
            <w:tcW w:w="493" w:type="pct"/>
            <w:noWrap/>
            <w:hideMark/>
          </w:tcPr>
          <w:p w14:paraId="4203529F"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-5.6%</w:t>
            </w:r>
          </w:p>
        </w:tc>
        <w:tc>
          <w:tcPr>
            <w:tcW w:w="493" w:type="pct"/>
            <w:noWrap/>
            <w:hideMark/>
          </w:tcPr>
          <w:p w14:paraId="148578F4"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-6.3%</w:t>
            </w:r>
          </w:p>
        </w:tc>
        <w:tc>
          <w:tcPr>
            <w:tcW w:w="493" w:type="pct"/>
            <w:noWrap/>
            <w:hideMark/>
          </w:tcPr>
          <w:p w14:paraId="5F7DF54A"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-4.9%</w:t>
            </w:r>
          </w:p>
        </w:tc>
        <w:tc>
          <w:tcPr>
            <w:tcW w:w="493" w:type="pct"/>
            <w:noWrap/>
            <w:hideMark/>
          </w:tcPr>
          <w:p w14:paraId="7E38111D"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-5.9%</w:t>
            </w:r>
          </w:p>
        </w:tc>
      </w:tr>
      <w:tr w:rsidR="00F009A5" w:rsidRPr="000E1B7E" w14:paraId="61778C20"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307D3C64"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Budget Deficit (incl Grants) / GDP</w:t>
            </w:r>
          </w:p>
        </w:tc>
        <w:tc>
          <w:tcPr>
            <w:tcW w:w="493" w:type="pct"/>
            <w:noWrap/>
            <w:hideMark/>
          </w:tcPr>
          <w:p w14:paraId="4F82A10B"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-3.5%</w:t>
            </w:r>
          </w:p>
        </w:tc>
        <w:tc>
          <w:tcPr>
            <w:tcW w:w="493" w:type="pct"/>
            <w:noWrap/>
            <w:hideMark/>
          </w:tcPr>
          <w:p w14:paraId="6168FF3B"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-4.1%</w:t>
            </w:r>
          </w:p>
        </w:tc>
        <w:tc>
          <w:tcPr>
            <w:tcW w:w="493" w:type="pct"/>
            <w:noWrap/>
            <w:hideMark/>
          </w:tcPr>
          <w:p w14:paraId="14146B47"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-4.4%</w:t>
            </w:r>
          </w:p>
        </w:tc>
        <w:tc>
          <w:tcPr>
            <w:tcW w:w="493" w:type="pct"/>
            <w:noWrap/>
            <w:hideMark/>
          </w:tcPr>
          <w:p w14:paraId="6E644B6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-4.9%</w:t>
            </w:r>
          </w:p>
        </w:tc>
        <w:tc>
          <w:tcPr>
            <w:tcW w:w="493" w:type="pct"/>
            <w:noWrap/>
            <w:hideMark/>
          </w:tcPr>
          <w:p w14:paraId="18AD624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-3.9%</w:t>
            </w:r>
          </w:p>
        </w:tc>
        <w:tc>
          <w:tcPr>
            <w:tcW w:w="493" w:type="pct"/>
            <w:noWrap/>
            <w:hideMark/>
          </w:tcPr>
          <w:p w14:paraId="4E9FBF37"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-4.7%</w:t>
            </w:r>
          </w:p>
        </w:tc>
      </w:tr>
      <w:tr w:rsidR="00F009A5" w:rsidRPr="000E1B7E" w14:paraId="26A58DDF"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42479E16"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Domestic Financing (net) / GDP (-borrowing/+ saving)</w:t>
            </w:r>
          </w:p>
        </w:tc>
        <w:tc>
          <w:tcPr>
            <w:tcW w:w="493" w:type="pct"/>
            <w:noWrap/>
            <w:hideMark/>
          </w:tcPr>
          <w:p w14:paraId="50889280"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w:t>
            </w:r>
          </w:p>
        </w:tc>
        <w:tc>
          <w:tcPr>
            <w:tcW w:w="493" w:type="pct"/>
            <w:noWrap/>
            <w:hideMark/>
          </w:tcPr>
          <w:p w14:paraId="2269108B"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-2.4%</w:t>
            </w:r>
          </w:p>
        </w:tc>
        <w:tc>
          <w:tcPr>
            <w:tcW w:w="493" w:type="pct"/>
            <w:noWrap/>
            <w:hideMark/>
          </w:tcPr>
          <w:p w14:paraId="33AC6862"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-3.2%</w:t>
            </w:r>
          </w:p>
        </w:tc>
        <w:tc>
          <w:tcPr>
            <w:tcW w:w="493" w:type="pct"/>
            <w:noWrap/>
            <w:hideMark/>
          </w:tcPr>
          <w:p w14:paraId="782D40C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-2.3%</w:t>
            </w:r>
          </w:p>
        </w:tc>
        <w:tc>
          <w:tcPr>
            <w:tcW w:w="493" w:type="pct"/>
            <w:noWrap/>
            <w:hideMark/>
          </w:tcPr>
          <w:p w14:paraId="7B1C0A6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-0.7%</w:t>
            </w:r>
          </w:p>
        </w:tc>
        <w:tc>
          <w:tcPr>
            <w:tcW w:w="493" w:type="pct"/>
            <w:noWrap/>
            <w:hideMark/>
          </w:tcPr>
          <w:p w14:paraId="7DC917D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-2.1%</w:t>
            </w:r>
          </w:p>
        </w:tc>
      </w:tr>
      <w:tr w:rsidR="00F009A5" w:rsidRPr="000E1B7E" w14:paraId="561FC3BB"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38405EFB" w14:textId="77777777" w:rsidR="00F009A5" w:rsidRPr="000E1B7E" w:rsidRDefault="00F009A5" w:rsidP="005959B5">
            <w:pPr>
              <w:ind w:firstLineChars="100" w:firstLine="200"/>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o/w Bank Financing  (-borrowing/+ saving)</w:t>
            </w:r>
          </w:p>
        </w:tc>
        <w:tc>
          <w:tcPr>
            <w:tcW w:w="493" w:type="pct"/>
            <w:noWrap/>
            <w:hideMark/>
          </w:tcPr>
          <w:p w14:paraId="18889B27"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-0.8%</w:t>
            </w:r>
          </w:p>
        </w:tc>
        <w:tc>
          <w:tcPr>
            <w:tcW w:w="493" w:type="pct"/>
            <w:noWrap/>
            <w:hideMark/>
          </w:tcPr>
          <w:p w14:paraId="4BB4E416"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-0.9%</w:t>
            </w:r>
          </w:p>
        </w:tc>
        <w:tc>
          <w:tcPr>
            <w:tcW w:w="493" w:type="pct"/>
            <w:noWrap/>
            <w:hideMark/>
          </w:tcPr>
          <w:p w14:paraId="759EED51"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-1.7%</w:t>
            </w:r>
          </w:p>
        </w:tc>
        <w:tc>
          <w:tcPr>
            <w:tcW w:w="493" w:type="pct"/>
            <w:noWrap/>
            <w:hideMark/>
          </w:tcPr>
          <w:p w14:paraId="6D0327A5"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-1.1%</w:t>
            </w:r>
          </w:p>
        </w:tc>
        <w:tc>
          <w:tcPr>
            <w:tcW w:w="493" w:type="pct"/>
            <w:noWrap/>
            <w:hideMark/>
          </w:tcPr>
          <w:p w14:paraId="2D14E273"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0.3%</w:t>
            </w:r>
          </w:p>
        </w:tc>
        <w:tc>
          <w:tcPr>
            <w:tcW w:w="493" w:type="pct"/>
            <w:noWrap/>
            <w:hideMark/>
          </w:tcPr>
          <w:p w14:paraId="154012D9"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-1.7%</w:t>
            </w:r>
          </w:p>
        </w:tc>
      </w:tr>
      <w:tr w:rsidR="00F009A5" w:rsidRPr="000E1B7E" w14:paraId="57F10E7D"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1BA4BFEB" w14:textId="77777777" w:rsidR="00F009A5" w:rsidRPr="000E1B7E" w:rsidRDefault="00F009A5" w:rsidP="005959B5">
            <w:pPr>
              <w:ind w:firstLineChars="100" w:firstLine="200"/>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o/w Non-Bank Financing (-borrowing/+ saving)</w:t>
            </w:r>
          </w:p>
        </w:tc>
        <w:tc>
          <w:tcPr>
            <w:tcW w:w="493" w:type="pct"/>
            <w:noWrap/>
            <w:hideMark/>
          </w:tcPr>
          <w:p w14:paraId="1A634BD4"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-0.3%</w:t>
            </w:r>
          </w:p>
        </w:tc>
        <w:tc>
          <w:tcPr>
            <w:tcW w:w="493" w:type="pct"/>
            <w:noWrap/>
            <w:hideMark/>
          </w:tcPr>
          <w:p w14:paraId="6E60B2FE"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w:t>
            </w:r>
          </w:p>
        </w:tc>
        <w:tc>
          <w:tcPr>
            <w:tcW w:w="493" w:type="pct"/>
            <w:noWrap/>
            <w:hideMark/>
          </w:tcPr>
          <w:p w14:paraId="0EBFB635"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-1.6%</w:t>
            </w:r>
          </w:p>
        </w:tc>
        <w:tc>
          <w:tcPr>
            <w:tcW w:w="493" w:type="pct"/>
            <w:noWrap/>
            <w:hideMark/>
          </w:tcPr>
          <w:p w14:paraId="6BBDD38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w:t>
            </w:r>
          </w:p>
        </w:tc>
        <w:tc>
          <w:tcPr>
            <w:tcW w:w="493" w:type="pct"/>
            <w:noWrap/>
            <w:hideMark/>
          </w:tcPr>
          <w:p w14:paraId="6C6834A2"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-1.0%</w:t>
            </w:r>
          </w:p>
        </w:tc>
        <w:tc>
          <w:tcPr>
            <w:tcW w:w="493" w:type="pct"/>
            <w:noWrap/>
            <w:hideMark/>
          </w:tcPr>
          <w:p w14:paraId="74B8285B"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-0.4%</w:t>
            </w:r>
          </w:p>
        </w:tc>
      </w:tr>
      <w:tr w:rsidR="00F009A5" w:rsidRPr="000E1B7E" w14:paraId="20397C1F"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55C5ACBF"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Foreign Disbursements (grants and loans) / Total Budget (incldomest</w:t>
            </w:r>
          </w:p>
        </w:tc>
        <w:tc>
          <w:tcPr>
            <w:tcW w:w="493" w:type="pct"/>
            <w:noWrap/>
            <w:hideMark/>
          </w:tcPr>
          <w:p w14:paraId="1B810556"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24.4%</w:t>
            </w:r>
          </w:p>
        </w:tc>
        <w:tc>
          <w:tcPr>
            <w:tcW w:w="493" w:type="pct"/>
            <w:noWrap/>
            <w:hideMark/>
          </w:tcPr>
          <w:p w14:paraId="3FB687F0"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15.7%</w:t>
            </w:r>
          </w:p>
        </w:tc>
        <w:tc>
          <w:tcPr>
            <w:tcW w:w="493" w:type="pct"/>
            <w:noWrap/>
            <w:hideMark/>
          </w:tcPr>
          <w:p w14:paraId="5889D7E7"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14.7%</w:t>
            </w:r>
          </w:p>
        </w:tc>
        <w:tc>
          <w:tcPr>
            <w:tcW w:w="493" w:type="pct"/>
            <w:noWrap/>
            <w:hideMark/>
          </w:tcPr>
          <w:p w14:paraId="3B2CB154"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23.6%</w:t>
            </w:r>
          </w:p>
        </w:tc>
        <w:tc>
          <w:tcPr>
            <w:tcW w:w="493" w:type="pct"/>
            <w:noWrap/>
            <w:hideMark/>
          </w:tcPr>
          <w:p w14:paraId="3C9BB962"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22.6%</w:t>
            </w:r>
          </w:p>
        </w:tc>
        <w:tc>
          <w:tcPr>
            <w:tcW w:w="493" w:type="pct"/>
            <w:noWrap/>
            <w:hideMark/>
          </w:tcPr>
          <w:p w14:paraId="3D23C496"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24.2%</w:t>
            </w:r>
          </w:p>
        </w:tc>
      </w:tr>
      <w:tr w:rsidR="00F009A5" w:rsidRPr="000E1B7E" w14:paraId="6AA7E8D5"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585B6BA1"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Foreign Disbursements (grants and loans) / GDP</w:t>
            </w:r>
          </w:p>
        </w:tc>
        <w:tc>
          <w:tcPr>
            <w:tcW w:w="493" w:type="pct"/>
            <w:noWrap/>
            <w:hideMark/>
          </w:tcPr>
          <w:p w14:paraId="463CEC6F"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4.0%</w:t>
            </w:r>
          </w:p>
        </w:tc>
        <w:tc>
          <w:tcPr>
            <w:tcW w:w="493" w:type="pct"/>
            <w:noWrap/>
            <w:hideMark/>
          </w:tcPr>
          <w:p w14:paraId="2A473C36"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2.6%</w:t>
            </w:r>
          </w:p>
        </w:tc>
        <w:tc>
          <w:tcPr>
            <w:tcW w:w="493" w:type="pct"/>
            <w:noWrap/>
            <w:hideMark/>
          </w:tcPr>
          <w:p w14:paraId="09DDADF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2.8%</w:t>
            </w:r>
          </w:p>
        </w:tc>
        <w:tc>
          <w:tcPr>
            <w:tcW w:w="493" w:type="pct"/>
            <w:noWrap/>
            <w:hideMark/>
          </w:tcPr>
          <w:p w14:paraId="1866FDF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4.8%</w:t>
            </w:r>
          </w:p>
        </w:tc>
        <w:tc>
          <w:tcPr>
            <w:tcW w:w="493" w:type="pct"/>
            <w:noWrap/>
            <w:hideMark/>
          </w:tcPr>
          <w:p w14:paraId="42290F5F"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4.3%</w:t>
            </w:r>
          </w:p>
        </w:tc>
        <w:tc>
          <w:tcPr>
            <w:tcW w:w="493" w:type="pct"/>
            <w:noWrap/>
            <w:hideMark/>
          </w:tcPr>
          <w:p w14:paraId="3C3F7CEA"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4.9%</w:t>
            </w:r>
          </w:p>
        </w:tc>
      </w:tr>
      <w:tr w:rsidR="00F009A5" w:rsidRPr="000E1B7E" w14:paraId="0D2CF5F2"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469C2CB0"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External Borrowing (net) (disbursements less amo</w:t>
            </w:r>
            <w:r w:rsidR="00FC35B8" w:rsidRPr="000E1B7E">
              <w:rPr>
                <w:rFonts w:ascii="Times New Roman" w:eastAsia="Times New Roman" w:hAnsi="Times New Roman" w:cs="Times New Roman"/>
                <w:b w:val="0"/>
                <w:sz w:val="20"/>
                <w:szCs w:val="20"/>
                <w:lang w:val="en-US"/>
              </w:rPr>
              <w:t>r</w:t>
            </w:r>
            <w:r w:rsidRPr="000E1B7E">
              <w:rPr>
                <w:rFonts w:ascii="Times New Roman" w:eastAsia="Times New Roman" w:hAnsi="Times New Roman" w:cs="Times New Roman"/>
                <w:b w:val="0"/>
                <w:sz w:val="20"/>
                <w:szCs w:val="20"/>
                <w:lang w:val="en-US"/>
              </w:rPr>
              <w:t>tization)  / GDP</w:t>
            </w:r>
          </w:p>
        </w:tc>
        <w:tc>
          <w:tcPr>
            <w:tcW w:w="493" w:type="pct"/>
            <w:noWrap/>
            <w:hideMark/>
          </w:tcPr>
          <w:p w14:paraId="706B38B2"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-2.2%</w:t>
            </w:r>
          </w:p>
        </w:tc>
        <w:tc>
          <w:tcPr>
            <w:tcW w:w="493" w:type="pct"/>
            <w:noWrap/>
            <w:hideMark/>
          </w:tcPr>
          <w:p w14:paraId="5C6AFFEB"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w:t>
            </w:r>
          </w:p>
        </w:tc>
        <w:tc>
          <w:tcPr>
            <w:tcW w:w="493" w:type="pct"/>
            <w:noWrap/>
            <w:hideMark/>
          </w:tcPr>
          <w:p w14:paraId="0FE8D2EF"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-1.2%</w:t>
            </w:r>
          </w:p>
        </w:tc>
        <w:tc>
          <w:tcPr>
            <w:tcW w:w="493" w:type="pct"/>
            <w:noWrap/>
            <w:hideMark/>
          </w:tcPr>
          <w:p w14:paraId="71F0D843"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-3.0%</w:t>
            </w:r>
          </w:p>
        </w:tc>
        <w:tc>
          <w:tcPr>
            <w:tcW w:w="493" w:type="pct"/>
            <w:noWrap/>
            <w:hideMark/>
          </w:tcPr>
          <w:p w14:paraId="3FA58072"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-2.8%</w:t>
            </w:r>
          </w:p>
        </w:tc>
        <w:tc>
          <w:tcPr>
            <w:tcW w:w="493" w:type="pct"/>
            <w:noWrap/>
            <w:hideMark/>
          </w:tcPr>
          <w:p w14:paraId="4B3D63DD"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-2.6%</w:t>
            </w:r>
          </w:p>
        </w:tc>
      </w:tr>
      <w:tr w:rsidR="00F009A5" w:rsidRPr="000E1B7E" w14:paraId="52D4375F"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10E40488"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External Borrowing Disbursements / GDP</w:t>
            </w:r>
          </w:p>
        </w:tc>
        <w:tc>
          <w:tcPr>
            <w:tcW w:w="493" w:type="pct"/>
            <w:noWrap/>
            <w:hideMark/>
          </w:tcPr>
          <w:p w14:paraId="168E910D"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-2.6%</w:t>
            </w:r>
          </w:p>
        </w:tc>
        <w:tc>
          <w:tcPr>
            <w:tcW w:w="493" w:type="pct"/>
            <w:noWrap/>
            <w:hideMark/>
          </w:tcPr>
          <w:p w14:paraId="765F69AD"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-1.6%</w:t>
            </w:r>
          </w:p>
        </w:tc>
        <w:tc>
          <w:tcPr>
            <w:tcW w:w="493" w:type="pct"/>
            <w:noWrap/>
            <w:hideMark/>
          </w:tcPr>
          <w:p w14:paraId="4565F667"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w:t>
            </w:r>
          </w:p>
        </w:tc>
        <w:tc>
          <w:tcPr>
            <w:tcW w:w="493" w:type="pct"/>
            <w:noWrap/>
            <w:hideMark/>
          </w:tcPr>
          <w:p w14:paraId="73AA9E43"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-3.4%</w:t>
            </w:r>
          </w:p>
        </w:tc>
        <w:tc>
          <w:tcPr>
            <w:tcW w:w="493" w:type="pct"/>
            <w:noWrap/>
            <w:hideMark/>
          </w:tcPr>
          <w:p w14:paraId="7386702A"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-3.3%</w:t>
            </w:r>
          </w:p>
        </w:tc>
        <w:tc>
          <w:tcPr>
            <w:tcW w:w="493" w:type="pct"/>
            <w:noWrap/>
            <w:hideMark/>
          </w:tcPr>
          <w:p w14:paraId="0789F6F8"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-3.7%</w:t>
            </w:r>
          </w:p>
        </w:tc>
      </w:tr>
      <w:tr w:rsidR="00F009A5" w:rsidRPr="000E1B7E" w14:paraId="2A8376C5" w14:textId="77777777" w:rsidTr="00F009A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325D28F4"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Ratio of external borrowing disbursements to budget deficit (incl grant</w:t>
            </w:r>
          </w:p>
        </w:tc>
        <w:tc>
          <w:tcPr>
            <w:tcW w:w="493" w:type="pct"/>
            <w:noWrap/>
            <w:hideMark/>
          </w:tcPr>
          <w:p w14:paraId="3AF8F2A1"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72.5%</w:t>
            </w:r>
          </w:p>
        </w:tc>
        <w:tc>
          <w:tcPr>
            <w:tcW w:w="493" w:type="pct"/>
            <w:noWrap/>
            <w:hideMark/>
          </w:tcPr>
          <w:p w14:paraId="7B80EA18"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40.1%</w:t>
            </w:r>
          </w:p>
        </w:tc>
        <w:tc>
          <w:tcPr>
            <w:tcW w:w="493" w:type="pct"/>
            <w:noWrap/>
            <w:hideMark/>
          </w:tcPr>
          <w:p w14:paraId="1BA1923B"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34.7%</w:t>
            </w:r>
          </w:p>
        </w:tc>
        <w:tc>
          <w:tcPr>
            <w:tcW w:w="493" w:type="pct"/>
            <w:noWrap/>
            <w:hideMark/>
          </w:tcPr>
          <w:p w14:paraId="2073B07C"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68.6%</w:t>
            </w:r>
          </w:p>
        </w:tc>
        <w:tc>
          <w:tcPr>
            <w:tcW w:w="493" w:type="pct"/>
            <w:noWrap/>
            <w:hideMark/>
          </w:tcPr>
          <w:p w14:paraId="114650BA"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84.3%</w:t>
            </w:r>
          </w:p>
        </w:tc>
        <w:tc>
          <w:tcPr>
            <w:tcW w:w="493" w:type="pct"/>
            <w:noWrap/>
            <w:hideMark/>
          </w:tcPr>
          <w:p w14:paraId="5193B494" w14:textId="77777777" w:rsidR="00F009A5" w:rsidRPr="000E1B7E" w:rsidRDefault="00F009A5"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77.7%</w:t>
            </w:r>
          </w:p>
        </w:tc>
      </w:tr>
      <w:tr w:rsidR="00F009A5" w:rsidRPr="000E1B7E" w14:paraId="6970F8C7" w14:textId="77777777" w:rsidTr="00F009A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43" w:type="pct"/>
            <w:hideMark/>
          </w:tcPr>
          <w:p w14:paraId="107037B7" w14:textId="77777777" w:rsidR="00F009A5" w:rsidRPr="000E1B7E" w:rsidRDefault="00F009A5" w:rsidP="005959B5">
            <w:pPr>
              <w:jc w:val="both"/>
              <w:rPr>
                <w:rFonts w:ascii="Times New Roman" w:eastAsia="Times New Roman" w:hAnsi="Times New Roman" w:cs="Times New Roman"/>
                <w:b w:val="0"/>
                <w:sz w:val="20"/>
                <w:szCs w:val="20"/>
                <w:lang w:val="en-US"/>
              </w:rPr>
            </w:pPr>
            <w:r w:rsidRPr="000E1B7E">
              <w:rPr>
                <w:rFonts w:ascii="Times New Roman" w:eastAsia="Times New Roman" w:hAnsi="Times New Roman" w:cs="Times New Roman"/>
                <w:b w:val="0"/>
                <w:sz w:val="20"/>
                <w:szCs w:val="20"/>
                <w:lang w:val="en-US"/>
              </w:rPr>
              <w:t>Ratio of external borrowing disbursements to budget deficit (excl gran</w:t>
            </w:r>
          </w:p>
        </w:tc>
        <w:tc>
          <w:tcPr>
            <w:tcW w:w="493" w:type="pct"/>
            <w:noWrap/>
            <w:hideMark/>
          </w:tcPr>
          <w:p w14:paraId="3C161A48"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51.2%</w:t>
            </w:r>
          </w:p>
        </w:tc>
        <w:tc>
          <w:tcPr>
            <w:tcW w:w="493" w:type="pct"/>
            <w:noWrap/>
            <w:hideMark/>
          </w:tcPr>
          <w:p w14:paraId="36FB1BD7"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32.1%</w:t>
            </w:r>
          </w:p>
        </w:tc>
        <w:tc>
          <w:tcPr>
            <w:tcW w:w="493" w:type="pct"/>
            <w:noWrap/>
            <w:hideMark/>
          </w:tcPr>
          <w:p w14:paraId="5A67DF38"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27.2%</w:t>
            </w:r>
          </w:p>
        </w:tc>
        <w:tc>
          <w:tcPr>
            <w:tcW w:w="493" w:type="pct"/>
            <w:noWrap/>
            <w:hideMark/>
          </w:tcPr>
          <w:p w14:paraId="5DEB588F"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53.6%</w:t>
            </w:r>
          </w:p>
        </w:tc>
        <w:tc>
          <w:tcPr>
            <w:tcW w:w="493" w:type="pct"/>
            <w:noWrap/>
            <w:hideMark/>
          </w:tcPr>
          <w:p w14:paraId="28B15166"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66.4%</w:t>
            </w:r>
          </w:p>
        </w:tc>
        <w:tc>
          <w:tcPr>
            <w:tcW w:w="493" w:type="pct"/>
            <w:noWrap/>
            <w:hideMark/>
          </w:tcPr>
          <w:p w14:paraId="358C7BAA" w14:textId="77777777" w:rsidR="00F009A5" w:rsidRPr="000E1B7E" w:rsidRDefault="00F009A5"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61.7%</w:t>
            </w:r>
          </w:p>
        </w:tc>
      </w:tr>
    </w:tbl>
    <w:p w14:paraId="2E04EA32" w14:textId="77777777" w:rsidR="00886FE8" w:rsidRPr="000E1B7E" w:rsidRDefault="00886FE8" w:rsidP="005959B5">
      <w:pPr>
        <w:autoSpaceDE w:val="0"/>
        <w:autoSpaceDN w:val="0"/>
        <w:adjustRightInd w:val="0"/>
        <w:jc w:val="both"/>
      </w:pPr>
      <w:r w:rsidRPr="000E1B7E">
        <w:t>Source: MFPED</w:t>
      </w:r>
    </w:p>
    <w:p w14:paraId="0D995C54" w14:textId="77777777" w:rsidR="00F009A5" w:rsidRPr="000E1B7E" w:rsidRDefault="00F009A5" w:rsidP="005959B5">
      <w:pPr>
        <w:autoSpaceDE w:val="0"/>
        <w:autoSpaceDN w:val="0"/>
        <w:adjustRightInd w:val="0"/>
        <w:jc w:val="both"/>
        <w:rPr>
          <w:b/>
        </w:rPr>
      </w:pPr>
    </w:p>
    <w:p w14:paraId="4F77C607" w14:textId="77777777" w:rsidR="008941AD" w:rsidRPr="000E1B7E" w:rsidRDefault="008941AD" w:rsidP="00C11847">
      <w:pPr>
        <w:pStyle w:val="DeltaSeched2"/>
      </w:pPr>
      <w:bookmarkStart w:id="115" w:name="_Toc3478387"/>
      <w:bookmarkStart w:id="116" w:name="_Toc11956270"/>
      <w:r w:rsidRPr="000E1B7E">
        <w:t>Financing of NDP3</w:t>
      </w:r>
      <w:bookmarkEnd w:id="115"/>
      <w:bookmarkEnd w:id="116"/>
    </w:p>
    <w:p w14:paraId="40F4C745" w14:textId="77777777" w:rsidR="008941AD" w:rsidRPr="000E1B7E" w:rsidRDefault="008941AD"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Given the large financing requirements of projects that are being carried over from NDP2 to NDP3 and the limitations of borrowing as the country hits the debt ceiling-- it is unlikely that Uganda will be able to raise these resources only from concessional borrowing and tax </w:t>
      </w:r>
      <w:r w:rsidRPr="000E1B7E">
        <w:rPr>
          <w:rFonts w:ascii="Times New Roman" w:hAnsi="Times New Roman"/>
          <w:sz w:val="24"/>
          <w:szCs w:val="24"/>
        </w:rPr>
        <w:lastRenderedPageBreak/>
        <w:t>revenue efforts. It is imperative that Government also starts exploring other options especially to finance large infrastructure projects whose economic returns may not be viable in the short run but with enormous social benefits. Uganda is currently rated at B+ by Fitch and Standard and Poors rating agencies. The key driver for these ratings includes prudent macroeconomic policies combined with a renewed focus on infrastructure investment.  The MTR recommends that the Government considers alternative financing models. These include:</w:t>
      </w:r>
    </w:p>
    <w:p w14:paraId="098D7BE9" w14:textId="77777777" w:rsidR="008941AD" w:rsidRPr="000E1B7E" w:rsidRDefault="008941AD" w:rsidP="00F85D24">
      <w:pPr>
        <w:pStyle w:val="ListParagraph"/>
        <w:numPr>
          <w:ilvl w:val="1"/>
          <w:numId w:val="26"/>
        </w:numPr>
        <w:spacing w:line="360" w:lineRule="auto"/>
        <w:ind w:left="1276" w:hanging="709"/>
        <w:rPr>
          <w:rFonts w:ascii="Times New Roman" w:hAnsi="Times New Roman"/>
          <w:sz w:val="24"/>
          <w:szCs w:val="24"/>
        </w:rPr>
      </w:pPr>
      <w:r w:rsidRPr="000E1B7E">
        <w:rPr>
          <w:rFonts w:ascii="Times New Roman" w:hAnsi="Times New Roman"/>
          <w:b/>
          <w:sz w:val="24"/>
          <w:szCs w:val="24"/>
        </w:rPr>
        <w:t xml:space="preserve">Issuance of Infrastructure Bonds: </w:t>
      </w:r>
      <w:r w:rsidRPr="000E1B7E">
        <w:rPr>
          <w:rFonts w:ascii="Times New Roman" w:hAnsi="Times New Roman"/>
          <w:sz w:val="24"/>
          <w:szCs w:val="24"/>
          <w:lang w:val="en-US"/>
        </w:rPr>
        <w:t xml:space="preserve">Bonds provide an alternative to traditional funding, making infrastructure debt more accessible to a wide array of institutions. </w:t>
      </w:r>
      <w:r w:rsidRPr="000E1B7E">
        <w:rPr>
          <w:rFonts w:ascii="Times New Roman" w:hAnsi="Times New Roman"/>
          <w:sz w:val="24"/>
          <w:szCs w:val="24"/>
        </w:rPr>
        <w:t>At the backdrop of this development, Government should consider issuance of a Euro bond in international markets. The size of this bond will depend on the financing needs that are not fully covered under by concessional or semi-concessional borrowing. Also considerations of the costs and risks associated with such financing instruments should be taken into account. This will also require careful planning and preparations on the part of Government to ensure that proceeds are used immediately after issuance of the bond.  According to the World Bank</w:t>
      </w:r>
      <w:r w:rsidRPr="000E1B7E">
        <w:rPr>
          <w:rStyle w:val="FootnoteReference"/>
          <w:rFonts w:ascii="Times New Roman" w:hAnsi="Times New Roman"/>
          <w:sz w:val="24"/>
          <w:szCs w:val="24"/>
        </w:rPr>
        <w:footnoteReference w:id="9"/>
      </w:r>
      <w:r w:rsidRPr="000E1B7E">
        <w:rPr>
          <w:rFonts w:ascii="Times New Roman" w:hAnsi="Times New Roman"/>
          <w:sz w:val="24"/>
          <w:szCs w:val="24"/>
        </w:rPr>
        <w:t xml:space="preserve">, Uganda has a financing gap of about US$1.4 billion </w:t>
      </w:r>
      <w:r w:rsidR="00D70327" w:rsidRPr="000E1B7E">
        <w:rPr>
          <w:rFonts w:ascii="Times New Roman" w:hAnsi="Times New Roman"/>
          <w:sz w:val="24"/>
          <w:szCs w:val="24"/>
        </w:rPr>
        <w:t>annually</w:t>
      </w:r>
      <w:r w:rsidRPr="000E1B7E">
        <w:rPr>
          <w:rFonts w:ascii="Times New Roman" w:hAnsi="Times New Roman"/>
          <w:sz w:val="24"/>
          <w:szCs w:val="24"/>
        </w:rPr>
        <w:t xml:space="preserve"> for infrastructure investment. Accordingly, preliminary estimates suggest that Uganda can initially issue a bond of US 7 billion dollars to be entirely used for infrastructure development over a five year NDP III period.</w:t>
      </w:r>
      <w:r w:rsidRPr="000E1B7E">
        <w:rPr>
          <w:rFonts w:ascii="Times New Roman" w:hAnsi="Times New Roman"/>
          <w:sz w:val="24"/>
          <w:szCs w:val="24"/>
          <w:lang w:val="en-US"/>
        </w:rPr>
        <w:t xml:space="preserve"> Government can also initiate project specific infrastructure bonds to finance infrastructure projects and municipal infrastructure bonds to finance municipal and city infrastructure needs.</w:t>
      </w:r>
    </w:p>
    <w:p w14:paraId="13D744F5" w14:textId="77777777" w:rsidR="008941AD" w:rsidRPr="000E1B7E" w:rsidRDefault="008941AD" w:rsidP="00F85D24">
      <w:pPr>
        <w:pStyle w:val="ListParagraph"/>
        <w:numPr>
          <w:ilvl w:val="1"/>
          <w:numId w:val="26"/>
        </w:numPr>
        <w:spacing w:line="360" w:lineRule="auto"/>
        <w:ind w:left="1276" w:hanging="709"/>
        <w:rPr>
          <w:rFonts w:ascii="Times New Roman" w:hAnsi="Times New Roman"/>
          <w:b/>
          <w:sz w:val="24"/>
          <w:szCs w:val="24"/>
        </w:rPr>
      </w:pPr>
      <w:r w:rsidRPr="000E1B7E">
        <w:rPr>
          <w:rFonts w:ascii="Times New Roman" w:hAnsi="Times New Roman"/>
          <w:b/>
          <w:sz w:val="24"/>
          <w:szCs w:val="24"/>
        </w:rPr>
        <w:t>Uganda should also consider establishing a Fund of Funds</w:t>
      </w:r>
      <w:r w:rsidRPr="000E1B7E">
        <w:rPr>
          <w:rFonts w:ascii="Times New Roman" w:hAnsi="Times New Roman"/>
          <w:sz w:val="24"/>
          <w:szCs w:val="24"/>
        </w:rPr>
        <w:t xml:space="preserve">. This proposal to establish a Uganda Fund of Funds borrows heavily from the Korea experience of establishing fund of funds. Unlike in Uganda where very few venture capital funds exist, in the case of Korea, several venture funds were existing by the time the fund of funds was established in 2005. However, the fund was established among other </w:t>
      </w:r>
      <w:r w:rsidRPr="000E1B7E">
        <w:rPr>
          <w:rFonts w:ascii="Times New Roman" w:hAnsi="Times New Roman"/>
          <w:sz w:val="24"/>
          <w:szCs w:val="24"/>
        </w:rPr>
        <w:lastRenderedPageBreak/>
        <w:t xml:space="preserve">reasons to provide a stable and unified source of venture capital. It was fully government funded but allows a fund manager to evaluate, select, and distribute capital to a number of funds based on high standards and with a significant level of independence. It is proposed that Uganda considers establishing a fund of funds but adapt it to the local context with improved governance and management principles and practices. The Fund of Funds enables the government to have a stable and unified source of venture investment which can be targeted to priority sectors expected to grow at a high rate and generate employment. Over time the fund of funds can be gradually opened to the private sector, allowing for its efficiency and additional funding to be exploited. </w:t>
      </w:r>
    </w:p>
    <w:p w14:paraId="447D1E08" w14:textId="77777777" w:rsidR="008941AD" w:rsidRPr="000E1B7E" w:rsidRDefault="008941AD" w:rsidP="00F85D24">
      <w:pPr>
        <w:pStyle w:val="ListParagraph"/>
        <w:numPr>
          <w:ilvl w:val="1"/>
          <w:numId w:val="26"/>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To improve governance and management of fund of funds, it is proposed that, although the Fund of Funds would be financed partly by government, management of this fund would require being autonomous in its decision making and not influenced by government.  This would enable the managers to make decisions based on the viability of the projects in question. Notwithstanding the above proposal, the Fund would also have to be regulated by the Capital Markets Authority to ensure that it meets the generally acceptable standards and practices of capital markets and does not out-compete private venture capital initiatives. The venture capital invested in the individual enterprises would also follow the management practices that are used in the private venture capital market as in the case of Venture Capital Trust Fund of Ghana. In particular, the venture capital companies would take positions in individual enterprises and this would only be for a given period of time </w:t>
      </w:r>
    </w:p>
    <w:p w14:paraId="0EF5E722" w14:textId="77777777" w:rsidR="006461AC" w:rsidRPr="000E1B7E" w:rsidRDefault="008941AD" w:rsidP="00F85D24">
      <w:pPr>
        <w:pStyle w:val="ListParagraph"/>
        <w:numPr>
          <w:ilvl w:val="1"/>
          <w:numId w:val="26"/>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The structure of the funds of funds would appear as shown in </w:t>
      </w:r>
      <w:r w:rsidR="001232BF" w:rsidRPr="000E1B7E">
        <w:rPr>
          <w:rFonts w:ascii="Times New Roman" w:hAnsi="Times New Roman"/>
          <w:sz w:val="24"/>
          <w:szCs w:val="24"/>
        </w:rPr>
        <w:fldChar w:fldCharType="begin"/>
      </w:r>
      <w:r w:rsidR="007407C2" w:rsidRPr="000E1B7E">
        <w:rPr>
          <w:rFonts w:ascii="Times New Roman" w:hAnsi="Times New Roman"/>
          <w:sz w:val="24"/>
          <w:szCs w:val="24"/>
        </w:rPr>
        <w:instrText xml:space="preserve"> REF _Ref384636113 \h  \* MERGEFORMAT </w:instrText>
      </w:r>
      <w:r w:rsidR="001232BF" w:rsidRPr="000E1B7E">
        <w:rPr>
          <w:rFonts w:ascii="Times New Roman" w:hAnsi="Times New Roman"/>
          <w:sz w:val="24"/>
          <w:szCs w:val="24"/>
        </w:rPr>
      </w:r>
      <w:r w:rsidR="001232BF" w:rsidRPr="000E1B7E">
        <w:rPr>
          <w:rFonts w:ascii="Times New Roman" w:hAnsi="Times New Roman"/>
          <w:sz w:val="24"/>
          <w:szCs w:val="24"/>
        </w:rPr>
        <w:fldChar w:fldCharType="separate"/>
      </w:r>
    </w:p>
    <w:p w14:paraId="0AB0CF1C" w14:textId="77777777" w:rsidR="008941AD" w:rsidRPr="000E1B7E" w:rsidRDefault="006461AC" w:rsidP="00F85D24">
      <w:pPr>
        <w:pStyle w:val="ListParagraph"/>
        <w:numPr>
          <w:ilvl w:val="1"/>
          <w:numId w:val="26"/>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Figure </w:t>
      </w:r>
      <w:r w:rsidRPr="000E1B7E">
        <w:rPr>
          <w:rFonts w:ascii="Times New Roman" w:hAnsi="Times New Roman"/>
          <w:b/>
          <w:i/>
          <w:noProof/>
          <w:sz w:val="24"/>
          <w:szCs w:val="24"/>
        </w:rPr>
        <w:t>14</w:t>
      </w:r>
      <w:r w:rsidR="001232BF" w:rsidRPr="000E1B7E">
        <w:rPr>
          <w:rFonts w:ascii="Times New Roman" w:hAnsi="Times New Roman"/>
          <w:sz w:val="24"/>
          <w:szCs w:val="24"/>
        </w:rPr>
        <w:fldChar w:fldCharType="end"/>
      </w:r>
      <w:r w:rsidR="005E042B" w:rsidRPr="000E1B7E">
        <w:rPr>
          <w:rFonts w:ascii="Times New Roman" w:hAnsi="Times New Roman"/>
          <w:sz w:val="24"/>
          <w:szCs w:val="24"/>
        </w:rPr>
        <w:t>4</w:t>
      </w:r>
      <w:r w:rsidR="008941AD" w:rsidRPr="000E1B7E">
        <w:rPr>
          <w:rFonts w:ascii="Times New Roman" w:hAnsi="Times New Roman"/>
          <w:sz w:val="24"/>
          <w:szCs w:val="24"/>
        </w:rPr>
        <w:t xml:space="preserve">. It should be noted from the figure below that the source of financing should not only be restricted to government, especially overtime. </w:t>
      </w:r>
      <w:bookmarkStart w:id="117" w:name="_Ref384636113"/>
      <w:bookmarkStart w:id="118" w:name="_Toc330398451"/>
      <w:bookmarkStart w:id="119" w:name="_Toc335264505"/>
    </w:p>
    <w:p w14:paraId="3C060AC9" w14:textId="77777777" w:rsidR="000B7A9D" w:rsidRDefault="000B7A9D">
      <w:pPr>
        <w:rPr>
          <w:rFonts w:eastAsiaTheme="minorHAnsi"/>
          <w:b/>
          <w:iCs/>
          <w:lang w:val="en-US"/>
        </w:rPr>
      </w:pPr>
      <w:bookmarkStart w:id="120" w:name="_Toc3483158"/>
      <w:r>
        <w:rPr>
          <w:b/>
          <w:i/>
        </w:rPr>
        <w:br w:type="page"/>
      </w:r>
    </w:p>
    <w:p w14:paraId="4ED8A1E7" w14:textId="77777777" w:rsidR="008941AD" w:rsidRPr="000E1B7E" w:rsidRDefault="005E042B" w:rsidP="005E042B">
      <w:pPr>
        <w:pStyle w:val="Caption"/>
        <w:keepNext/>
        <w:jc w:val="both"/>
        <w:rPr>
          <w:rFonts w:ascii="Times New Roman" w:hAnsi="Times New Roman" w:cs="Times New Roman"/>
          <w:b/>
          <w:i w:val="0"/>
          <w:color w:val="auto"/>
          <w:sz w:val="24"/>
          <w:szCs w:val="24"/>
        </w:rPr>
      </w:pPr>
      <w:r w:rsidRPr="000E1B7E">
        <w:rPr>
          <w:rFonts w:ascii="Times New Roman" w:hAnsi="Times New Roman" w:cs="Times New Roman"/>
          <w:b/>
          <w:i w:val="0"/>
          <w:color w:val="auto"/>
          <w:sz w:val="24"/>
          <w:szCs w:val="24"/>
        </w:rPr>
        <w:lastRenderedPageBreak/>
        <w:t xml:space="preserve">Figure </w:t>
      </w:r>
      <w:r w:rsidR="001232BF" w:rsidRPr="000E1B7E">
        <w:rPr>
          <w:rFonts w:ascii="Times New Roman" w:hAnsi="Times New Roman" w:cs="Times New Roman"/>
          <w:b/>
          <w:i w:val="0"/>
          <w:color w:val="auto"/>
          <w:sz w:val="24"/>
          <w:szCs w:val="24"/>
        </w:rPr>
        <w:fldChar w:fldCharType="begin"/>
      </w:r>
      <w:r w:rsidRPr="000E1B7E">
        <w:rPr>
          <w:rFonts w:ascii="Times New Roman" w:hAnsi="Times New Roman" w:cs="Times New Roman"/>
          <w:b/>
          <w:i w:val="0"/>
          <w:color w:val="auto"/>
          <w:sz w:val="24"/>
          <w:szCs w:val="24"/>
        </w:rPr>
        <w:instrText xml:space="preserve"> SEQ Figure \* ARABIC </w:instrText>
      </w:r>
      <w:r w:rsidR="001232BF" w:rsidRPr="000E1B7E">
        <w:rPr>
          <w:rFonts w:ascii="Times New Roman" w:hAnsi="Times New Roman" w:cs="Times New Roman"/>
          <w:b/>
          <w:i w:val="0"/>
          <w:color w:val="auto"/>
          <w:sz w:val="24"/>
          <w:szCs w:val="24"/>
        </w:rPr>
        <w:fldChar w:fldCharType="separate"/>
      </w:r>
      <w:r w:rsidR="006461AC" w:rsidRPr="000E1B7E">
        <w:rPr>
          <w:rFonts w:ascii="Times New Roman" w:hAnsi="Times New Roman" w:cs="Times New Roman"/>
          <w:b/>
          <w:i w:val="0"/>
          <w:noProof/>
          <w:color w:val="auto"/>
          <w:sz w:val="24"/>
          <w:szCs w:val="24"/>
        </w:rPr>
        <w:t>14</w:t>
      </w:r>
      <w:r w:rsidR="001232BF" w:rsidRPr="000E1B7E">
        <w:rPr>
          <w:rFonts w:ascii="Times New Roman" w:hAnsi="Times New Roman" w:cs="Times New Roman"/>
          <w:b/>
          <w:i w:val="0"/>
          <w:color w:val="auto"/>
          <w:sz w:val="24"/>
          <w:szCs w:val="24"/>
        </w:rPr>
        <w:fldChar w:fldCharType="end"/>
      </w:r>
      <w:bookmarkEnd w:id="117"/>
      <w:r w:rsidR="008941AD" w:rsidRPr="000E1B7E">
        <w:rPr>
          <w:rFonts w:ascii="Times New Roman" w:hAnsi="Times New Roman" w:cs="Times New Roman"/>
          <w:b/>
          <w:i w:val="0"/>
          <w:color w:val="auto"/>
          <w:sz w:val="24"/>
          <w:szCs w:val="24"/>
        </w:rPr>
        <w:t>: Uganda Fund of funds</w:t>
      </w:r>
      <w:bookmarkEnd w:id="118"/>
      <w:bookmarkEnd w:id="119"/>
      <w:bookmarkEnd w:id="120"/>
    </w:p>
    <w:p w14:paraId="67C7EF6F"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82816" behindDoc="0" locked="0" layoutInCell="1" allowOverlap="1" wp14:anchorId="42A19B46" wp14:editId="4CCE9B54">
                <wp:simplePos x="0" y="0"/>
                <wp:positionH relativeFrom="column">
                  <wp:posOffset>158115</wp:posOffset>
                </wp:positionH>
                <wp:positionV relativeFrom="paragraph">
                  <wp:posOffset>34290</wp:posOffset>
                </wp:positionV>
                <wp:extent cx="4967605" cy="703580"/>
                <wp:effectExtent l="15240" t="117475" r="122555" b="17145"/>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7605" cy="70358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4C157310" w14:textId="77777777" w:rsidR="00FD5BA9" w:rsidRDefault="00FD5BA9" w:rsidP="008941AD">
                            <w:pPr>
                              <w:jc w:val="center"/>
                            </w:pPr>
                            <w:r>
                              <w:t>Government, Institutional Investors and IFIs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19B46" id="Rectangle 5" o:spid="_x0000_s1045" style="position:absolute;left:0;text-align:left;margin-left:12.45pt;margin-top:2.7pt;width:391.15pt;height:5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">
                <o:extrusion v:ext="view" backdepth="1in" color="white" on="t" type="perspective"/>
                <v:textbox>
                  <w:txbxContent>
                    <w:p w14:paraId="4C157310" w14:textId="77777777" w:rsidR="00FD5BA9" w:rsidRDefault="00FD5BA9" w:rsidP="008941AD">
                      <w:pPr>
                        <w:jc w:val="center"/>
                      </w:pPr>
                      <w:r>
                        <w:t>Government, Institutional Investors and IFIs</w:t>
                      </w:r>
                    </w:p>
                  </w:txbxContent>
                </v:textbox>
              </v:rect>
            </w:pict>
          </mc:Fallback>
        </mc:AlternateContent>
      </w:r>
    </w:p>
    <w:p w14:paraId="7C397154" w14:textId="77777777" w:rsidR="008941AD" w:rsidRPr="000E1B7E" w:rsidRDefault="008941AD" w:rsidP="005959B5">
      <w:pPr>
        <w:jc w:val="both"/>
        <w:rPr>
          <w:b/>
        </w:rPr>
      </w:pPr>
    </w:p>
    <w:p w14:paraId="42BD94F5"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72576" behindDoc="0" locked="0" layoutInCell="1" allowOverlap="1" wp14:anchorId="2D29C99F" wp14:editId="3728A603">
                <wp:simplePos x="0" y="0"/>
                <wp:positionH relativeFrom="column">
                  <wp:posOffset>2646045</wp:posOffset>
                </wp:positionH>
                <wp:positionV relativeFrom="paragraph">
                  <wp:posOffset>62230</wp:posOffset>
                </wp:positionV>
                <wp:extent cx="2136775" cy="495935"/>
                <wp:effectExtent l="38100" t="0" r="15875" b="755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6775" cy="49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7045B" id="Straight Arrow Connector 59" o:spid="_x0000_s1026" type="#_x0000_t32" style="position:absolute;margin-left:208.35pt;margin-top:4.9pt;width:168.25pt;height:39.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">
                <v:stroke endarrow="block"/>
              </v:shape>
            </w:pict>
          </mc:Fallback>
        </mc:AlternateContent>
      </w:r>
      <w:r>
        <w:rPr>
          <w:b/>
          <w:noProof/>
          <w:lang w:eastAsia="en-GB"/>
        </w:rPr>
        <mc:AlternateContent>
          <mc:Choice Requires="wps">
            <w:drawing>
              <wp:anchor distT="0" distB="0" distL="114300" distR="114300" simplePos="0" relativeHeight="251671552" behindDoc="0" locked="0" layoutInCell="1" allowOverlap="1" wp14:anchorId="2D75A558" wp14:editId="1554FC29">
                <wp:simplePos x="0" y="0"/>
                <wp:positionH relativeFrom="column">
                  <wp:posOffset>1872615</wp:posOffset>
                </wp:positionH>
                <wp:positionV relativeFrom="paragraph">
                  <wp:posOffset>62230</wp:posOffset>
                </wp:positionV>
                <wp:extent cx="598170" cy="495935"/>
                <wp:effectExtent l="0" t="0" r="68580" b="5651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 cy="49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BD6C4" id="Straight Arrow Connector 58" o:spid="_x0000_s1026" type="#_x0000_t32" style="position:absolute;margin-left:147.45pt;margin-top:4.9pt;width:47.1pt;height:3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">
                <v:stroke endarrow="block"/>
              </v:shape>
            </w:pict>
          </mc:Fallback>
        </mc:AlternateContent>
      </w:r>
      <w:r>
        <w:rPr>
          <w:b/>
          <w:noProof/>
          <w:lang w:eastAsia="en-GB"/>
        </w:rPr>
        <mc:AlternateContent>
          <mc:Choice Requires="wps">
            <w:drawing>
              <wp:anchor distT="0" distB="0" distL="114300" distR="114300" simplePos="0" relativeHeight="251670528" behindDoc="0" locked="0" layoutInCell="1" allowOverlap="1" wp14:anchorId="785A668A" wp14:editId="3F1CBE6F">
                <wp:simplePos x="0" y="0"/>
                <wp:positionH relativeFrom="column">
                  <wp:posOffset>589280</wp:posOffset>
                </wp:positionH>
                <wp:positionV relativeFrom="paragraph">
                  <wp:posOffset>62230</wp:posOffset>
                </wp:positionV>
                <wp:extent cx="1881505" cy="495935"/>
                <wp:effectExtent l="0" t="0" r="80645" b="755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505" cy="495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14B0F" id="Straight Arrow Connector 57" o:spid="_x0000_s1026" type="#_x0000_t32" style="position:absolute;margin-left:46.4pt;margin-top:4.9pt;width:148.15pt;height:3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">
                <v:stroke endarrow="block"/>
              </v:shape>
            </w:pict>
          </mc:Fallback>
        </mc:AlternateContent>
      </w:r>
    </w:p>
    <w:p w14:paraId="7E085524" w14:textId="77777777" w:rsidR="008941AD" w:rsidRPr="000E1B7E" w:rsidRDefault="008941AD" w:rsidP="005959B5">
      <w:pPr>
        <w:jc w:val="both"/>
        <w:rPr>
          <w:b/>
        </w:rPr>
      </w:pPr>
    </w:p>
    <w:p w14:paraId="20B733A0"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60288" behindDoc="0" locked="0" layoutInCell="1" allowOverlap="1" wp14:anchorId="4CC27D5E" wp14:editId="5C505F35">
                <wp:simplePos x="0" y="0"/>
                <wp:positionH relativeFrom="column">
                  <wp:posOffset>1152525</wp:posOffset>
                </wp:positionH>
                <wp:positionV relativeFrom="paragraph">
                  <wp:posOffset>48895</wp:posOffset>
                </wp:positionV>
                <wp:extent cx="3111500" cy="676910"/>
                <wp:effectExtent l="9525" t="118745" r="12700" b="13970"/>
                <wp:wrapNone/>
                <wp:docPr id="2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676910"/>
                        </a:xfrm>
                        <a:prstGeom prst="ellipse">
                          <a:avLst/>
                        </a:prstGeom>
                        <a:solidFill>
                          <a:srgbClr val="FFFFFF"/>
                        </a:solidFill>
                        <a:ln w="9525">
                          <a:round/>
                          <a:headEnd/>
                          <a:tailEnd/>
                        </a:ln>
                        <a:scene3d>
                          <a:camera prst="legacyPerspectiveTop"/>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11273918" w14:textId="77777777" w:rsidR="00FD5BA9" w:rsidRPr="00147E93" w:rsidRDefault="00FD5BA9" w:rsidP="008941AD">
                            <w:pPr>
                              <w:jc w:val="center"/>
                              <w:rPr>
                                <w:sz w:val="36"/>
                                <w:szCs w:val="36"/>
                              </w:rPr>
                            </w:pPr>
                            <w:r w:rsidRPr="00147E93">
                              <w:rPr>
                                <w:sz w:val="36"/>
                                <w:szCs w:val="36"/>
                              </w:rPr>
                              <w:t>Funds of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27D5E" id="Oval 4" o:spid="_x0000_s1046" style="position:absolute;left:0;text-align:left;margin-left:90.75pt;margin-top:3.85pt;width:24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">
                <o:extrusion v:ext="view" backdepth="1in" color="white" on="t" viewpoint="0" viewpointorigin="0" skewangle="-90" type="perspective"/>
                <v:textbox>
                  <w:txbxContent>
                    <w:p w14:paraId="11273918" w14:textId="77777777" w:rsidR="00FD5BA9" w:rsidRPr="00147E93" w:rsidRDefault="00FD5BA9" w:rsidP="008941AD">
                      <w:pPr>
                        <w:jc w:val="center"/>
                        <w:rPr>
                          <w:sz w:val="36"/>
                          <w:szCs w:val="36"/>
                        </w:rPr>
                      </w:pPr>
                      <w:r w:rsidRPr="00147E93">
                        <w:rPr>
                          <w:sz w:val="36"/>
                          <w:szCs w:val="36"/>
                        </w:rPr>
                        <w:t>Funds of Funds</w:t>
                      </w:r>
                    </w:p>
                  </w:txbxContent>
                </v:textbox>
              </v:oval>
            </w:pict>
          </mc:Fallback>
        </mc:AlternateContent>
      </w:r>
    </w:p>
    <w:p w14:paraId="2F444A2E"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75648" behindDoc="0" locked="0" layoutInCell="1" allowOverlap="1" wp14:anchorId="126148DA" wp14:editId="39348972">
                <wp:simplePos x="0" y="0"/>
                <wp:positionH relativeFrom="column">
                  <wp:posOffset>2567305</wp:posOffset>
                </wp:positionH>
                <wp:positionV relativeFrom="paragraph">
                  <wp:posOffset>266065</wp:posOffset>
                </wp:positionV>
                <wp:extent cx="2616200" cy="462280"/>
                <wp:effectExtent l="0" t="0" r="69850" b="9017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77427" id="Straight Arrow Connector 55" o:spid="_x0000_s1026" type="#_x0000_t32" style="position:absolute;margin-left:202.15pt;margin-top:20.95pt;width:206pt;height:3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">
                <v:stroke endarrow="block"/>
              </v:shape>
            </w:pict>
          </mc:Fallback>
        </mc:AlternateContent>
      </w:r>
      <w:r>
        <w:rPr>
          <w:b/>
          <w:noProof/>
          <w:lang w:eastAsia="en-GB"/>
        </w:rPr>
        <mc:AlternateContent>
          <mc:Choice Requires="wps">
            <w:drawing>
              <wp:anchor distT="0" distB="0" distL="114297" distR="114297" simplePos="0" relativeHeight="251674624" behindDoc="0" locked="0" layoutInCell="1" allowOverlap="1" wp14:anchorId="2F89A15F" wp14:editId="4E0093E0">
                <wp:simplePos x="0" y="0"/>
                <wp:positionH relativeFrom="column">
                  <wp:posOffset>2567304</wp:posOffset>
                </wp:positionH>
                <wp:positionV relativeFrom="paragraph">
                  <wp:posOffset>266065</wp:posOffset>
                </wp:positionV>
                <wp:extent cx="0" cy="462280"/>
                <wp:effectExtent l="76200" t="0" r="57150" b="5207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A8871" id="Straight Arrow Connector 54" o:spid="_x0000_s1026" type="#_x0000_t32" style="position:absolute;margin-left:202.15pt;margin-top:20.95pt;width:0;height:36.4pt;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">
                <v:stroke endarrow="block"/>
              </v:shape>
            </w:pict>
          </mc:Fallback>
        </mc:AlternateContent>
      </w:r>
      <w:r>
        <w:rPr>
          <w:b/>
          <w:noProof/>
          <w:lang w:eastAsia="en-GB"/>
        </w:rPr>
        <mc:AlternateContent>
          <mc:Choice Requires="wps">
            <w:drawing>
              <wp:anchor distT="0" distB="0" distL="114300" distR="114300" simplePos="0" relativeHeight="251673600" behindDoc="0" locked="0" layoutInCell="1" allowOverlap="1" wp14:anchorId="0735D477" wp14:editId="372495C6">
                <wp:simplePos x="0" y="0"/>
                <wp:positionH relativeFrom="column">
                  <wp:posOffset>800100</wp:posOffset>
                </wp:positionH>
                <wp:positionV relativeFrom="paragraph">
                  <wp:posOffset>266065</wp:posOffset>
                </wp:positionV>
                <wp:extent cx="1767205" cy="462280"/>
                <wp:effectExtent l="38100" t="0" r="23495" b="7112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7205"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436E6" id="Straight Arrow Connector 53" o:spid="_x0000_s1026" type="#_x0000_t32" style="position:absolute;margin-left:63pt;margin-top:20.95pt;width:139.15pt;height:36.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">
                <v:stroke endarrow="block"/>
              </v:shape>
            </w:pict>
          </mc:Fallback>
        </mc:AlternateContent>
      </w:r>
    </w:p>
    <w:p w14:paraId="69DEA45E"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61312" behindDoc="0" locked="0" layoutInCell="1" allowOverlap="1" wp14:anchorId="11929DC8" wp14:editId="40BBB4C2">
                <wp:simplePos x="0" y="0"/>
                <wp:positionH relativeFrom="column">
                  <wp:posOffset>105410</wp:posOffset>
                </wp:positionH>
                <wp:positionV relativeFrom="paragraph">
                  <wp:posOffset>100330</wp:posOffset>
                </wp:positionV>
                <wp:extent cx="914400" cy="914400"/>
                <wp:effectExtent l="10160" t="168275" r="170815" b="12700"/>
                <wp:wrapNone/>
                <wp:docPr id="27"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526A4755" w14:textId="77777777" w:rsidR="00FD5BA9" w:rsidRDefault="00FD5BA9" w:rsidP="008941AD">
                            <w:r>
                              <w:t>Infrastructure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29DC8" id="Oval 19" o:spid="_x0000_s1047" style="position:absolute;left:0;text-align:left;margin-left:8.3pt;margin-top:7.9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">
                <o:extrusion v:ext="view" color="white" on="t"/>
                <v:textbox>
                  <w:txbxContent>
                    <w:p w14:paraId="526A4755" w14:textId="77777777" w:rsidR="00FD5BA9" w:rsidRDefault="00FD5BA9" w:rsidP="008941AD">
                      <w:r>
                        <w:t>Infrastructure fund</w:t>
                      </w:r>
                    </w:p>
                  </w:txbxContent>
                </v:textbox>
              </v:oval>
            </w:pict>
          </mc:Fallback>
        </mc:AlternateContent>
      </w:r>
      <w:r>
        <w:rPr>
          <w:b/>
          <w:noProof/>
          <w:lang w:eastAsia="en-GB"/>
        </w:rPr>
        <mc:AlternateContent>
          <mc:Choice Requires="wps">
            <w:drawing>
              <wp:anchor distT="0" distB="0" distL="114300" distR="114300" simplePos="0" relativeHeight="251663360" behindDoc="0" locked="0" layoutInCell="1" allowOverlap="1" wp14:anchorId="7C124BAB" wp14:editId="64EDCD1D">
                <wp:simplePos x="0" y="0"/>
                <wp:positionH relativeFrom="column">
                  <wp:posOffset>4739005</wp:posOffset>
                </wp:positionH>
                <wp:positionV relativeFrom="paragraph">
                  <wp:posOffset>24130</wp:posOffset>
                </wp:positionV>
                <wp:extent cx="1072515" cy="914400"/>
                <wp:effectExtent l="14605" t="168275" r="170180" b="12700"/>
                <wp:wrapNone/>
                <wp:docPr id="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914400"/>
                        </a:xfrm>
                        <a:prstGeom prst="ellipse">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63A32C61" w14:textId="77777777" w:rsidR="00FD5BA9" w:rsidRDefault="00FD5BA9" w:rsidP="008941AD">
                            <w:r>
                              <w:t>Mineral development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24BAB" id="Oval 12" o:spid="_x0000_s1048" style="position:absolute;left:0;text-align:left;margin-left:373.15pt;margin-top:1.9pt;width:84.4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">
                <o:extrusion v:ext="view" color="white" on="t"/>
                <v:textbox>
                  <w:txbxContent>
                    <w:p w14:paraId="63A32C61" w14:textId="77777777" w:rsidR="00FD5BA9" w:rsidRDefault="00FD5BA9" w:rsidP="008941AD">
                      <w:r>
                        <w:t>Mineral development fund</w:t>
                      </w:r>
                    </w:p>
                  </w:txbxContent>
                </v:textbox>
              </v:oval>
            </w:pict>
          </mc:Fallback>
        </mc:AlternateContent>
      </w:r>
    </w:p>
    <w:p w14:paraId="1D54AC4D"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62336" behindDoc="0" locked="0" layoutInCell="1" allowOverlap="1" wp14:anchorId="11E2C441" wp14:editId="438FA89C">
                <wp:simplePos x="0" y="0"/>
                <wp:positionH relativeFrom="column">
                  <wp:posOffset>2195830</wp:posOffset>
                </wp:positionH>
                <wp:positionV relativeFrom="paragraph">
                  <wp:posOffset>81915</wp:posOffset>
                </wp:positionV>
                <wp:extent cx="1019175" cy="914400"/>
                <wp:effectExtent l="14605" t="115570" r="118745" b="1778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914400"/>
                        </a:xfrm>
                        <a:prstGeom prst="ellipse">
                          <a:avLst/>
                        </a:prstGeom>
                        <a:solidFill>
                          <a:srgbClr val="FFFFFF"/>
                        </a:solidFill>
                        <a:ln w="9525">
                          <a:round/>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0B5F932A" w14:textId="77777777" w:rsidR="00FD5BA9" w:rsidRDefault="00FD5BA9" w:rsidP="008941AD">
                            <w:r>
                              <w:t>Agroprocessing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E2C441" id="Oval 3" o:spid="_x0000_s1049" style="position:absolute;left:0;text-align:left;margin-left:172.9pt;margin-top:6.45pt;width:80.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">
                <o:extrusion v:ext="view" backdepth="1in" color="white" on="t" type="perspective"/>
                <v:textbox>
                  <w:txbxContent>
                    <w:p w14:paraId="0B5F932A" w14:textId="77777777" w:rsidR="00FD5BA9" w:rsidRDefault="00FD5BA9" w:rsidP="008941AD">
                      <w:r>
                        <w:t>Agroprocessing fund</w:t>
                      </w:r>
                    </w:p>
                  </w:txbxContent>
                </v:textbox>
              </v:oval>
            </w:pict>
          </mc:Fallback>
        </mc:AlternateContent>
      </w:r>
    </w:p>
    <w:p w14:paraId="5462CD01" w14:textId="77777777" w:rsidR="008941AD" w:rsidRPr="000E1B7E" w:rsidRDefault="008941AD" w:rsidP="005959B5">
      <w:pPr>
        <w:jc w:val="both"/>
        <w:rPr>
          <w:b/>
        </w:rPr>
      </w:pPr>
    </w:p>
    <w:p w14:paraId="6D5F80B1" w14:textId="77777777" w:rsidR="008941AD" w:rsidRPr="000E1B7E" w:rsidRDefault="008941AD" w:rsidP="005959B5">
      <w:pPr>
        <w:jc w:val="both"/>
        <w:rPr>
          <w:b/>
        </w:rPr>
      </w:pPr>
    </w:p>
    <w:p w14:paraId="03D904A2"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81792" behindDoc="0" locked="0" layoutInCell="1" allowOverlap="1" wp14:anchorId="79444EF2" wp14:editId="4C9597CB">
                <wp:simplePos x="0" y="0"/>
                <wp:positionH relativeFrom="column">
                  <wp:posOffset>5231130</wp:posOffset>
                </wp:positionH>
                <wp:positionV relativeFrom="paragraph">
                  <wp:posOffset>27305</wp:posOffset>
                </wp:positionV>
                <wp:extent cx="580390" cy="167640"/>
                <wp:effectExtent l="0" t="0" r="67310" b="8001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E6FD0" id="Straight Arrow Connector 49" o:spid="_x0000_s1026" type="#_x0000_t32" style="position:absolute;margin-left:411.9pt;margin-top:2.15pt;width:45.7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">
                <v:stroke endarrow="block"/>
              </v:shape>
            </w:pict>
          </mc:Fallback>
        </mc:AlternateContent>
      </w:r>
      <w:r>
        <w:rPr>
          <w:b/>
          <w:noProof/>
          <w:lang w:eastAsia="en-GB"/>
        </w:rPr>
        <mc:AlternateContent>
          <mc:Choice Requires="wps">
            <w:drawing>
              <wp:anchor distT="0" distB="0" distL="114300" distR="114300" simplePos="0" relativeHeight="251680768" behindDoc="0" locked="0" layoutInCell="1" allowOverlap="1" wp14:anchorId="21ED2695" wp14:editId="21EDE1D2">
                <wp:simplePos x="0" y="0"/>
                <wp:positionH relativeFrom="column">
                  <wp:posOffset>4782820</wp:posOffset>
                </wp:positionH>
                <wp:positionV relativeFrom="paragraph">
                  <wp:posOffset>27305</wp:posOffset>
                </wp:positionV>
                <wp:extent cx="448310" cy="167640"/>
                <wp:effectExtent l="38100" t="0" r="27940" b="6096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831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CF9EF" id="Straight Arrow Connector 48" o:spid="_x0000_s1026" type="#_x0000_t32" style="position:absolute;margin-left:376.6pt;margin-top:2.15pt;width:35.3pt;height:13.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">
                <v:stroke endarrow="block"/>
              </v:shape>
            </w:pict>
          </mc:Fallback>
        </mc:AlternateContent>
      </w:r>
      <w:r>
        <w:rPr>
          <w:b/>
          <w:noProof/>
          <w:lang w:eastAsia="en-GB"/>
        </w:rPr>
        <mc:AlternateContent>
          <mc:Choice Requires="wps">
            <w:drawing>
              <wp:anchor distT="0" distB="0" distL="114300" distR="114300" simplePos="0" relativeHeight="251677696" behindDoc="0" locked="0" layoutInCell="1" allowOverlap="1" wp14:anchorId="3DFCF7E7" wp14:editId="2CBF1EC1">
                <wp:simplePos x="0" y="0"/>
                <wp:positionH relativeFrom="column">
                  <wp:posOffset>662305</wp:posOffset>
                </wp:positionH>
                <wp:positionV relativeFrom="paragraph">
                  <wp:posOffset>27305</wp:posOffset>
                </wp:positionV>
                <wp:extent cx="410210" cy="167640"/>
                <wp:effectExtent l="0" t="0" r="85090" b="6096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21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A5FA2" id="Straight Arrow Connector 45" o:spid="_x0000_s1026" type="#_x0000_t32" style="position:absolute;margin-left:52.15pt;margin-top:2.15pt;width:32.3pt;height:1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LnQQIAAHIEAAAOAAAAZHJzL2Uyb0RvYy54bWysVE1v2zAMvQ/YfxB0T21nTpo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">
                <v:stroke endarrow="block"/>
              </v:shape>
            </w:pict>
          </mc:Fallback>
        </mc:AlternateContent>
      </w:r>
      <w:r>
        <w:rPr>
          <w:b/>
          <w:noProof/>
          <w:lang w:eastAsia="en-GB"/>
        </w:rPr>
        <mc:AlternateContent>
          <mc:Choice Requires="wps">
            <w:drawing>
              <wp:anchor distT="0" distB="0" distL="114300" distR="114300" simplePos="0" relativeHeight="251676672" behindDoc="0" locked="0" layoutInCell="1" allowOverlap="1" wp14:anchorId="3B0B90AE" wp14:editId="45BA3063">
                <wp:simplePos x="0" y="0"/>
                <wp:positionH relativeFrom="column">
                  <wp:posOffset>105410</wp:posOffset>
                </wp:positionH>
                <wp:positionV relativeFrom="paragraph">
                  <wp:posOffset>27305</wp:posOffset>
                </wp:positionV>
                <wp:extent cx="556895" cy="167640"/>
                <wp:effectExtent l="38100" t="0" r="14605" b="8001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895"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2DE66" id="Straight Arrow Connector 44" o:spid="_x0000_s1026" type="#_x0000_t32" style="position:absolute;margin-left:8.3pt;margin-top:2.15pt;width:43.85pt;height:13.2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">
                <v:stroke endarrow="block"/>
              </v:shape>
            </w:pict>
          </mc:Fallback>
        </mc:AlternateContent>
      </w:r>
    </w:p>
    <w:p w14:paraId="379377EB"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78720" behindDoc="0" locked="0" layoutInCell="1" allowOverlap="1" wp14:anchorId="12DF2341" wp14:editId="15582D90">
                <wp:simplePos x="0" y="0"/>
                <wp:positionH relativeFrom="column">
                  <wp:posOffset>2311400</wp:posOffset>
                </wp:positionH>
                <wp:positionV relativeFrom="paragraph">
                  <wp:posOffset>85090</wp:posOffset>
                </wp:positionV>
                <wp:extent cx="403225" cy="167640"/>
                <wp:effectExtent l="38100" t="0" r="15875" b="6096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3225"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2BC57" id="Straight Arrow Connector 46" o:spid="_x0000_s1026" type="#_x0000_t32" style="position:absolute;margin-left:182pt;margin-top:6.7pt;width:31.75pt;height:13.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">
                <v:stroke endarrow="block"/>
              </v:shape>
            </w:pict>
          </mc:Fallback>
        </mc:AlternateContent>
      </w:r>
      <w:r>
        <w:rPr>
          <w:b/>
          <w:noProof/>
          <w:lang w:eastAsia="en-GB"/>
        </w:rPr>
        <mc:AlternateContent>
          <mc:Choice Requires="wps">
            <w:drawing>
              <wp:anchor distT="0" distB="0" distL="114300" distR="114300" simplePos="0" relativeHeight="251679744" behindDoc="0" locked="0" layoutInCell="1" allowOverlap="1" wp14:anchorId="72D8A295" wp14:editId="7BE233F3">
                <wp:simplePos x="0" y="0"/>
                <wp:positionH relativeFrom="column">
                  <wp:posOffset>2714625</wp:posOffset>
                </wp:positionH>
                <wp:positionV relativeFrom="paragraph">
                  <wp:posOffset>85090</wp:posOffset>
                </wp:positionV>
                <wp:extent cx="633730" cy="167640"/>
                <wp:effectExtent l="0" t="0" r="71120" b="8001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E4E7A" id="Straight Arrow Connector 47" o:spid="_x0000_s1026" type="#_x0000_t32" style="position:absolute;margin-left:213.75pt;margin-top:6.7pt;width:49.9pt;height:1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">
                <v:stroke endarrow="block"/>
              </v:shape>
            </w:pict>
          </mc:Fallback>
        </mc:AlternateContent>
      </w:r>
      <w:r>
        <w:rPr>
          <w:b/>
          <w:noProof/>
          <w:lang w:eastAsia="en-GB"/>
        </w:rPr>
        <mc:AlternateContent>
          <mc:Choice Requires="wps">
            <w:drawing>
              <wp:anchor distT="0" distB="0" distL="114300" distR="114300" simplePos="0" relativeHeight="251669504" behindDoc="0" locked="0" layoutInCell="1" allowOverlap="1" wp14:anchorId="2FEFDB01" wp14:editId="1FB1743B">
                <wp:simplePos x="0" y="0"/>
                <wp:positionH relativeFrom="column">
                  <wp:posOffset>5419725</wp:posOffset>
                </wp:positionH>
                <wp:positionV relativeFrom="paragraph">
                  <wp:posOffset>8890</wp:posOffset>
                </wp:positionV>
                <wp:extent cx="830580" cy="457200"/>
                <wp:effectExtent l="0" t="76200" r="10287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F4E9834" w14:textId="77777777" w:rsidR="00FD5BA9" w:rsidRPr="00147E93" w:rsidRDefault="00FD5BA9" w:rsidP="008941AD">
                            <w:pPr>
                              <w:rPr>
                                <w:b/>
                              </w:rPr>
                            </w:pPr>
                            <w:r w:rsidRPr="00147E93">
                              <w:t>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FDB01" id="Rectangle 38" o:spid="_x0000_s1050" style="position:absolute;left:0;text-align:left;margin-left:426.75pt;margin-top:.7pt;width:65.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">
                <v:shadow on="t" opacity=".5" offset="6pt,-6pt"/>
                <v:textbox>
                  <w:txbxContent>
                    <w:p w14:paraId="6F4E9834" w14:textId="77777777" w:rsidR="00FD5BA9" w:rsidRPr="00147E93" w:rsidRDefault="00FD5BA9" w:rsidP="008941AD">
                      <w:pPr>
                        <w:rPr>
                          <w:b/>
                        </w:rPr>
                      </w:pPr>
                      <w:r w:rsidRPr="00147E93">
                        <w:t>Company</w:t>
                      </w:r>
                    </w:p>
                  </w:txbxContent>
                </v:textbox>
              </v:rect>
            </w:pict>
          </mc:Fallback>
        </mc:AlternateContent>
      </w:r>
      <w:r>
        <w:rPr>
          <w:b/>
          <w:noProof/>
          <w:lang w:eastAsia="en-GB"/>
        </w:rPr>
        <mc:AlternateContent>
          <mc:Choice Requires="wps">
            <w:drawing>
              <wp:anchor distT="0" distB="0" distL="114300" distR="114300" simplePos="0" relativeHeight="251668480" behindDoc="0" locked="0" layoutInCell="1" allowOverlap="1" wp14:anchorId="75C4BE1E" wp14:editId="17BE7811">
                <wp:simplePos x="0" y="0"/>
                <wp:positionH relativeFrom="column">
                  <wp:posOffset>4410075</wp:posOffset>
                </wp:positionH>
                <wp:positionV relativeFrom="paragraph">
                  <wp:posOffset>8890</wp:posOffset>
                </wp:positionV>
                <wp:extent cx="821055" cy="457200"/>
                <wp:effectExtent l="0" t="76200" r="93345"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B2BFBC6" w14:textId="77777777" w:rsidR="00FD5BA9" w:rsidRPr="00147E93" w:rsidRDefault="00FD5BA9" w:rsidP="008941AD">
                            <w:pPr>
                              <w:rPr>
                                <w:b/>
                              </w:rPr>
                            </w:pPr>
                            <w:r w:rsidRPr="00147E93">
                              <w:t>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4BE1E" id="Rectangle 39" o:spid="_x0000_s1051" style="position:absolute;left:0;text-align:left;margin-left:347.25pt;margin-top:.7pt;width:64.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">
                <v:shadow on="t" opacity=".5" offset="6pt,-6pt"/>
                <v:textbox>
                  <w:txbxContent>
                    <w:p w14:paraId="5B2BFBC6" w14:textId="77777777" w:rsidR="00FD5BA9" w:rsidRPr="00147E93" w:rsidRDefault="00FD5BA9" w:rsidP="008941AD">
                      <w:pPr>
                        <w:rPr>
                          <w:b/>
                        </w:rPr>
                      </w:pPr>
                      <w:r w:rsidRPr="00147E93">
                        <w:t>Company</w:t>
                      </w:r>
                    </w:p>
                  </w:txbxContent>
                </v:textbox>
              </v:rect>
            </w:pict>
          </mc:Fallback>
        </mc:AlternateContent>
      </w:r>
      <w:r>
        <w:rPr>
          <w:b/>
          <w:noProof/>
          <w:lang w:eastAsia="en-GB"/>
        </w:rPr>
        <mc:AlternateContent>
          <mc:Choice Requires="wps">
            <w:drawing>
              <wp:anchor distT="0" distB="0" distL="114300" distR="114300" simplePos="0" relativeHeight="251664384" behindDoc="0" locked="0" layoutInCell="1" allowOverlap="1" wp14:anchorId="0110DEB3" wp14:editId="7F3C272E">
                <wp:simplePos x="0" y="0"/>
                <wp:positionH relativeFrom="column">
                  <wp:posOffset>-290195</wp:posOffset>
                </wp:positionH>
                <wp:positionV relativeFrom="paragraph">
                  <wp:posOffset>8890</wp:posOffset>
                </wp:positionV>
                <wp:extent cx="831850" cy="457200"/>
                <wp:effectExtent l="0" t="76200" r="101600" b="1905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EBE3DE2" w14:textId="77777777" w:rsidR="00FD5BA9" w:rsidRPr="00147E93" w:rsidRDefault="00FD5BA9" w:rsidP="008941AD">
                            <w:pPr>
                              <w:rPr>
                                <w:b/>
                              </w:rPr>
                            </w:pPr>
                            <w:r w:rsidRPr="00147E93">
                              <w:t>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DEB3" id="Rectangle 43" o:spid="_x0000_s1052" style="position:absolute;left:0;text-align:left;margin-left:-22.85pt;margin-top:.7pt;width:65.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">
                <v:shadow on="t" opacity=".5" offset="6pt,-6pt"/>
                <v:textbox>
                  <w:txbxContent>
                    <w:p w14:paraId="1EBE3DE2" w14:textId="77777777" w:rsidR="00FD5BA9" w:rsidRPr="00147E93" w:rsidRDefault="00FD5BA9" w:rsidP="008941AD">
                      <w:pPr>
                        <w:rPr>
                          <w:b/>
                        </w:rPr>
                      </w:pPr>
                      <w:r w:rsidRPr="00147E93">
                        <w:t>Company</w:t>
                      </w:r>
                    </w:p>
                  </w:txbxContent>
                </v:textbox>
              </v:rect>
            </w:pict>
          </mc:Fallback>
        </mc:AlternateContent>
      </w:r>
      <w:r>
        <w:rPr>
          <w:b/>
          <w:noProof/>
          <w:lang w:eastAsia="en-GB"/>
        </w:rPr>
        <mc:AlternateContent>
          <mc:Choice Requires="wps">
            <w:drawing>
              <wp:anchor distT="0" distB="0" distL="114300" distR="114300" simplePos="0" relativeHeight="251665408" behindDoc="0" locked="0" layoutInCell="1" allowOverlap="1" wp14:anchorId="41B80BB8" wp14:editId="4CA66889">
                <wp:simplePos x="0" y="0"/>
                <wp:positionH relativeFrom="column">
                  <wp:posOffset>662305</wp:posOffset>
                </wp:positionH>
                <wp:positionV relativeFrom="paragraph">
                  <wp:posOffset>8890</wp:posOffset>
                </wp:positionV>
                <wp:extent cx="830580" cy="457200"/>
                <wp:effectExtent l="0" t="76200" r="10287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172C97B" w14:textId="77777777" w:rsidR="00FD5BA9" w:rsidRPr="00147E93" w:rsidRDefault="00FD5BA9" w:rsidP="008941AD">
                            <w:pPr>
                              <w:rPr>
                                <w:b/>
                              </w:rPr>
                            </w:pPr>
                            <w:r w:rsidRPr="00147E93">
                              <w:t>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80BB8" id="Rectangle 42" o:spid="_x0000_s1053" style="position:absolute;left:0;text-align:left;margin-left:52.15pt;margin-top:.7pt;width:65.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">
                <v:shadow on="t" opacity=".5" offset="6pt,-6pt"/>
                <v:textbox>
                  <w:txbxContent>
                    <w:p w14:paraId="0172C97B" w14:textId="77777777" w:rsidR="00FD5BA9" w:rsidRPr="00147E93" w:rsidRDefault="00FD5BA9" w:rsidP="008941AD">
                      <w:pPr>
                        <w:rPr>
                          <w:b/>
                        </w:rPr>
                      </w:pPr>
                      <w:r w:rsidRPr="00147E93">
                        <w:t>Company</w:t>
                      </w:r>
                    </w:p>
                  </w:txbxContent>
                </v:textbox>
              </v:rect>
            </w:pict>
          </mc:Fallback>
        </mc:AlternateContent>
      </w:r>
    </w:p>
    <w:p w14:paraId="2F6C4DA3" w14:textId="77777777" w:rsidR="008941AD" w:rsidRPr="000E1B7E" w:rsidRDefault="00316915" w:rsidP="005959B5">
      <w:pPr>
        <w:jc w:val="both"/>
        <w:rPr>
          <w:b/>
        </w:rPr>
      </w:pPr>
      <w:r>
        <w:rPr>
          <w:b/>
          <w:noProof/>
          <w:lang w:eastAsia="en-GB"/>
        </w:rPr>
        <mc:AlternateContent>
          <mc:Choice Requires="wps">
            <w:drawing>
              <wp:anchor distT="0" distB="0" distL="114300" distR="114300" simplePos="0" relativeHeight="251666432" behindDoc="0" locked="0" layoutInCell="1" allowOverlap="1" wp14:anchorId="27052FAE" wp14:editId="0D02ECDF">
                <wp:simplePos x="0" y="0"/>
                <wp:positionH relativeFrom="column">
                  <wp:posOffset>2912745</wp:posOffset>
                </wp:positionH>
                <wp:positionV relativeFrom="paragraph">
                  <wp:posOffset>66675</wp:posOffset>
                </wp:positionV>
                <wp:extent cx="868680" cy="457200"/>
                <wp:effectExtent l="0" t="76200" r="10287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BC54F25" w14:textId="77777777" w:rsidR="00FD5BA9" w:rsidRPr="00147E93" w:rsidRDefault="00FD5BA9" w:rsidP="008941AD">
                            <w:pPr>
                              <w:rPr>
                                <w:b/>
                              </w:rPr>
                            </w:pPr>
                            <w:r w:rsidRPr="00147E93">
                              <w:t>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52FAE" id="Rectangle 41" o:spid="_x0000_s1054" style="position:absolute;left:0;text-align:left;margin-left:229.35pt;margin-top:5.25pt;width:68.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">
                <v:shadow on="t" opacity=".5" offset="6pt,-6pt"/>
                <v:textbox>
                  <w:txbxContent>
                    <w:p w14:paraId="6BC54F25" w14:textId="77777777" w:rsidR="00FD5BA9" w:rsidRPr="00147E93" w:rsidRDefault="00FD5BA9" w:rsidP="008941AD">
                      <w:pPr>
                        <w:rPr>
                          <w:b/>
                        </w:rPr>
                      </w:pPr>
                      <w:r w:rsidRPr="00147E93">
                        <w:t>Company</w:t>
                      </w:r>
                    </w:p>
                  </w:txbxContent>
                </v:textbox>
              </v:rect>
            </w:pict>
          </mc:Fallback>
        </mc:AlternateContent>
      </w:r>
      <w:r>
        <w:rPr>
          <w:b/>
          <w:noProof/>
          <w:lang w:eastAsia="en-GB"/>
        </w:rPr>
        <mc:AlternateContent>
          <mc:Choice Requires="wps">
            <w:drawing>
              <wp:anchor distT="0" distB="0" distL="114300" distR="114300" simplePos="0" relativeHeight="251667456" behindDoc="0" locked="0" layoutInCell="1" allowOverlap="1" wp14:anchorId="4445E581" wp14:editId="48824C12">
                <wp:simplePos x="0" y="0"/>
                <wp:positionH relativeFrom="column">
                  <wp:posOffset>1872615</wp:posOffset>
                </wp:positionH>
                <wp:positionV relativeFrom="paragraph">
                  <wp:posOffset>66675</wp:posOffset>
                </wp:positionV>
                <wp:extent cx="842010" cy="457200"/>
                <wp:effectExtent l="0" t="76200" r="9144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9455E4B" w14:textId="77777777" w:rsidR="00FD5BA9" w:rsidRPr="00147E93" w:rsidRDefault="00FD5BA9" w:rsidP="008941AD">
                            <w:pPr>
                              <w:rPr>
                                <w:b/>
                              </w:rPr>
                            </w:pPr>
                            <w:r w:rsidRPr="00147E93">
                              <w:t>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5E581" id="Rectangle 40" o:spid="_x0000_s1055" style="position:absolute;left:0;text-align:left;margin-left:147.45pt;margin-top:5.25pt;width:66.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">
                <v:shadow on="t" opacity=".5" offset="6pt,-6pt"/>
                <v:textbox>
                  <w:txbxContent>
                    <w:p w14:paraId="69455E4B" w14:textId="77777777" w:rsidR="00FD5BA9" w:rsidRPr="00147E93" w:rsidRDefault="00FD5BA9" w:rsidP="008941AD">
                      <w:pPr>
                        <w:rPr>
                          <w:b/>
                        </w:rPr>
                      </w:pPr>
                      <w:r w:rsidRPr="00147E93">
                        <w:t>Company</w:t>
                      </w:r>
                    </w:p>
                  </w:txbxContent>
                </v:textbox>
              </v:rect>
            </w:pict>
          </mc:Fallback>
        </mc:AlternateContent>
      </w:r>
    </w:p>
    <w:p w14:paraId="68EB22D4" w14:textId="77777777" w:rsidR="008941AD" w:rsidRPr="000E1B7E" w:rsidRDefault="008941AD" w:rsidP="005959B5">
      <w:pPr>
        <w:ind w:left="720"/>
        <w:jc w:val="both"/>
      </w:pPr>
    </w:p>
    <w:p w14:paraId="1FA41D32" w14:textId="77777777" w:rsidR="00D70327" w:rsidRPr="000E1B7E" w:rsidRDefault="00D70327" w:rsidP="00D70327">
      <w:pPr>
        <w:pStyle w:val="ListParagraph"/>
        <w:spacing w:line="360" w:lineRule="auto"/>
        <w:ind w:left="1276"/>
        <w:rPr>
          <w:rFonts w:ascii="Times New Roman" w:hAnsi="Times New Roman"/>
          <w:sz w:val="24"/>
          <w:szCs w:val="24"/>
        </w:rPr>
      </w:pPr>
    </w:p>
    <w:p w14:paraId="7600DC81" w14:textId="77777777" w:rsidR="008941AD" w:rsidRPr="000E1B7E" w:rsidRDefault="008941AD" w:rsidP="00F85D24">
      <w:pPr>
        <w:pStyle w:val="ListParagraph"/>
        <w:numPr>
          <w:ilvl w:val="1"/>
          <w:numId w:val="26"/>
        </w:numPr>
        <w:spacing w:line="360" w:lineRule="auto"/>
        <w:ind w:left="1276" w:hanging="709"/>
        <w:rPr>
          <w:rFonts w:ascii="Times New Roman" w:hAnsi="Times New Roman"/>
          <w:sz w:val="24"/>
          <w:szCs w:val="24"/>
        </w:rPr>
      </w:pPr>
      <w:r w:rsidRPr="000E1B7E">
        <w:rPr>
          <w:rFonts w:ascii="Times New Roman" w:hAnsi="Times New Roman"/>
          <w:sz w:val="24"/>
          <w:szCs w:val="24"/>
        </w:rPr>
        <w:t xml:space="preserve">Once the Uganda government initiates the fund through providing the necessary initial resources, including financial and human resources, it should market it to other potential investors including pension funds and other institutions including international organizations. The government in collaboration with the Capital Markets Authority would make a decision on the initial amount of financing required based a well structured study. Once this is determined, the government in collaboration with its co-investors would have to decide on how much to allocate to the various sub-funds. The overall manager of the fund of funds would be given performance targets on the performance of the managed portfolio. This is critical so that the fund is not viewed as another form of subsidy passed on to enterprises. These performance targets in form of dividends earned from the various enterprises would be passed on to the various sub-managers. </w:t>
      </w:r>
    </w:p>
    <w:p w14:paraId="1A183CCC" w14:textId="77777777" w:rsidR="008941AD" w:rsidRPr="000E1B7E" w:rsidRDefault="008941AD" w:rsidP="00F85D24">
      <w:pPr>
        <w:pStyle w:val="ListParagraph"/>
        <w:numPr>
          <w:ilvl w:val="1"/>
          <w:numId w:val="26"/>
        </w:numPr>
        <w:spacing w:line="360" w:lineRule="auto"/>
        <w:ind w:left="1276" w:hanging="709"/>
        <w:rPr>
          <w:rFonts w:ascii="Times New Roman" w:hAnsi="Times New Roman"/>
          <w:b/>
          <w:sz w:val="24"/>
          <w:szCs w:val="24"/>
        </w:rPr>
      </w:pPr>
      <w:r w:rsidRPr="000E1B7E">
        <w:rPr>
          <w:rFonts w:ascii="Times New Roman" w:hAnsi="Times New Roman"/>
          <w:sz w:val="24"/>
          <w:szCs w:val="24"/>
        </w:rPr>
        <w:t xml:space="preserve">Once this is set up, it would become a revolving and self-financing fund in the same way the Government of Ghana envisioned the establishment and operations of the Venture Capital Trust Fund in Ghana. The dividends earned from the various enterprises would be ploughed back into the fund for Investment in other SME companies. </w:t>
      </w:r>
    </w:p>
    <w:p w14:paraId="2EE1225F" w14:textId="77777777" w:rsidR="008941AD" w:rsidRPr="000E1B7E" w:rsidRDefault="008941AD" w:rsidP="00F85D24">
      <w:pPr>
        <w:pStyle w:val="ListParagraph"/>
        <w:numPr>
          <w:ilvl w:val="1"/>
          <w:numId w:val="26"/>
        </w:numPr>
        <w:spacing w:line="360" w:lineRule="auto"/>
        <w:ind w:left="1276" w:hanging="709"/>
        <w:rPr>
          <w:rFonts w:ascii="Times New Roman" w:hAnsi="Times New Roman"/>
          <w:b/>
          <w:sz w:val="24"/>
          <w:szCs w:val="24"/>
        </w:rPr>
      </w:pPr>
      <w:r w:rsidRPr="000E1B7E">
        <w:rPr>
          <w:rFonts w:ascii="Times New Roman" w:hAnsi="Times New Roman"/>
          <w:sz w:val="24"/>
          <w:szCs w:val="24"/>
        </w:rPr>
        <w:lastRenderedPageBreak/>
        <w:t xml:space="preserve">The challenge of establishing the </w:t>
      </w:r>
      <w:r w:rsidRPr="000E1B7E">
        <w:rPr>
          <w:rFonts w:ascii="Times New Roman" w:hAnsi="Times New Roman"/>
          <w:b/>
          <w:sz w:val="24"/>
          <w:szCs w:val="24"/>
        </w:rPr>
        <w:t>U</w:t>
      </w:r>
      <w:r w:rsidRPr="000E1B7E">
        <w:rPr>
          <w:rFonts w:ascii="Times New Roman" w:hAnsi="Times New Roman"/>
          <w:sz w:val="24"/>
          <w:szCs w:val="24"/>
        </w:rPr>
        <w:t xml:space="preserve">FF is to identify the right fund managers with the requisite skills to identify prospective </w:t>
      </w:r>
      <w:r w:rsidRPr="000E1B7E">
        <w:rPr>
          <w:rFonts w:ascii="Times New Roman" w:hAnsi="Times New Roman"/>
          <w:b/>
          <w:sz w:val="24"/>
          <w:szCs w:val="24"/>
        </w:rPr>
        <w:t>enterprises</w:t>
      </w:r>
      <w:r w:rsidRPr="000E1B7E">
        <w:rPr>
          <w:rFonts w:ascii="Times New Roman" w:hAnsi="Times New Roman"/>
          <w:sz w:val="24"/>
          <w:szCs w:val="24"/>
        </w:rPr>
        <w:t xml:space="preserve">. As a benchmark, the </w:t>
      </w:r>
      <w:r w:rsidRPr="000E1B7E">
        <w:rPr>
          <w:rFonts w:ascii="Times New Roman" w:hAnsi="Times New Roman"/>
          <w:b/>
          <w:sz w:val="24"/>
          <w:szCs w:val="24"/>
        </w:rPr>
        <w:t>U</w:t>
      </w:r>
      <w:r w:rsidRPr="000E1B7E">
        <w:rPr>
          <w:rFonts w:ascii="Times New Roman" w:hAnsi="Times New Roman"/>
          <w:sz w:val="24"/>
          <w:szCs w:val="24"/>
        </w:rPr>
        <w:t>FF could borrow some of the experiences from the Yozma fund of funds, Korean fund of funds and Ghana Venture Capital Trust Fund</w:t>
      </w:r>
      <w:r w:rsidRPr="000E1B7E">
        <w:rPr>
          <w:rFonts w:ascii="Times New Roman" w:hAnsi="Times New Roman"/>
          <w:b/>
          <w:sz w:val="24"/>
          <w:szCs w:val="24"/>
        </w:rPr>
        <w:t>.</w:t>
      </w:r>
    </w:p>
    <w:p w14:paraId="0DF05C33" w14:textId="77777777" w:rsidR="008941AD" w:rsidRPr="000E1B7E" w:rsidRDefault="008941AD" w:rsidP="00F85D24">
      <w:pPr>
        <w:pStyle w:val="ListParagraph"/>
        <w:numPr>
          <w:ilvl w:val="0"/>
          <w:numId w:val="26"/>
        </w:numPr>
        <w:autoSpaceDE w:val="0"/>
        <w:autoSpaceDN w:val="0"/>
        <w:adjustRightInd w:val="0"/>
        <w:spacing w:after="0" w:line="360" w:lineRule="auto"/>
        <w:contextualSpacing/>
        <w:rPr>
          <w:rFonts w:ascii="Times New Roman" w:hAnsi="Times New Roman"/>
          <w:sz w:val="24"/>
          <w:szCs w:val="24"/>
        </w:rPr>
      </w:pPr>
      <w:r w:rsidRPr="000E1B7E">
        <w:rPr>
          <w:rFonts w:ascii="Times New Roman" w:hAnsi="Times New Roman"/>
          <w:b/>
          <w:sz w:val="24"/>
          <w:szCs w:val="24"/>
          <w:lang w:val="en-US"/>
        </w:rPr>
        <w:t>Use of Pension Funds</w:t>
      </w:r>
      <w:r w:rsidRPr="000E1B7E">
        <w:rPr>
          <w:rFonts w:ascii="Times New Roman" w:hAnsi="Times New Roman"/>
          <w:sz w:val="24"/>
          <w:szCs w:val="24"/>
          <w:lang w:val="en-US"/>
        </w:rPr>
        <w:t xml:space="preserve">. Pension funds have not made progressive investments in infrastructure – especially in those sectors with the potential for high returns and stable and long-term cash flow and inflation-protection possibilities. </w:t>
      </w:r>
      <w:r w:rsidRPr="000E1B7E">
        <w:rPr>
          <w:rFonts w:ascii="Times New Roman" w:hAnsi="Times New Roman"/>
          <w:sz w:val="24"/>
          <w:szCs w:val="24"/>
        </w:rPr>
        <w:t xml:space="preserve">While the government is expediting the development of the pension sector and implementing the Capital Markets Master Plan, it should also mobilize domestic currency financing by establishing syndicates of commercial banks and large surplus institutions to finance infrastructure projects, such as pension funds, particularly the National Social Security Fund (NSSF). </w:t>
      </w:r>
    </w:p>
    <w:p w14:paraId="590DC128" w14:textId="77777777" w:rsidR="008941AD" w:rsidRPr="000E1B7E" w:rsidRDefault="008941AD" w:rsidP="005959B5">
      <w:pPr>
        <w:pStyle w:val="ListParagraph"/>
        <w:autoSpaceDE w:val="0"/>
        <w:autoSpaceDN w:val="0"/>
        <w:adjustRightInd w:val="0"/>
        <w:spacing w:after="0" w:line="360" w:lineRule="auto"/>
        <w:rPr>
          <w:rFonts w:ascii="Times New Roman" w:hAnsi="Times New Roman"/>
          <w:sz w:val="24"/>
          <w:szCs w:val="24"/>
        </w:rPr>
      </w:pPr>
    </w:p>
    <w:p w14:paraId="7FB7F0F2" w14:textId="77777777" w:rsidR="008941AD" w:rsidRPr="000E1B7E" w:rsidRDefault="008941AD" w:rsidP="00F85D24">
      <w:pPr>
        <w:pStyle w:val="ListParagraph"/>
        <w:numPr>
          <w:ilvl w:val="0"/>
          <w:numId w:val="26"/>
        </w:numPr>
        <w:autoSpaceDE w:val="0"/>
        <w:autoSpaceDN w:val="0"/>
        <w:adjustRightInd w:val="0"/>
        <w:spacing w:after="0" w:line="360" w:lineRule="auto"/>
        <w:contextualSpacing/>
        <w:rPr>
          <w:rFonts w:ascii="Times New Roman" w:hAnsi="Times New Roman"/>
          <w:sz w:val="24"/>
          <w:szCs w:val="24"/>
        </w:rPr>
      </w:pPr>
      <w:r w:rsidRPr="000E1B7E">
        <w:rPr>
          <w:rFonts w:ascii="Times New Roman" w:hAnsi="Times New Roman"/>
          <w:b/>
          <w:sz w:val="24"/>
          <w:szCs w:val="24"/>
          <w:lang w:val="en-US"/>
        </w:rPr>
        <w:t>Sovereign Wealth Funds (SWFs)</w:t>
      </w:r>
      <w:r w:rsidRPr="000E1B7E">
        <w:rPr>
          <w:rFonts w:ascii="Times New Roman" w:hAnsi="Times New Roman"/>
          <w:sz w:val="24"/>
          <w:szCs w:val="24"/>
          <w:lang w:val="en-US"/>
        </w:rPr>
        <w:t xml:space="preserve"> provide alternative financing role in developing much-needed infrastructure across the world, provided that their investment strategies and underlying mandates support countries’ macroeconomic policies and development plans. Infrastructure projects provide long-term investment returns that are protected against inflation and bear little to no correlation with other financial assets, making them less vulnerable to economic shocks. </w:t>
      </w:r>
    </w:p>
    <w:p w14:paraId="4EA376D0" w14:textId="77777777" w:rsidR="008941AD" w:rsidRPr="000E1B7E" w:rsidRDefault="008941AD" w:rsidP="005959B5">
      <w:pPr>
        <w:pStyle w:val="ListParagraph"/>
        <w:spacing w:line="360" w:lineRule="auto"/>
        <w:rPr>
          <w:rFonts w:ascii="Times New Roman" w:hAnsi="Times New Roman"/>
          <w:sz w:val="24"/>
          <w:szCs w:val="24"/>
        </w:rPr>
        <w:sectPr w:rsidR="008941AD" w:rsidRPr="000E1B7E" w:rsidSect="005959B5">
          <w:pgSz w:w="12240" w:h="15840"/>
          <w:pgMar w:top="1440" w:right="1440" w:bottom="1440" w:left="1440" w:header="720" w:footer="720" w:gutter="0"/>
          <w:cols w:space="720"/>
          <w:docGrid w:linePitch="360"/>
        </w:sectPr>
      </w:pPr>
    </w:p>
    <w:p w14:paraId="7011EFFD" w14:textId="77777777" w:rsidR="00E92F2C" w:rsidRPr="000E1B7E" w:rsidRDefault="00E92F2C" w:rsidP="00F85D24">
      <w:pPr>
        <w:pStyle w:val="Heading1"/>
        <w:numPr>
          <w:ilvl w:val="0"/>
          <w:numId w:val="22"/>
        </w:numPr>
        <w:ind w:left="709" w:hanging="709"/>
      </w:pPr>
      <w:bookmarkStart w:id="121" w:name="_Toc3478388"/>
      <w:bookmarkStart w:id="122" w:name="_Toc11956271"/>
      <w:r w:rsidRPr="000E1B7E">
        <w:lastRenderedPageBreak/>
        <w:t>Price and Monetary Developments</w:t>
      </w:r>
      <w:bookmarkEnd w:id="121"/>
      <w:bookmarkEnd w:id="122"/>
    </w:p>
    <w:p w14:paraId="7B30A25C" w14:textId="77777777" w:rsidR="004E64B1" w:rsidRPr="000E1B7E" w:rsidRDefault="007A6BE8" w:rsidP="00C11847">
      <w:pPr>
        <w:pStyle w:val="DeltaSeched2"/>
      </w:pPr>
      <w:bookmarkStart w:id="123" w:name="_Toc3478389"/>
      <w:bookmarkStart w:id="124" w:name="_Toc11956272"/>
      <w:r w:rsidRPr="000E1B7E">
        <w:t>Monet</w:t>
      </w:r>
      <w:r w:rsidR="004E64B1" w:rsidRPr="000E1B7E">
        <w:t>ary Policy Stance and Inflation</w:t>
      </w:r>
      <w:bookmarkEnd w:id="123"/>
      <w:bookmarkEnd w:id="124"/>
    </w:p>
    <w:p w14:paraId="13D1A187" w14:textId="77777777" w:rsidR="00DD261A" w:rsidRPr="000E1B7E" w:rsidRDefault="00E92F2C"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Monetary policy </w:t>
      </w:r>
      <w:r w:rsidR="007A6BE8" w:rsidRPr="000E1B7E">
        <w:rPr>
          <w:rFonts w:ascii="Times New Roman" w:hAnsi="Times New Roman"/>
          <w:sz w:val="24"/>
          <w:szCs w:val="24"/>
        </w:rPr>
        <w:t xml:space="preserve">has been </w:t>
      </w:r>
      <w:r w:rsidRPr="000E1B7E">
        <w:rPr>
          <w:rFonts w:ascii="Times New Roman" w:hAnsi="Times New Roman"/>
          <w:sz w:val="24"/>
          <w:szCs w:val="24"/>
        </w:rPr>
        <w:t xml:space="preserve">underpinned by the desire to maintain macroeconomic stability. </w:t>
      </w:r>
      <w:r w:rsidR="00B1201B" w:rsidRPr="000E1B7E">
        <w:rPr>
          <w:rFonts w:ascii="Times New Roman" w:hAnsi="Times New Roman"/>
          <w:sz w:val="24"/>
          <w:szCs w:val="24"/>
        </w:rPr>
        <w:t xml:space="preserve">The Bank of Uganda (BOU) has been implementing monetary policy under an Inflation Targeting Lite (ITL) monetary policy framework since July 2011. </w:t>
      </w:r>
      <w:r w:rsidR="00DD261A" w:rsidRPr="000E1B7E">
        <w:rPr>
          <w:rFonts w:ascii="Times New Roman" w:hAnsi="Times New Roman"/>
          <w:sz w:val="24"/>
          <w:szCs w:val="24"/>
        </w:rPr>
        <w:t xml:space="preserve">In this framework, the BOU uses the policy rate to influence the interbank money market rates so that they move in tandem with the movement in the central bank rate (CBR) which in turn should influence other retail interest rates (both short-term and long-term) in the economy. </w:t>
      </w:r>
    </w:p>
    <w:p w14:paraId="6C2E867E" w14:textId="77777777" w:rsidR="00173C4E" w:rsidRPr="000E1B7E" w:rsidRDefault="00E92F2C" w:rsidP="00F85D24">
      <w:pPr>
        <w:pStyle w:val="DeltaBodytext"/>
        <w:numPr>
          <w:ilvl w:val="0"/>
          <w:numId w:val="26"/>
        </w:numPr>
        <w:autoSpaceDE w:val="0"/>
        <w:autoSpaceDN w:val="0"/>
        <w:adjustRightInd w:val="0"/>
        <w:spacing w:before="240" w:line="360" w:lineRule="auto"/>
        <w:ind w:left="567" w:hanging="567"/>
        <w:rPr>
          <w:rFonts w:ascii="Times New Roman" w:hAnsi="Times New Roman"/>
        </w:rPr>
      </w:pPr>
      <w:r w:rsidRPr="000E1B7E">
        <w:rPr>
          <w:rFonts w:ascii="Times New Roman" w:hAnsi="Times New Roman"/>
          <w:sz w:val="24"/>
          <w:szCs w:val="24"/>
        </w:rPr>
        <w:t xml:space="preserve">The </w:t>
      </w:r>
      <w:r w:rsidR="007A6BE8" w:rsidRPr="000E1B7E">
        <w:rPr>
          <w:rFonts w:ascii="Times New Roman" w:hAnsi="Times New Roman"/>
          <w:sz w:val="24"/>
          <w:szCs w:val="24"/>
        </w:rPr>
        <w:t xml:space="preserve">NDP II </w:t>
      </w:r>
      <w:r w:rsidRPr="000E1B7E">
        <w:rPr>
          <w:rFonts w:ascii="Times New Roman" w:hAnsi="Times New Roman"/>
          <w:sz w:val="24"/>
          <w:szCs w:val="24"/>
        </w:rPr>
        <w:t xml:space="preserve">target </w:t>
      </w:r>
      <w:r w:rsidR="00B1201B" w:rsidRPr="000E1B7E">
        <w:rPr>
          <w:rFonts w:ascii="Times New Roman" w:hAnsi="Times New Roman"/>
          <w:sz w:val="24"/>
          <w:szCs w:val="24"/>
        </w:rPr>
        <w:t xml:space="preserve">is to maintain </w:t>
      </w:r>
      <w:r w:rsidRPr="000E1B7E">
        <w:rPr>
          <w:rFonts w:ascii="Times New Roman" w:hAnsi="Times New Roman"/>
          <w:sz w:val="24"/>
          <w:szCs w:val="24"/>
        </w:rPr>
        <w:t xml:space="preserve">core inflation </w:t>
      </w:r>
      <w:r w:rsidR="00B1201B" w:rsidRPr="000E1B7E">
        <w:rPr>
          <w:rFonts w:ascii="Times New Roman" w:hAnsi="Times New Roman"/>
          <w:sz w:val="24"/>
          <w:szCs w:val="24"/>
        </w:rPr>
        <w:t xml:space="preserve">within a band centered on </w:t>
      </w:r>
      <w:r w:rsidRPr="000E1B7E">
        <w:rPr>
          <w:rFonts w:ascii="Times New Roman" w:hAnsi="Times New Roman"/>
          <w:sz w:val="24"/>
          <w:szCs w:val="24"/>
        </w:rPr>
        <w:t xml:space="preserve">5 percent. </w:t>
      </w:r>
      <w:r w:rsidR="00B1201B" w:rsidRPr="000E1B7E">
        <w:rPr>
          <w:rFonts w:ascii="Times New Roman" w:hAnsi="Times New Roman"/>
          <w:sz w:val="24"/>
          <w:szCs w:val="24"/>
        </w:rPr>
        <w:t xml:space="preserve">The band is currently +/- 2%, resulting in a target range of 3% - 7%. </w:t>
      </w:r>
      <w:r w:rsidRPr="000E1B7E">
        <w:rPr>
          <w:rFonts w:ascii="Times New Roman" w:hAnsi="Times New Roman"/>
          <w:sz w:val="24"/>
          <w:szCs w:val="24"/>
        </w:rPr>
        <w:t xml:space="preserve">BOU monetary policy framework </w:t>
      </w:r>
      <w:r w:rsidR="007A6BE8" w:rsidRPr="000E1B7E">
        <w:rPr>
          <w:rFonts w:ascii="Times New Roman" w:hAnsi="Times New Roman"/>
          <w:sz w:val="24"/>
          <w:szCs w:val="24"/>
        </w:rPr>
        <w:t xml:space="preserve">has </w:t>
      </w:r>
      <w:r w:rsidRPr="000E1B7E">
        <w:rPr>
          <w:rFonts w:ascii="Times New Roman" w:hAnsi="Times New Roman"/>
          <w:sz w:val="24"/>
          <w:szCs w:val="24"/>
        </w:rPr>
        <w:t>ensure</w:t>
      </w:r>
      <w:r w:rsidR="007A6BE8" w:rsidRPr="000E1B7E">
        <w:rPr>
          <w:rFonts w:ascii="Times New Roman" w:hAnsi="Times New Roman"/>
          <w:sz w:val="24"/>
          <w:szCs w:val="24"/>
        </w:rPr>
        <w:t>d</w:t>
      </w:r>
      <w:r w:rsidRPr="000E1B7E">
        <w:rPr>
          <w:rFonts w:ascii="Times New Roman" w:hAnsi="Times New Roman"/>
          <w:sz w:val="24"/>
          <w:szCs w:val="24"/>
        </w:rPr>
        <w:t xml:space="preserve"> price stability</w:t>
      </w:r>
      <w:r w:rsidR="00DD261A" w:rsidRPr="000E1B7E">
        <w:rPr>
          <w:rFonts w:ascii="Times New Roman" w:hAnsi="Times New Roman"/>
          <w:sz w:val="24"/>
          <w:szCs w:val="24"/>
        </w:rPr>
        <w:t>,</w:t>
      </w:r>
      <w:r w:rsidRPr="000E1B7E">
        <w:rPr>
          <w:rFonts w:ascii="Times New Roman" w:hAnsi="Times New Roman"/>
          <w:sz w:val="24"/>
          <w:szCs w:val="24"/>
        </w:rPr>
        <w:t xml:space="preserve"> and </w:t>
      </w:r>
      <w:r w:rsidR="007A6BE8" w:rsidRPr="000E1B7E">
        <w:rPr>
          <w:rFonts w:ascii="Times New Roman" w:hAnsi="Times New Roman"/>
          <w:sz w:val="24"/>
          <w:szCs w:val="24"/>
        </w:rPr>
        <w:t xml:space="preserve">inflation has been contained as shown in figure </w:t>
      </w:r>
      <w:r w:rsidR="00C17493" w:rsidRPr="000E1B7E">
        <w:rPr>
          <w:rFonts w:ascii="Times New Roman" w:hAnsi="Times New Roman"/>
          <w:sz w:val="24"/>
          <w:szCs w:val="24"/>
        </w:rPr>
        <w:t>15</w:t>
      </w:r>
      <w:r w:rsidR="007A6BE8" w:rsidRPr="000E1B7E">
        <w:rPr>
          <w:rFonts w:ascii="Times New Roman" w:hAnsi="Times New Roman"/>
          <w:sz w:val="24"/>
          <w:szCs w:val="24"/>
        </w:rPr>
        <w:t>.</w:t>
      </w:r>
    </w:p>
    <w:p w14:paraId="4FEA706E" w14:textId="77777777" w:rsidR="007A6BE8" w:rsidRPr="000E1B7E" w:rsidRDefault="005E042B" w:rsidP="005E042B">
      <w:pPr>
        <w:pStyle w:val="Caption"/>
        <w:rPr>
          <w:rFonts w:ascii="Times New Roman" w:eastAsia="Calibri" w:hAnsi="Times New Roman" w:cs="Times New Roman"/>
          <w:b/>
          <w:i w:val="0"/>
          <w:iCs w:val="0"/>
          <w:color w:val="auto"/>
          <w:sz w:val="24"/>
          <w:szCs w:val="24"/>
          <w:lang w:val="en-GB"/>
        </w:rPr>
      </w:pPr>
      <w:bookmarkStart w:id="125" w:name="_Toc3483159"/>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15</w:t>
      </w:r>
      <w:r w:rsidR="001232BF" w:rsidRPr="000E1B7E">
        <w:rPr>
          <w:rFonts w:ascii="Times New Roman" w:eastAsia="Calibri" w:hAnsi="Times New Roman" w:cs="Times New Roman"/>
          <w:b/>
          <w:i w:val="0"/>
          <w:iCs w:val="0"/>
          <w:color w:val="auto"/>
          <w:sz w:val="24"/>
          <w:szCs w:val="24"/>
          <w:lang w:val="en-GB"/>
        </w:rPr>
        <w:fldChar w:fldCharType="end"/>
      </w:r>
      <w:r w:rsidR="007A6BE8" w:rsidRPr="000E1B7E">
        <w:rPr>
          <w:rFonts w:ascii="Times New Roman" w:eastAsia="Calibri" w:hAnsi="Times New Roman" w:cs="Times New Roman"/>
          <w:b/>
          <w:i w:val="0"/>
          <w:iCs w:val="0"/>
          <w:color w:val="auto"/>
          <w:sz w:val="24"/>
          <w:szCs w:val="24"/>
          <w:lang w:val="en-GB"/>
        </w:rPr>
        <w:t>: Trends in Annual Inflation</w:t>
      </w:r>
      <w:bookmarkEnd w:id="125"/>
    </w:p>
    <w:p w14:paraId="6FE81216" w14:textId="77777777" w:rsidR="007A6BE8" w:rsidRPr="000E1B7E" w:rsidRDefault="007A6BE8" w:rsidP="005959B5">
      <w:pPr>
        <w:autoSpaceDE w:val="0"/>
        <w:autoSpaceDN w:val="0"/>
        <w:adjustRightInd w:val="0"/>
        <w:jc w:val="both"/>
      </w:pPr>
      <w:r w:rsidRPr="000E1B7E">
        <w:rPr>
          <w:noProof/>
          <w:lang w:eastAsia="en-GB"/>
        </w:rPr>
        <w:drawing>
          <wp:inline distT="0" distB="0" distL="0" distR="0" wp14:anchorId="49AD2FF2" wp14:editId="141535DA">
            <wp:extent cx="5737123" cy="3067664"/>
            <wp:effectExtent l="0" t="0" r="0" b="0"/>
            <wp:docPr id="10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50AC5F0" w14:textId="77777777" w:rsidR="00886FE8" w:rsidRPr="000E1B7E" w:rsidRDefault="00886FE8" w:rsidP="005959B5">
      <w:pPr>
        <w:autoSpaceDE w:val="0"/>
        <w:autoSpaceDN w:val="0"/>
        <w:adjustRightInd w:val="0"/>
        <w:spacing w:line="360" w:lineRule="auto"/>
        <w:jc w:val="both"/>
      </w:pPr>
      <w:r w:rsidRPr="000E1B7E">
        <w:t>Source: Bank of Uganda</w:t>
      </w:r>
    </w:p>
    <w:p w14:paraId="79584A0C" w14:textId="77777777" w:rsidR="007A6BE8" w:rsidRPr="000E1B7E" w:rsidRDefault="007A6BE8"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Annual </w:t>
      </w:r>
      <w:r w:rsidR="00DD261A" w:rsidRPr="000E1B7E">
        <w:rPr>
          <w:rFonts w:ascii="Times New Roman" w:hAnsi="Times New Roman"/>
          <w:sz w:val="24"/>
          <w:szCs w:val="24"/>
        </w:rPr>
        <w:t>i</w:t>
      </w:r>
      <w:r w:rsidRPr="000E1B7E">
        <w:rPr>
          <w:rFonts w:ascii="Times New Roman" w:hAnsi="Times New Roman"/>
          <w:sz w:val="24"/>
          <w:szCs w:val="24"/>
        </w:rPr>
        <w:t xml:space="preserve">nflation peaked at 6.6% </w:t>
      </w:r>
      <w:r w:rsidR="00DD261A" w:rsidRPr="000E1B7E">
        <w:rPr>
          <w:rFonts w:ascii="Times New Roman" w:hAnsi="Times New Roman"/>
          <w:sz w:val="24"/>
          <w:szCs w:val="24"/>
        </w:rPr>
        <w:t xml:space="preserve">2015/16 </w:t>
      </w:r>
      <w:r w:rsidRPr="000E1B7E">
        <w:rPr>
          <w:rFonts w:ascii="Times New Roman" w:hAnsi="Times New Roman"/>
          <w:sz w:val="24"/>
          <w:szCs w:val="24"/>
        </w:rPr>
        <w:t xml:space="preserve">before reducing to 5.7% in 2016/17. Overall, inflation has remained </w:t>
      </w:r>
      <w:r w:rsidR="00173C4E" w:rsidRPr="000E1B7E">
        <w:rPr>
          <w:rFonts w:ascii="Times New Roman" w:hAnsi="Times New Roman"/>
          <w:sz w:val="24"/>
          <w:szCs w:val="24"/>
        </w:rPr>
        <w:t xml:space="preserve">in </w:t>
      </w:r>
      <w:r w:rsidR="00DD261A" w:rsidRPr="000E1B7E">
        <w:rPr>
          <w:rFonts w:ascii="Times New Roman" w:hAnsi="Times New Roman"/>
          <w:sz w:val="24"/>
          <w:szCs w:val="24"/>
        </w:rPr>
        <w:t xml:space="preserve">target </w:t>
      </w:r>
      <w:r w:rsidR="00173C4E" w:rsidRPr="000E1B7E">
        <w:rPr>
          <w:rFonts w:ascii="Times New Roman" w:hAnsi="Times New Roman"/>
          <w:sz w:val="24"/>
          <w:szCs w:val="24"/>
        </w:rPr>
        <w:t xml:space="preserve">range </w:t>
      </w:r>
      <w:r w:rsidRPr="000E1B7E">
        <w:rPr>
          <w:rFonts w:ascii="Times New Roman" w:hAnsi="Times New Roman"/>
          <w:sz w:val="24"/>
          <w:szCs w:val="24"/>
        </w:rPr>
        <w:t>throughout the NDP II period. The monetary policy stance has been effective in containing inflation over the review period</w:t>
      </w:r>
      <w:r w:rsidR="001C6725" w:rsidRPr="000E1B7E">
        <w:rPr>
          <w:rFonts w:ascii="Times New Roman" w:hAnsi="Times New Roman"/>
          <w:sz w:val="24"/>
          <w:szCs w:val="24"/>
        </w:rPr>
        <w:t>, despite some volatility in food and energy / fuel prices.</w:t>
      </w:r>
    </w:p>
    <w:p w14:paraId="4B1DA199" w14:textId="77777777" w:rsidR="007A6BE8" w:rsidRPr="000E1B7E" w:rsidRDefault="007A6BE8" w:rsidP="005959B5">
      <w:pPr>
        <w:autoSpaceDE w:val="0"/>
        <w:autoSpaceDN w:val="0"/>
        <w:adjustRightInd w:val="0"/>
        <w:spacing w:line="360" w:lineRule="auto"/>
        <w:jc w:val="both"/>
      </w:pPr>
    </w:p>
    <w:p w14:paraId="4ACD5282" w14:textId="77777777" w:rsidR="00FA3F4D" w:rsidRPr="000E1B7E" w:rsidRDefault="00E92F2C" w:rsidP="00C11847">
      <w:pPr>
        <w:pStyle w:val="DeltaSeched2"/>
      </w:pPr>
      <w:bookmarkStart w:id="126" w:name="_Toc3478390"/>
      <w:bookmarkStart w:id="127" w:name="_Toc11956273"/>
      <w:r w:rsidRPr="000E1B7E">
        <w:t xml:space="preserve">The </w:t>
      </w:r>
      <w:r w:rsidR="005E042B" w:rsidRPr="000E1B7E">
        <w:t>Foreign Exchange Market</w:t>
      </w:r>
      <w:bookmarkEnd w:id="126"/>
      <w:bookmarkEnd w:id="127"/>
    </w:p>
    <w:p w14:paraId="41E31C98" w14:textId="77777777" w:rsidR="001C6725" w:rsidRPr="000E1B7E" w:rsidRDefault="009A7F7A"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Within the monetary policy framework, </w:t>
      </w:r>
      <w:r w:rsidR="001C6725" w:rsidRPr="000E1B7E">
        <w:rPr>
          <w:rFonts w:ascii="Times New Roman" w:hAnsi="Times New Roman"/>
          <w:sz w:val="24"/>
          <w:szCs w:val="24"/>
        </w:rPr>
        <w:t xml:space="preserve">the BoU </w:t>
      </w:r>
      <w:r w:rsidRPr="000E1B7E">
        <w:rPr>
          <w:rFonts w:ascii="Times New Roman" w:hAnsi="Times New Roman"/>
          <w:sz w:val="24"/>
          <w:szCs w:val="24"/>
        </w:rPr>
        <w:t xml:space="preserve">has </w:t>
      </w:r>
      <w:r w:rsidR="001C6725" w:rsidRPr="000E1B7E">
        <w:rPr>
          <w:rFonts w:ascii="Times New Roman" w:hAnsi="Times New Roman"/>
          <w:sz w:val="24"/>
          <w:szCs w:val="24"/>
        </w:rPr>
        <w:t xml:space="preserve">from time to time </w:t>
      </w:r>
      <w:r w:rsidRPr="000E1B7E">
        <w:rPr>
          <w:rFonts w:ascii="Times New Roman" w:hAnsi="Times New Roman"/>
          <w:sz w:val="24"/>
          <w:szCs w:val="24"/>
        </w:rPr>
        <w:t>interven</w:t>
      </w:r>
      <w:r w:rsidR="001C6725" w:rsidRPr="000E1B7E">
        <w:rPr>
          <w:rFonts w:ascii="Times New Roman" w:hAnsi="Times New Roman"/>
          <w:sz w:val="24"/>
          <w:szCs w:val="24"/>
        </w:rPr>
        <w:t>ed</w:t>
      </w:r>
      <w:r w:rsidRPr="000E1B7E">
        <w:rPr>
          <w:rFonts w:ascii="Times New Roman" w:hAnsi="Times New Roman"/>
          <w:sz w:val="24"/>
          <w:szCs w:val="24"/>
        </w:rPr>
        <w:t xml:space="preserve"> in the foreign exchange markett</w:t>
      </w:r>
      <w:r w:rsidR="00E92F2C" w:rsidRPr="000E1B7E">
        <w:rPr>
          <w:rFonts w:ascii="Times New Roman" w:hAnsi="Times New Roman"/>
          <w:sz w:val="24"/>
          <w:szCs w:val="24"/>
        </w:rPr>
        <w:t>o sterilize net inflow</w:t>
      </w:r>
      <w:r w:rsidR="00173C4E" w:rsidRPr="000E1B7E">
        <w:rPr>
          <w:rFonts w:ascii="Times New Roman" w:hAnsi="Times New Roman"/>
          <w:sz w:val="24"/>
          <w:szCs w:val="24"/>
        </w:rPr>
        <w:t>s of foreign exchange</w:t>
      </w:r>
      <w:r w:rsidR="001C6725" w:rsidRPr="000E1B7E">
        <w:rPr>
          <w:rFonts w:ascii="Times New Roman" w:hAnsi="Times New Roman"/>
          <w:sz w:val="24"/>
          <w:szCs w:val="24"/>
        </w:rPr>
        <w:t>,</w:t>
      </w:r>
      <w:r w:rsidR="00E92F2C" w:rsidRPr="000E1B7E">
        <w:rPr>
          <w:rFonts w:ascii="Times New Roman" w:hAnsi="Times New Roman"/>
          <w:sz w:val="24"/>
          <w:szCs w:val="24"/>
        </w:rPr>
        <w:t xml:space="preserve"> and </w:t>
      </w:r>
      <w:r w:rsidR="00173C4E" w:rsidRPr="000E1B7E">
        <w:rPr>
          <w:rFonts w:ascii="Times New Roman" w:hAnsi="Times New Roman"/>
          <w:sz w:val="24"/>
          <w:szCs w:val="24"/>
        </w:rPr>
        <w:t xml:space="preserve">to </w:t>
      </w:r>
      <w:r w:rsidR="00E92F2C" w:rsidRPr="000E1B7E">
        <w:rPr>
          <w:rFonts w:ascii="Times New Roman" w:hAnsi="Times New Roman"/>
          <w:sz w:val="24"/>
          <w:szCs w:val="24"/>
        </w:rPr>
        <w:t>ensure adequate reserve cover.</w:t>
      </w:r>
      <w:r w:rsidR="001C6725" w:rsidRPr="000E1B7E">
        <w:rPr>
          <w:rFonts w:ascii="Times New Roman" w:hAnsi="Times New Roman"/>
          <w:sz w:val="24"/>
          <w:szCs w:val="24"/>
        </w:rPr>
        <w:t xml:space="preserve"> However, this is not a primary monetary policy objective and is only done to the extent that it is consistent with interest rate policy and the inflation target.</w:t>
      </w:r>
    </w:p>
    <w:p w14:paraId="40CCC51E" w14:textId="77777777" w:rsidR="009A5600" w:rsidRPr="000E1B7E" w:rsidRDefault="001C6725"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With inflation the primary target of monetary policy, the exchange rate is flexible and responds to supply and demand for the shilling</w:t>
      </w:r>
      <w:r w:rsidR="009F6312" w:rsidRPr="000E1B7E">
        <w:rPr>
          <w:rFonts w:ascii="Times New Roman" w:hAnsi="Times New Roman"/>
          <w:sz w:val="24"/>
          <w:szCs w:val="24"/>
        </w:rPr>
        <w:t>; there is no exchange rate target.</w:t>
      </w:r>
      <w:r w:rsidR="009A5600" w:rsidRPr="000E1B7E">
        <w:rPr>
          <w:rFonts w:ascii="Times New Roman" w:hAnsi="Times New Roman"/>
          <w:sz w:val="24"/>
          <w:szCs w:val="24"/>
        </w:rPr>
        <w:t xml:space="preserve">However, the ITL framework does incorporate the exchange rate channel and its impact on prices, and the CBR influences the exchange rate as well as domestic interest rates. </w:t>
      </w:r>
    </w:p>
    <w:p w14:paraId="0AB2D7D5" w14:textId="77777777" w:rsidR="00E92F2C" w:rsidRPr="000E1B7E" w:rsidRDefault="009F6312"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Over </w:t>
      </w:r>
      <w:r w:rsidR="00FE2248" w:rsidRPr="000E1B7E">
        <w:rPr>
          <w:rFonts w:ascii="Times New Roman" w:hAnsi="Times New Roman"/>
          <w:sz w:val="24"/>
          <w:szCs w:val="24"/>
        </w:rPr>
        <w:t xml:space="preserve">the years </w:t>
      </w:r>
      <w:r w:rsidRPr="000E1B7E">
        <w:rPr>
          <w:rFonts w:ascii="Times New Roman" w:hAnsi="Times New Roman"/>
          <w:sz w:val="24"/>
          <w:szCs w:val="24"/>
        </w:rPr>
        <w:t xml:space="preserve">the shilling has depreciated </w:t>
      </w:r>
      <w:r w:rsidR="009A7F7A" w:rsidRPr="000E1B7E">
        <w:rPr>
          <w:rFonts w:ascii="Times New Roman" w:hAnsi="Times New Roman"/>
          <w:sz w:val="24"/>
          <w:szCs w:val="24"/>
        </w:rPr>
        <w:t xml:space="preserve">as shown in figure </w:t>
      </w:r>
      <w:r w:rsidR="00C17493" w:rsidRPr="000E1B7E">
        <w:rPr>
          <w:rFonts w:ascii="Times New Roman" w:hAnsi="Times New Roman"/>
          <w:sz w:val="24"/>
          <w:szCs w:val="24"/>
        </w:rPr>
        <w:t>16</w:t>
      </w:r>
      <w:r w:rsidRPr="000E1B7E">
        <w:rPr>
          <w:rFonts w:ascii="Times New Roman" w:hAnsi="Times New Roman"/>
          <w:sz w:val="24"/>
          <w:szCs w:val="24"/>
        </w:rPr>
        <w:t xml:space="preserve">. The exchange rate was reasonably stable from 2010/11 to 2013/14, weakened dramatically through to 2015/16, and has since then been more stable. Over the period as a whole, the UGX has depreciated on average by 7% a year against the USD. </w:t>
      </w:r>
      <w:r w:rsidR="009506ED" w:rsidRPr="000E1B7E">
        <w:rPr>
          <w:rFonts w:ascii="Times New Roman" w:hAnsi="Times New Roman"/>
          <w:sz w:val="24"/>
          <w:szCs w:val="24"/>
        </w:rPr>
        <w:t>However, over the first three years of NDP, the exchange rate depreciated by only 6.3%, compared to the 17.7% depreciation experienced over the five years of</w:t>
      </w:r>
      <w:r w:rsidR="00A65419" w:rsidRPr="000E1B7E">
        <w:rPr>
          <w:rFonts w:ascii="Times New Roman" w:hAnsi="Times New Roman"/>
          <w:sz w:val="24"/>
          <w:szCs w:val="24"/>
        </w:rPr>
        <w:t xml:space="preserve"> </w:t>
      </w:r>
      <w:r w:rsidR="009506ED" w:rsidRPr="000E1B7E">
        <w:rPr>
          <w:rFonts w:ascii="Times New Roman" w:hAnsi="Times New Roman"/>
          <w:sz w:val="24"/>
          <w:szCs w:val="24"/>
        </w:rPr>
        <w:t xml:space="preserve">NDP I. </w:t>
      </w:r>
      <w:r w:rsidR="00A65419" w:rsidRPr="000E1B7E">
        <w:rPr>
          <w:rFonts w:ascii="Times New Roman" w:hAnsi="Times New Roman"/>
          <w:color w:val="000000"/>
          <w:sz w:val="24"/>
          <w:szCs w:val="24"/>
        </w:rPr>
        <w:t xml:space="preserve">The depreciation in NDPI and the beginning of NDPII was mainly on account of external shocks from the strengthening of the US dollar and the fall in world price of primary products. Additionally, Uganda and many emerging markets suffered similar trends in their exchange rate during this period. Therefore, the current stability may </w:t>
      </w:r>
      <w:r w:rsidR="00A65419" w:rsidRPr="000E1B7E">
        <w:rPr>
          <w:rFonts w:ascii="Times New Roman" w:hAnsi="Times New Roman"/>
          <w:sz w:val="24"/>
          <w:szCs w:val="24"/>
        </w:rPr>
        <w:t xml:space="preserve">be in part due to the success of monetary policy in stabilising and reducing inflation, as well as the impact of interest rates, but most importantly, </w:t>
      </w:r>
      <w:r w:rsidR="00A65419" w:rsidRPr="000E1B7E">
        <w:rPr>
          <w:rFonts w:ascii="Times New Roman" w:hAnsi="Times New Roman"/>
          <w:color w:val="000000"/>
          <w:sz w:val="24"/>
          <w:szCs w:val="24"/>
        </w:rPr>
        <w:t xml:space="preserve">to the improvement in the country’s current account which is the key factor that affects the exchange rate among other factors. </w:t>
      </w:r>
    </w:p>
    <w:p w14:paraId="0A0EC83F" w14:textId="77777777" w:rsidR="005E042B" w:rsidRPr="000E1B7E" w:rsidRDefault="005E042B" w:rsidP="005E042B">
      <w:pPr>
        <w:pStyle w:val="Caption"/>
        <w:keepNext/>
        <w:jc w:val="both"/>
        <w:rPr>
          <w:rFonts w:ascii="Times New Roman" w:eastAsia="Calibri" w:hAnsi="Times New Roman" w:cs="Times New Roman"/>
          <w:b/>
          <w:i w:val="0"/>
          <w:iCs w:val="0"/>
          <w:color w:val="auto"/>
          <w:sz w:val="24"/>
          <w:szCs w:val="24"/>
          <w:lang w:val="en-GB"/>
        </w:rPr>
      </w:pPr>
      <w:bookmarkStart w:id="128" w:name="_Toc3483160"/>
      <w:r w:rsidRPr="000E1B7E">
        <w:rPr>
          <w:rFonts w:ascii="Times New Roman" w:eastAsia="Calibri" w:hAnsi="Times New Roman" w:cs="Times New Roman"/>
          <w:b/>
          <w:i w:val="0"/>
          <w:iCs w:val="0"/>
          <w:color w:val="auto"/>
          <w:sz w:val="24"/>
          <w:szCs w:val="24"/>
          <w:lang w:val="en-GB"/>
        </w:rPr>
        <w:lastRenderedPageBreak/>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16</w:t>
      </w:r>
      <w:r w:rsidR="001232BF" w:rsidRPr="000E1B7E">
        <w:rPr>
          <w:rFonts w:ascii="Times New Roman" w:eastAsia="Calibri" w:hAnsi="Times New Roman" w:cs="Times New Roman"/>
          <w:b/>
          <w:i w:val="0"/>
          <w:iCs w:val="0"/>
          <w:color w:val="auto"/>
          <w:sz w:val="24"/>
          <w:szCs w:val="24"/>
          <w:lang w:val="en-GB"/>
        </w:rPr>
        <w:fldChar w:fldCharType="end"/>
      </w:r>
      <w:r w:rsidRPr="000E1B7E">
        <w:rPr>
          <w:rFonts w:ascii="Times New Roman" w:eastAsia="Calibri" w:hAnsi="Times New Roman" w:cs="Times New Roman"/>
          <w:b/>
          <w:i w:val="0"/>
          <w:iCs w:val="0"/>
          <w:color w:val="auto"/>
          <w:sz w:val="24"/>
          <w:szCs w:val="24"/>
          <w:lang w:val="en-GB"/>
        </w:rPr>
        <w:t>: Average exchange rate (UShs per 1 US$)</w:t>
      </w:r>
      <w:bookmarkEnd w:id="128"/>
    </w:p>
    <w:p w14:paraId="7424BF66" w14:textId="77777777" w:rsidR="00E92F2C" w:rsidRPr="000E1B7E" w:rsidRDefault="009A7F7A" w:rsidP="005959B5">
      <w:pPr>
        <w:autoSpaceDE w:val="0"/>
        <w:autoSpaceDN w:val="0"/>
        <w:adjustRightInd w:val="0"/>
        <w:jc w:val="both"/>
      </w:pPr>
      <w:r w:rsidRPr="000E1B7E">
        <w:rPr>
          <w:noProof/>
          <w:lang w:eastAsia="en-GB"/>
        </w:rPr>
        <w:drawing>
          <wp:inline distT="0" distB="0" distL="0" distR="0" wp14:anchorId="0CBFA4FF" wp14:editId="2F2971FA">
            <wp:extent cx="5637600" cy="2584800"/>
            <wp:effectExtent l="0" t="0" r="1270" b="6350"/>
            <wp:docPr id="10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0CF93D5" w14:textId="77777777" w:rsidR="00886FE8" w:rsidRPr="000E1B7E" w:rsidRDefault="00886FE8" w:rsidP="005959B5">
      <w:pPr>
        <w:autoSpaceDE w:val="0"/>
        <w:autoSpaceDN w:val="0"/>
        <w:adjustRightInd w:val="0"/>
        <w:spacing w:line="360" w:lineRule="auto"/>
        <w:jc w:val="both"/>
      </w:pPr>
      <w:r w:rsidRPr="000E1B7E">
        <w:t>Source: Bank of Uganda</w:t>
      </w:r>
    </w:p>
    <w:p w14:paraId="76671BE1" w14:textId="77777777" w:rsidR="0019442B" w:rsidRPr="000E1B7E" w:rsidRDefault="0019442B" w:rsidP="005959B5">
      <w:pPr>
        <w:widowControl w:val="0"/>
        <w:autoSpaceDE w:val="0"/>
        <w:autoSpaceDN w:val="0"/>
        <w:adjustRightInd w:val="0"/>
        <w:spacing w:line="360" w:lineRule="auto"/>
        <w:ind w:right="72"/>
        <w:jc w:val="both"/>
      </w:pPr>
    </w:p>
    <w:p w14:paraId="6CA58E35" w14:textId="77777777" w:rsidR="002754E7" w:rsidRPr="000E1B7E" w:rsidRDefault="002754E7" w:rsidP="00C11847">
      <w:pPr>
        <w:pStyle w:val="DeltaSeched2"/>
      </w:pPr>
      <w:bookmarkStart w:id="129" w:name="_Toc3478391"/>
      <w:bookmarkStart w:id="130" w:name="_Toc11956274"/>
      <w:r w:rsidRPr="000E1B7E">
        <w:t xml:space="preserve">Credit </w:t>
      </w:r>
      <w:r w:rsidR="005E042B" w:rsidRPr="000E1B7E">
        <w:t>Financing to the Private Sector</w:t>
      </w:r>
      <w:bookmarkEnd w:id="129"/>
      <w:bookmarkEnd w:id="130"/>
    </w:p>
    <w:p w14:paraId="264D70AE" w14:textId="77777777" w:rsidR="00173C4E" w:rsidRPr="000E1B7E" w:rsidRDefault="00913138" w:rsidP="00F85D24">
      <w:pPr>
        <w:pStyle w:val="DeltaBodytext"/>
        <w:widowControl w:val="0"/>
        <w:numPr>
          <w:ilvl w:val="0"/>
          <w:numId w:val="26"/>
        </w:numPr>
        <w:autoSpaceDE w:val="0"/>
        <w:autoSpaceDN w:val="0"/>
        <w:adjustRightInd w:val="0"/>
        <w:spacing w:before="240" w:line="360" w:lineRule="auto"/>
        <w:ind w:left="567" w:right="72" w:hanging="567"/>
        <w:rPr>
          <w:rFonts w:ascii="Times New Roman" w:hAnsi="Times New Roman"/>
        </w:rPr>
      </w:pPr>
      <w:r w:rsidRPr="000E1B7E">
        <w:rPr>
          <w:rFonts w:ascii="Times New Roman" w:hAnsi="Times New Roman"/>
          <w:sz w:val="24"/>
          <w:szCs w:val="24"/>
        </w:rPr>
        <w:t>Credit to the private sector has increased</w:t>
      </w:r>
      <w:r w:rsidR="00110919" w:rsidRPr="000E1B7E">
        <w:rPr>
          <w:rFonts w:ascii="Times New Roman" w:hAnsi="Times New Roman"/>
          <w:sz w:val="24"/>
          <w:szCs w:val="24"/>
        </w:rPr>
        <w:t>,</w:t>
      </w:r>
      <w:r w:rsidRPr="000E1B7E">
        <w:rPr>
          <w:rFonts w:ascii="Times New Roman" w:hAnsi="Times New Roman"/>
          <w:sz w:val="24"/>
          <w:szCs w:val="24"/>
        </w:rPr>
        <w:t xml:space="preserve"> but at a slow ratecompared to the growth over the NDP I period. At the end of June 2018, the total outstanding credit to the private sector was </w:t>
      </w:r>
      <w:r w:rsidR="00E74AC4" w:rsidRPr="000E1B7E">
        <w:rPr>
          <w:rFonts w:ascii="Times New Roman" w:hAnsi="Times New Roman"/>
          <w:sz w:val="24"/>
          <w:szCs w:val="24"/>
        </w:rPr>
        <w:t>21.8% of GDP</w:t>
      </w:r>
      <w:r w:rsidR="00864540" w:rsidRPr="000E1B7E">
        <w:rPr>
          <w:rFonts w:ascii="Times New Roman" w:hAnsi="Times New Roman"/>
          <w:sz w:val="24"/>
          <w:szCs w:val="24"/>
        </w:rPr>
        <w:t>,</w:t>
      </w:r>
      <w:r w:rsidRPr="000E1B7E">
        <w:rPr>
          <w:rFonts w:ascii="Times New Roman" w:hAnsi="Times New Roman"/>
          <w:sz w:val="24"/>
          <w:szCs w:val="24"/>
        </w:rPr>
        <w:t xml:space="preserve"> compared to </w:t>
      </w:r>
      <w:r w:rsidR="00E74AC4" w:rsidRPr="000E1B7E">
        <w:rPr>
          <w:rFonts w:ascii="Times New Roman" w:hAnsi="Times New Roman"/>
          <w:sz w:val="24"/>
          <w:szCs w:val="24"/>
        </w:rPr>
        <w:t>20.6% of GDP as of June 2015</w:t>
      </w:r>
      <w:r w:rsidRPr="000E1B7E">
        <w:rPr>
          <w:rFonts w:ascii="Times New Roman" w:hAnsi="Times New Roman"/>
          <w:sz w:val="24"/>
          <w:szCs w:val="24"/>
        </w:rPr>
        <w:t>.</w:t>
      </w:r>
      <w:r w:rsidR="00864540" w:rsidRPr="000E1B7E">
        <w:rPr>
          <w:rFonts w:ascii="Times New Roman" w:hAnsi="Times New Roman"/>
          <w:sz w:val="24"/>
          <w:szCs w:val="24"/>
        </w:rPr>
        <w:t>During NDP I</w:t>
      </w:r>
      <w:r w:rsidR="00E74AC4" w:rsidRPr="000E1B7E">
        <w:rPr>
          <w:rFonts w:ascii="Times New Roman" w:hAnsi="Times New Roman"/>
          <w:sz w:val="24"/>
          <w:szCs w:val="24"/>
        </w:rPr>
        <w:t>, private sector credit increased from 11.</w:t>
      </w:r>
      <w:r w:rsidR="00864540" w:rsidRPr="000E1B7E">
        <w:rPr>
          <w:rFonts w:ascii="Times New Roman" w:hAnsi="Times New Roman"/>
          <w:sz w:val="24"/>
          <w:szCs w:val="24"/>
        </w:rPr>
        <w:t>5</w:t>
      </w:r>
      <w:r w:rsidR="00E74AC4" w:rsidRPr="000E1B7E">
        <w:rPr>
          <w:rFonts w:ascii="Times New Roman" w:hAnsi="Times New Roman"/>
          <w:sz w:val="24"/>
          <w:szCs w:val="24"/>
        </w:rPr>
        <w:t xml:space="preserve">% </w:t>
      </w:r>
      <w:r w:rsidR="00864540" w:rsidRPr="000E1B7E">
        <w:rPr>
          <w:rFonts w:ascii="Times New Roman" w:hAnsi="Times New Roman"/>
          <w:sz w:val="24"/>
          <w:szCs w:val="24"/>
        </w:rPr>
        <w:t xml:space="preserve">of GDP </w:t>
      </w:r>
      <w:r w:rsidR="00E74AC4" w:rsidRPr="000E1B7E">
        <w:rPr>
          <w:rFonts w:ascii="Times New Roman" w:hAnsi="Times New Roman"/>
          <w:sz w:val="24"/>
          <w:szCs w:val="24"/>
        </w:rPr>
        <w:t xml:space="preserve">as of June 2010 to 18.0% as of June 2014. Accordingly, </w:t>
      </w:r>
      <w:r w:rsidR="00864540" w:rsidRPr="000E1B7E">
        <w:rPr>
          <w:rFonts w:ascii="Times New Roman" w:hAnsi="Times New Roman"/>
          <w:sz w:val="24"/>
          <w:szCs w:val="24"/>
        </w:rPr>
        <w:t xml:space="preserve">the ratio of </w:t>
      </w:r>
      <w:r w:rsidR="00E74AC4" w:rsidRPr="000E1B7E">
        <w:rPr>
          <w:rFonts w:ascii="Times New Roman" w:hAnsi="Times New Roman"/>
          <w:sz w:val="24"/>
          <w:szCs w:val="24"/>
        </w:rPr>
        <w:t xml:space="preserve">private sector credit to GDP increased by 1.2 percentage points over the first </w:t>
      </w:r>
      <w:r w:rsidR="00864540" w:rsidRPr="000E1B7E">
        <w:rPr>
          <w:rFonts w:ascii="Times New Roman" w:hAnsi="Times New Roman"/>
          <w:sz w:val="24"/>
          <w:szCs w:val="24"/>
        </w:rPr>
        <w:t xml:space="preserve">three </w:t>
      </w:r>
      <w:r w:rsidR="00E74AC4" w:rsidRPr="000E1B7E">
        <w:rPr>
          <w:rFonts w:ascii="Times New Roman" w:hAnsi="Times New Roman"/>
          <w:sz w:val="24"/>
          <w:szCs w:val="24"/>
        </w:rPr>
        <w:t xml:space="preserve">years of NDP II compared to </w:t>
      </w:r>
      <w:r w:rsidR="00864540" w:rsidRPr="000E1B7E">
        <w:rPr>
          <w:rFonts w:ascii="Times New Roman" w:hAnsi="Times New Roman"/>
          <w:sz w:val="24"/>
          <w:szCs w:val="24"/>
        </w:rPr>
        <w:t>6.5</w:t>
      </w:r>
      <w:r w:rsidR="00E74AC4" w:rsidRPr="000E1B7E">
        <w:rPr>
          <w:rFonts w:ascii="Times New Roman" w:hAnsi="Times New Roman"/>
          <w:sz w:val="24"/>
          <w:szCs w:val="24"/>
        </w:rPr>
        <w:t xml:space="preserve"> percentage points over the five years of NDP I.</w:t>
      </w:r>
      <w:r w:rsidRPr="000E1B7E">
        <w:rPr>
          <w:rFonts w:ascii="Times New Roman" w:hAnsi="Times New Roman"/>
          <w:sz w:val="24"/>
          <w:szCs w:val="24"/>
        </w:rPr>
        <w:t xml:space="preserve">  The trend in outstanding credit to the private sector is summarised </w:t>
      </w:r>
    </w:p>
    <w:p w14:paraId="03E88C92" w14:textId="77777777" w:rsidR="00E74AC4" w:rsidRPr="000E1B7E" w:rsidRDefault="00061159" w:rsidP="000B7A9D">
      <w:pPr>
        <w:pStyle w:val="Caption"/>
        <w:spacing w:after="0"/>
        <w:rPr>
          <w:b/>
          <w:bCs/>
        </w:rPr>
      </w:pPr>
      <w:bookmarkStart w:id="131" w:name="_Toc3483161"/>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17</w:t>
      </w:r>
      <w:r w:rsidR="001232BF" w:rsidRPr="000E1B7E">
        <w:rPr>
          <w:rFonts w:ascii="Times New Roman" w:eastAsia="Calibri" w:hAnsi="Times New Roman" w:cs="Times New Roman"/>
          <w:b/>
          <w:i w:val="0"/>
          <w:iCs w:val="0"/>
          <w:color w:val="auto"/>
          <w:sz w:val="24"/>
          <w:szCs w:val="24"/>
          <w:lang w:val="en-GB"/>
        </w:rPr>
        <w:fldChar w:fldCharType="end"/>
      </w:r>
      <w:r w:rsidR="00913138" w:rsidRPr="000E1B7E">
        <w:rPr>
          <w:rFonts w:ascii="Times New Roman" w:eastAsia="Calibri" w:hAnsi="Times New Roman" w:cs="Times New Roman"/>
          <w:b/>
          <w:i w:val="0"/>
          <w:iCs w:val="0"/>
          <w:color w:val="auto"/>
          <w:sz w:val="24"/>
          <w:szCs w:val="24"/>
          <w:lang w:val="en-GB"/>
        </w:rPr>
        <w:t>:Outstanding credit to private sector</w:t>
      </w:r>
      <w:r w:rsidR="00E74AC4" w:rsidRPr="000E1B7E">
        <w:rPr>
          <w:rFonts w:ascii="Times New Roman" w:eastAsia="Calibri" w:hAnsi="Times New Roman" w:cs="Times New Roman"/>
          <w:b/>
          <w:i w:val="0"/>
          <w:iCs w:val="0"/>
          <w:color w:val="auto"/>
          <w:sz w:val="24"/>
          <w:szCs w:val="24"/>
          <w:lang w:val="en-GB"/>
        </w:rPr>
        <w:t xml:space="preserve"> (percent of GDP)</w:t>
      </w:r>
      <w:bookmarkEnd w:id="131"/>
      <w:r w:rsidR="00E74AC4" w:rsidRPr="000E1B7E">
        <w:rPr>
          <w:b/>
          <w:bCs/>
          <w:noProof/>
          <w:lang w:eastAsia="en-GB"/>
        </w:rPr>
        <w:drawing>
          <wp:inline distT="0" distB="0" distL="0" distR="0" wp14:anchorId="64064528" wp14:editId="5F97F85B">
            <wp:extent cx="5572125" cy="2543175"/>
            <wp:effectExtent l="0" t="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B6569DA" w14:textId="77777777" w:rsidR="00886FE8" w:rsidRPr="000E1B7E" w:rsidRDefault="00886FE8" w:rsidP="005959B5">
      <w:pPr>
        <w:autoSpaceDE w:val="0"/>
        <w:autoSpaceDN w:val="0"/>
        <w:adjustRightInd w:val="0"/>
        <w:spacing w:line="360" w:lineRule="auto"/>
        <w:jc w:val="both"/>
      </w:pPr>
      <w:r w:rsidRPr="000E1B7E">
        <w:t>Source: Bank of Uganda</w:t>
      </w:r>
    </w:p>
    <w:p w14:paraId="4C9A7522" w14:textId="77777777" w:rsidR="00913138" w:rsidRPr="000E1B7E" w:rsidRDefault="008C0C35"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lastRenderedPageBreak/>
        <w:t xml:space="preserve">Growth in credit to the private sector was highest in the Mining and </w:t>
      </w:r>
      <w:r w:rsidR="006B6B29" w:rsidRPr="000E1B7E">
        <w:rPr>
          <w:rFonts w:ascii="Times New Roman" w:hAnsi="Times New Roman"/>
          <w:sz w:val="24"/>
          <w:szCs w:val="24"/>
        </w:rPr>
        <w:t>Quarrying sector</w:t>
      </w:r>
      <w:r w:rsidR="00293F9C" w:rsidRPr="000E1B7E">
        <w:rPr>
          <w:rFonts w:ascii="Times New Roman" w:hAnsi="Times New Roman"/>
          <w:sz w:val="24"/>
          <w:szCs w:val="24"/>
        </w:rPr>
        <w:t>(</w:t>
      </w:r>
      <w:r w:rsidRPr="000E1B7E">
        <w:rPr>
          <w:rFonts w:ascii="Times New Roman" w:hAnsi="Times New Roman"/>
          <w:sz w:val="24"/>
          <w:szCs w:val="24"/>
        </w:rPr>
        <w:t xml:space="preserve">albeit from </w:t>
      </w:r>
      <w:r w:rsidR="00293F9C" w:rsidRPr="000E1B7E">
        <w:rPr>
          <w:rFonts w:ascii="Times New Roman" w:hAnsi="Times New Roman"/>
          <w:sz w:val="24"/>
          <w:szCs w:val="24"/>
        </w:rPr>
        <w:t xml:space="preserve">a </w:t>
      </w:r>
      <w:r w:rsidRPr="000E1B7E">
        <w:rPr>
          <w:rFonts w:ascii="Times New Roman" w:hAnsi="Times New Roman"/>
          <w:sz w:val="24"/>
          <w:szCs w:val="24"/>
        </w:rPr>
        <w:t>very low base</w:t>
      </w:r>
      <w:r w:rsidR="00293F9C" w:rsidRPr="000E1B7E">
        <w:rPr>
          <w:rFonts w:ascii="Times New Roman" w:hAnsi="Times New Roman"/>
          <w:sz w:val="24"/>
          <w:szCs w:val="24"/>
        </w:rPr>
        <w:t>)</w:t>
      </w:r>
      <w:r w:rsidRPr="000E1B7E">
        <w:rPr>
          <w:rFonts w:ascii="Times New Roman" w:hAnsi="Times New Roman"/>
          <w:sz w:val="24"/>
          <w:szCs w:val="24"/>
        </w:rPr>
        <w:t xml:space="preserve">, Electricity and Water (mainly </w:t>
      </w:r>
      <w:r w:rsidR="006B6B29" w:rsidRPr="000E1B7E">
        <w:rPr>
          <w:rFonts w:ascii="Times New Roman" w:hAnsi="Times New Roman"/>
          <w:sz w:val="24"/>
          <w:szCs w:val="24"/>
        </w:rPr>
        <w:t>electricity)</w:t>
      </w:r>
      <w:r w:rsidRPr="000E1B7E">
        <w:rPr>
          <w:rFonts w:ascii="Times New Roman" w:hAnsi="Times New Roman"/>
          <w:sz w:val="24"/>
          <w:szCs w:val="24"/>
        </w:rPr>
        <w:t xml:space="preserve"> and agriculture (mainly to agriculture processing). </w:t>
      </w:r>
      <w:r w:rsidR="006B6B29" w:rsidRPr="000E1B7E">
        <w:rPr>
          <w:rFonts w:ascii="Times New Roman" w:hAnsi="Times New Roman"/>
          <w:sz w:val="24"/>
          <w:szCs w:val="24"/>
        </w:rPr>
        <w:t xml:space="preserve">Noteworthy is that </w:t>
      </w:r>
      <w:r w:rsidRPr="000E1B7E">
        <w:rPr>
          <w:rFonts w:ascii="Times New Roman" w:hAnsi="Times New Roman"/>
          <w:sz w:val="24"/>
          <w:szCs w:val="24"/>
        </w:rPr>
        <w:t xml:space="preserve">credit to manufacturing </w:t>
      </w:r>
      <w:r w:rsidR="006B6B29" w:rsidRPr="000E1B7E">
        <w:rPr>
          <w:rFonts w:ascii="Times New Roman" w:hAnsi="Times New Roman"/>
          <w:sz w:val="24"/>
          <w:szCs w:val="24"/>
        </w:rPr>
        <w:t xml:space="preserve">sub-sector </w:t>
      </w:r>
      <w:r w:rsidRPr="000E1B7E">
        <w:rPr>
          <w:rFonts w:ascii="Times New Roman" w:hAnsi="Times New Roman"/>
          <w:sz w:val="24"/>
          <w:szCs w:val="24"/>
        </w:rPr>
        <w:t xml:space="preserve">has registered </w:t>
      </w:r>
      <w:r w:rsidR="00D21855" w:rsidRPr="000E1B7E">
        <w:rPr>
          <w:rFonts w:ascii="Times New Roman" w:hAnsi="Times New Roman"/>
          <w:sz w:val="24"/>
          <w:szCs w:val="24"/>
        </w:rPr>
        <w:t xml:space="preserve">a decline </w:t>
      </w:r>
      <w:r w:rsidRPr="000E1B7E">
        <w:rPr>
          <w:rFonts w:ascii="Times New Roman" w:hAnsi="Times New Roman"/>
          <w:sz w:val="24"/>
          <w:szCs w:val="24"/>
        </w:rPr>
        <w:t>over the first four years of NDP II</w:t>
      </w:r>
      <w:r w:rsidR="006B6B29" w:rsidRPr="000E1B7E">
        <w:rPr>
          <w:rFonts w:ascii="Times New Roman" w:hAnsi="Times New Roman"/>
          <w:sz w:val="24"/>
          <w:szCs w:val="24"/>
        </w:rPr>
        <w:t xml:space="preserve">, which may partly account to the poor growth posted by the manufacturing sector over the review period.  Equally, the Building, Mortgage, Construction and Real Estate subsector also recorded </w:t>
      </w:r>
      <w:r w:rsidR="00D21855" w:rsidRPr="000E1B7E">
        <w:rPr>
          <w:rFonts w:ascii="Times New Roman" w:hAnsi="Times New Roman"/>
          <w:sz w:val="24"/>
          <w:szCs w:val="24"/>
        </w:rPr>
        <w:t>redu</w:t>
      </w:r>
      <w:r w:rsidR="00453251" w:rsidRPr="000E1B7E">
        <w:rPr>
          <w:rFonts w:ascii="Times New Roman" w:hAnsi="Times New Roman"/>
          <w:sz w:val="24"/>
          <w:szCs w:val="24"/>
        </w:rPr>
        <w:t>ctions as summarized in table 1</w:t>
      </w:r>
      <w:r w:rsidR="00583E81" w:rsidRPr="000E1B7E">
        <w:rPr>
          <w:rFonts w:ascii="Times New Roman" w:hAnsi="Times New Roman"/>
          <w:sz w:val="24"/>
          <w:szCs w:val="24"/>
        </w:rPr>
        <w:t>6</w:t>
      </w:r>
      <w:r w:rsidR="006B6B29" w:rsidRPr="000E1B7E">
        <w:rPr>
          <w:rFonts w:ascii="Times New Roman" w:hAnsi="Times New Roman"/>
          <w:sz w:val="24"/>
          <w:szCs w:val="24"/>
        </w:rPr>
        <w:t xml:space="preserve">. </w:t>
      </w:r>
    </w:p>
    <w:p w14:paraId="5C8C883E" w14:textId="77777777" w:rsidR="00913138" w:rsidRPr="000E1B7E" w:rsidRDefault="005E042B" w:rsidP="005E042B">
      <w:pPr>
        <w:pStyle w:val="Caption"/>
        <w:rPr>
          <w:rFonts w:ascii="Times New Roman" w:eastAsia="Calibri" w:hAnsi="Times New Roman" w:cs="Times New Roman"/>
          <w:b/>
          <w:i w:val="0"/>
          <w:iCs w:val="0"/>
          <w:color w:val="auto"/>
          <w:sz w:val="24"/>
          <w:szCs w:val="24"/>
          <w:lang w:val="en-GB"/>
        </w:rPr>
      </w:pPr>
      <w:bookmarkStart w:id="132" w:name="_Toc3483126"/>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16</w:t>
      </w:r>
      <w:r w:rsidR="001232BF" w:rsidRPr="000E1B7E">
        <w:rPr>
          <w:rFonts w:ascii="Times New Roman" w:eastAsia="Calibri" w:hAnsi="Times New Roman" w:cs="Times New Roman"/>
          <w:b/>
          <w:i w:val="0"/>
          <w:iCs w:val="0"/>
          <w:color w:val="auto"/>
          <w:sz w:val="24"/>
          <w:szCs w:val="24"/>
          <w:lang w:val="en-GB"/>
        </w:rPr>
        <w:fldChar w:fldCharType="end"/>
      </w:r>
      <w:r w:rsidR="006B6B29" w:rsidRPr="000E1B7E">
        <w:rPr>
          <w:rFonts w:ascii="Times New Roman" w:eastAsia="Calibri" w:hAnsi="Times New Roman" w:cs="Times New Roman"/>
          <w:b/>
          <w:i w:val="0"/>
          <w:iCs w:val="0"/>
          <w:color w:val="auto"/>
          <w:sz w:val="24"/>
          <w:szCs w:val="24"/>
          <w:lang w:val="en-GB"/>
        </w:rPr>
        <w:t xml:space="preserve">: </w:t>
      </w:r>
      <w:r w:rsidR="00D21855" w:rsidRPr="000E1B7E">
        <w:rPr>
          <w:rFonts w:ascii="Times New Roman" w:eastAsia="Calibri" w:hAnsi="Times New Roman" w:cs="Times New Roman"/>
          <w:b/>
          <w:i w:val="0"/>
          <w:iCs w:val="0"/>
          <w:color w:val="auto"/>
          <w:sz w:val="24"/>
          <w:szCs w:val="24"/>
          <w:lang w:val="en-GB"/>
        </w:rPr>
        <w:t xml:space="preserve">Sector Distribution of </w:t>
      </w:r>
      <w:r w:rsidR="00913138" w:rsidRPr="000E1B7E">
        <w:rPr>
          <w:rFonts w:ascii="Times New Roman" w:eastAsia="Calibri" w:hAnsi="Times New Roman" w:cs="Times New Roman"/>
          <w:b/>
          <w:i w:val="0"/>
          <w:iCs w:val="0"/>
          <w:color w:val="auto"/>
          <w:sz w:val="24"/>
          <w:szCs w:val="24"/>
          <w:lang w:val="en-GB"/>
        </w:rPr>
        <w:t xml:space="preserve">Outstanding Credit to the Private Sector </w:t>
      </w:r>
      <w:r w:rsidR="00D21855" w:rsidRPr="000E1B7E">
        <w:rPr>
          <w:rFonts w:ascii="Times New Roman" w:eastAsia="Calibri" w:hAnsi="Times New Roman" w:cs="Times New Roman"/>
          <w:b/>
          <w:i w:val="0"/>
          <w:iCs w:val="0"/>
          <w:color w:val="auto"/>
          <w:sz w:val="24"/>
          <w:szCs w:val="24"/>
          <w:lang w:val="en-GB"/>
        </w:rPr>
        <w:t>(% of GDP)</w:t>
      </w:r>
      <w:bookmarkEnd w:id="132"/>
    </w:p>
    <w:tbl>
      <w:tblPr>
        <w:tblStyle w:val="LightGrid1"/>
        <w:tblW w:w="9133" w:type="dxa"/>
        <w:tblLook w:val="04A0" w:firstRow="1" w:lastRow="0" w:firstColumn="1" w:lastColumn="0" w:noHBand="0" w:noVBand="1"/>
      </w:tblPr>
      <w:tblGrid>
        <w:gridCol w:w="1908"/>
        <w:gridCol w:w="640"/>
        <w:gridCol w:w="627"/>
        <w:gridCol w:w="640"/>
        <w:gridCol w:w="640"/>
        <w:gridCol w:w="640"/>
        <w:gridCol w:w="640"/>
        <w:gridCol w:w="640"/>
        <w:gridCol w:w="640"/>
        <w:gridCol w:w="640"/>
        <w:gridCol w:w="710"/>
        <w:gridCol w:w="768"/>
      </w:tblGrid>
      <w:tr w:rsidR="00986558" w:rsidRPr="000E1B7E" w14:paraId="48845AB5" w14:textId="77777777" w:rsidTr="0098655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908" w:type="dxa"/>
            <w:noWrap/>
            <w:hideMark/>
          </w:tcPr>
          <w:p w14:paraId="1653AC23" w14:textId="77777777" w:rsidR="00986558" w:rsidRPr="000E1B7E" w:rsidRDefault="00986558" w:rsidP="005959B5">
            <w:pPr>
              <w:jc w:val="both"/>
              <w:rPr>
                <w:rFonts w:ascii="Times New Roman" w:eastAsia="Times New Roman" w:hAnsi="Times New Roman" w:cs="Times New Roman"/>
                <w:color w:val="000000"/>
                <w:sz w:val="18"/>
                <w:szCs w:val="18"/>
                <w:lang w:val="en-US"/>
              </w:rPr>
            </w:pPr>
            <w:r w:rsidRPr="000E1B7E">
              <w:rPr>
                <w:rFonts w:ascii="Times New Roman" w:eastAsia="Times New Roman" w:hAnsi="Times New Roman" w:cs="Times New Roman"/>
                <w:color w:val="000000"/>
                <w:sz w:val="18"/>
                <w:szCs w:val="18"/>
                <w:lang w:val="en-US"/>
              </w:rPr>
              <w:t>Sector</w:t>
            </w:r>
          </w:p>
        </w:tc>
        <w:tc>
          <w:tcPr>
            <w:tcW w:w="640" w:type="dxa"/>
            <w:noWrap/>
            <w:hideMark/>
          </w:tcPr>
          <w:p w14:paraId="22FF66A0"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Jun-10</w:t>
            </w:r>
          </w:p>
        </w:tc>
        <w:tc>
          <w:tcPr>
            <w:tcW w:w="627" w:type="dxa"/>
            <w:noWrap/>
            <w:hideMark/>
          </w:tcPr>
          <w:p w14:paraId="3B10CC89"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Jun-11</w:t>
            </w:r>
          </w:p>
        </w:tc>
        <w:tc>
          <w:tcPr>
            <w:tcW w:w="640" w:type="dxa"/>
            <w:noWrap/>
            <w:hideMark/>
          </w:tcPr>
          <w:p w14:paraId="0E837765"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Jun-12</w:t>
            </w:r>
          </w:p>
        </w:tc>
        <w:tc>
          <w:tcPr>
            <w:tcW w:w="640" w:type="dxa"/>
            <w:noWrap/>
            <w:hideMark/>
          </w:tcPr>
          <w:p w14:paraId="64880613"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Jun-13</w:t>
            </w:r>
          </w:p>
        </w:tc>
        <w:tc>
          <w:tcPr>
            <w:tcW w:w="640" w:type="dxa"/>
            <w:noWrap/>
            <w:hideMark/>
          </w:tcPr>
          <w:p w14:paraId="515E036F"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Jun-14</w:t>
            </w:r>
          </w:p>
        </w:tc>
        <w:tc>
          <w:tcPr>
            <w:tcW w:w="640" w:type="dxa"/>
            <w:noWrap/>
            <w:hideMark/>
          </w:tcPr>
          <w:p w14:paraId="1EB68ED2"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Jun-15</w:t>
            </w:r>
          </w:p>
        </w:tc>
        <w:tc>
          <w:tcPr>
            <w:tcW w:w="640" w:type="dxa"/>
            <w:noWrap/>
            <w:hideMark/>
          </w:tcPr>
          <w:p w14:paraId="5C91CB6E"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Jun-16</w:t>
            </w:r>
          </w:p>
        </w:tc>
        <w:tc>
          <w:tcPr>
            <w:tcW w:w="640" w:type="dxa"/>
            <w:noWrap/>
            <w:hideMark/>
          </w:tcPr>
          <w:p w14:paraId="60361D31"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Jun-17</w:t>
            </w:r>
          </w:p>
        </w:tc>
        <w:tc>
          <w:tcPr>
            <w:tcW w:w="640" w:type="dxa"/>
            <w:noWrap/>
            <w:hideMark/>
          </w:tcPr>
          <w:p w14:paraId="170ABFAA"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Jun-18</w:t>
            </w:r>
          </w:p>
        </w:tc>
        <w:tc>
          <w:tcPr>
            <w:tcW w:w="710" w:type="dxa"/>
            <w:noWrap/>
            <w:hideMark/>
          </w:tcPr>
          <w:p w14:paraId="12678E97"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NDP 1</w:t>
            </w:r>
          </w:p>
          <w:p w14:paraId="29D5E251"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%age</w:t>
            </w:r>
          </w:p>
          <w:p w14:paraId="0D57FE64"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change</w:t>
            </w:r>
          </w:p>
        </w:tc>
        <w:tc>
          <w:tcPr>
            <w:tcW w:w="768" w:type="dxa"/>
            <w:noWrap/>
            <w:hideMark/>
          </w:tcPr>
          <w:p w14:paraId="03C70851"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NDP II</w:t>
            </w:r>
          </w:p>
          <w:p w14:paraId="0596B191"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 xml:space="preserve">%age </w:t>
            </w:r>
          </w:p>
          <w:p w14:paraId="0126CC9D" w14:textId="77777777" w:rsidR="00986558" w:rsidRPr="000E1B7E" w:rsidRDefault="00986558" w:rsidP="005959B5">
            <w:pPr>
              <w:ind w:left="-108" w:right="-74"/>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change</w:t>
            </w:r>
          </w:p>
        </w:tc>
      </w:tr>
      <w:tr w:rsidR="00986558" w:rsidRPr="000E1B7E" w14:paraId="17BA34A4" w14:textId="77777777" w:rsidTr="009865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1898AA06"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Agriculture</w:t>
            </w:r>
          </w:p>
        </w:tc>
        <w:tc>
          <w:tcPr>
            <w:tcW w:w="640" w:type="dxa"/>
            <w:noWrap/>
            <w:hideMark/>
          </w:tcPr>
          <w:p w14:paraId="33BF661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0.74</w:t>
            </w:r>
          </w:p>
        </w:tc>
        <w:tc>
          <w:tcPr>
            <w:tcW w:w="627" w:type="dxa"/>
            <w:noWrap/>
            <w:hideMark/>
          </w:tcPr>
          <w:p w14:paraId="50BB9BBA"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1.00</w:t>
            </w:r>
          </w:p>
        </w:tc>
        <w:tc>
          <w:tcPr>
            <w:tcW w:w="640" w:type="dxa"/>
            <w:noWrap/>
            <w:hideMark/>
          </w:tcPr>
          <w:p w14:paraId="48520A95"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1.05</w:t>
            </w:r>
          </w:p>
        </w:tc>
        <w:tc>
          <w:tcPr>
            <w:tcW w:w="640" w:type="dxa"/>
            <w:noWrap/>
            <w:hideMark/>
          </w:tcPr>
          <w:p w14:paraId="0E6CD21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1.30</w:t>
            </w:r>
          </w:p>
        </w:tc>
        <w:tc>
          <w:tcPr>
            <w:tcW w:w="640" w:type="dxa"/>
            <w:noWrap/>
            <w:hideMark/>
          </w:tcPr>
          <w:p w14:paraId="7FC3AB24"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1.72</w:t>
            </w:r>
          </w:p>
        </w:tc>
        <w:tc>
          <w:tcPr>
            <w:tcW w:w="640" w:type="dxa"/>
            <w:noWrap/>
            <w:hideMark/>
          </w:tcPr>
          <w:p w14:paraId="10898389"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2.01</w:t>
            </w:r>
          </w:p>
        </w:tc>
        <w:tc>
          <w:tcPr>
            <w:tcW w:w="640" w:type="dxa"/>
            <w:noWrap/>
            <w:hideMark/>
          </w:tcPr>
          <w:p w14:paraId="0687D133"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2.12</w:t>
            </w:r>
          </w:p>
        </w:tc>
        <w:tc>
          <w:tcPr>
            <w:tcW w:w="640" w:type="dxa"/>
            <w:noWrap/>
            <w:hideMark/>
          </w:tcPr>
          <w:p w14:paraId="23714E5F"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2.41</w:t>
            </w:r>
          </w:p>
        </w:tc>
        <w:tc>
          <w:tcPr>
            <w:tcW w:w="640" w:type="dxa"/>
            <w:noWrap/>
            <w:hideMark/>
          </w:tcPr>
          <w:p w14:paraId="4CD858DE"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2.69</w:t>
            </w:r>
          </w:p>
        </w:tc>
        <w:tc>
          <w:tcPr>
            <w:tcW w:w="710" w:type="dxa"/>
            <w:noWrap/>
            <w:hideMark/>
          </w:tcPr>
          <w:p w14:paraId="22D62BFE"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134</w:t>
            </w:r>
          </w:p>
        </w:tc>
        <w:tc>
          <w:tcPr>
            <w:tcW w:w="768" w:type="dxa"/>
            <w:noWrap/>
            <w:hideMark/>
          </w:tcPr>
          <w:p w14:paraId="0D6285F8"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34</w:t>
            </w:r>
          </w:p>
        </w:tc>
      </w:tr>
      <w:tr w:rsidR="00986558" w:rsidRPr="000E1B7E" w14:paraId="4D73B68C" w14:textId="77777777" w:rsidTr="0098655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5D823E3C"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Mining and Quarrying</w:t>
            </w:r>
          </w:p>
        </w:tc>
        <w:tc>
          <w:tcPr>
            <w:tcW w:w="640" w:type="dxa"/>
            <w:noWrap/>
            <w:hideMark/>
          </w:tcPr>
          <w:p w14:paraId="689A68A6"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0.09</w:t>
            </w:r>
          </w:p>
        </w:tc>
        <w:tc>
          <w:tcPr>
            <w:tcW w:w="627" w:type="dxa"/>
            <w:noWrap/>
            <w:hideMark/>
          </w:tcPr>
          <w:p w14:paraId="06AD94E1"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0.04</w:t>
            </w:r>
          </w:p>
        </w:tc>
        <w:tc>
          <w:tcPr>
            <w:tcW w:w="640" w:type="dxa"/>
            <w:noWrap/>
            <w:hideMark/>
          </w:tcPr>
          <w:p w14:paraId="4C3536C8"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0.07</w:t>
            </w:r>
          </w:p>
        </w:tc>
        <w:tc>
          <w:tcPr>
            <w:tcW w:w="640" w:type="dxa"/>
            <w:noWrap/>
            <w:hideMark/>
          </w:tcPr>
          <w:p w14:paraId="30837597"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0.06</w:t>
            </w:r>
          </w:p>
        </w:tc>
        <w:tc>
          <w:tcPr>
            <w:tcW w:w="640" w:type="dxa"/>
            <w:noWrap/>
            <w:hideMark/>
          </w:tcPr>
          <w:p w14:paraId="3E430104"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0.04</w:t>
            </w:r>
          </w:p>
        </w:tc>
        <w:tc>
          <w:tcPr>
            <w:tcW w:w="640" w:type="dxa"/>
            <w:noWrap/>
            <w:hideMark/>
          </w:tcPr>
          <w:p w14:paraId="2B8AC428"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0.10</w:t>
            </w:r>
          </w:p>
        </w:tc>
        <w:tc>
          <w:tcPr>
            <w:tcW w:w="640" w:type="dxa"/>
            <w:noWrap/>
            <w:hideMark/>
          </w:tcPr>
          <w:p w14:paraId="0593F3DF"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0.13</w:t>
            </w:r>
          </w:p>
        </w:tc>
        <w:tc>
          <w:tcPr>
            <w:tcW w:w="640" w:type="dxa"/>
            <w:noWrap/>
            <w:hideMark/>
          </w:tcPr>
          <w:p w14:paraId="17FF747A"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0.13</w:t>
            </w:r>
          </w:p>
        </w:tc>
        <w:tc>
          <w:tcPr>
            <w:tcW w:w="640" w:type="dxa"/>
            <w:noWrap/>
            <w:hideMark/>
          </w:tcPr>
          <w:p w14:paraId="3E242438"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0.15</w:t>
            </w:r>
          </w:p>
        </w:tc>
        <w:tc>
          <w:tcPr>
            <w:tcW w:w="710" w:type="dxa"/>
            <w:noWrap/>
            <w:hideMark/>
          </w:tcPr>
          <w:p w14:paraId="0B8E3F28"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-52</w:t>
            </w:r>
          </w:p>
        </w:tc>
        <w:tc>
          <w:tcPr>
            <w:tcW w:w="768" w:type="dxa"/>
            <w:noWrap/>
            <w:hideMark/>
          </w:tcPr>
          <w:p w14:paraId="6B198798"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54</w:t>
            </w:r>
          </w:p>
        </w:tc>
      </w:tr>
      <w:tr w:rsidR="00986558" w:rsidRPr="000E1B7E" w14:paraId="37AF66CD" w14:textId="77777777" w:rsidTr="009865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6B2EFB17"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Manufacturing</w:t>
            </w:r>
          </w:p>
        </w:tc>
        <w:tc>
          <w:tcPr>
            <w:tcW w:w="640" w:type="dxa"/>
            <w:noWrap/>
            <w:hideMark/>
          </w:tcPr>
          <w:p w14:paraId="04638038"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1.52</w:t>
            </w:r>
          </w:p>
        </w:tc>
        <w:tc>
          <w:tcPr>
            <w:tcW w:w="627" w:type="dxa"/>
            <w:noWrap/>
            <w:hideMark/>
          </w:tcPr>
          <w:p w14:paraId="783A9651"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2.06</w:t>
            </w:r>
          </w:p>
        </w:tc>
        <w:tc>
          <w:tcPr>
            <w:tcW w:w="640" w:type="dxa"/>
            <w:noWrap/>
            <w:hideMark/>
          </w:tcPr>
          <w:p w14:paraId="7AA5A78B"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2.16</w:t>
            </w:r>
          </w:p>
        </w:tc>
        <w:tc>
          <w:tcPr>
            <w:tcW w:w="640" w:type="dxa"/>
            <w:noWrap/>
            <w:hideMark/>
          </w:tcPr>
          <w:p w14:paraId="40198518"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2.32</w:t>
            </w:r>
          </w:p>
        </w:tc>
        <w:tc>
          <w:tcPr>
            <w:tcW w:w="640" w:type="dxa"/>
            <w:noWrap/>
            <w:hideMark/>
          </w:tcPr>
          <w:p w14:paraId="2E13BE77"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2.38</w:t>
            </w:r>
          </w:p>
        </w:tc>
        <w:tc>
          <w:tcPr>
            <w:tcW w:w="640" w:type="dxa"/>
            <w:noWrap/>
            <w:hideMark/>
          </w:tcPr>
          <w:p w14:paraId="467E9F6A"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3.18</w:t>
            </w:r>
          </w:p>
        </w:tc>
        <w:tc>
          <w:tcPr>
            <w:tcW w:w="640" w:type="dxa"/>
            <w:noWrap/>
            <w:hideMark/>
          </w:tcPr>
          <w:p w14:paraId="02B68A97"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2.87</w:t>
            </w:r>
          </w:p>
        </w:tc>
        <w:tc>
          <w:tcPr>
            <w:tcW w:w="640" w:type="dxa"/>
            <w:noWrap/>
            <w:hideMark/>
          </w:tcPr>
          <w:p w14:paraId="2FEF779B"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2.67</w:t>
            </w:r>
          </w:p>
        </w:tc>
        <w:tc>
          <w:tcPr>
            <w:tcW w:w="640" w:type="dxa"/>
            <w:noWrap/>
            <w:hideMark/>
          </w:tcPr>
          <w:p w14:paraId="10CC4A5C"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2.75</w:t>
            </w:r>
          </w:p>
        </w:tc>
        <w:tc>
          <w:tcPr>
            <w:tcW w:w="710" w:type="dxa"/>
            <w:noWrap/>
            <w:hideMark/>
          </w:tcPr>
          <w:p w14:paraId="084D55C3"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57</w:t>
            </w:r>
          </w:p>
        </w:tc>
        <w:tc>
          <w:tcPr>
            <w:tcW w:w="768" w:type="dxa"/>
            <w:noWrap/>
            <w:hideMark/>
          </w:tcPr>
          <w:p w14:paraId="19DFBF0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-13</w:t>
            </w:r>
          </w:p>
        </w:tc>
      </w:tr>
      <w:tr w:rsidR="00986558" w:rsidRPr="000E1B7E" w14:paraId="71E6BE76" w14:textId="77777777" w:rsidTr="000B7A9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08" w:type="dxa"/>
            <w:noWrap/>
            <w:hideMark/>
          </w:tcPr>
          <w:p w14:paraId="5F078D5A"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Trade</w:t>
            </w:r>
          </w:p>
        </w:tc>
        <w:tc>
          <w:tcPr>
            <w:tcW w:w="640" w:type="dxa"/>
            <w:noWrap/>
            <w:hideMark/>
          </w:tcPr>
          <w:p w14:paraId="3FC6AF74"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2.34</w:t>
            </w:r>
          </w:p>
        </w:tc>
        <w:tc>
          <w:tcPr>
            <w:tcW w:w="627" w:type="dxa"/>
            <w:noWrap/>
            <w:hideMark/>
          </w:tcPr>
          <w:p w14:paraId="4445D559"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3.39</w:t>
            </w:r>
          </w:p>
        </w:tc>
        <w:tc>
          <w:tcPr>
            <w:tcW w:w="640" w:type="dxa"/>
            <w:noWrap/>
            <w:hideMark/>
          </w:tcPr>
          <w:p w14:paraId="461699DD"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3.64</w:t>
            </w:r>
          </w:p>
        </w:tc>
        <w:tc>
          <w:tcPr>
            <w:tcW w:w="640" w:type="dxa"/>
            <w:noWrap/>
            <w:hideMark/>
          </w:tcPr>
          <w:p w14:paraId="6C1987A7"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3.50</w:t>
            </w:r>
          </w:p>
        </w:tc>
        <w:tc>
          <w:tcPr>
            <w:tcW w:w="640" w:type="dxa"/>
            <w:noWrap/>
            <w:hideMark/>
          </w:tcPr>
          <w:p w14:paraId="2A75FFBD"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3.89</w:t>
            </w:r>
          </w:p>
        </w:tc>
        <w:tc>
          <w:tcPr>
            <w:tcW w:w="640" w:type="dxa"/>
            <w:noWrap/>
            <w:hideMark/>
          </w:tcPr>
          <w:p w14:paraId="0BE0C90F"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4.21</w:t>
            </w:r>
          </w:p>
        </w:tc>
        <w:tc>
          <w:tcPr>
            <w:tcW w:w="640" w:type="dxa"/>
            <w:noWrap/>
            <w:hideMark/>
          </w:tcPr>
          <w:p w14:paraId="498DFE4B"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3.89</w:t>
            </w:r>
          </w:p>
        </w:tc>
        <w:tc>
          <w:tcPr>
            <w:tcW w:w="640" w:type="dxa"/>
            <w:noWrap/>
            <w:hideMark/>
          </w:tcPr>
          <w:p w14:paraId="676165C6"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4.21</w:t>
            </w:r>
          </w:p>
        </w:tc>
        <w:tc>
          <w:tcPr>
            <w:tcW w:w="640" w:type="dxa"/>
            <w:noWrap/>
            <w:hideMark/>
          </w:tcPr>
          <w:p w14:paraId="1E8A57AA"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4.43</w:t>
            </w:r>
          </w:p>
        </w:tc>
        <w:tc>
          <w:tcPr>
            <w:tcW w:w="710" w:type="dxa"/>
            <w:noWrap/>
            <w:hideMark/>
          </w:tcPr>
          <w:p w14:paraId="3C51DC77"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66</w:t>
            </w:r>
          </w:p>
        </w:tc>
        <w:tc>
          <w:tcPr>
            <w:tcW w:w="768" w:type="dxa"/>
            <w:noWrap/>
            <w:hideMark/>
          </w:tcPr>
          <w:p w14:paraId="2B83948D"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5</w:t>
            </w:r>
          </w:p>
        </w:tc>
      </w:tr>
      <w:tr w:rsidR="00986558" w:rsidRPr="000E1B7E" w14:paraId="270BA8BA" w14:textId="77777777" w:rsidTr="009865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3C259B85"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Transport and Communication </w:t>
            </w:r>
          </w:p>
        </w:tc>
        <w:tc>
          <w:tcPr>
            <w:tcW w:w="640" w:type="dxa"/>
            <w:noWrap/>
            <w:hideMark/>
          </w:tcPr>
          <w:p w14:paraId="09CC1177"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0.88</w:t>
            </w:r>
          </w:p>
        </w:tc>
        <w:tc>
          <w:tcPr>
            <w:tcW w:w="627" w:type="dxa"/>
            <w:noWrap/>
            <w:hideMark/>
          </w:tcPr>
          <w:p w14:paraId="74C6B507"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1.16</w:t>
            </w:r>
          </w:p>
        </w:tc>
        <w:tc>
          <w:tcPr>
            <w:tcW w:w="640" w:type="dxa"/>
            <w:noWrap/>
            <w:hideMark/>
          </w:tcPr>
          <w:p w14:paraId="061BD398"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1.05</w:t>
            </w:r>
          </w:p>
        </w:tc>
        <w:tc>
          <w:tcPr>
            <w:tcW w:w="640" w:type="dxa"/>
            <w:noWrap/>
            <w:hideMark/>
          </w:tcPr>
          <w:p w14:paraId="7491200B"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0.96</w:t>
            </w:r>
          </w:p>
        </w:tc>
        <w:tc>
          <w:tcPr>
            <w:tcW w:w="640" w:type="dxa"/>
            <w:noWrap/>
            <w:hideMark/>
          </w:tcPr>
          <w:p w14:paraId="7E873E2D"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0.97</w:t>
            </w:r>
          </w:p>
        </w:tc>
        <w:tc>
          <w:tcPr>
            <w:tcW w:w="640" w:type="dxa"/>
            <w:noWrap/>
            <w:hideMark/>
          </w:tcPr>
          <w:p w14:paraId="2569520A"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1.06</w:t>
            </w:r>
          </w:p>
        </w:tc>
        <w:tc>
          <w:tcPr>
            <w:tcW w:w="640" w:type="dxa"/>
            <w:noWrap/>
            <w:hideMark/>
          </w:tcPr>
          <w:p w14:paraId="547D0FB1"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1.44</w:t>
            </w:r>
          </w:p>
        </w:tc>
        <w:tc>
          <w:tcPr>
            <w:tcW w:w="640" w:type="dxa"/>
            <w:noWrap/>
            <w:hideMark/>
          </w:tcPr>
          <w:p w14:paraId="5CCFCCC5"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1.41</w:t>
            </w:r>
          </w:p>
        </w:tc>
        <w:tc>
          <w:tcPr>
            <w:tcW w:w="640" w:type="dxa"/>
            <w:noWrap/>
            <w:hideMark/>
          </w:tcPr>
          <w:p w14:paraId="2AEF88BF"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1.18</w:t>
            </w:r>
          </w:p>
        </w:tc>
        <w:tc>
          <w:tcPr>
            <w:tcW w:w="710" w:type="dxa"/>
            <w:noWrap/>
            <w:hideMark/>
          </w:tcPr>
          <w:p w14:paraId="425DBF6F"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9</w:t>
            </w:r>
          </w:p>
        </w:tc>
        <w:tc>
          <w:tcPr>
            <w:tcW w:w="768" w:type="dxa"/>
            <w:noWrap/>
            <w:hideMark/>
          </w:tcPr>
          <w:p w14:paraId="2185DA1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11</w:t>
            </w:r>
          </w:p>
        </w:tc>
      </w:tr>
      <w:tr w:rsidR="00986558" w:rsidRPr="000E1B7E" w14:paraId="2E433297" w14:textId="77777777" w:rsidTr="000B7A9D">
        <w:trPr>
          <w:cnfStyle w:val="000000010000" w:firstRow="0" w:lastRow="0" w:firstColumn="0" w:lastColumn="0" w:oddVBand="0" w:evenVBand="0" w:oddHBand="0" w:evenHBand="1"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1908" w:type="dxa"/>
            <w:noWrap/>
            <w:hideMark/>
          </w:tcPr>
          <w:p w14:paraId="0554A64A"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Electricity and Water </w:t>
            </w:r>
          </w:p>
        </w:tc>
        <w:tc>
          <w:tcPr>
            <w:tcW w:w="640" w:type="dxa"/>
            <w:noWrap/>
            <w:hideMark/>
          </w:tcPr>
          <w:p w14:paraId="1B7C19A3"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0.13</w:t>
            </w:r>
          </w:p>
        </w:tc>
        <w:tc>
          <w:tcPr>
            <w:tcW w:w="627" w:type="dxa"/>
            <w:noWrap/>
            <w:hideMark/>
          </w:tcPr>
          <w:p w14:paraId="02F030E6"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0.14</w:t>
            </w:r>
          </w:p>
        </w:tc>
        <w:tc>
          <w:tcPr>
            <w:tcW w:w="640" w:type="dxa"/>
            <w:noWrap/>
            <w:hideMark/>
          </w:tcPr>
          <w:p w14:paraId="5390A140"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0.16</w:t>
            </w:r>
          </w:p>
        </w:tc>
        <w:tc>
          <w:tcPr>
            <w:tcW w:w="640" w:type="dxa"/>
            <w:noWrap/>
            <w:hideMark/>
          </w:tcPr>
          <w:p w14:paraId="6E86E8D8"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0.23</w:t>
            </w:r>
          </w:p>
        </w:tc>
        <w:tc>
          <w:tcPr>
            <w:tcW w:w="640" w:type="dxa"/>
            <w:noWrap/>
            <w:hideMark/>
          </w:tcPr>
          <w:p w14:paraId="489F9A15"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0.21</w:t>
            </w:r>
          </w:p>
        </w:tc>
        <w:tc>
          <w:tcPr>
            <w:tcW w:w="640" w:type="dxa"/>
            <w:noWrap/>
            <w:hideMark/>
          </w:tcPr>
          <w:p w14:paraId="2DE6FBF6"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0.34</w:t>
            </w:r>
          </w:p>
        </w:tc>
        <w:tc>
          <w:tcPr>
            <w:tcW w:w="640" w:type="dxa"/>
            <w:noWrap/>
            <w:hideMark/>
          </w:tcPr>
          <w:p w14:paraId="115CC82A"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0.41</w:t>
            </w:r>
          </w:p>
        </w:tc>
        <w:tc>
          <w:tcPr>
            <w:tcW w:w="640" w:type="dxa"/>
            <w:noWrap/>
            <w:hideMark/>
          </w:tcPr>
          <w:p w14:paraId="2F77A4C9"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0.39</w:t>
            </w:r>
          </w:p>
        </w:tc>
        <w:tc>
          <w:tcPr>
            <w:tcW w:w="640" w:type="dxa"/>
            <w:noWrap/>
            <w:hideMark/>
          </w:tcPr>
          <w:p w14:paraId="1BF98F55"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0.47</w:t>
            </w:r>
          </w:p>
        </w:tc>
        <w:tc>
          <w:tcPr>
            <w:tcW w:w="710" w:type="dxa"/>
            <w:noWrap/>
            <w:hideMark/>
          </w:tcPr>
          <w:p w14:paraId="4FFC8153"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65</w:t>
            </w:r>
          </w:p>
        </w:tc>
        <w:tc>
          <w:tcPr>
            <w:tcW w:w="768" w:type="dxa"/>
            <w:noWrap/>
            <w:hideMark/>
          </w:tcPr>
          <w:p w14:paraId="24FA3801"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36</w:t>
            </w:r>
          </w:p>
        </w:tc>
      </w:tr>
      <w:tr w:rsidR="00986558" w:rsidRPr="000E1B7E" w14:paraId="04F400BE" w14:textId="77777777" w:rsidTr="009865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62F8957B"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Building, Mortgage, Construction and Real Estate </w:t>
            </w:r>
          </w:p>
        </w:tc>
        <w:tc>
          <w:tcPr>
            <w:tcW w:w="640" w:type="dxa"/>
            <w:noWrap/>
            <w:hideMark/>
          </w:tcPr>
          <w:p w14:paraId="758B8C96"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2.09</w:t>
            </w:r>
          </w:p>
        </w:tc>
        <w:tc>
          <w:tcPr>
            <w:tcW w:w="627" w:type="dxa"/>
            <w:noWrap/>
            <w:hideMark/>
          </w:tcPr>
          <w:p w14:paraId="059D4ED5"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3.02</w:t>
            </w:r>
          </w:p>
        </w:tc>
        <w:tc>
          <w:tcPr>
            <w:tcW w:w="640" w:type="dxa"/>
            <w:noWrap/>
            <w:hideMark/>
          </w:tcPr>
          <w:p w14:paraId="7EE5EA10"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3.67</w:t>
            </w:r>
          </w:p>
        </w:tc>
        <w:tc>
          <w:tcPr>
            <w:tcW w:w="640" w:type="dxa"/>
            <w:noWrap/>
            <w:hideMark/>
          </w:tcPr>
          <w:p w14:paraId="555159DA"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3.75</w:t>
            </w:r>
          </w:p>
        </w:tc>
        <w:tc>
          <w:tcPr>
            <w:tcW w:w="640" w:type="dxa"/>
            <w:noWrap/>
            <w:hideMark/>
          </w:tcPr>
          <w:p w14:paraId="2CF0EBB8"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4.08</w:t>
            </w:r>
          </w:p>
        </w:tc>
        <w:tc>
          <w:tcPr>
            <w:tcW w:w="640" w:type="dxa"/>
            <w:noWrap/>
            <w:hideMark/>
          </w:tcPr>
          <w:p w14:paraId="318FBE6C"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4.65</w:t>
            </w:r>
          </w:p>
        </w:tc>
        <w:tc>
          <w:tcPr>
            <w:tcW w:w="640" w:type="dxa"/>
            <w:noWrap/>
            <w:hideMark/>
          </w:tcPr>
          <w:p w14:paraId="7289012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4.68</w:t>
            </w:r>
          </w:p>
        </w:tc>
        <w:tc>
          <w:tcPr>
            <w:tcW w:w="640" w:type="dxa"/>
            <w:noWrap/>
            <w:hideMark/>
          </w:tcPr>
          <w:p w14:paraId="0CFD75A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4.30</w:t>
            </w:r>
          </w:p>
        </w:tc>
        <w:tc>
          <w:tcPr>
            <w:tcW w:w="640" w:type="dxa"/>
            <w:noWrap/>
            <w:hideMark/>
          </w:tcPr>
          <w:p w14:paraId="72967A20"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4.41</w:t>
            </w:r>
          </w:p>
        </w:tc>
        <w:tc>
          <w:tcPr>
            <w:tcW w:w="710" w:type="dxa"/>
            <w:noWrap/>
            <w:hideMark/>
          </w:tcPr>
          <w:p w14:paraId="11D81943"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95</w:t>
            </w:r>
          </w:p>
        </w:tc>
        <w:tc>
          <w:tcPr>
            <w:tcW w:w="768" w:type="dxa"/>
            <w:noWrap/>
            <w:hideMark/>
          </w:tcPr>
          <w:p w14:paraId="2A4DC7BA"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-5</w:t>
            </w:r>
          </w:p>
        </w:tc>
      </w:tr>
      <w:tr w:rsidR="00986558" w:rsidRPr="000E1B7E" w14:paraId="5210C179" w14:textId="77777777" w:rsidTr="000B7A9D">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908" w:type="dxa"/>
            <w:noWrap/>
            <w:hideMark/>
          </w:tcPr>
          <w:p w14:paraId="1FCD2828"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Business Services </w:t>
            </w:r>
          </w:p>
        </w:tc>
        <w:tc>
          <w:tcPr>
            <w:tcW w:w="640" w:type="dxa"/>
            <w:noWrap/>
            <w:hideMark/>
          </w:tcPr>
          <w:p w14:paraId="1C8A43AD"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0.38</w:t>
            </w:r>
          </w:p>
        </w:tc>
        <w:tc>
          <w:tcPr>
            <w:tcW w:w="627" w:type="dxa"/>
            <w:noWrap/>
            <w:hideMark/>
          </w:tcPr>
          <w:p w14:paraId="7F52FFB6"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0.65</w:t>
            </w:r>
          </w:p>
        </w:tc>
        <w:tc>
          <w:tcPr>
            <w:tcW w:w="640" w:type="dxa"/>
            <w:noWrap/>
            <w:hideMark/>
          </w:tcPr>
          <w:p w14:paraId="2E28EE57"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0.58</w:t>
            </w:r>
          </w:p>
        </w:tc>
        <w:tc>
          <w:tcPr>
            <w:tcW w:w="640" w:type="dxa"/>
            <w:noWrap/>
            <w:hideMark/>
          </w:tcPr>
          <w:p w14:paraId="734C57F1"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0.86</w:t>
            </w:r>
          </w:p>
        </w:tc>
        <w:tc>
          <w:tcPr>
            <w:tcW w:w="640" w:type="dxa"/>
            <w:noWrap/>
            <w:hideMark/>
          </w:tcPr>
          <w:p w14:paraId="52D6BEAC"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0.79</w:t>
            </w:r>
          </w:p>
        </w:tc>
        <w:tc>
          <w:tcPr>
            <w:tcW w:w="640" w:type="dxa"/>
            <w:noWrap/>
            <w:hideMark/>
          </w:tcPr>
          <w:p w14:paraId="135DABB9"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0.98</w:t>
            </w:r>
          </w:p>
        </w:tc>
        <w:tc>
          <w:tcPr>
            <w:tcW w:w="640" w:type="dxa"/>
            <w:noWrap/>
            <w:hideMark/>
          </w:tcPr>
          <w:p w14:paraId="0B918684"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0.79</w:t>
            </w:r>
          </w:p>
        </w:tc>
        <w:tc>
          <w:tcPr>
            <w:tcW w:w="640" w:type="dxa"/>
            <w:noWrap/>
            <w:hideMark/>
          </w:tcPr>
          <w:p w14:paraId="68E2332B"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0.86</w:t>
            </w:r>
          </w:p>
        </w:tc>
        <w:tc>
          <w:tcPr>
            <w:tcW w:w="640" w:type="dxa"/>
            <w:noWrap/>
            <w:hideMark/>
          </w:tcPr>
          <w:p w14:paraId="48D1E1D2"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0.86</w:t>
            </w:r>
          </w:p>
        </w:tc>
        <w:tc>
          <w:tcPr>
            <w:tcW w:w="710" w:type="dxa"/>
            <w:noWrap/>
            <w:hideMark/>
          </w:tcPr>
          <w:p w14:paraId="36D11007"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106</w:t>
            </w:r>
          </w:p>
        </w:tc>
        <w:tc>
          <w:tcPr>
            <w:tcW w:w="768" w:type="dxa"/>
            <w:noWrap/>
            <w:hideMark/>
          </w:tcPr>
          <w:p w14:paraId="0D60B51D"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-12</w:t>
            </w:r>
          </w:p>
        </w:tc>
      </w:tr>
      <w:tr w:rsidR="00986558" w:rsidRPr="000E1B7E" w14:paraId="0CA8822A" w14:textId="77777777" w:rsidTr="009865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67DB11AD"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Community, Social &amp; Other Services</w:t>
            </w:r>
          </w:p>
        </w:tc>
        <w:tc>
          <w:tcPr>
            <w:tcW w:w="640" w:type="dxa"/>
            <w:noWrap/>
            <w:hideMark/>
          </w:tcPr>
          <w:p w14:paraId="5A420811"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0.33</w:t>
            </w:r>
          </w:p>
        </w:tc>
        <w:tc>
          <w:tcPr>
            <w:tcW w:w="627" w:type="dxa"/>
            <w:noWrap/>
            <w:hideMark/>
          </w:tcPr>
          <w:p w14:paraId="323C556F"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0.50</w:t>
            </w:r>
          </w:p>
        </w:tc>
        <w:tc>
          <w:tcPr>
            <w:tcW w:w="640" w:type="dxa"/>
            <w:noWrap/>
            <w:hideMark/>
          </w:tcPr>
          <w:p w14:paraId="4FA6545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0.57</w:t>
            </w:r>
          </w:p>
        </w:tc>
        <w:tc>
          <w:tcPr>
            <w:tcW w:w="640" w:type="dxa"/>
            <w:noWrap/>
            <w:hideMark/>
          </w:tcPr>
          <w:p w14:paraId="3AFDB531"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0.52</w:t>
            </w:r>
          </w:p>
        </w:tc>
        <w:tc>
          <w:tcPr>
            <w:tcW w:w="640" w:type="dxa"/>
            <w:noWrap/>
            <w:hideMark/>
          </w:tcPr>
          <w:p w14:paraId="321CE5C1"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0.59</w:t>
            </w:r>
          </w:p>
        </w:tc>
        <w:tc>
          <w:tcPr>
            <w:tcW w:w="640" w:type="dxa"/>
            <w:noWrap/>
            <w:hideMark/>
          </w:tcPr>
          <w:p w14:paraId="19A6E57F"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0.68</w:t>
            </w:r>
          </w:p>
        </w:tc>
        <w:tc>
          <w:tcPr>
            <w:tcW w:w="640" w:type="dxa"/>
            <w:noWrap/>
            <w:hideMark/>
          </w:tcPr>
          <w:p w14:paraId="32BEFE7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0.69</w:t>
            </w:r>
          </w:p>
        </w:tc>
        <w:tc>
          <w:tcPr>
            <w:tcW w:w="640" w:type="dxa"/>
            <w:noWrap/>
            <w:hideMark/>
          </w:tcPr>
          <w:p w14:paraId="643435ED"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0.68</w:t>
            </w:r>
          </w:p>
        </w:tc>
        <w:tc>
          <w:tcPr>
            <w:tcW w:w="640" w:type="dxa"/>
            <w:noWrap/>
            <w:hideMark/>
          </w:tcPr>
          <w:p w14:paraId="4205AF1F"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0.83</w:t>
            </w:r>
          </w:p>
        </w:tc>
        <w:tc>
          <w:tcPr>
            <w:tcW w:w="710" w:type="dxa"/>
            <w:noWrap/>
            <w:hideMark/>
          </w:tcPr>
          <w:p w14:paraId="6F1C12EC"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80</w:t>
            </w:r>
          </w:p>
        </w:tc>
        <w:tc>
          <w:tcPr>
            <w:tcW w:w="768" w:type="dxa"/>
            <w:noWrap/>
            <w:hideMark/>
          </w:tcPr>
          <w:p w14:paraId="230EDFB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23</w:t>
            </w:r>
          </w:p>
        </w:tc>
      </w:tr>
      <w:tr w:rsidR="00986558" w:rsidRPr="000E1B7E" w14:paraId="3ADCF948" w14:textId="77777777" w:rsidTr="0098655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37963836"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Personal Loans and Household Loans</w:t>
            </w:r>
          </w:p>
        </w:tc>
        <w:tc>
          <w:tcPr>
            <w:tcW w:w="640" w:type="dxa"/>
            <w:noWrap/>
            <w:hideMark/>
          </w:tcPr>
          <w:p w14:paraId="18F736E0"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2.43</w:t>
            </w:r>
          </w:p>
        </w:tc>
        <w:tc>
          <w:tcPr>
            <w:tcW w:w="627" w:type="dxa"/>
            <w:noWrap/>
            <w:hideMark/>
          </w:tcPr>
          <w:p w14:paraId="5F00FF3F"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2.38</w:t>
            </w:r>
          </w:p>
        </w:tc>
        <w:tc>
          <w:tcPr>
            <w:tcW w:w="640" w:type="dxa"/>
            <w:noWrap/>
            <w:hideMark/>
          </w:tcPr>
          <w:p w14:paraId="444D05DA"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2.47</w:t>
            </w:r>
          </w:p>
        </w:tc>
        <w:tc>
          <w:tcPr>
            <w:tcW w:w="640" w:type="dxa"/>
            <w:noWrap/>
            <w:hideMark/>
          </w:tcPr>
          <w:p w14:paraId="59E66099"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2.26</w:t>
            </w:r>
          </w:p>
        </w:tc>
        <w:tc>
          <w:tcPr>
            <w:tcW w:w="640" w:type="dxa"/>
            <w:noWrap/>
            <w:hideMark/>
          </w:tcPr>
          <w:p w14:paraId="7614B6B4"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3.09</w:t>
            </w:r>
          </w:p>
        </w:tc>
        <w:tc>
          <w:tcPr>
            <w:tcW w:w="640" w:type="dxa"/>
            <w:noWrap/>
            <w:hideMark/>
          </w:tcPr>
          <w:p w14:paraId="13B21187"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3.11</w:t>
            </w:r>
          </w:p>
        </w:tc>
        <w:tc>
          <w:tcPr>
            <w:tcW w:w="640" w:type="dxa"/>
            <w:noWrap/>
            <w:hideMark/>
          </w:tcPr>
          <w:p w14:paraId="31571E84"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3.24</w:t>
            </w:r>
          </w:p>
        </w:tc>
        <w:tc>
          <w:tcPr>
            <w:tcW w:w="640" w:type="dxa"/>
            <w:noWrap/>
            <w:hideMark/>
          </w:tcPr>
          <w:p w14:paraId="763A89D0"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3.69</w:t>
            </w:r>
          </w:p>
        </w:tc>
        <w:tc>
          <w:tcPr>
            <w:tcW w:w="640" w:type="dxa"/>
            <w:noWrap/>
            <w:hideMark/>
          </w:tcPr>
          <w:p w14:paraId="3EC5E4ED"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3.94</w:t>
            </w:r>
          </w:p>
        </w:tc>
        <w:tc>
          <w:tcPr>
            <w:tcW w:w="710" w:type="dxa"/>
            <w:noWrap/>
            <w:hideMark/>
          </w:tcPr>
          <w:p w14:paraId="48EC3562"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27</w:t>
            </w:r>
          </w:p>
        </w:tc>
        <w:tc>
          <w:tcPr>
            <w:tcW w:w="768" w:type="dxa"/>
            <w:noWrap/>
            <w:hideMark/>
          </w:tcPr>
          <w:p w14:paraId="28C8CFE9"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27</w:t>
            </w:r>
          </w:p>
        </w:tc>
      </w:tr>
      <w:tr w:rsidR="00986558" w:rsidRPr="000E1B7E" w14:paraId="36EA43C3" w14:textId="77777777" w:rsidTr="0098655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4A541E9D"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 xml:space="preserve">Other Services </w:t>
            </w:r>
          </w:p>
        </w:tc>
        <w:tc>
          <w:tcPr>
            <w:tcW w:w="640" w:type="dxa"/>
            <w:noWrap/>
            <w:hideMark/>
          </w:tcPr>
          <w:p w14:paraId="1827569D"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color w:val="000000"/>
                <w:sz w:val="18"/>
                <w:szCs w:val="18"/>
                <w:lang w:val="en-US"/>
              </w:rPr>
            </w:pPr>
            <w:r w:rsidRPr="000E1B7E">
              <w:rPr>
                <w:color w:val="000000"/>
                <w:sz w:val="18"/>
                <w:szCs w:val="18"/>
                <w:lang w:val="en-US"/>
              </w:rPr>
              <w:t>0.56</w:t>
            </w:r>
          </w:p>
        </w:tc>
        <w:tc>
          <w:tcPr>
            <w:tcW w:w="627" w:type="dxa"/>
            <w:noWrap/>
            <w:hideMark/>
          </w:tcPr>
          <w:p w14:paraId="383275E4"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0.71</w:t>
            </w:r>
          </w:p>
        </w:tc>
        <w:tc>
          <w:tcPr>
            <w:tcW w:w="640" w:type="dxa"/>
            <w:noWrap/>
            <w:hideMark/>
          </w:tcPr>
          <w:p w14:paraId="02E16FCB"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0.70</w:t>
            </w:r>
          </w:p>
        </w:tc>
        <w:tc>
          <w:tcPr>
            <w:tcW w:w="640" w:type="dxa"/>
            <w:noWrap/>
            <w:hideMark/>
          </w:tcPr>
          <w:p w14:paraId="1D8A688F"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0.84</w:t>
            </w:r>
          </w:p>
        </w:tc>
        <w:tc>
          <w:tcPr>
            <w:tcW w:w="640" w:type="dxa"/>
            <w:noWrap/>
            <w:hideMark/>
          </w:tcPr>
          <w:p w14:paraId="61D9F710"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0.25</w:t>
            </w:r>
          </w:p>
        </w:tc>
        <w:tc>
          <w:tcPr>
            <w:tcW w:w="640" w:type="dxa"/>
            <w:noWrap/>
            <w:hideMark/>
          </w:tcPr>
          <w:p w14:paraId="01E80BBD"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0.29</w:t>
            </w:r>
          </w:p>
        </w:tc>
        <w:tc>
          <w:tcPr>
            <w:tcW w:w="640" w:type="dxa"/>
            <w:noWrap/>
            <w:hideMark/>
          </w:tcPr>
          <w:p w14:paraId="3E170CDB"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0.28</w:t>
            </w:r>
          </w:p>
        </w:tc>
        <w:tc>
          <w:tcPr>
            <w:tcW w:w="640" w:type="dxa"/>
            <w:noWrap/>
            <w:hideMark/>
          </w:tcPr>
          <w:p w14:paraId="1554F412"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0.15</w:t>
            </w:r>
          </w:p>
        </w:tc>
        <w:tc>
          <w:tcPr>
            <w:tcW w:w="640" w:type="dxa"/>
            <w:noWrap/>
            <w:hideMark/>
          </w:tcPr>
          <w:p w14:paraId="77241E18"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0.09</w:t>
            </w:r>
          </w:p>
        </w:tc>
        <w:tc>
          <w:tcPr>
            <w:tcW w:w="710" w:type="dxa"/>
            <w:noWrap/>
            <w:hideMark/>
          </w:tcPr>
          <w:p w14:paraId="3FA36A77"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-56</w:t>
            </w:r>
          </w:p>
        </w:tc>
        <w:tc>
          <w:tcPr>
            <w:tcW w:w="768" w:type="dxa"/>
            <w:noWrap/>
            <w:hideMark/>
          </w:tcPr>
          <w:p w14:paraId="7B3838DC" w14:textId="77777777" w:rsidR="00986558" w:rsidRPr="000E1B7E" w:rsidRDefault="00986558" w:rsidP="005959B5">
            <w:pPr>
              <w:ind w:left="-108" w:right="-74"/>
              <w:jc w:val="both"/>
              <w:cnfStyle w:val="000000100000" w:firstRow="0" w:lastRow="0" w:firstColumn="0" w:lastColumn="0" w:oddVBand="0" w:evenVBand="0" w:oddHBand="1" w:evenHBand="0" w:firstRowFirstColumn="0" w:firstRowLastColumn="0" w:lastRowFirstColumn="0" w:lastRowLastColumn="0"/>
              <w:rPr>
                <w:b/>
                <w:bCs/>
                <w:sz w:val="18"/>
                <w:szCs w:val="18"/>
                <w:lang w:val="en-US"/>
              </w:rPr>
            </w:pPr>
            <w:r w:rsidRPr="000E1B7E">
              <w:rPr>
                <w:b/>
                <w:bCs/>
                <w:sz w:val="18"/>
                <w:szCs w:val="18"/>
                <w:lang w:val="en-US"/>
              </w:rPr>
              <w:t>-68</w:t>
            </w:r>
          </w:p>
        </w:tc>
      </w:tr>
      <w:tr w:rsidR="00986558" w:rsidRPr="000E1B7E" w14:paraId="5E59C485" w14:textId="77777777" w:rsidTr="00986558">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08" w:type="dxa"/>
            <w:noWrap/>
            <w:hideMark/>
          </w:tcPr>
          <w:p w14:paraId="543662C9" w14:textId="77777777" w:rsidR="00986558" w:rsidRPr="000E1B7E" w:rsidRDefault="00986558" w:rsidP="005959B5">
            <w:pPr>
              <w:jc w:val="both"/>
              <w:rPr>
                <w:rFonts w:ascii="Times New Roman" w:eastAsia="Times New Roman" w:hAnsi="Times New Roman" w:cs="Times New Roman"/>
                <w:b w:val="0"/>
                <w:color w:val="000000"/>
                <w:sz w:val="18"/>
                <w:szCs w:val="18"/>
                <w:lang w:val="en-US"/>
              </w:rPr>
            </w:pPr>
            <w:r w:rsidRPr="000E1B7E">
              <w:rPr>
                <w:rFonts w:ascii="Times New Roman" w:eastAsia="Times New Roman" w:hAnsi="Times New Roman" w:cs="Times New Roman"/>
                <w:b w:val="0"/>
                <w:color w:val="000000"/>
                <w:sz w:val="18"/>
                <w:szCs w:val="18"/>
                <w:lang w:val="en-US"/>
              </w:rPr>
              <w:t>Total</w:t>
            </w:r>
          </w:p>
        </w:tc>
        <w:tc>
          <w:tcPr>
            <w:tcW w:w="640" w:type="dxa"/>
            <w:noWrap/>
            <w:hideMark/>
          </w:tcPr>
          <w:p w14:paraId="457895C8"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color w:val="000000"/>
                <w:sz w:val="18"/>
                <w:szCs w:val="18"/>
                <w:lang w:val="en-US"/>
              </w:rPr>
            </w:pPr>
            <w:r w:rsidRPr="000E1B7E">
              <w:rPr>
                <w:color w:val="000000"/>
                <w:sz w:val="18"/>
                <w:szCs w:val="18"/>
                <w:lang w:val="en-US"/>
              </w:rPr>
              <w:t>11.49</w:t>
            </w:r>
          </w:p>
        </w:tc>
        <w:tc>
          <w:tcPr>
            <w:tcW w:w="627" w:type="dxa"/>
            <w:noWrap/>
            <w:hideMark/>
          </w:tcPr>
          <w:p w14:paraId="3E16EE8D"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15.05</w:t>
            </w:r>
          </w:p>
        </w:tc>
        <w:tc>
          <w:tcPr>
            <w:tcW w:w="640" w:type="dxa"/>
            <w:noWrap/>
            <w:hideMark/>
          </w:tcPr>
          <w:p w14:paraId="10CA6959"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16.13</w:t>
            </w:r>
          </w:p>
        </w:tc>
        <w:tc>
          <w:tcPr>
            <w:tcW w:w="640" w:type="dxa"/>
            <w:noWrap/>
            <w:hideMark/>
          </w:tcPr>
          <w:p w14:paraId="403831CE"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16.61</w:t>
            </w:r>
          </w:p>
        </w:tc>
        <w:tc>
          <w:tcPr>
            <w:tcW w:w="640" w:type="dxa"/>
            <w:noWrap/>
            <w:hideMark/>
          </w:tcPr>
          <w:p w14:paraId="46DB87B3"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18.03</w:t>
            </w:r>
          </w:p>
        </w:tc>
        <w:tc>
          <w:tcPr>
            <w:tcW w:w="640" w:type="dxa"/>
            <w:noWrap/>
            <w:hideMark/>
          </w:tcPr>
          <w:p w14:paraId="6EF1AC06"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20.60</w:t>
            </w:r>
          </w:p>
        </w:tc>
        <w:tc>
          <w:tcPr>
            <w:tcW w:w="640" w:type="dxa"/>
            <w:noWrap/>
            <w:hideMark/>
          </w:tcPr>
          <w:p w14:paraId="486165C1"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20.53</w:t>
            </w:r>
          </w:p>
        </w:tc>
        <w:tc>
          <w:tcPr>
            <w:tcW w:w="640" w:type="dxa"/>
            <w:noWrap/>
            <w:hideMark/>
          </w:tcPr>
          <w:p w14:paraId="5B897574"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20.90</w:t>
            </w:r>
          </w:p>
        </w:tc>
        <w:tc>
          <w:tcPr>
            <w:tcW w:w="640" w:type="dxa"/>
            <w:noWrap/>
            <w:hideMark/>
          </w:tcPr>
          <w:p w14:paraId="436BC2E6"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21.79</w:t>
            </w:r>
          </w:p>
        </w:tc>
        <w:tc>
          <w:tcPr>
            <w:tcW w:w="710" w:type="dxa"/>
            <w:noWrap/>
            <w:hideMark/>
          </w:tcPr>
          <w:p w14:paraId="1820D0A4"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57</w:t>
            </w:r>
          </w:p>
        </w:tc>
        <w:tc>
          <w:tcPr>
            <w:tcW w:w="768" w:type="dxa"/>
            <w:noWrap/>
            <w:hideMark/>
          </w:tcPr>
          <w:p w14:paraId="3DF0EA50" w14:textId="77777777" w:rsidR="00986558" w:rsidRPr="000E1B7E" w:rsidRDefault="00986558" w:rsidP="005959B5">
            <w:pPr>
              <w:ind w:left="-108" w:right="-74"/>
              <w:jc w:val="both"/>
              <w:cnfStyle w:val="000000010000" w:firstRow="0" w:lastRow="0" w:firstColumn="0" w:lastColumn="0" w:oddVBand="0" w:evenVBand="0" w:oddHBand="0" w:evenHBand="1" w:firstRowFirstColumn="0" w:firstRowLastColumn="0" w:lastRowFirstColumn="0" w:lastRowLastColumn="0"/>
              <w:rPr>
                <w:b/>
                <w:bCs/>
                <w:sz w:val="18"/>
                <w:szCs w:val="18"/>
                <w:lang w:val="en-US"/>
              </w:rPr>
            </w:pPr>
            <w:r w:rsidRPr="000E1B7E">
              <w:rPr>
                <w:b/>
                <w:bCs/>
                <w:sz w:val="18"/>
                <w:szCs w:val="18"/>
                <w:lang w:val="en-US"/>
              </w:rPr>
              <w:t>6</w:t>
            </w:r>
          </w:p>
        </w:tc>
      </w:tr>
    </w:tbl>
    <w:p w14:paraId="34D50AC4" w14:textId="77777777" w:rsidR="00986558" w:rsidRPr="000E1B7E" w:rsidRDefault="00886FE8" w:rsidP="005E042B">
      <w:pPr>
        <w:autoSpaceDE w:val="0"/>
        <w:autoSpaceDN w:val="0"/>
        <w:adjustRightInd w:val="0"/>
        <w:spacing w:line="360" w:lineRule="auto"/>
        <w:jc w:val="both"/>
        <w:rPr>
          <w:bCs/>
          <w:lang w:val="en-US"/>
        </w:rPr>
      </w:pPr>
      <w:r w:rsidRPr="000E1B7E">
        <w:t>Source: Bank of Uganda</w:t>
      </w:r>
    </w:p>
    <w:p w14:paraId="6C0AE2FB" w14:textId="77777777" w:rsidR="00980CA6" w:rsidRPr="000E1B7E" w:rsidRDefault="00980CA6"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The trade sector has overtaken real estate as the sector receiving </w:t>
      </w:r>
      <w:r w:rsidR="00BF6CE9" w:rsidRPr="000E1B7E">
        <w:rPr>
          <w:rFonts w:ascii="Times New Roman" w:hAnsi="Times New Roman"/>
          <w:sz w:val="24"/>
          <w:szCs w:val="24"/>
        </w:rPr>
        <w:t xml:space="preserve">the most </w:t>
      </w:r>
      <w:r w:rsidRPr="000E1B7E">
        <w:rPr>
          <w:rFonts w:ascii="Times New Roman" w:hAnsi="Times New Roman"/>
          <w:sz w:val="24"/>
          <w:szCs w:val="24"/>
        </w:rPr>
        <w:t>credit. These are close</w:t>
      </w:r>
      <w:r w:rsidR="00293F9C" w:rsidRPr="000E1B7E">
        <w:rPr>
          <w:rFonts w:ascii="Times New Roman" w:hAnsi="Times New Roman"/>
          <w:sz w:val="24"/>
          <w:szCs w:val="24"/>
        </w:rPr>
        <w:t>ly</w:t>
      </w:r>
      <w:r w:rsidRPr="000E1B7E">
        <w:rPr>
          <w:rFonts w:ascii="Times New Roman" w:hAnsi="Times New Roman"/>
          <w:sz w:val="24"/>
          <w:szCs w:val="24"/>
        </w:rPr>
        <w:t xml:space="preserve"> followed by personal/household loans, manufacturing and agriculture as summarized in figure </w:t>
      </w:r>
      <w:r w:rsidR="00C76B56" w:rsidRPr="000E1B7E">
        <w:rPr>
          <w:rFonts w:ascii="Times New Roman" w:hAnsi="Times New Roman"/>
          <w:sz w:val="24"/>
          <w:szCs w:val="24"/>
        </w:rPr>
        <w:t>1</w:t>
      </w:r>
      <w:r w:rsidR="00C17493" w:rsidRPr="000E1B7E">
        <w:rPr>
          <w:rFonts w:ascii="Times New Roman" w:hAnsi="Times New Roman"/>
          <w:sz w:val="24"/>
          <w:szCs w:val="24"/>
        </w:rPr>
        <w:t>8</w:t>
      </w:r>
      <w:r w:rsidRPr="000E1B7E">
        <w:rPr>
          <w:rFonts w:ascii="Times New Roman" w:hAnsi="Times New Roman"/>
          <w:sz w:val="24"/>
          <w:szCs w:val="24"/>
        </w:rPr>
        <w:t>.</w:t>
      </w:r>
    </w:p>
    <w:p w14:paraId="78B2B8F5" w14:textId="77777777" w:rsidR="000B7A9D" w:rsidRDefault="000B7A9D">
      <w:pPr>
        <w:rPr>
          <w:rFonts w:eastAsia="Calibri"/>
          <w:b/>
        </w:rPr>
      </w:pPr>
      <w:bookmarkStart w:id="133" w:name="_Toc3483162"/>
      <w:r>
        <w:rPr>
          <w:rFonts w:eastAsia="Calibri"/>
          <w:b/>
          <w:i/>
          <w:iCs/>
        </w:rPr>
        <w:br w:type="page"/>
      </w:r>
    </w:p>
    <w:p w14:paraId="7B6E7FEB" w14:textId="77777777" w:rsidR="00980CA6" w:rsidRPr="000E1B7E" w:rsidRDefault="005E042B" w:rsidP="005E042B">
      <w:pPr>
        <w:pStyle w:val="Caption"/>
        <w:rPr>
          <w:rFonts w:ascii="Times New Roman" w:eastAsia="Calibri" w:hAnsi="Times New Roman" w:cs="Times New Roman"/>
          <w:b/>
          <w:i w:val="0"/>
          <w:iCs w:val="0"/>
          <w:color w:val="auto"/>
          <w:sz w:val="24"/>
          <w:szCs w:val="24"/>
          <w:lang w:val="en-GB"/>
        </w:rPr>
      </w:pPr>
      <w:r w:rsidRPr="000E1B7E">
        <w:rPr>
          <w:rFonts w:ascii="Times New Roman" w:eastAsia="Calibri" w:hAnsi="Times New Roman" w:cs="Times New Roman"/>
          <w:b/>
          <w:i w:val="0"/>
          <w:iCs w:val="0"/>
          <w:color w:val="auto"/>
          <w:sz w:val="24"/>
          <w:szCs w:val="24"/>
          <w:lang w:val="en-GB"/>
        </w:rPr>
        <w:lastRenderedPageBreak/>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18</w:t>
      </w:r>
      <w:r w:rsidR="001232BF" w:rsidRPr="000E1B7E">
        <w:rPr>
          <w:rFonts w:ascii="Times New Roman" w:eastAsia="Calibri" w:hAnsi="Times New Roman" w:cs="Times New Roman"/>
          <w:b/>
          <w:i w:val="0"/>
          <w:iCs w:val="0"/>
          <w:color w:val="auto"/>
          <w:sz w:val="24"/>
          <w:szCs w:val="24"/>
          <w:lang w:val="en-GB"/>
        </w:rPr>
        <w:fldChar w:fldCharType="end"/>
      </w:r>
      <w:r w:rsidR="00980CA6" w:rsidRPr="000E1B7E">
        <w:rPr>
          <w:rFonts w:ascii="Times New Roman" w:eastAsia="Calibri" w:hAnsi="Times New Roman" w:cs="Times New Roman"/>
          <w:b/>
          <w:i w:val="0"/>
          <w:iCs w:val="0"/>
          <w:color w:val="auto"/>
          <w:sz w:val="24"/>
          <w:szCs w:val="24"/>
          <w:lang w:val="en-GB"/>
        </w:rPr>
        <w:t>: Sectoral shares of credit to the private sector</w:t>
      </w:r>
      <w:r w:rsidR="00D21855" w:rsidRPr="000E1B7E">
        <w:rPr>
          <w:rFonts w:ascii="Times New Roman" w:eastAsia="Calibri" w:hAnsi="Times New Roman" w:cs="Times New Roman"/>
          <w:b/>
          <w:i w:val="0"/>
          <w:iCs w:val="0"/>
          <w:color w:val="auto"/>
          <w:sz w:val="24"/>
          <w:szCs w:val="24"/>
          <w:lang w:val="en-GB"/>
        </w:rPr>
        <w:t>as of June 2018</w:t>
      </w:r>
      <w:bookmarkEnd w:id="133"/>
    </w:p>
    <w:p w14:paraId="592E5062" w14:textId="77777777" w:rsidR="00980CA6" w:rsidRPr="000E1B7E" w:rsidRDefault="00980CA6" w:rsidP="005959B5">
      <w:pPr>
        <w:widowControl w:val="0"/>
        <w:autoSpaceDE w:val="0"/>
        <w:autoSpaceDN w:val="0"/>
        <w:adjustRightInd w:val="0"/>
        <w:ind w:right="75"/>
        <w:jc w:val="both"/>
      </w:pPr>
      <w:r w:rsidRPr="000E1B7E">
        <w:rPr>
          <w:noProof/>
          <w:lang w:eastAsia="en-GB"/>
        </w:rPr>
        <w:drawing>
          <wp:inline distT="0" distB="0" distL="0" distR="0" wp14:anchorId="641F9951" wp14:editId="2B49A599">
            <wp:extent cx="5729748" cy="3274142"/>
            <wp:effectExtent l="0" t="0" r="0" b="0"/>
            <wp:docPr id="9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0CE9CBC" w14:textId="77777777" w:rsidR="00886FE8" w:rsidRPr="000E1B7E" w:rsidRDefault="00886FE8" w:rsidP="005959B5">
      <w:pPr>
        <w:autoSpaceDE w:val="0"/>
        <w:autoSpaceDN w:val="0"/>
        <w:adjustRightInd w:val="0"/>
        <w:spacing w:line="360" w:lineRule="auto"/>
        <w:jc w:val="both"/>
      </w:pPr>
      <w:r w:rsidRPr="000E1B7E">
        <w:t>Source: Bank of Uganda</w:t>
      </w:r>
    </w:p>
    <w:p w14:paraId="715FD008" w14:textId="77777777" w:rsidR="002754E7" w:rsidRPr="000E1B7E" w:rsidRDefault="00FA3F4D" w:rsidP="00C11847">
      <w:pPr>
        <w:pStyle w:val="DeltaSeched2"/>
      </w:pPr>
      <w:bookmarkStart w:id="134" w:name="_Toc3478392"/>
      <w:bookmarkStart w:id="135" w:name="_Toc11956275"/>
      <w:r w:rsidRPr="000E1B7E">
        <w:t>Lending Interest Rates</w:t>
      </w:r>
      <w:bookmarkEnd w:id="134"/>
      <w:bookmarkEnd w:id="135"/>
    </w:p>
    <w:p w14:paraId="03BCA6CA" w14:textId="77777777" w:rsidR="000B7A9D" w:rsidRDefault="002754E7" w:rsidP="000B7A9D">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The average lending interest rate (%) in 2017 was 21.3%, a slight decline from 23.9% in 2016, 22.6% in 2015, 21.6% in 2014, 23.3% in 2013 and 26.2% in 2012. The average lending rate in Uganda in 2017 of 21.3% was the highest in the region compared to 16% in Tanzania, 17.2% in Rwanda, 13.7% in Kenya and 14.8% in Burundi. </w:t>
      </w:r>
      <w:r w:rsidR="00BF6CE9" w:rsidRPr="000E1B7E">
        <w:rPr>
          <w:rFonts w:ascii="Times New Roman" w:hAnsi="Times New Roman"/>
          <w:sz w:val="24"/>
          <w:szCs w:val="24"/>
        </w:rPr>
        <w:t>L</w:t>
      </w:r>
      <w:r w:rsidRPr="000E1B7E">
        <w:rPr>
          <w:rFonts w:ascii="Times New Roman" w:hAnsi="Times New Roman"/>
          <w:sz w:val="24"/>
          <w:szCs w:val="24"/>
        </w:rPr>
        <w:t xml:space="preserve">ending interest rates in Uganda have consistently been higher compared to other competing regional markets over the last five years as summarized in the figure </w:t>
      </w:r>
      <w:r w:rsidR="00C17493" w:rsidRPr="000E1B7E">
        <w:rPr>
          <w:rFonts w:ascii="Times New Roman" w:hAnsi="Times New Roman"/>
          <w:sz w:val="24"/>
          <w:szCs w:val="24"/>
        </w:rPr>
        <w:t>19</w:t>
      </w:r>
      <w:r w:rsidRPr="000E1B7E">
        <w:rPr>
          <w:rFonts w:ascii="Times New Roman" w:hAnsi="Times New Roman"/>
          <w:sz w:val="24"/>
          <w:szCs w:val="24"/>
        </w:rPr>
        <w:t>.</w:t>
      </w:r>
      <w:r w:rsidR="000B7A9D" w:rsidRPr="000B7A9D">
        <w:rPr>
          <w:rFonts w:ascii="Times New Roman" w:hAnsi="Times New Roman"/>
          <w:sz w:val="24"/>
          <w:szCs w:val="24"/>
        </w:rPr>
        <w:t xml:space="preserve"> </w:t>
      </w:r>
    </w:p>
    <w:p w14:paraId="77574BCD" w14:textId="77777777" w:rsidR="000B7A9D" w:rsidRPr="000E1B7E" w:rsidRDefault="000B7A9D" w:rsidP="000B7A9D">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Furthermore,Uganda has the highest interest rate spread (lending rate minus deposit rate) in the region. For the period 2013-2017,the average interestrate spread in Uganda was 10.6% compared to 6% in Tanzania, 9% in Rwanda and 7.6% in Kenya. The high interest rate spreadin Uganda may be attributable to a variety of different factors: the SME nature of Ugandan companies that are associated with higher risks and higher loan losses; high overhead costs reflecting the large number of banks and duplication of infrastructure; and the high levels of capital held by Ugandan banks. In addition, the high interest rates on treasury bills and government bonds provide a lower bound for the risk-free lending rate and continue to crowd out lending to the private sector. Real GoU bond yields are exceptionally high, which has an impact on spreads and lending rates. The high interest rate increases the cost of financing by business community, making Ugandan products </w:t>
      </w:r>
      <w:r w:rsidRPr="000E1B7E">
        <w:rPr>
          <w:rFonts w:ascii="Times New Roman" w:hAnsi="Times New Roman"/>
          <w:sz w:val="24"/>
          <w:szCs w:val="24"/>
        </w:rPr>
        <w:lastRenderedPageBreak/>
        <w:t>uncompetitive in the regional market. Accordingly, high levels of government spending and deficit financing have a wider, negative impact on the economy that may counteract the beneficial impact of government spending on infrastructure.</w:t>
      </w:r>
    </w:p>
    <w:p w14:paraId="6B03EF0E" w14:textId="77777777" w:rsidR="002754E7" w:rsidRPr="000E1B7E" w:rsidRDefault="00061159" w:rsidP="00061159">
      <w:pPr>
        <w:pStyle w:val="Caption"/>
        <w:keepNext/>
        <w:jc w:val="both"/>
        <w:rPr>
          <w:rFonts w:ascii="Times New Roman" w:eastAsia="Calibri" w:hAnsi="Times New Roman" w:cs="Times New Roman"/>
          <w:b/>
          <w:i w:val="0"/>
          <w:iCs w:val="0"/>
          <w:color w:val="auto"/>
          <w:sz w:val="24"/>
          <w:szCs w:val="24"/>
          <w:lang w:val="en-GB"/>
        </w:rPr>
      </w:pPr>
      <w:bookmarkStart w:id="136" w:name="_Toc3483163"/>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19</w:t>
      </w:r>
      <w:r w:rsidR="001232BF" w:rsidRPr="000E1B7E">
        <w:rPr>
          <w:rFonts w:ascii="Times New Roman" w:eastAsia="Calibri" w:hAnsi="Times New Roman" w:cs="Times New Roman"/>
          <w:b/>
          <w:i w:val="0"/>
          <w:iCs w:val="0"/>
          <w:color w:val="auto"/>
          <w:sz w:val="24"/>
          <w:szCs w:val="24"/>
          <w:lang w:val="en-GB"/>
        </w:rPr>
        <w:fldChar w:fldCharType="end"/>
      </w:r>
      <w:r w:rsidRPr="000E1B7E">
        <w:rPr>
          <w:rFonts w:ascii="Times New Roman" w:eastAsia="Calibri" w:hAnsi="Times New Roman" w:cs="Times New Roman"/>
          <w:b/>
          <w:i w:val="0"/>
          <w:iCs w:val="0"/>
          <w:color w:val="auto"/>
          <w:sz w:val="24"/>
          <w:szCs w:val="24"/>
          <w:lang w:val="en-GB"/>
        </w:rPr>
        <w:t>:</w:t>
      </w:r>
      <w:r w:rsidR="002754E7" w:rsidRPr="000E1B7E">
        <w:rPr>
          <w:rFonts w:ascii="Times New Roman" w:eastAsia="Calibri" w:hAnsi="Times New Roman" w:cs="Times New Roman"/>
          <w:b/>
          <w:i w:val="0"/>
          <w:iCs w:val="0"/>
          <w:color w:val="auto"/>
          <w:sz w:val="24"/>
          <w:szCs w:val="24"/>
          <w:lang w:val="en-GB"/>
        </w:rPr>
        <w:t xml:space="preserve"> Lending Interests rates among EAC countries</w:t>
      </w:r>
      <w:bookmarkEnd w:id="136"/>
    </w:p>
    <w:p w14:paraId="10F6E865" w14:textId="77777777" w:rsidR="002754E7" w:rsidRPr="000E1B7E" w:rsidRDefault="00701073" w:rsidP="005959B5">
      <w:pPr>
        <w:widowControl w:val="0"/>
        <w:autoSpaceDE w:val="0"/>
        <w:autoSpaceDN w:val="0"/>
        <w:adjustRightInd w:val="0"/>
        <w:ind w:right="174"/>
        <w:jc w:val="both"/>
        <w:rPr>
          <w:color w:val="000000"/>
        </w:rPr>
      </w:pPr>
      <w:r w:rsidRPr="000E1B7E">
        <w:rPr>
          <w:noProof/>
          <w:color w:val="000000"/>
          <w:lang w:eastAsia="en-GB"/>
        </w:rPr>
        <w:drawing>
          <wp:inline distT="0" distB="0" distL="0" distR="0" wp14:anchorId="4362AB02" wp14:editId="3B47500E">
            <wp:extent cx="5629275" cy="2743200"/>
            <wp:effectExtent l="19050" t="0" r="9525" b="0"/>
            <wp:docPr id="9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B3E2B5A" w14:textId="77777777" w:rsidR="002754E7" w:rsidRPr="000E1B7E" w:rsidRDefault="002754E7" w:rsidP="005959B5">
      <w:pPr>
        <w:widowControl w:val="0"/>
        <w:autoSpaceDE w:val="0"/>
        <w:autoSpaceDN w:val="0"/>
        <w:adjustRightInd w:val="0"/>
        <w:ind w:right="3240"/>
        <w:jc w:val="both"/>
        <w:rPr>
          <w:color w:val="000000"/>
        </w:rPr>
      </w:pPr>
      <w:r w:rsidRPr="000E1B7E">
        <w:rPr>
          <w:b/>
          <w:bCs/>
          <w:color w:val="000000"/>
        </w:rPr>
        <w:t>S</w:t>
      </w:r>
      <w:r w:rsidRPr="000E1B7E">
        <w:rPr>
          <w:b/>
          <w:bCs/>
          <w:color w:val="000000"/>
          <w:spacing w:val="1"/>
        </w:rPr>
        <w:t>o</w:t>
      </w:r>
      <w:r w:rsidRPr="000E1B7E">
        <w:rPr>
          <w:b/>
          <w:bCs/>
          <w:color w:val="000000"/>
        </w:rPr>
        <w:t>urce:</w:t>
      </w:r>
      <w:r w:rsidRPr="000E1B7E">
        <w:rPr>
          <w:color w:val="000000"/>
          <w:spacing w:val="2"/>
        </w:rPr>
        <w:t>W</w:t>
      </w:r>
      <w:r w:rsidRPr="000E1B7E">
        <w:rPr>
          <w:color w:val="000000"/>
          <w:spacing w:val="1"/>
        </w:rPr>
        <w:t>or</w:t>
      </w:r>
      <w:r w:rsidRPr="000E1B7E">
        <w:rPr>
          <w:color w:val="000000"/>
        </w:rPr>
        <w:t>ldDe</w:t>
      </w:r>
      <w:r w:rsidRPr="000E1B7E">
        <w:rPr>
          <w:color w:val="000000"/>
          <w:spacing w:val="-1"/>
        </w:rPr>
        <w:t>v</w:t>
      </w:r>
      <w:r w:rsidRPr="000E1B7E">
        <w:rPr>
          <w:color w:val="000000"/>
        </w:rPr>
        <w:t>el</w:t>
      </w:r>
      <w:r w:rsidRPr="000E1B7E">
        <w:rPr>
          <w:color w:val="000000"/>
          <w:spacing w:val="1"/>
        </w:rPr>
        <w:t>op</w:t>
      </w:r>
      <w:r w:rsidRPr="000E1B7E">
        <w:rPr>
          <w:color w:val="000000"/>
          <w:spacing w:val="-4"/>
        </w:rPr>
        <w:t>m</w:t>
      </w:r>
      <w:r w:rsidRPr="000E1B7E">
        <w:rPr>
          <w:color w:val="000000"/>
        </w:rPr>
        <w:t>e</w:t>
      </w:r>
      <w:r w:rsidRPr="000E1B7E">
        <w:rPr>
          <w:color w:val="000000"/>
          <w:spacing w:val="1"/>
        </w:rPr>
        <w:t>n</w:t>
      </w:r>
      <w:r w:rsidRPr="000E1B7E">
        <w:rPr>
          <w:color w:val="000000"/>
        </w:rPr>
        <w:t>t</w:t>
      </w:r>
      <w:r w:rsidRPr="000E1B7E">
        <w:rPr>
          <w:color w:val="000000"/>
          <w:spacing w:val="1"/>
        </w:rPr>
        <w:t>I</w:t>
      </w:r>
      <w:r w:rsidRPr="000E1B7E">
        <w:rPr>
          <w:color w:val="000000"/>
          <w:spacing w:val="-1"/>
        </w:rPr>
        <w:t>n</w:t>
      </w:r>
      <w:r w:rsidRPr="000E1B7E">
        <w:rPr>
          <w:color w:val="000000"/>
          <w:spacing w:val="1"/>
        </w:rPr>
        <w:t>d</w:t>
      </w:r>
      <w:r w:rsidRPr="000E1B7E">
        <w:rPr>
          <w:color w:val="000000"/>
        </w:rPr>
        <w:t>icat</w:t>
      </w:r>
      <w:r w:rsidRPr="000E1B7E">
        <w:rPr>
          <w:color w:val="000000"/>
          <w:spacing w:val="1"/>
        </w:rPr>
        <w:t>or</w:t>
      </w:r>
      <w:r w:rsidRPr="000E1B7E">
        <w:rPr>
          <w:color w:val="000000"/>
        </w:rPr>
        <w:t>s</w:t>
      </w:r>
      <w:r w:rsidRPr="000E1B7E">
        <w:rPr>
          <w:color w:val="000000"/>
          <w:spacing w:val="1"/>
        </w:rPr>
        <w:t>b</w:t>
      </w:r>
      <w:r w:rsidRPr="000E1B7E">
        <w:rPr>
          <w:color w:val="000000"/>
        </w:rPr>
        <w:t>y</w:t>
      </w:r>
      <w:r w:rsidR="00886FE8" w:rsidRPr="000E1B7E">
        <w:rPr>
          <w:color w:val="000000"/>
          <w:spacing w:val="2"/>
        </w:rPr>
        <w:t>W</w:t>
      </w:r>
      <w:r w:rsidR="00886FE8" w:rsidRPr="000E1B7E">
        <w:rPr>
          <w:color w:val="000000"/>
          <w:spacing w:val="1"/>
        </w:rPr>
        <w:t>or</w:t>
      </w:r>
      <w:r w:rsidR="00886FE8" w:rsidRPr="000E1B7E">
        <w:rPr>
          <w:color w:val="000000"/>
        </w:rPr>
        <w:t>ldB</w:t>
      </w:r>
      <w:r w:rsidR="00886FE8" w:rsidRPr="000E1B7E">
        <w:rPr>
          <w:color w:val="000000"/>
          <w:spacing w:val="-1"/>
        </w:rPr>
        <w:t>a</w:t>
      </w:r>
      <w:r w:rsidR="00886FE8" w:rsidRPr="000E1B7E">
        <w:rPr>
          <w:color w:val="000000"/>
        </w:rPr>
        <w:t>nk</w:t>
      </w:r>
    </w:p>
    <w:p w14:paraId="4B121288" w14:textId="77777777" w:rsidR="00D8414C" w:rsidRPr="000E1B7E" w:rsidRDefault="00A15444" w:rsidP="00F85D24">
      <w:pPr>
        <w:pStyle w:val="DeltaBodytext"/>
        <w:numPr>
          <w:ilvl w:val="0"/>
          <w:numId w:val="26"/>
        </w:numPr>
        <w:autoSpaceDE w:val="0"/>
        <w:autoSpaceDN w:val="0"/>
        <w:adjustRightInd w:val="0"/>
        <w:spacing w:before="240" w:line="360" w:lineRule="auto"/>
        <w:ind w:left="567" w:hanging="567"/>
        <w:rPr>
          <w:rFonts w:ascii="Times New Roman" w:hAnsi="Times New Roman"/>
          <w:b/>
        </w:rPr>
      </w:pPr>
      <w:r w:rsidRPr="000E1B7E">
        <w:rPr>
          <w:rFonts w:ascii="Times New Roman" w:hAnsi="Times New Roman"/>
          <w:b/>
          <w:sz w:val="24"/>
          <w:szCs w:val="24"/>
        </w:rPr>
        <w:t xml:space="preserve">Effectiveneess of the CBR in Controlling Inflation: </w:t>
      </w:r>
      <w:r w:rsidRPr="000E1B7E">
        <w:rPr>
          <w:rFonts w:ascii="Times New Roman" w:hAnsi="Times New Roman"/>
          <w:sz w:val="24"/>
          <w:szCs w:val="24"/>
        </w:rPr>
        <w:t>From a CBR rate of 19.8% in 2011/12, the Bank of Uganda has relied on the CBR to control inflation. The</w:t>
      </w:r>
      <w:r w:rsidR="00910179" w:rsidRPr="000E1B7E">
        <w:rPr>
          <w:rFonts w:ascii="Times New Roman" w:hAnsi="Times New Roman"/>
          <w:sz w:val="24"/>
          <w:szCs w:val="24"/>
        </w:rPr>
        <w:t xml:space="preserve"> CBR droped to an annual average</w:t>
      </w:r>
      <w:r w:rsidRPr="000E1B7E">
        <w:rPr>
          <w:rFonts w:ascii="Times New Roman" w:hAnsi="Times New Roman"/>
          <w:sz w:val="24"/>
          <w:szCs w:val="24"/>
        </w:rPr>
        <w:t xml:space="preserve"> of 11.3% in 2014/15 before increasing to annual average of 16.3% in 2015/16</w:t>
      </w:r>
      <w:r w:rsidR="00D8414C" w:rsidRPr="000E1B7E">
        <w:rPr>
          <w:rFonts w:ascii="Times New Roman" w:hAnsi="Times New Roman"/>
          <w:sz w:val="24"/>
          <w:szCs w:val="24"/>
        </w:rPr>
        <w:t>, du</w:t>
      </w:r>
      <w:r w:rsidR="00910179" w:rsidRPr="000E1B7E">
        <w:rPr>
          <w:rFonts w:ascii="Times New Roman" w:hAnsi="Times New Roman"/>
          <w:sz w:val="24"/>
          <w:szCs w:val="24"/>
        </w:rPr>
        <w:t>ring which period the core infl</w:t>
      </w:r>
      <w:r w:rsidR="00D8414C" w:rsidRPr="000E1B7E">
        <w:rPr>
          <w:rFonts w:ascii="Times New Roman" w:hAnsi="Times New Roman"/>
          <w:sz w:val="24"/>
          <w:szCs w:val="24"/>
        </w:rPr>
        <w:t>ation increased to 6.7%</w:t>
      </w:r>
      <w:r w:rsidRPr="000E1B7E">
        <w:rPr>
          <w:rFonts w:ascii="Times New Roman" w:hAnsi="Times New Roman"/>
          <w:sz w:val="24"/>
          <w:szCs w:val="24"/>
        </w:rPr>
        <w:t xml:space="preserve">. </w:t>
      </w:r>
      <w:r w:rsidR="00D8414C" w:rsidRPr="000E1B7E">
        <w:rPr>
          <w:rFonts w:ascii="Times New Roman" w:hAnsi="Times New Roman"/>
          <w:sz w:val="24"/>
          <w:szCs w:val="24"/>
        </w:rPr>
        <w:t xml:space="preserve">In 2016/17, the annual average </w:t>
      </w:r>
      <w:r w:rsidRPr="000E1B7E">
        <w:rPr>
          <w:rFonts w:ascii="Times New Roman" w:hAnsi="Times New Roman"/>
          <w:sz w:val="24"/>
          <w:szCs w:val="24"/>
        </w:rPr>
        <w:t xml:space="preserve">CBR </w:t>
      </w:r>
      <w:r w:rsidR="00D8414C" w:rsidRPr="000E1B7E">
        <w:rPr>
          <w:rFonts w:ascii="Times New Roman" w:hAnsi="Times New Roman"/>
          <w:sz w:val="24"/>
          <w:szCs w:val="24"/>
        </w:rPr>
        <w:t xml:space="preserve"> was 12.3% and 9.4% in 2017/18 and the core inflation responded by reducing to 5.1% and 2.7% over the two years respectively.  Overall, core inflation and and the lending interest rates have tended to move together over the review period as summarised in the </w:t>
      </w:r>
      <w:r w:rsidR="00583E81" w:rsidRPr="000E1B7E">
        <w:rPr>
          <w:rFonts w:ascii="Times New Roman" w:hAnsi="Times New Roman"/>
          <w:sz w:val="24"/>
          <w:szCs w:val="24"/>
        </w:rPr>
        <w:t xml:space="preserve">figure </w:t>
      </w:r>
      <w:r w:rsidR="00C17493" w:rsidRPr="000E1B7E">
        <w:rPr>
          <w:rFonts w:ascii="Times New Roman" w:hAnsi="Times New Roman"/>
          <w:sz w:val="24"/>
          <w:szCs w:val="24"/>
        </w:rPr>
        <w:t>20</w:t>
      </w:r>
      <w:r w:rsidR="00D8414C" w:rsidRPr="000E1B7E">
        <w:rPr>
          <w:rFonts w:ascii="Times New Roman" w:hAnsi="Times New Roman"/>
          <w:sz w:val="24"/>
          <w:szCs w:val="24"/>
        </w:rPr>
        <w:t xml:space="preserve"> below. </w:t>
      </w:r>
    </w:p>
    <w:p w14:paraId="0F5DC88C" w14:textId="77777777" w:rsidR="000B7A9D" w:rsidRPr="000E1B7E" w:rsidRDefault="000B7A9D" w:rsidP="000B7A9D">
      <w:pPr>
        <w:pStyle w:val="DeltaBodytext"/>
        <w:numPr>
          <w:ilvl w:val="0"/>
          <w:numId w:val="26"/>
        </w:numPr>
        <w:autoSpaceDE w:val="0"/>
        <w:autoSpaceDN w:val="0"/>
        <w:adjustRightInd w:val="0"/>
        <w:spacing w:before="240" w:line="360" w:lineRule="auto"/>
        <w:ind w:left="567" w:hanging="567"/>
        <w:rPr>
          <w:rFonts w:ascii="Times New Roman" w:hAnsi="Times New Roman"/>
          <w:b/>
        </w:rPr>
      </w:pPr>
      <w:bookmarkStart w:id="137" w:name="_Toc3483164"/>
      <w:r w:rsidRPr="000E1B7E">
        <w:rPr>
          <w:rFonts w:ascii="Times New Roman" w:hAnsi="Times New Roman"/>
          <w:sz w:val="24"/>
          <w:szCs w:val="24"/>
        </w:rPr>
        <w:t xml:space="preserve">Further review of the interest rate structure revealed that the difference between the CBR is consistently higher than the core inflation by an average of 8 percentage points. Therefore, whereas the CBR has reduced over the period under review,  the CBR appears to be high (in real terms), with the real rate of about 8%. On the other hand, interest rates have been consistent higher than the CBR by about 10 percentage points, which can be attributed to the high government bond/treasury bills rates. </w:t>
      </w:r>
    </w:p>
    <w:p w14:paraId="1BE34DDF" w14:textId="77777777" w:rsidR="000B7A9D" w:rsidRDefault="000B7A9D">
      <w:pPr>
        <w:rPr>
          <w:rFonts w:eastAsia="Calibri"/>
          <w:b/>
        </w:rPr>
      </w:pPr>
      <w:r>
        <w:rPr>
          <w:rFonts w:eastAsia="Calibri"/>
          <w:b/>
          <w:i/>
          <w:iCs/>
        </w:rPr>
        <w:br w:type="page"/>
      </w:r>
    </w:p>
    <w:p w14:paraId="7A2F2186" w14:textId="77777777" w:rsidR="00A15444" w:rsidRPr="000E1B7E" w:rsidRDefault="005E042B" w:rsidP="005E042B">
      <w:pPr>
        <w:pStyle w:val="Caption"/>
        <w:rPr>
          <w:rFonts w:ascii="Times New Roman" w:eastAsia="Calibri" w:hAnsi="Times New Roman" w:cs="Times New Roman"/>
          <w:b/>
          <w:i w:val="0"/>
          <w:iCs w:val="0"/>
          <w:color w:val="auto"/>
          <w:sz w:val="24"/>
          <w:szCs w:val="24"/>
          <w:lang w:val="en-GB"/>
        </w:rPr>
      </w:pPr>
      <w:r w:rsidRPr="000E1B7E">
        <w:rPr>
          <w:rFonts w:ascii="Times New Roman" w:eastAsia="Calibri" w:hAnsi="Times New Roman" w:cs="Times New Roman"/>
          <w:b/>
          <w:i w:val="0"/>
          <w:iCs w:val="0"/>
          <w:color w:val="auto"/>
          <w:sz w:val="24"/>
          <w:szCs w:val="24"/>
          <w:lang w:val="en-GB"/>
        </w:rPr>
        <w:lastRenderedPageBreak/>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20</w:t>
      </w:r>
      <w:r w:rsidR="001232BF" w:rsidRPr="000E1B7E">
        <w:rPr>
          <w:rFonts w:ascii="Times New Roman" w:eastAsia="Calibri" w:hAnsi="Times New Roman" w:cs="Times New Roman"/>
          <w:b/>
          <w:i w:val="0"/>
          <w:iCs w:val="0"/>
          <w:color w:val="auto"/>
          <w:sz w:val="24"/>
          <w:szCs w:val="24"/>
          <w:lang w:val="en-GB"/>
        </w:rPr>
        <w:fldChar w:fldCharType="end"/>
      </w:r>
      <w:r w:rsidR="00D8414C" w:rsidRPr="000E1B7E">
        <w:rPr>
          <w:rFonts w:ascii="Times New Roman" w:eastAsia="Calibri" w:hAnsi="Times New Roman" w:cs="Times New Roman"/>
          <w:b/>
          <w:i w:val="0"/>
          <w:iCs w:val="0"/>
          <w:color w:val="auto"/>
          <w:sz w:val="24"/>
          <w:szCs w:val="24"/>
          <w:lang w:val="en-GB"/>
        </w:rPr>
        <w:t>: Trends in CBR, Core Inflation and lending interest rates</w:t>
      </w:r>
      <w:bookmarkEnd w:id="137"/>
    </w:p>
    <w:p w14:paraId="7D2616C0" w14:textId="77777777" w:rsidR="00A15444" w:rsidRPr="000E1B7E" w:rsidRDefault="00A15444" w:rsidP="005959B5">
      <w:pPr>
        <w:spacing w:line="360" w:lineRule="auto"/>
        <w:jc w:val="both"/>
        <w:rPr>
          <w:b/>
        </w:rPr>
      </w:pPr>
      <w:r w:rsidRPr="000E1B7E">
        <w:rPr>
          <w:b/>
          <w:noProof/>
          <w:lang w:eastAsia="en-GB"/>
        </w:rPr>
        <w:drawing>
          <wp:inline distT="0" distB="0" distL="0" distR="0" wp14:anchorId="39D70B3E" wp14:editId="09D7216B">
            <wp:extent cx="5731510" cy="2865755"/>
            <wp:effectExtent l="19050" t="0" r="2159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943B45E" w14:textId="77777777" w:rsidR="00532CAA" w:rsidRPr="000E1B7E" w:rsidRDefault="00532CAA" w:rsidP="005959B5">
      <w:pPr>
        <w:spacing w:line="360" w:lineRule="auto"/>
        <w:jc w:val="both"/>
        <w:rPr>
          <w:b/>
        </w:rPr>
      </w:pPr>
      <w:r w:rsidRPr="000E1B7E">
        <w:rPr>
          <w:b/>
        </w:rPr>
        <w:t>Conclusion</w:t>
      </w:r>
    </w:p>
    <w:p w14:paraId="756B5449" w14:textId="77777777" w:rsidR="005F6557" w:rsidRPr="000E1B7E" w:rsidRDefault="00AB101E"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The whole structure of interest rates in Uganda is high, in real terms, due to a combination of factors, including high policy rates (CBR), crowding out through higher government borrowing (bond rates), and structural factors in the banking system (high NPLs, over-capitalisation, and high operating costs).</w:t>
      </w:r>
    </w:p>
    <w:p w14:paraId="318D6211" w14:textId="77777777" w:rsidR="00EF32C7" w:rsidRPr="000E1B7E" w:rsidRDefault="00EF32C7"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sectPr w:rsidR="00EF32C7" w:rsidRPr="000E1B7E" w:rsidSect="00B20AC0">
          <w:pgSz w:w="11906" w:h="16838" w:code="9"/>
          <w:pgMar w:top="1440" w:right="1440" w:bottom="1440" w:left="1440" w:header="706" w:footer="14" w:gutter="0"/>
          <w:cols w:space="708"/>
          <w:docGrid w:linePitch="360"/>
        </w:sectPr>
      </w:pPr>
    </w:p>
    <w:p w14:paraId="17F7EF3C" w14:textId="77777777" w:rsidR="00D64CAD" w:rsidRPr="000E1B7E" w:rsidRDefault="004E64B1" w:rsidP="00F85D24">
      <w:pPr>
        <w:pStyle w:val="Heading1"/>
        <w:numPr>
          <w:ilvl w:val="0"/>
          <w:numId w:val="22"/>
        </w:numPr>
        <w:ind w:left="709" w:hanging="709"/>
      </w:pPr>
      <w:bookmarkStart w:id="138" w:name="_Toc3478393"/>
      <w:bookmarkStart w:id="139" w:name="_Toc11956276"/>
      <w:r w:rsidRPr="000E1B7E">
        <w:lastRenderedPageBreak/>
        <w:t>External Sector Performance</w:t>
      </w:r>
      <w:bookmarkEnd w:id="138"/>
      <w:bookmarkEnd w:id="139"/>
    </w:p>
    <w:p w14:paraId="1DA18819" w14:textId="77777777" w:rsidR="004E64B1" w:rsidRPr="000E1B7E" w:rsidRDefault="004E64B1" w:rsidP="00C11847">
      <w:pPr>
        <w:pStyle w:val="DeltaSeched2"/>
      </w:pPr>
      <w:bookmarkStart w:id="140" w:name="_Toc3478394"/>
      <w:bookmarkStart w:id="141" w:name="_Toc11956277"/>
      <w:r w:rsidRPr="000E1B7E">
        <w:t>External trade growth and Performance</w:t>
      </w:r>
      <w:bookmarkEnd w:id="140"/>
      <w:bookmarkEnd w:id="141"/>
    </w:p>
    <w:p w14:paraId="58EEDC81" w14:textId="77777777" w:rsidR="004E64B1" w:rsidRPr="000E1B7E" w:rsidRDefault="004E64B1" w:rsidP="00F85D24">
      <w:pPr>
        <w:pStyle w:val="ListParagraph"/>
        <w:numPr>
          <w:ilvl w:val="2"/>
          <w:numId w:val="22"/>
        </w:numPr>
        <w:ind w:left="851" w:hanging="851"/>
        <w:rPr>
          <w:rFonts w:ascii="Times New Roman" w:hAnsi="Times New Roman"/>
          <w:b/>
          <w:color w:val="000000" w:themeColor="text1"/>
          <w:sz w:val="24"/>
          <w:szCs w:val="24"/>
        </w:rPr>
      </w:pPr>
      <w:bookmarkStart w:id="142" w:name="_Toc3478395"/>
      <w:r w:rsidRPr="000E1B7E">
        <w:rPr>
          <w:rFonts w:ascii="Times New Roman" w:hAnsi="Times New Roman"/>
          <w:b/>
          <w:color w:val="000000" w:themeColor="text1"/>
          <w:sz w:val="24"/>
          <w:szCs w:val="24"/>
        </w:rPr>
        <w:t>Merchandise Trade</w:t>
      </w:r>
      <w:bookmarkEnd w:id="142"/>
    </w:p>
    <w:p w14:paraId="5E8E2E42" w14:textId="77777777" w:rsidR="004E64B1" w:rsidRPr="000E1B7E" w:rsidRDefault="004E64B1"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Uganda’s external trade performance has improved over the last five years. According to </w:t>
      </w:r>
      <w:r w:rsidR="00864886" w:rsidRPr="000E1B7E">
        <w:rPr>
          <w:rFonts w:ascii="Times New Roman" w:hAnsi="Times New Roman"/>
          <w:sz w:val="24"/>
          <w:szCs w:val="24"/>
        </w:rPr>
        <w:t xml:space="preserve">Bank of Uganda external trade statistics, </w:t>
      </w:r>
      <w:r w:rsidRPr="000E1B7E">
        <w:rPr>
          <w:rFonts w:ascii="Times New Roman" w:hAnsi="Times New Roman"/>
          <w:sz w:val="24"/>
          <w:szCs w:val="24"/>
        </w:rPr>
        <w:t xml:space="preserve">Uganda’s exports have </w:t>
      </w:r>
      <w:r w:rsidR="00864886" w:rsidRPr="000E1B7E">
        <w:rPr>
          <w:rFonts w:ascii="Times New Roman" w:hAnsi="Times New Roman"/>
          <w:sz w:val="24"/>
          <w:szCs w:val="24"/>
        </w:rPr>
        <w:t xml:space="preserve">registered a 31.6% growth in normal value over the first three years of NDP II compared to a 19.2% growth registered during the NDP I period. On the other hand, imports have growth by 19.8% compared to 6.3% registered during NDP I. </w:t>
      </w:r>
      <w:r w:rsidRPr="000E1B7E">
        <w:rPr>
          <w:rFonts w:ascii="Times New Roman" w:hAnsi="Times New Roman"/>
          <w:sz w:val="24"/>
          <w:szCs w:val="24"/>
        </w:rPr>
        <w:t xml:space="preserve">Over the </w:t>
      </w:r>
      <w:r w:rsidR="00950212" w:rsidRPr="000E1B7E">
        <w:rPr>
          <w:rFonts w:ascii="Times New Roman" w:hAnsi="Times New Roman"/>
          <w:sz w:val="24"/>
          <w:szCs w:val="24"/>
        </w:rPr>
        <w:t xml:space="preserve">first three years of NDP II, Uganda has continued to experience a negative trade balance, which deteriorated by 9.4% compared to an improvement of 2.2% registered during NDP I </w:t>
      </w:r>
      <w:r w:rsidRPr="000E1B7E">
        <w:rPr>
          <w:rFonts w:ascii="Times New Roman" w:hAnsi="Times New Roman"/>
          <w:sz w:val="24"/>
          <w:szCs w:val="24"/>
        </w:rPr>
        <w:t xml:space="preserve">as summarised in the figure </w:t>
      </w:r>
      <w:r w:rsidR="00C17493" w:rsidRPr="000E1B7E">
        <w:rPr>
          <w:rFonts w:ascii="Times New Roman" w:hAnsi="Times New Roman"/>
          <w:sz w:val="24"/>
          <w:szCs w:val="24"/>
        </w:rPr>
        <w:t>21</w:t>
      </w:r>
      <w:r w:rsidRPr="000E1B7E">
        <w:rPr>
          <w:rFonts w:ascii="Times New Roman" w:hAnsi="Times New Roman"/>
          <w:sz w:val="24"/>
          <w:szCs w:val="24"/>
        </w:rPr>
        <w:t>.</w:t>
      </w:r>
    </w:p>
    <w:p w14:paraId="0F917B50" w14:textId="77777777" w:rsidR="004E64B1" w:rsidRPr="000E1B7E" w:rsidRDefault="00061159" w:rsidP="00061159">
      <w:pPr>
        <w:pStyle w:val="Caption"/>
        <w:rPr>
          <w:rFonts w:ascii="Times New Roman" w:eastAsia="Calibri" w:hAnsi="Times New Roman" w:cs="Times New Roman"/>
          <w:b/>
          <w:i w:val="0"/>
          <w:iCs w:val="0"/>
          <w:color w:val="auto"/>
          <w:sz w:val="24"/>
          <w:szCs w:val="24"/>
          <w:lang w:val="en-GB"/>
        </w:rPr>
      </w:pPr>
      <w:bookmarkStart w:id="143" w:name="_Toc3483165"/>
      <w:r w:rsidRPr="000E1B7E">
        <w:rPr>
          <w:rFonts w:ascii="Times New Roman" w:eastAsia="Calibri" w:hAnsi="Times New Roman" w:cs="Times New Roman"/>
          <w:b/>
          <w:i w:val="0"/>
          <w:iCs w:val="0"/>
          <w:color w:val="auto"/>
          <w:sz w:val="24"/>
          <w:szCs w:val="24"/>
          <w:lang w:val="en-GB"/>
        </w:rPr>
        <w:t xml:space="preserve">Figure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Figure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21</w:t>
      </w:r>
      <w:r w:rsidR="001232BF" w:rsidRPr="000E1B7E">
        <w:rPr>
          <w:rFonts w:ascii="Times New Roman" w:eastAsia="Calibri" w:hAnsi="Times New Roman" w:cs="Times New Roman"/>
          <w:b/>
          <w:i w:val="0"/>
          <w:iCs w:val="0"/>
          <w:color w:val="auto"/>
          <w:sz w:val="24"/>
          <w:szCs w:val="24"/>
          <w:lang w:val="en-GB"/>
        </w:rPr>
        <w:fldChar w:fldCharType="end"/>
      </w:r>
      <w:r w:rsidR="004E64B1" w:rsidRPr="000E1B7E">
        <w:rPr>
          <w:rFonts w:ascii="Times New Roman" w:eastAsia="Calibri" w:hAnsi="Times New Roman" w:cs="Times New Roman"/>
          <w:b/>
          <w:i w:val="0"/>
          <w:iCs w:val="0"/>
          <w:color w:val="auto"/>
          <w:sz w:val="24"/>
          <w:szCs w:val="24"/>
          <w:lang w:val="en-GB"/>
        </w:rPr>
        <w:t>: Value of Uganda’s External Trade ($ Million)</w:t>
      </w:r>
      <w:bookmarkEnd w:id="143"/>
    </w:p>
    <w:p w14:paraId="5B345DAA" w14:textId="77777777" w:rsidR="004E64B1" w:rsidRPr="000E1B7E" w:rsidRDefault="007D45D2" w:rsidP="005959B5">
      <w:pPr>
        <w:jc w:val="both"/>
      </w:pPr>
      <w:r w:rsidRPr="000E1B7E">
        <w:rPr>
          <w:noProof/>
          <w:lang w:eastAsia="en-GB"/>
        </w:rPr>
        <w:drawing>
          <wp:inline distT="0" distB="0" distL="0" distR="0" wp14:anchorId="1D29BBD2" wp14:editId="651738BC">
            <wp:extent cx="5731510" cy="3248025"/>
            <wp:effectExtent l="19050" t="0" r="254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2FA260B" w14:textId="77777777" w:rsidR="004E64B1" w:rsidRPr="000E1B7E" w:rsidRDefault="004E64B1" w:rsidP="005959B5">
      <w:pPr>
        <w:jc w:val="both"/>
      </w:pPr>
      <w:r w:rsidRPr="000E1B7E">
        <w:t xml:space="preserve">Source: </w:t>
      </w:r>
      <w:r w:rsidR="00950212" w:rsidRPr="000E1B7E">
        <w:t>Bank of Uganda</w:t>
      </w:r>
    </w:p>
    <w:p w14:paraId="51921AF5" w14:textId="77777777" w:rsidR="00ED6972" w:rsidRPr="000E1B7E" w:rsidRDefault="00ED6972" w:rsidP="005959B5">
      <w:pPr>
        <w:jc w:val="both"/>
      </w:pPr>
    </w:p>
    <w:p w14:paraId="6D21143A" w14:textId="77777777" w:rsidR="004E64B1" w:rsidRPr="000E1B7E" w:rsidRDefault="00AE7B3B" w:rsidP="00F85D24">
      <w:pPr>
        <w:pStyle w:val="ListParagraph"/>
        <w:numPr>
          <w:ilvl w:val="2"/>
          <w:numId w:val="22"/>
        </w:numPr>
        <w:ind w:left="851" w:hanging="851"/>
        <w:rPr>
          <w:rFonts w:ascii="Times New Roman" w:hAnsi="Times New Roman"/>
          <w:b/>
          <w:color w:val="000000" w:themeColor="text1"/>
          <w:sz w:val="24"/>
          <w:szCs w:val="24"/>
        </w:rPr>
      </w:pPr>
      <w:bookmarkStart w:id="144" w:name="_Toc3478396"/>
      <w:r w:rsidRPr="000E1B7E">
        <w:rPr>
          <w:rFonts w:ascii="Times New Roman" w:hAnsi="Times New Roman"/>
          <w:b/>
          <w:color w:val="000000" w:themeColor="text1"/>
          <w:sz w:val="24"/>
          <w:szCs w:val="24"/>
        </w:rPr>
        <w:t xml:space="preserve">Growth of </w:t>
      </w:r>
      <w:r w:rsidR="00366C65" w:rsidRPr="000E1B7E">
        <w:rPr>
          <w:rFonts w:ascii="Times New Roman" w:hAnsi="Times New Roman"/>
          <w:b/>
          <w:color w:val="000000" w:themeColor="text1"/>
          <w:sz w:val="24"/>
          <w:szCs w:val="24"/>
        </w:rPr>
        <w:t xml:space="preserve">Merchandise </w:t>
      </w:r>
      <w:r w:rsidRPr="000E1B7E">
        <w:rPr>
          <w:rFonts w:ascii="Times New Roman" w:hAnsi="Times New Roman"/>
          <w:b/>
          <w:color w:val="000000" w:themeColor="text1"/>
          <w:sz w:val="24"/>
          <w:szCs w:val="24"/>
        </w:rPr>
        <w:t>Exports</w:t>
      </w:r>
      <w:bookmarkEnd w:id="144"/>
    </w:p>
    <w:p w14:paraId="2911E324" w14:textId="77777777" w:rsidR="00AE7B3B" w:rsidRPr="000E1B7E" w:rsidRDefault="00AE7B3B"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b/>
          <w:i/>
          <w:sz w:val="24"/>
          <w:szCs w:val="24"/>
        </w:rPr>
        <w:t xml:space="preserve">Export Growth Picks-up: </w:t>
      </w:r>
      <w:r w:rsidRPr="000E1B7E">
        <w:rPr>
          <w:rFonts w:ascii="Times New Roman" w:hAnsi="Times New Roman"/>
          <w:sz w:val="24"/>
          <w:szCs w:val="24"/>
        </w:rPr>
        <w:t>The growth of the economy under</w:t>
      </w:r>
      <w:r w:rsidR="00366C65" w:rsidRPr="000E1B7E">
        <w:rPr>
          <w:rFonts w:ascii="Times New Roman" w:hAnsi="Times New Roman"/>
          <w:sz w:val="24"/>
          <w:szCs w:val="24"/>
        </w:rPr>
        <w:t xml:space="preserve"> </w:t>
      </w:r>
      <w:r w:rsidRPr="000E1B7E">
        <w:rPr>
          <w:rFonts w:ascii="Times New Roman" w:hAnsi="Times New Roman"/>
          <w:sz w:val="24"/>
          <w:szCs w:val="24"/>
        </w:rPr>
        <w:t xml:space="preserve">NDP II was projected to be partly driven by growth in exports. Available export data shows increase in average annual growth of exports. During the first three years of NDP II, </w:t>
      </w:r>
      <w:r w:rsidR="00366C65" w:rsidRPr="000E1B7E">
        <w:rPr>
          <w:rFonts w:ascii="Times New Roman" w:hAnsi="Times New Roman"/>
          <w:sz w:val="24"/>
          <w:szCs w:val="24"/>
        </w:rPr>
        <w:t>merchandise</w:t>
      </w:r>
      <w:r w:rsidRPr="000E1B7E">
        <w:rPr>
          <w:rFonts w:ascii="Times New Roman" w:hAnsi="Times New Roman"/>
          <w:sz w:val="24"/>
          <w:szCs w:val="24"/>
        </w:rPr>
        <w:t xml:space="preserve"> exports registered an annual average growth rate of 9.33% compared to the 3.71% recorded </w:t>
      </w:r>
      <w:r w:rsidRPr="000E1B7E">
        <w:rPr>
          <w:rFonts w:ascii="Times New Roman" w:hAnsi="Times New Roman"/>
          <w:sz w:val="24"/>
          <w:szCs w:val="24"/>
        </w:rPr>
        <w:lastRenderedPageBreak/>
        <w:t xml:space="preserve">during NDP I.  The growth of exports of the main export commodities is summarised in the table </w:t>
      </w:r>
      <w:r w:rsidR="00583E81" w:rsidRPr="000E1B7E">
        <w:rPr>
          <w:rFonts w:ascii="Times New Roman" w:hAnsi="Times New Roman"/>
          <w:sz w:val="24"/>
          <w:szCs w:val="24"/>
        </w:rPr>
        <w:t>17</w:t>
      </w:r>
      <w:r w:rsidRPr="000E1B7E">
        <w:rPr>
          <w:rFonts w:ascii="Times New Roman" w:hAnsi="Times New Roman"/>
          <w:sz w:val="24"/>
          <w:szCs w:val="24"/>
        </w:rPr>
        <w:t xml:space="preserve"> below.</w:t>
      </w:r>
    </w:p>
    <w:p w14:paraId="2E43AF7A" w14:textId="77777777" w:rsidR="00AE7B3B" w:rsidRPr="000E1B7E" w:rsidRDefault="00061159" w:rsidP="00061159">
      <w:pPr>
        <w:pStyle w:val="Caption"/>
        <w:rPr>
          <w:rFonts w:ascii="Times New Roman" w:eastAsia="Calibri" w:hAnsi="Times New Roman" w:cs="Times New Roman"/>
          <w:b/>
          <w:i w:val="0"/>
          <w:iCs w:val="0"/>
          <w:color w:val="auto"/>
          <w:sz w:val="24"/>
          <w:szCs w:val="24"/>
          <w:lang w:val="en-GB"/>
        </w:rPr>
      </w:pPr>
      <w:bookmarkStart w:id="145" w:name="_Toc3483127"/>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17</w:t>
      </w:r>
      <w:r w:rsidR="001232BF" w:rsidRPr="000E1B7E">
        <w:rPr>
          <w:rFonts w:ascii="Times New Roman" w:eastAsia="Calibri" w:hAnsi="Times New Roman" w:cs="Times New Roman"/>
          <w:b/>
          <w:i w:val="0"/>
          <w:iCs w:val="0"/>
          <w:color w:val="auto"/>
          <w:sz w:val="24"/>
          <w:szCs w:val="24"/>
          <w:lang w:val="en-GB"/>
        </w:rPr>
        <w:fldChar w:fldCharType="end"/>
      </w:r>
      <w:r w:rsidR="00AE7B3B" w:rsidRPr="000E1B7E">
        <w:rPr>
          <w:rFonts w:ascii="Times New Roman" w:eastAsia="Calibri" w:hAnsi="Times New Roman" w:cs="Times New Roman"/>
          <w:b/>
          <w:i w:val="0"/>
          <w:iCs w:val="0"/>
          <w:color w:val="auto"/>
          <w:sz w:val="24"/>
          <w:szCs w:val="24"/>
          <w:lang w:val="en-GB"/>
        </w:rPr>
        <w:t>: Percentage annual growth of the main export commodities</w:t>
      </w:r>
      <w:bookmarkEnd w:id="145"/>
    </w:p>
    <w:tbl>
      <w:tblPr>
        <w:tblStyle w:val="LightGrid1"/>
        <w:tblW w:w="9405" w:type="dxa"/>
        <w:tblLook w:val="04A0" w:firstRow="1" w:lastRow="0" w:firstColumn="1" w:lastColumn="0" w:noHBand="0" w:noVBand="1"/>
      </w:tblPr>
      <w:tblGrid>
        <w:gridCol w:w="2358"/>
        <w:gridCol w:w="980"/>
        <w:gridCol w:w="1120"/>
        <w:gridCol w:w="980"/>
        <w:gridCol w:w="980"/>
        <w:gridCol w:w="1000"/>
        <w:gridCol w:w="880"/>
        <w:gridCol w:w="1107"/>
      </w:tblGrid>
      <w:tr w:rsidR="00AE7B3B" w:rsidRPr="000E1B7E" w14:paraId="4BCFD9F7" w14:textId="77777777" w:rsidTr="00AE7B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5AF9529" w14:textId="77777777" w:rsidR="00AE7B3B" w:rsidRPr="000E1B7E" w:rsidRDefault="00AE7B3B" w:rsidP="005959B5">
            <w:pPr>
              <w:jc w:val="both"/>
              <w:rPr>
                <w:rFonts w:ascii="Times New Roman" w:eastAsia="Times New Roman" w:hAnsi="Times New Roman" w:cs="Times New Roman"/>
                <w:color w:val="000000"/>
                <w:sz w:val="20"/>
                <w:szCs w:val="20"/>
                <w:lang w:val="en-US"/>
              </w:rPr>
            </w:pPr>
          </w:p>
        </w:tc>
        <w:tc>
          <w:tcPr>
            <w:tcW w:w="980" w:type="dxa"/>
            <w:noWrap/>
            <w:hideMark/>
          </w:tcPr>
          <w:p w14:paraId="6BFA4EC9" w14:textId="77777777" w:rsidR="00AE7B3B" w:rsidRPr="000E1B7E" w:rsidRDefault="00AE7B3B"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hAnsi="Times New Roman" w:cs="Times New Roman"/>
                <w:color w:val="000000"/>
                <w:sz w:val="20"/>
                <w:szCs w:val="20"/>
                <w:lang w:val="en-US"/>
              </w:rPr>
              <w:t>20</w:t>
            </w:r>
            <w:r w:rsidRPr="000E1B7E">
              <w:rPr>
                <w:rFonts w:ascii="Times New Roman" w:eastAsia="Times New Roman" w:hAnsi="Times New Roman" w:cs="Times New Roman"/>
                <w:color w:val="000000"/>
                <w:sz w:val="20"/>
                <w:szCs w:val="20"/>
                <w:lang w:val="en-US"/>
              </w:rPr>
              <w:t>14/15</w:t>
            </w:r>
          </w:p>
        </w:tc>
        <w:tc>
          <w:tcPr>
            <w:tcW w:w="1120" w:type="dxa"/>
            <w:noWrap/>
            <w:hideMark/>
          </w:tcPr>
          <w:p w14:paraId="7CAD6FD3" w14:textId="77777777" w:rsidR="00AE7B3B" w:rsidRPr="000E1B7E" w:rsidRDefault="00AE7B3B"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hAnsi="Times New Roman" w:cs="Times New Roman"/>
                <w:color w:val="000000"/>
                <w:sz w:val="20"/>
                <w:szCs w:val="20"/>
                <w:lang w:val="en-US"/>
              </w:rPr>
              <w:t>20</w:t>
            </w:r>
            <w:r w:rsidRPr="000E1B7E">
              <w:rPr>
                <w:rFonts w:ascii="Times New Roman" w:eastAsia="Times New Roman" w:hAnsi="Times New Roman" w:cs="Times New Roman"/>
                <w:color w:val="000000"/>
                <w:sz w:val="20"/>
                <w:szCs w:val="20"/>
                <w:lang w:val="en-US"/>
              </w:rPr>
              <w:t>15/16</w:t>
            </w:r>
          </w:p>
        </w:tc>
        <w:tc>
          <w:tcPr>
            <w:tcW w:w="980" w:type="dxa"/>
            <w:noWrap/>
            <w:hideMark/>
          </w:tcPr>
          <w:p w14:paraId="24A7E6C4" w14:textId="77777777" w:rsidR="00AE7B3B" w:rsidRPr="000E1B7E" w:rsidRDefault="00AE7B3B"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hAnsi="Times New Roman" w:cs="Times New Roman"/>
                <w:color w:val="000000"/>
                <w:sz w:val="20"/>
                <w:szCs w:val="20"/>
                <w:lang w:val="en-US"/>
              </w:rPr>
              <w:t>20</w:t>
            </w:r>
            <w:r w:rsidRPr="000E1B7E">
              <w:rPr>
                <w:rFonts w:ascii="Times New Roman" w:eastAsia="Times New Roman" w:hAnsi="Times New Roman" w:cs="Times New Roman"/>
                <w:color w:val="000000"/>
                <w:sz w:val="20"/>
                <w:szCs w:val="20"/>
                <w:lang w:val="en-US"/>
              </w:rPr>
              <w:t>16/17</w:t>
            </w:r>
          </w:p>
        </w:tc>
        <w:tc>
          <w:tcPr>
            <w:tcW w:w="980" w:type="dxa"/>
            <w:noWrap/>
            <w:hideMark/>
          </w:tcPr>
          <w:p w14:paraId="584CC372" w14:textId="77777777" w:rsidR="00AE7B3B" w:rsidRPr="000E1B7E" w:rsidRDefault="00AE7B3B"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hAnsi="Times New Roman" w:cs="Times New Roman"/>
                <w:color w:val="000000"/>
                <w:sz w:val="20"/>
                <w:szCs w:val="20"/>
                <w:lang w:val="en-US"/>
              </w:rPr>
              <w:t>20</w:t>
            </w:r>
            <w:r w:rsidRPr="000E1B7E">
              <w:rPr>
                <w:rFonts w:ascii="Times New Roman" w:eastAsia="Times New Roman" w:hAnsi="Times New Roman" w:cs="Times New Roman"/>
                <w:color w:val="000000"/>
                <w:sz w:val="20"/>
                <w:szCs w:val="20"/>
                <w:lang w:val="en-US"/>
              </w:rPr>
              <w:t>17/18</w:t>
            </w:r>
          </w:p>
        </w:tc>
        <w:tc>
          <w:tcPr>
            <w:tcW w:w="1000" w:type="dxa"/>
            <w:noWrap/>
            <w:hideMark/>
          </w:tcPr>
          <w:p w14:paraId="13F2C8E1" w14:textId="77777777" w:rsidR="00AE7B3B" w:rsidRPr="000E1B7E" w:rsidRDefault="00AE7B3B"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NDP I</w:t>
            </w:r>
          </w:p>
        </w:tc>
        <w:tc>
          <w:tcPr>
            <w:tcW w:w="880" w:type="dxa"/>
            <w:noWrap/>
            <w:hideMark/>
          </w:tcPr>
          <w:p w14:paraId="641118C2" w14:textId="77777777" w:rsidR="00AE7B3B" w:rsidRPr="000E1B7E" w:rsidRDefault="00AE7B3B"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NDP II Proj.</w:t>
            </w:r>
          </w:p>
        </w:tc>
        <w:tc>
          <w:tcPr>
            <w:tcW w:w="1107" w:type="dxa"/>
            <w:noWrap/>
            <w:hideMark/>
          </w:tcPr>
          <w:p w14:paraId="7EEFAD14" w14:textId="77777777" w:rsidR="00AE7B3B" w:rsidRPr="000E1B7E" w:rsidRDefault="00AE7B3B"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NDP II Actual</w:t>
            </w:r>
          </w:p>
        </w:tc>
      </w:tr>
      <w:tr w:rsidR="00AE7B3B" w:rsidRPr="000E1B7E" w14:paraId="63413591"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FE9C2C0"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 xml:space="preserve">Total Exports </w:t>
            </w:r>
          </w:p>
        </w:tc>
        <w:tc>
          <w:tcPr>
            <w:tcW w:w="980" w:type="dxa"/>
            <w:noWrap/>
            <w:hideMark/>
          </w:tcPr>
          <w:p w14:paraId="45E140C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1.18</w:t>
            </w:r>
          </w:p>
        </w:tc>
        <w:tc>
          <w:tcPr>
            <w:tcW w:w="1120" w:type="dxa"/>
            <w:noWrap/>
            <w:hideMark/>
          </w:tcPr>
          <w:p w14:paraId="6D7EE40A"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(1.85)</w:t>
            </w:r>
          </w:p>
        </w:tc>
        <w:tc>
          <w:tcPr>
            <w:tcW w:w="980" w:type="dxa"/>
            <w:noWrap/>
            <w:hideMark/>
          </w:tcPr>
          <w:p w14:paraId="37FF33F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21.82</w:t>
            </w:r>
          </w:p>
        </w:tc>
        <w:tc>
          <w:tcPr>
            <w:tcW w:w="980" w:type="dxa"/>
            <w:noWrap/>
            <w:hideMark/>
          </w:tcPr>
          <w:p w14:paraId="547A618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8.01</w:t>
            </w:r>
          </w:p>
        </w:tc>
        <w:tc>
          <w:tcPr>
            <w:tcW w:w="1000" w:type="dxa"/>
            <w:noWrap/>
            <w:hideMark/>
          </w:tcPr>
          <w:p w14:paraId="75FC521B"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3.71</w:t>
            </w:r>
          </w:p>
        </w:tc>
        <w:tc>
          <w:tcPr>
            <w:tcW w:w="880" w:type="dxa"/>
            <w:noWrap/>
            <w:hideMark/>
          </w:tcPr>
          <w:p w14:paraId="6BE6BC6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0DD5EF1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9.33</w:t>
            </w:r>
          </w:p>
        </w:tc>
      </w:tr>
      <w:tr w:rsidR="00AE7B3B" w:rsidRPr="000E1B7E" w14:paraId="077ECDC4"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57B0E613"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Cash Crops</w:t>
            </w:r>
          </w:p>
        </w:tc>
        <w:tc>
          <w:tcPr>
            <w:tcW w:w="980" w:type="dxa"/>
            <w:noWrap/>
            <w:hideMark/>
          </w:tcPr>
          <w:p w14:paraId="38773E0B"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20" w:type="dxa"/>
            <w:noWrap/>
            <w:hideMark/>
          </w:tcPr>
          <w:p w14:paraId="51940F5A"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980" w:type="dxa"/>
            <w:noWrap/>
            <w:hideMark/>
          </w:tcPr>
          <w:p w14:paraId="381DC3F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980" w:type="dxa"/>
            <w:noWrap/>
            <w:hideMark/>
          </w:tcPr>
          <w:p w14:paraId="68F4A80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000" w:type="dxa"/>
            <w:noWrap/>
            <w:hideMark/>
          </w:tcPr>
          <w:p w14:paraId="0CDE5289"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880" w:type="dxa"/>
            <w:noWrap/>
            <w:hideMark/>
          </w:tcPr>
          <w:p w14:paraId="48110445"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4FDDB53D"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r>
      <w:tr w:rsidR="00AE7B3B" w:rsidRPr="000E1B7E" w14:paraId="258DF155"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26A87B32"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 xml:space="preserve">Coffee </w:t>
            </w:r>
          </w:p>
        </w:tc>
        <w:tc>
          <w:tcPr>
            <w:tcW w:w="980" w:type="dxa"/>
            <w:noWrap/>
            <w:hideMark/>
          </w:tcPr>
          <w:p w14:paraId="288B005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(0.87)</w:t>
            </w:r>
          </w:p>
        </w:tc>
        <w:tc>
          <w:tcPr>
            <w:tcW w:w="1120" w:type="dxa"/>
            <w:noWrap/>
            <w:hideMark/>
          </w:tcPr>
          <w:p w14:paraId="7798AE8B"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(12.10)</w:t>
            </w:r>
          </w:p>
        </w:tc>
        <w:tc>
          <w:tcPr>
            <w:tcW w:w="980" w:type="dxa"/>
            <w:noWrap/>
            <w:hideMark/>
          </w:tcPr>
          <w:p w14:paraId="376CF964"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39.34</w:t>
            </w:r>
          </w:p>
        </w:tc>
        <w:tc>
          <w:tcPr>
            <w:tcW w:w="980" w:type="dxa"/>
            <w:noWrap/>
            <w:hideMark/>
          </w:tcPr>
          <w:p w14:paraId="6AA8449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0.40</w:t>
            </w:r>
          </w:p>
        </w:tc>
        <w:tc>
          <w:tcPr>
            <w:tcW w:w="1000" w:type="dxa"/>
            <w:noWrap/>
            <w:hideMark/>
          </w:tcPr>
          <w:p w14:paraId="545B8DAC"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10.23</w:t>
            </w:r>
          </w:p>
        </w:tc>
        <w:tc>
          <w:tcPr>
            <w:tcW w:w="880" w:type="dxa"/>
            <w:noWrap/>
            <w:hideMark/>
          </w:tcPr>
          <w:p w14:paraId="5756EA4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6.45</w:t>
            </w:r>
          </w:p>
        </w:tc>
        <w:tc>
          <w:tcPr>
            <w:tcW w:w="1107" w:type="dxa"/>
            <w:noWrap/>
            <w:hideMark/>
          </w:tcPr>
          <w:p w14:paraId="3C65B999"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9.21</w:t>
            </w:r>
          </w:p>
        </w:tc>
      </w:tr>
      <w:tr w:rsidR="00AE7B3B" w:rsidRPr="000E1B7E" w14:paraId="537D1F74"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5170200C"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Cotton</w:t>
            </w:r>
          </w:p>
        </w:tc>
        <w:tc>
          <w:tcPr>
            <w:tcW w:w="980" w:type="dxa"/>
            <w:noWrap/>
            <w:hideMark/>
          </w:tcPr>
          <w:p w14:paraId="558A41DA"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(16.41)</w:t>
            </w:r>
          </w:p>
        </w:tc>
        <w:tc>
          <w:tcPr>
            <w:tcW w:w="1120" w:type="dxa"/>
            <w:noWrap/>
            <w:hideMark/>
          </w:tcPr>
          <w:p w14:paraId="340D2BB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33.60</w:t>
            </w:r>
          </w:p>
        </w:tc>
        <w:tc>
          <w:tcPr>
            <w:tcW w:w="980" w:type="dxa"/>
            <w:noWrap/>
            <w:hideMark/>
          </w:tcPr>
          <w:p w14:paraId="7852544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98.87</w:t>
            </w:r>
          </w:p>
        </w:tc>
        <w:tc>
          <w:tcPr>
            <w:tcW w:w="980" w:type="dxa"/>
            <w:noWrap/>
            <w:hideMark/>
          </w:tcPr>
          <w:p w14:paraId="097746D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(14.80)</w:t>
            </w:r>
          </w:p>
        </w:tc>
        <w:tc>
          <w:tcPr>
            <w:tcW w:w="1000" w:type="dxa"/>
            <w:noWrap/>
            <w:hideMark/>
          </w:tcPr>
          <w:p w14:paraId="3FE55815"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54.15</w:t>
            </w:r>
          </w:p>
        </w:tc>
        <w:tc>
          <w:tcPr>
            <w:tcW w:w="880" w:type="dxa"/>
            <w:noWrap/>
            <w:hideMark/>
          </w:tcPr>
          <w:p w14:paraId="5C70FD6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2.17</w:t>
            </w:r>
          </w:p>
        </w:tc>
        <w:tc>
          <w:tcPr>
            <w:tcW w:w="1107" w:type="dxa"/>
            <w:noWrap/>
            <w:hideMark/>
          </w:tcPr>
          <w:p w14:paraId="75B59E0C"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39.22</w:t>
            </w:r>
          </w:p>
        </w:tc>
      </w:tr>
      <w:tr w:rsidR="00AE7B3B" w:rsidRPr="000E1B7E" w14:paraId="2C035ED8"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022C90F7"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Tea</w:t>
            </w:r>
          </w:p>
        </w:tc>
        <w:tc>
          <w:tcPr>
            <w:tcW w:w="980" w:type="dxa"/>
            <w:noWrap/>
            <w:hideMark/>
          </w:tcPr>
          <w:p w14:paraId="02C215D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(11.83)</w:t>
            </w:r>
          </w:p>
        </w:tc>
        <w:tc>
          <w:tcPr>
            <w:tcW w:w="1120" w:type="dxa"/>
            <w:noWrap/>
            <w:hideMark/>
          </w:tcPr>
          <w:p w14:paraId="6ACBD4B5"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1.53</w:t>
            </w:r>
          </w:p>
        </w:tc>
        <w:tc>
          <w:tcPr>
            <w:tcW w:w="980" w:type="dxa"/>
            <w:noWrap/>
            <w:hideMark/>
          </w:tcPr>
          <w:p w14:paraId="28AC162B"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(8.91)</w:t>
            </w:r>
          </w:p>
        </w:tc>
        <w:tc>
          <w:tcPr>
            <w:tcW w:w="980" w:type="dxa"/>
            <w:noWrap/>
            <w:hideMark/>
          </w:tcPr>
          <w:p w14:paraId="6CDB298A"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34.99</w:t>
            </w:r>
          </w:p>
        </w:tc>
        <w:tc>
          <w:tcPr>
            <w:tcW w:w="1000" w:type="dxa"/>
            <w:noWrap/>
            <w:hideMark/>
          </w:tcPr>
          <w:p w14:paraId="2ED57CA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1.47</w:t>
            </w:r>
          </w:p>
        </w:tc>
        <w:tc>
          <w:tcPr>
            <w:tcW w:w="880" w:type="dxa"/>
            <w:noWrap/>
            <w:hideMark/>
          </w:tcPr>
          <w:p w14:paraId="4F1B2319"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5.72</w:t>
            </w:r>
          </w:p>
        </w:tc>
        <w:tc>
          <w:tcPr>
            <w:tcW w:w="1107" w:type="dxa"/>
            <w:noWrap/>
            <w:hideMark/>
          </w:tcPr>
          <w:p w14:paraId="5F1E648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9.21</w:t>
            </w:r>
          </w:p>
        </w:tc>
      </w:tr>
      <w:tr w:rsidR="00AE7B3B" w:rsidRPr="000E1B7E" w14:paraId="6A37B352"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185A491B"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Flowers</w:t>
            </w:r>
          </w:p>
        </w:tc>
        <w:tc>
          <w:tcPr>
            <w:tcW w:w="980" w:type="dxa"/>
            <w:noWrap/>
            <w:hideMark/>
          </w:tcPr>
          <w:p w14:paraId="5AB352F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(6.38)</w:t>
            </w:r>
          </w:p>
        </w:tc>
        <w:tc>
          <w:tcPr>
            <w:tcW w:w="1120" w:type="dxa"/>
            <w:noWrap/>
            <w:hideMark/>
          </w:tcPr>
          <w:p w14:paraId="2C82DCD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(11.18)</w:t>
            </w:r>
          </w:p>
        </w:tc>
        <w:tc>
          <w:tcPr>
            <w:tcW w:w="980" w:type="dxa"/>
            <w:noWrap/>
            <w:hideMark/>
          </w:tcPr>
          <w:p w14:paraId="335F21C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9.12</w:t>
            </w:r>
          </w:p>
        </w:tc>
        <w:tc>
          <w:tcPr>
            <w:tcW w:w="980" w:type="dxa"/>
            <w:noWrap/>
            <w:hideMark/>
          </w:tcPr>
          <w:p w14:paraId="639F00C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15.46</w:t>
            </w:r>
          </w:p>
        </w:tc>
        <w:tc>
          <w:tcPr>
            <w:tcW w:w="1000" w:type="dxa"/>
            <w:noWrap/>
            <w:hideMark/>
          </w:tcPr>
          <w:p w14:paraId="65ED519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2.77</w:t>
            </w:r>
          </w:p>
        </w:tc>
        <w:tc>
          <w:tcPr>
            <w:tcW w:w="880" w:type="dxa"/>
            <w:noWrap/>
            <w:hideMark/>
          </w:tcPr>
          <w:p w14:paraId="5C61023F"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3.01</w:t>
            </w:r>
          </w:p>
        </w:tc>
        <w:tc>
          <w:tcPr>
            <w:tcW w:w="1107" w:type="dxa"/>
            <w:noWrap/>
            <w:hideMark/>
          </w:tcPr>
          <w:p w14:paraId="10A021A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4.47</w:t>
            </w:r>
          </w:p>
        </w:tc>
      </w:tr>
      <w:tr w:rsidR="00AE7B3B" w:rsidRPr="000E1B7E" w14:paraId="3735AE08"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8" w:type="dxa"/>
            <w:gridSpan w:val="3"/>
            <w:noWrap/>
            <w:hideMark/>
          </w:tcPr>
          <w:p w14:paraId="75E73EB5"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Others- projected in NDP II</w:t>
            </w:r>
          </w:p>
        </w:tc>
        <w:tc>
          <w:tcPr>
            <w:tcW w:w="980" w:type="dxa"/>
            <w:noWrap/>
            <w:hideMark/>
          </w:tcPr>
          <w:p w14:paraId="435D918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980" w:type="dxa"/>
            <w:noWrap/>
            <w:hideMark/>
          </w:tcPr>
          <w:p w14:paraId="77A3BD21"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000" w:type="dxa"/>
            <w:noWrap/>
            <w:hideMark/>
          </w:tcPr>
          <w:p w14:paraId="5F9B8ED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880" w:type="dxa"/>
            <w:noWrap/>
            <w:hideMark/>
          </w:tcPr>
          <w:p w14:paraId="6DC32DF5"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73C7132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r>
      <w:tr w:rsidR="00AE7B3B" w:rsidRPr="000E1B7E" w14:paraId="290A4D91"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2162490B"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Electricity</w:t>
            </w:r>
          </w:p>
        </w:tc>
        <w:tc>
          <w:tcPr>
            <w:tcW w:w="980" w:type="dxa"/>
            <w:noWrap/>
            <w:hideMark/>
          </w:tcPr>
          <w:p w14:paraId="5298E03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(10.16)</w:t>
            </w:r>
          </w:p>
        </w:tc>
        <w:tc>
          <w:tcPr>
            <w:tcW w:w="1120" w:type="dxa"/>
            <w:noWrap/>
            <w:hideMark/>
          </w:tcPr>
          <w:p w14:paraId="4DDDB6A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(30.00)</w:t>
            </w:r>
          </w:p>
        </w:tc>
        <w:tc>
          <w:tcPr>
            <w:tcW w:w="980" w:type="dxa"/>
            <w:noWrap/>
            <w:hideMark/>
          </w:tcPr>
          <w:p w14:paraId="4DB5125D"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164.04</w:t>
            </w:r>
          </w:p>
        </w:tc>
        <w:tc>
          <w:tcPr>
            <w:tcW w:w="980" w:type="dxa"/>
            <w:noWrap/>
            <w:hideMark/>
          </w:tcPr>
          <w:p w14:paraId="368E50A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(3.81)</w:t>
            </w:r>
          </w:p>
        </w:tc>
        <w:tc>
          <w:tcPr>
            <w:tcW w:w="1000" w:type="dxa"/>
            <w:noWrap/>
            <w:hideMark/>
          </w:tcPr>
          <w:p w14:paraId="0CB7F7F9"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15.09</w:t>
            </w:r>
          </w:p>
        </w:tc>
        <w:tc>
          <w:tcPr>
            <w:tcW w:w="880" w:type="dxa"/>
            <w:noWrap/>
            <w:hideMark/>
          </w:tcPr>
          <w:p w14:paraId="08B0C9E0"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9.08</w:t>
            </w:r>
          </w:p>
        </w:tc>
        <w:tc>
          <w:tcPr>
            <w:tcW w:w="1107" w:type="dxa"/>
            <w:noWrap/>
            <w:hideMark/>
          </w:tcPr>
          <w:p w14:paraId="013D559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43.41</w:t>
            </w:r>
          </w:p>
        </w:tc>
      </w:tr>
      <w:tr w:rsidR="00AE7B3B" w:rsidRPr="000E1B7E" w14:paraId="63840754"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0B4E6BE0"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Fish &amp; its prod. (excl. regional)</w:t>
            </w:r>
          </w:p>
        </w:tc>
        <w:tc>
          <w:tcPr>
            <w:tcW w:w="980" w:type="dxa"/>
            <w:noWrap/>
            <w:hideMark/>
          </w:tcPr>
          <w:p w14:paraId="5A8D3831"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24.18</w:t>
            </w:r>
          </w:p>
        </w:tc>
        <w:tc>
          <w:tcPr>
            <w:tcW w:w="1120" w:type="dxa"/>
            <w:noWrap/>
            <w:hideMark/>
          </w:tcPr>
          <w:p w14:paraId="76B1A0C1"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(15.84)</w:t>
            </w:r>
          </w:p>
        </w:tc>
        <w:tc>
          <w:tcPr>
            <w:tcW w:w="980" w:type="dxa"/>
            <w:noWrap/>
            <w:hideMark/>
          </w:tcPr>
          <w:p w14:paraId="1770F251"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14.29</w:t>
            </w:r>
          </w:p>
        </w:tc>
        <w:tc>
          <w:tcPr>
            <w:tcW w:w="980" w:type="dxa"/>
            <w:noWrap/>
            <w:hideMark/>
          </w:tcPr>
          <w:p w14:paraId="630CDDF9"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11.18</w:t>
            </w:r>
          </w:p>
        </w:tc>
        <w:tc>
          <w:tcPr>
            <w:tcW w:w="1000" w:type="dxa"/>
            <w:noWrap/>
            <w:hideMark/>
          </w:tcPr>
          <w:p w14:paraId="7FAC7D68"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2.07</w:t>
            </w:r>
          </w:p>
        </w:tc>
        <w:tc>
          <w:tcPr>
            <w:tcW w:w="880" w:type="dxa"/>
            <w:noWrap/>
            <w:hideMark/>
          </w:tcPr>
          <w:p w14:paraId="17540AD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0.92</w:t>
            </w:r>
          </w:p>
        </w:tc>
        <w:tc>
          <w:tcPr>
            <w:tcW w:w="1107" w:type="dxa"/>
            <w:noWrap/>
            <w:hideMark/>
          </w:tcPr>
          <w:p w14:paraId="0E3006D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3.21</w:t>
            </w:r>
          </w:p>
        </w:tc>
      </w:tr>
      <w:tr w:rsidR="00AE7B3B" w:rsidRPr="000E1B7E" w14:paraId="05C98ADB"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5B1A0073"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Maize</w:t>
            </w:r>
          </w:p>
        </w:tc>
        <w:tc>
          <w:tcPr>
            <w:tcW w:w="980" w:type="dxa"/>
            <w:noWrap/>
            <w:hideMark/>
          </w:tcPr>
          <w:p w14:paraId="0F901AF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107.58</w:t>
            </w:r>
          </w:p>
        </w:tc>
        <w:tc>
          <w:tcPr>
            <w:tcW w:w="1120" w:type="dxa"/>
            <w:noWrap/>
            <w:hideMark/>
          </w:tcPr>
          <w:p w14:paraId="266636E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10.49</w:t>
            </w:r>
          </w:p>
        </w:tc>
        <w:tc>
          <w:tcPr>
            <w:tcW w:w="980" w:type="dxa"/>
            <w:noWrap/>
            <w:hideMark/>
          </w:tcPr>
          <w:p w14:paraId="3A548A2B"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(4.24)</w:t>
            </w:r>
          </w:p>
        </w:tc>
        <w:tc>
          <w:tcPr>
            <w:tcW w:w="980" w:type="dxa"/>
            <w:noWrap/>
            <w:hideMark/>
          </w:tcPr>
          <w:p w14:paraId="58455615"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59.00</w:t>
            </w:r>
          </w:p>
        </w:tc>
        <w:tc>
          <w:tcPr>
            <w:tcW w:w="1000" w:type="dxa"/>
            <w:noWrap/>
            <w:hideMark/>
          </w:tcPr>
          <w:p w14:paraId="770441E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32.95</w:t>
            </w:r>
          </w:p>
        </w:tc>
        <w:tc>
          <w:tcPr>
            <w:tcW w:w="880" w:type="dxa"/>
            <w:noWrap/>
            <w:hideMark/>
          </w:tcPr>
          <w:p w14:paraId="79608EA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3.62</w:t>
            </w:r>
          </w:p>
        </w:tc>
        <w:tc>
          <w:tcPr>
            <w:tcW w:w="1107" w:type="dxa"/>
            <w:noWrap/>
            <w:hideMark/>
          </w:tcPr>
          <w:p w14:paraId="084CCFB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21.75</w:t>
            </w:r>
          </w:p>
        </w:tc>
      </w:tr>
      <w:tr w:rsidR="00AE7B3B" w:rsidRPr="000E1B7E" w14:paraId="5E7628F6"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1FE0B233"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Beans</w:t>
            </w:r>
          </w:p>
        </w:tc>
        <w:tc>
          <w:tcPr>
            <w:tcW w:w="980" w:type="dxa"/>
            <w:noWrap/>
            <w:hideMark/>
          </w:tcPr>
          <w:p w14:paraId="0A2122A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85.15</w:t>
            </w:r>
          </w:p>
        </w:tc>
        <w:tc>
          <w:tcPr>
            <w:tcW w:w="1120" w:type="dxa"/>
            <w:noWrap/>
            <w:hideMark/>
          </w:tcPr>
          <w:p w14:paraId="343BF9A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30.39</w:t>
            </w:r>
          </w:p>
        </w:tc>
        <w:tc>
          <w:tcPr>
            <w:tcW w:w="980" w:type="dxa"/>
            <w:noWrap/>
            <w:hideMark/>
          </w:tcPr>
          <w:p w14:paraId="7BE534FC"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13.04</w:t>
            </w:r>
          </w:p>
        </w:tc>
        <w:tc>
          <w:tcPr>
            <w:tcW w:w="980" w:type="dxa"/>
            <w:noWrap/>
            <w:hideMark/>
          </w:tcPr>
          <w:p w14:paraId="232EA60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122.57</w:t>
            </w:r>
          </w:p>
        </w:tc>
        <w:tc>
          <w:tcPr>
            <w:tcW w:w="1000" w:type="dxa"/>
            <w:noWrap/>
            <w:hideMark/>
          </w:tcPr>
          <w:p w14:paraId="4FA42565"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33.96</w:t>
            </w:r>
          </w:p>
        </w:tc>
        <w:tc>
          <w:tcPr>
            <w:tcW w:w="880" w:type="dxa"/>
            <w:noWrap/>
            <w:hideMark/>
          </w:tcPr>
          <w:p w14:paraId="673B7F2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0.67</w:t>
            </w:r>
          </w:p>
        </w:tc>
        <w:tc>
          <w:tcPr>
            <w:tcW w:w="1107" w:type="dxa"/>
            <w:noWrap/>
            <w:hideMark/>
          </w:tcPr>
          <w:p w14:paraId="70894DAF"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55.34</w:t>
            </w:r>
          </w:p>
        </w:tc>
      </w:tr>
      <w:tr w:rsidR="00AE7B3B" w:rsidRPr="000E1B7E" w14:paraId="2B7B05D2"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60E3EE7"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Edible Fats and Oils</w:t>
            </w:r>
          </w:p>
        </w:tc>
        <w:tc>
          <w:tcPr>
            <w:tcW w:w="980" w:type="dxa"/>
            <w:noWrap/>
            <w:hideMark/>
          </w:tcPr>
          <w:p w14:paraId="1B90267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(3.18)</w:t>
            </w:r>
          </w:p>
        </w:tc>
        <w:tc>
          <w:tcPr>
            <w:tcW w:w="1120" w:type="dxa"/>
            <w:noWrap/>
            <w:hideMark/>
          </w:tcPr>
          <w:p w14:paraId="041FA71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(44.65)</w:t>
            </w:r>
          </w:p>
        </w:tc>
        <w:tc>
          <w:tcPr>
            <w:tcW w:w="980" w:type="dxa"/>
            <w:noWrap/>
            <w:hideMark/>
          </w:tcPr>
          <w:p w14:paraId="4D595E9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(28.51)</w:t>
            </w:r>
          </w:p>
        </w:tc>
        <w:tc>
          <w:tcPr>
            <w:tcW w:w="980" w:type="dxa"/>
            <w:noWrap/>
            <w:hideMark/>
          </w:tcPr>
          <w:p w14:paraId="788DB245"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(17.98)</w:t>
            </w:r>
          </w:p>
        </w:tc>
        <w:tc>
          <w:tcPr>
            <w:tcW w:w="1000" w:type="dxa"/>
            <w:noWrap/>
            <w:hideMark/>
          </w:tcPr>
          <w:p w14:paraId="6EFCF9D9"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7.13</w:t>
            </w:r>
          </w:p>
        </w:tc>
        <w:tc>
          <w:tcPr>
            <w:tcW w:w="880" w:type="dxa"/>
            <w:noWrap/>
            <w:hideMark/>
          </w:tcPr>
          <w:p w14:paraId="7A09F28A"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6.15</w:t>
            </w:r>
          </w:p>
        </w:tc>
        <w:tc>
          <w:tcPr>
            <w:tcW w:w="1107" w:type="dxa"/>
            <w:noWrap/>
            <w:hideMark/>
          </w:tcPr>
          <w:p w14:paraId="6AAA89F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(30.38)</w:t>
            </w:r>
          </w:p>
        </w:tc>
      </w:tr>
      <w:tr w:rsidR="00AE7B3B" w:rsidRPr="000E1B7E" w14:paraId="3C3713D0"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299B1B43"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Plastic Products</w:t>
            </w:r>
          </w:p>
        </w:tc>
        <w:tc>
          <w:tcPr>
            <w:tcW w:w="980" w:type="dxa"/>
            <w:noWrap/>
            <w:hideMark/>
          </w:tcPr>
          <w:p w14:paraId="3E71A83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3.72</w:t>
            </w:r>
          </w:p>
        </w:tc>
        <w:tc>
          <w:tcPr>
            <w:tcW w:w="1120" w:type="dxa"/>
            <w:noWrap/>
            <w:hideMark/>
          </w:tcPr>
          <w:p w14:paraId="29501044"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(23.16)</w:t>
            </w:r>
          </w:p>
        </w:tc>
        <w:tc>
          <w:tcPr>
            <w:tcW w:w="980" w:type="dxa"/>
            <w:noWrap/>
            <w:hideMark/>
          </w:tcPr>
          <w:p w14:paraId="7F8CCDF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(13.81)</w:t>
            </w:r>
          </w:p>
        </w:tc>
        <w:tc>
          <w:tcPr>
            <w:tcW w:w="980" w:type="dxa"/>
            <w:noWrap/>
            <w:hideMark/>
          </w:tcPr>
          <w:p w14:paraId="57C5EDE5"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10.82</w:t>
            </w:r>
          </w:p>
        </w:tc>
        <w:tc>
          <w:tcPr>
            <w:tcW w:w="1000" w:type="dxa"/>
            <w:noWrap/>
            <w:hideMark/>
          </w:tcPr>
          <w:p w14:paraId="5F44458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27.91</w:t>
            </w:r>
          </w:p>
        </w:tc>
        <w:tc>
          <w:tcPr>
            <w:tcW w:w="880" w:type="dxa"/>
            <w:noWrap/>
            <w:hideMark/>
          </w:tcPr>
          <w:p w14:paraId="592C35F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21.64</w:t>
            </w:r>
          </w:p>
        </w:tc>
        <w:tc>
          <w:tcPr>
            <w:tcW w:w="1107" w:type="dxa"/>
            <w:noWrap/>
            <w:hideMark/>
          </w:tcPr>
          <w:p w14:paraId="102024F9"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(8.72)</w:t>
            </w:r>
          </w:p>
        </w:tc>
      </w:tr>
      <w:tr w:rsidR="00AE7B3B" w:rsidRPr="000E1B7E" w14:paraId="2513D203"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27FFE49C"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Rice</w:t>
            </w:r>
          </w:p>
        </w:tc>
        <w:tc>
          <w:tcPr>
            <w:tcW w:w="980" w:type="dxa"/>
            <w:noWrap/>
            <w:hideMark/>
          </w:tcPr>
          <w:p w14:paraId="1EF20A8B"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(4.24)</w:t>
            </w:r>
          </w:p>
        </w:tc>
        <w:tc>
          <w:tcPr>
            <w:tcW w:w="1120" w:type="dxa"/>
            <w:noWrap/>
            <w:hideMark/>
          </w:tcPr>
          <w:p w14:paraId="468B301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(15.50)</w:t>
            </w:r>
          </w:p>
        </w:tc>
        <w:tc>
          <w:tcPr>
            <w:tcW w:w="980" w:type="dxa"/>
            <w:noWrap/>
            <w:hideMark/>
          </w:tcPr>
          <w:p w14:paraId="64C1BC86"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(4.63)</w:t>
            </w:r>
          </w:p>
        </w:tc>
        <w:tc>
          <w:tcPr>
            <w:tcW w:w="980" w:type="dxa"/>
            <w:noWrap/>
            <w:hideMark/>
          </w:tcPr>
          <w:p w14:paraId="776A4169"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27.04</w:t>
            </w:r>
          </w:p>
        </w:tc>
        <w:tc>
          <w:tcPr>
            <w:tcW w:w="1000" w:type="dxa"/>
            <w:noWrap/>
            <w:hideMark/>
          </w:tcPr>
          <w:p w14:paraId="425C461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19.61</w:t>
            </w:r>
          </w:p>
        </w:tc>
        <w:tc>
          <w:tcPr>
            <w:tcW w:w="880" w:type="dxa"/>
            <w:noWrap/>
            <w:hideMark/>
          </w:tcPr>
          <w:p w14:paraId="68F9BE6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3.21</w:t>
            </w:r>
          </w:p>
        </w:tc>
        <w:tc>
          <w:tcPr>
            <w:tcW w:w="1107" w:type="dxa"/>
            <w:noWrap/>
            <w:hideMark/>
          </w:tcPr>
          <w:p w14:paraId="5009DA9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2.30</w:t>
            </w:r>
          </w:p>
        </w:tc>
      </w:tr>
      <w:tr w:rsidR="00AE7B3B" w:rsidRPr="000E1B7E" w14:paraId="4BFD1C58"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046C79F0"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Sugar</w:t>
            </w:r>
          </w:p>
        </w:tc>
        <w:tc>
          <w:tcPr>
            <w:tcW w:w="980" w:type="dxa"/>
            <w:noWrap/>
            <w:hideMark/>
          </w:tcPr>
          <w:p w14:paraId="508E8C2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7.77</w:t>
            </w:r>
          </w:p>
        </w:tc>
        <w:tc>
          <w:tcPr>
            <w:tcW w:w="1120" w:type="dxa"/>
            <w:noWrap/>
            <w:hideMark/>
          </w:tcPr>
          <w:p w14:paraId="07A4B00F"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(18.93)</w:t>
            </w:r>
          </w:p>
        </w:tc>
        <w:tc>
          <w:tcPr>
            <w:tcW w:w="980" w:type="dxa"/>
            <w:noWrap/>
            <w:hideMark/>
          </w:tcPr>
          <w:p w14:paraId="5402DFC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106.11</w:t>
            </w:r>
          </w:p>
        </w:tc>
        <w:tc>
          <w:tcPr>
            <w:tcW w:w="980" w:type="dxa"/>
            <w:noWrap/>
            <w:hideMark/>
          </w:tcPr>
          <w:p w14:paraId="0D4FB534"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(33.04)</w:t>
            </w:r>
          </w:p>
        </w:tc>
        <w:tc>
          <w:tcPr>
            <w:tcW w:w="1000" w:type="dxa"/>
            <w:noWrap/>
            <w:hideMark/>
          </w:tcPr>
          <w:p w14:paraId="45E7528C"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9.80</w:t>
            </w:r>
          </w:p>
        </w:tc>
        <w:tc>
          <w:tcPr>
            <w:tcW w:w="880" w:type="dxa"/>
            <w:noWrap/>
            <w:hideMark/>
          </w:tcPr>
          <w:p w14:paraId="5656A9B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20.49</w:t>
            </w:r>
          </w:p>
        </w:tc>
        <w:tc>
          <w:tcPr>
            <w:tcW w:w="1107" w:type="dxa"/>
            <w:noWrap/>
            <w:hideMark/>
          </w:tcPr>
          <w:p w14:paraId="55B997B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18.05</w:t>
            </w:r>
          </w:p>
        </w:tc>
      </w:tr>
      <w:tr w:rsidR="00AE7B3B" w:rsidRPr="000E1B7E" w14:paraId="30926729"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8" w:type="dxa"/>
            <w:gridSpan w:val="2"/>
            <w:noWrap/>
            <w:hideMark/>
          </w:tcPr>
          <w:p w14:paraId="48353AE7"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Others- not projected in NDP II</w:t>
            </w:r>
          </w:p>
        </w:tc>
        <w:tc>
          <w:tcPr>
            <w:tcW w:w="1120" w:type="dxa"/>
            <w:noWrap/>
            <w:hideMark/>
          </w:tcPr>
          <w:p w14:paraId="3D218F1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980" w:type="dxa"/>
            <w:noWrap/>
            <w:hideMark/>
          </w:tcPr>
          <w:p w14:paraId="4B7ABFF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980" w:type="dxa"/>
            <w:noWrap/>
            <w:hideMark/>
          </w:tcPr>
          <w:p w14:paraId="3F234E6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000" w:type="dxa"/>
            <w:noWrap/>
            <w:hideMark/>
          </w:tcPr>
          <w:p w14:paraId="4884BAC9"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880" w:type="dxa"/>
            <w:noWrap/>
            <w:hideMark/>
          </w:tcPr>
          <w:p w14:paraId="26FE8F4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0ECB83F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r>
      <w:tr w:rsidR="00AE7B3B" w:rsidRPr="000E1B7E" w14:paraId="3017772D"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B8C4DDB"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Gold</w:t>
            </w:r>
          </w:p>
        </w:tc>
        <w:tc>
          <w:tcPr>
            <w:tcW w:w="980" w:type="dxa"/>
            <w:noWrap/>
            <w:hideMark/>
          </w:tcPr>
          <w:p w14:paraId="5093D314"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(8.08)</w:t>
            </w:r>
          </w:p>
        </w:tc>
        <w:tc>
          <w:tcPr>
            <w:tcW w:w="1120" w:type="dxa"/>
            <w:noWrap/>
            <w:hideMark/>
          </w:tcPr>
          <w:p w14:paraId="52157E4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87,321.71</w:t>
            </w:r>
          </w:p>
        </w:tc>
        <w:tc>
          <w:tcPr>
            <w:tcW w:w="980" w:type="dxa"/>
            <w:noWrap/>
            <w:hideMark/>
          </w:tcPr>
          <w:p w14:paraId="1D9B609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112.30</w:t>
            </w:r>
          </w:p>
        </w:tc>
        <w:tc>
          <w:tcPr>
            <w:tcW w:w="980" w:type="dxa"/>
            <w:noWrap/>
            <w:hideMark/>
          </w:tcPr>
          <w:p w14:paraId="6CD523B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(20.84)</w:t>
            </w:r>
          </w:p>
        </w:tc>
        <w:tc>
          <w:tcPr>
            <w:tcW w:w="1000" w:type="dxa"/>
            <w:noWrap/>
            <w:hideMark/>
          </w:tcPr>
          <w:p w14:paraId="47C74F4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(34.90)</w:t>
            </w:r>
          </w:p>
        </w:tc>
        <w:tc>
          <w:tcPr>
            <w:tcW w:w="880" w:type="dxa"/>
            <w:noWrap/>
            <w:hideMark/>
          </w:tcPr>
          <w:p w14:paraId="443890E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491B1C3F"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29,137.73</w:t>
            </w:r>
          </w:p>
        </w:tc>
      </w:tr>
      <w:tr w:rsidR="00AE7B3B" w:rsidRPr="000E1B7E" w14:paraId="7EB6886C"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0F43CE78"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Tobacco</w:t>
            </w:r>
          </w:p>
        </w:tc>
        <w:tc>
          <w:tcPr>
            <w:tcW w:w="980" w:type="dxa"/>
            <w:noWrap/>
            <w:hideMark/>
          </w:tcPr>
          <w:p w14:paraId="3754924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(32.77)</w:t>
            </w:r>
          </w:p>
        </w:tc>
        <w:tc>
          <w:tcPr>
            <w:tcW w:w="1120" w:type="dxa"/>
            <w:noWrap/>
            <w:hideMark/>
          </w:tcPr>
          <w:p w14:paraId="427BBE7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15.84</w:t>
            </w:r>
          </w:p>
        </w:tc>
        <w:tc>
          <w:tcPr>
            <w:tcW w:w="980" w:type="dxa"/>
            <w:noWrap/>
            <w:hideMark/>
          </w:tcPr>
          <w:p w14:paraId="20461EC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(35.90)</w:t>
            </w:r>
          </w:p>
        </w:tc>
        <w:tc>
          <w:tcPr>
            <w:tcW w:w="980" w:type="dxa"/>
            <w:noWrap/>
            <w:hideMark/>
          </w:tcPr>
          <w:p w14:paraId="3D1708A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15.48</w:t>
            </w:r>
          </w:p>
        </w:tc>
        <w:tc>
          <w:tcPr>
            <w:tcW w:w="1000" w:type="dxa"/>
            <w:noWrap/>
            <w:hideMark/>
          </w:tcPr>
          <w:p w14:paraId="37B34156"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(0.41)</w:t>
            </w:r>
          </w:p>
        </w:tc>
        <w:tc>
          <w:tcPr>
            <w:tcW w:w="880" w:type="dxa"/>
            <w:noWrap/>
            <w:hideMark/>
          </w:tcPr>
          <w:p w14:paraId="72DE5E3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57D0C230"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(1.53)</w:t>
            </w:r>
          </w:p>
        </w:tc>
      </w:tr>
      <w:tr w:rsidR="00AE7B3B" w:rsidRPr="000E1B7E" w14:paraId="5D88A233"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3B9C8109"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Hides &amp; skins</w:t>
            </w:r>
          </w:p>
        </w:tc>
        <w:tc>
          <w:tcPr>
            <w:tcW w:w="980" w:type="dxa"/>
            <w:noWrap/>
            <w:hideMark/>
          </w:tcPr>
          <w:p w14:paraId="7E0EFC0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(9.69)</w:t>
            </w:r>
          </w:p>
        </w:tc>
        <w:tc>
          <w:tcPr>
            <w:tcW w:w="1120" w:type="dxa"/>
            <w:noWrap/>
            <w:hideMark/>
          </w:tcPr>
          <w:p w14:paraId="1FE77681"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(17.12)</w:t>
            </w:r>
          </w:p>
        </w:tc>
        <w:tc>
          <w:tcPr>
            <w:tcW w:w="980" w:type="dxa"/>
            <w:noWrap/>
            <w:hideMark/>
          </w:tcPr>
          <w:p w14:paraId="0DBA045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(9.05)</w:t>
            </w:r>
          </w:p>
        </w:tc>
        <w:tc>
          <w:tcPr>
            <w:tcW w:w="980" w:type="dxa"/>
            <w:noWrap/>
            <w:hideMark/>
          </w:tcPr>
          <w:p w14:paraId="3444358C"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7.27</w:t>
            </w:r>
          </w:p>
        </w:tc>
        <w:tc>
          <w:tcPr>
            <w:tcW w:w="1000" w:type="dxa"/>
            <w:noWrap/>
            <w:hideMark/>
          </w:tcPr>
          <w:p w14:paraId="37C7167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49.97</w:t>
            </w:r>
          </w:p>
        </w:tc>
        <w:tc>
          <w:tcPr>
            <w:tcW w:w="880" w:type="dxa"/>
            <w:noWrap/>
            <w:hideMark/>
          </w:tcPr>
          <w:p w14:paraId="6BB5046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1A76E05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(6.30)</w:t>
            </w:r>
          </w:p>
        </w:tc>
      </w:tr>
      <w:tr w:rsidR="00AE7B3B" w:rsidRPr="000E1B7E" w14:paraId="362D7E26"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5DC35465"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Simsim</w:t>
            </w:r>
          </w:p>
        </w:tc>
        <w:tc>
          <w:tcPr>
            <w:tcW w:w="980" w:type="dxa"/>
            <w:noWrap/>
            <w:hideMark/>
          </w:tcPr>
          <w:p w14:paraId="298986AD"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11.39</w:t>
            </w:r>
          </w:p>
        </w:tc>
        <w:tc>
          <w:tcPr>
            <w:tcW w:w="1120" w:type="dxa"/>
            <w:noWrap/>
            <w:hideMark/>
          </w:tcPr>
          <w:p w14:paraId="1C00687A"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(41.69)</w:t>
            </w:r>
          </w:p>
        </w:tc>
        <w:tc>
          <w:tcPr>
            <w:tcW w:w="980" w:type="dxa"/>
            <w:noWrap/>
            <w:hideMark/>
          </w:tcPr>
          <w:p w14:paraId="56B4CAB0"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(45.38)</w:t>
            </w:r>
          </w:p>
        </w:tc>
        <w:tc>
          <w:tcPr>
            <w:tcW w:w="980" w:type="dxa"/>
            <w:noWrap/>
            <w:hideMark/>
          </w:tcPr>
          <w:p w14:paraId="70D0AEE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38.75</w:t>
            </w:r>
          </w:p>
        </w:tc>
        <w:tc>
          <w:tcPr>
            <w:tcW w:w="1000" w:type="dxa"/>
            <w:noWrap/>
            <w:hideMark/>
          </w:tcPr>
          <w:p w14:paraId="10D1F1FD"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48.47</w:t>
            </w:r>
          </w:p>
        </w:tc>
        <w:tc>
          <w:tcPr>
            <w:tcW w:w="880" w:type="dxa"/>
            <w:noWrap/>
            <w:hideMark/>
          </w:tcPr>
          <w:p w14:paraId="613D4150"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05FF821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(16.11)</w:t>
            </w:r>
          </w:p>
        </w:tc>
      </w:tr>
      <w:tr w:rsidR="00AE7B3B" w:rsidRPr="000E1B7E" w14:paraId="1EC539A3"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0A4D4595"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Base Metals &amp; Products</w:t>
            </w:r>
          </w:p>
        </w:tc>
        <w:tc>
          <w:tcPr>
            <w:tcW w:w="980" w:type="dxa"/>
            <w:noWrap/>
            <w:hideMark/>
          </w:tcPr>
          <w:p w14:paraId="51732D6F"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(5.39)</w:t>
            </w:r>
          </w:p>
        </w:tc>
        <w:tc>
          <w:tcPr>
            <w:tcW w:w="1120" w:type="dxa"/>
            <w:noWrap/>
            <w:hideMark/>
          </w:tcPr>
          <w:p w14:paraId="4AA2E00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(22.22)</w:t>
            </w:r>
          </w:p>
        </w:tc>
        <w:tc>
          <w:tcPr>
            <w:tcW w:w="980" w:type="dxa"/>
            <w:noWrap/>
            <w:hideMark/>
          </w:tcPr>
          <w:p w14:paraId="65794B2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6.56</w:t>
            </w:r>
          </w:p>
        </w:tc>
        <w:tc>
          <w:tcPr>
            <w:tcW w:w="980" w:type="dxa"/>
            <w:noWrap/>
            <w:hideMark/>
          </w:tcPr>
          <w:p w14:paraId="7945E6F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4.71</w:t>
            </w:r>
          </w:p>
        </w:tc>
        <w:tc>
          <w:tcPr>
            <w:tcW w:w="1000" w:type="dxa"/>
            <w:noWrap/>
            <w:hideMark/>
          </w:tcPr>
          <w:p w14:paraId="09BBA2D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7.33</w:t>
            </w:r>
          </w:p>
        </w:tc>
        <w:tc>
          <w:tcPr>
            <w:tcW w:w="880" w:type="dxa"/>
            <w:noWrap/>
            <w:hideMark/>
          </w:tcPr>
          <w:p w14:paraId="7E62389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1920EA3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(3.65)</w:t>
            </w:r>
          </w:p>
        </w:tc>
      </w:tr>
      <w:tr w:rsidR="00AE7B3B" w:rsidRPr="000E1B7E" w14:paraId="76CDD1C9"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0F40E1E8"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Beer</w:t>
            </w:r>
          </w:p>
        </w:tc>
        <w:tc>
          <w:tcPr>
            <w:tcW w:w="980" w:type="dxa"/>
            <w:noWrap/>
            <w:hideMark/>
          </w:tcPr>
          <w:p w14:paraId="472743E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(42.96)</w:t>
            </w:r>
          </w:p>
        </w:tc>
        <w:tc>
          <w:tcPr>
            <w:tcW w:w="1120" w:type="dxa"/>
            <w:noWrap/>
            <w:hideMark/>
          </w:tcPr>
          <w:p w14:paraId="48646E06"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(16.73)</w:t>
            </w:r>
          </w:p>
        </w:tc>
        <w:tc>
          <w:tcPr>
            <w:tcW w:w="980" w:type="dxa"/>
            <w:noWrap/>
            <w:hideMark/>
          </w:tcPr>
          <w:p w14:paraId="4FDDC11C"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26.53</w:t>
            </w:r>
          </w:p>
        </w:tc>
        <w:tc>
          <w:tcPr>
            <w:tcW w:w="980" w:type="dxa"/>
            <w:noWrap/>
            <w:hideMark/>
          </w:tcPr>
          <w:p w14:paraId="09461C5A"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(9.65)</w:t>
            </w:r>
          </w:p>
        </w:tc>
        <w:tc>
          <w:tcPr>
            <w:tcW w:w="1000" w:type="dxa"/>
            <w:noWrap/>
            <w:hideMark/>
          </w:tcPr>
          <w:p w14:paraId="61BA5F9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(13.59)</w:t>
            </w:r>
          </w:p>
        </w:tc>
        <w:tc>
          <w:tcPr>
            <w:tcW w:w="880" w:type="dxa"/>
            <w:noWrap/>
            <w:hideMark/>
          </w:tcPr>
          <w:p w14:paraId="45F30FB5"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18AE6E65"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0.05</w:t>
            </w:r>
          </w:p>
        </w:tc>
      </w:tr>
      <w:tr w:rsidR="00AE7B3B" w:rsidRPr="000E1B7E" w14:paraId="2DFAC2A8"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50F5F598"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Cement</w:t>
            </w:r>
          </w:p>
        </w:tc>
        <w:tc>
          <w:tcPr>
            <w:tcW w:w="980" w:type="dxa"/>
            <w:noWrap/>
            <w:hideMark/>
          </w:tcPr>
          <w:p w14:paraId="06DB9F84"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(0.07)</w:t>
            </w:r>
          </w:p>
        </w:tc>
        <w:tc>
          <w:tcPr>
            <w:tcW w:w="1120" w:type="dxa"/>
            <w:noWrap/>
            <w:hideMark/>
          </w:tcPr>
          <w:p w14:paraId="32832F85"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(25.74)</w:t>
            </w:r>
          </w:p>
        </w:tc>
        <w:tc>
          <w:tcPr>
            <w:tcW w:w="980" w:type="dxa"/>
            <w:noWrap/>
            <w:hideMark/>
          </w:tcPr>
          <w:p w14:paraId="6DC2CD5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(26.74)</w:t>
            </w:r>
          </w:p>
        </w:tc>
        <w:tc>
          <w:tcPr>
            <w:tcW w:w="980" w:type="dxa"/>
            <w:noWrap/>
            <w:hideMark/>
          </w:tcPr>
          <w:p w14:paraId="654D76FF"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(9.56)</w:t>
            </w:r>
          </w:p>
        </w:tc>
        <w:tc>
          <w:tcPr>
            <w:tcW w:w="1000" w:type="dxa"/>
            <w:noWrap/>
            <w:hideMark/>
          </w:tcPr>
          <w:p w14:paraId="67DB0B8C"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4.38</w:t>
            </w:r>
          </w:p>
        </w:tc>
        <w:tc>
          <w:tcPr>
            <w:tcW w:w="880" w:type="dxa"/>
            <w:noWrap/>
            <w:hideMark/>
          </w:tcPr>
          <w:p w14:paraId="5956DDD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74885A3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(20.68)</w:t>
            </w:r>
          </w:p>
        </w:tc>
      </w:tr>
      <w:tr w:rsidR="00AE7B3B" w:rsidRPr="000E1B7E" w14:paraId="6E223712"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080A8179"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Cocoa Beans</w:t>
            </w:r>
          </w:p>
        </w:tc>
        <w:tc>
          <w:tcPr>
            <w:tcW w:w="980" w:type="dxa"/>
            <w:noWrap/>
            <w:hideMark/>
          </w:tcPr>
          <w:p w14:paraId="1615BBA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(8.81)</w:t>
            </w:r>
          </w:p>
        </w:tc>
        <w:tc>
          <w:tcPr>
            <w:tcW w:w="1120" w:type="dxa"/>
            <w:noWrap/>
            <w:hideMark/>
          </w:tcPr>
          <w:p w14:paraId="5ACCAE16"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28.52</w:t>
            </w:r>
          </w:p>
        </w:tc>
        <w:tc>
          <w:tcPr>
            <w:tcW w:w="980" w:type="dxa"/>
            <w:noWrap/>
            <w:hideMark/>
          </w:tcPr>
          <w:p w14:paraId="793F799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(16.55)</w:t>
            </w:r>
          </w:p>
        </w:tc>
        <w:tc>
          <w:tcPr>
            <w:tcW w:w="980" w:type="dxa"/>
            <w:noWrap/>
            <w:hideMark/>
          </w:tcPr>
          <w:p w14:paraId="1327F8B6"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(0.00)</w:t>
            </w:r>
          </w:p>
        </w:tc>
        <w:tc>
          <w:tcPr>
            <w:tcW w:w="1000" w:type="dxa"/>
            <w:noWrap/>
            <w:hideMark/>
          </w:tcPr>
          <w:p w14:paraId="7F7D1EC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10.23</w:t>
            </w:r>
          </w:p>
        </w:tc>
        <w:tc>
          <w:tcPr>
            <w:tcW w:w="880" w:type="dxa"/>
            <w:noWrap/>
            <w:hideMark/>
          </w:tcPr>
          <w:p w14:paraId="7E12AF20"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2DD56220"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3.99</w:t>
            </w:r>
          </w:p>
        </w:tc>
      </w:tr>
      <w:tr w:rsidR="00AE7B3B" w:rsidRPr="000E1B7E" w14:paraId="02D8DE76"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31A79863"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Crude oil (excl petroleum products) 3/</w:t>
            </w:r>
          </w:p>
        </w:tc>
        <w:tc>
          <w:tcPr>
            <w:tcW w:w="980" w:type="dxa"/>
            <w:noWrap/>
            <w:hideMark/>
          </w:tcPr>
          <w:p w14:paraId="058DE8B5"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(12.79)</w:t>
            </w:r>
          </w:p>
        </w:tc>
        <w:tc>
          <w:tcPr>
            <w:tcW w:w="1120" w:type="dxa"/>
            <w:noWrap/>
            <w:hideMark/>
          </w:tcPr>
          <w:p w14:paraId="302519F5"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1.06</w:t>
            </w:r>
          </w:p>
        </w:tc>
        <w:tc>
          <w:tcPr>
            <w:tcW w:w="980" w:type="dxa"/>
            <w:noWrap/>
            <w:hideMark/>
          </w:tcPr>
          <w:p w14:paraId="1A619A4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21.62</w:t>
            </w:r>
          </w:p>
        </w:tc>
        <w:tc>
          <w:tcPr>
            <w:tcW w:w="980" w:type="dxa"/>
            <w:noWrap/>
            <w:hideMark/>
          </w:tcPr>
          <w:p w14:paraId="2D69750F"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14.41</w:t>
            </w:r>
          </w:p>
        </w:tc>
        <w:tc>
          <w:tcPr>
            <w:tcW w:w="1000" w:type="dxa"/>
            <w:noWrap/>
            <w:hideMark/>
          </w:tcPr>
          <w:p w14:paraId="41BC884E"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29.02</w:t>
            </w:r>
          </w:p>
        </w:tc>
        <w:tc>
          <w:tcPr>
            <w:tcW w:w="880" w:type="dxa"/>
            <w:noWrap/>
            <w:hideMark/>
          </w:tcPr>
          <w:p w14:paraId="78C5F99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5E050D3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12.36</w:t>
            </w:r>
          </w:p>
        </w:tc>
      </w:tr>
      <w:tr w:rsidR="00AE7B3B" w:rsidRPr="000E1B7E" w14:paraId="070B0C11"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54DB026C"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Fruits &amp; Vegetables</w:t>
            </w:r>
          </w:p>
        </w:tc>
        <w:tc>
          <w:tcPr>
            <w:tcW w:w="980" w:type="dxa"/>
            <w:noWrap/>
            <w:hideMark/>
          </w:tcPr>
          <w:p w14:paraId="70F8D3DB"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56.09</w:t>
            </w:r>
          </w:p>
        </w:tc>
        <w:tc>
          <w:tcPr>
            <w:tcW w:w="1120" w:type="dxa"/>
            <w:noWrap/>
            <w:hideMark/>
          </w:tcPr>
          <w:p w14:paraId="14E47B9C"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54.34</w:t>
            </w:r>
          </w:p>
        </w:tc>
        <w:tc>
          <w:tcPr>
            <w:tcW w:w="980" w:type="dxa"/>
            <w:noWrap/>
            <w:hideMark/>
          </w:tcPr>
          <w:p w14:paraId="1C66DDAD"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(15.23)</w:t>
            </w:r>
          </w:p>
        </w:tc>
        <w:tc>
          <w:tcPr>
            <w:tcW w:w="980" w:type="dxa"/>
            <w:noWrap/>
            <w:hideMark/>
          </w:tcPr>
          <w:p w14:paraId="3152ECB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31.53</w:t>
            </w:r>
          </w:p>
        </w:tc>
        <w:tc>
          <w:tcPr>
            <w:tcW w:w="1000" w:type="dxa"/>
            <w:noWrap/>
            <w:hideMark/>
          </w:tcPr>
          <w:p w14:paraId="554F410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24.55</w:t>
            </w:r>
          </w:p>
        </w:tc>
        <w:tc>
          <w:tcPr>
            <w:tcW w:w="880" w:type="dxa"/>
            <w:noWrap/>
            <w:hideMark/>
          </w:tcPr>
          <w:p w14:paraId="5C7DA31F"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5AE7BB5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23.55</w:t>
            </w:r>
          </w:p>
        </w:tc>
      </w:tr>
      <w:tr w:rsidR="00AE7B3B" w:rsidRPr="000E1B7E" w14:paraId="0501FFEF"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4DDAADA2"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Groundnuts</w:t>
            </w:r>
          </w:p>
        </w:tc>
        <w:tc>
          <w:tcPr>
            <w:tcW w:w="980" w:type="dxa"/>
            <w:noWrap/>
            <w:hideMark/>
          </w:tcPr>
          <w:p w14:paraId="5944084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254.16</w:t>
            </w:r>
          </w:p>
        </w:tc>
        <w:tc>
          <w:tcPr>
            <w:tcW w:w="1120" w:type="dxa"/>
            <w:noWrap/>
            <w:hideMark/>
          </w:tcPr>
          <w:p w14:paraId="21FF53C2"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129.73</w:t>
            </w:r>
          </w:p>
        </w:tc>
        <w:tc>
          <w:tcPr>
            <w:tcW w:w="980" w:type="dxa"/>
            <w:noWrap/>
            <w:hideMark/>
          </w:tcPr>
          <w:p w14:paraId="5B3CEE8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(82.94)</w:t>
            </w:r>
          </w:p>
        </w:tc>
        <w:tc>
          <w:tcPr>
            <w:tcW w:w="980" w:type="dxa"/>
            <w:noWrap/>
            <w:hideMark/>
          </w:tcPr>
          <w:p w14:paraId="4B977B99"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280.72</w:t>
            </w:r>
          </w:p>
        </w:tc>
        <w:tc>
          <w:tcPr>
            <w:tcW w:w="1000" w:type="dxa"/>
            <w:noWrap/>
            <w:hideMark/>
          </w:tcPr>
          <w:p w14:paraId="0D6D6C29"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8,567.16</w:t>
            </w:r>
          </w:p>
        </w:tc>
        <w:tc>
          <w:tcPr>
            <w:tcW w:w="880" w:type="dxa"/>
            <w:noWrap/>
            <w:hideMark/>
          </w:tcPr>
          <w:p w14:paraId="39DB10A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241998A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109.17</w:t>
            </w:r>
          </w:p>
        </w:tc>
      </w:tr>
      <w:tr w:rsidR="00AE7B3B" w:rsidRPr="000E1B7E" w14:paraId="3C72C9FB"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38C42F51"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Other Pulses     1/</w:t>
            </w:r>
          </w:p>
        </w:tc>
        <w:tc>
          <w:tcPr>
            <w:tcW w:w="980" w:type="dxa"/>
            <w:noWrap/>
            <w:hideMark/>
          </w:tcPr>
          <w:p w14:paraId="595818C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42.42</w:t>
            </w:r>
          </w:p>
        </w:tc>
        <w:tc>
          <w:tcPr>
            <w:tcW w:w="1120" w:type="dxa"/>
            <w:noWrap/>
            <w:hideMark/>
          </w:tcPr>
          <w:p w14:paraId="23BC83A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13.63</w:t>
            </w:r>
          </w:p>
        </w:tc>
        <w:tc>
          <w:tcPr>
            <w:tcW w:w="980" w:type="dxa"/>
            <w:noWrap/>
            <w:hideMark/>
          </w:tcPr>
          <w:p w14:paraId="1212ADC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21.80</w:t>
            </w:r>
          </w:p>
        </w:tc>
        <w:tc>
          <w:tcPr>
            <w:tcW w:w="980" w:type="dxa"/>
            <w:noWrap/>
            <w:hideMark/>
          </w:tcPr>
          <w:p w14:paraId="71A2640A"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6.98</w:t>
            </w:r>
          </w:p>
        </w:tc>
        <w:tc>
          <w:tcPr>
            <w:tcW w:w="1000" w:type="dxa"/>
            <w:noWrap/>
            <w:hideMark/>
          </w:tcPr>
          <w:p w14:paraId="7DE4DA4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159.01</w:t>
            </w:r>
          </w:p>
        </w:tc>
        <w:tc>
          <w:tcPr>
            <w:tcW w:w="880" w:type="dxa"/>
            <w:noWrap/>
            <w:hideMark/>
          </w:tcPr>
          <w:p w14:paraId="4F96BF5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65385070"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14.14</w:t>
            </w:r>
          </w:p>
        </w:tc>
      </w:tr>
      <w:tr w:rsidR="00AE7B3B" w:rsidRPr="000E1B7E" w14:paraId="4735F99A"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1ABB6E3D"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Soap</w:t>
            </w:r>
          </w:p>
        </w:tc>
        <w:tc>
          <w:tcPr>
            <w:tcW w:w="980" w:type="dxa"/>
            <w:noWrap/>
            <w:hideMark/>
          </w:tcPr>
          <w:p w14:paraId="2380DBA6"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(7.80)</w:t>
            </w:r>
          </w:p>
        </w:tc>
        <w:tc>
          <w:tcPr>
            <w:tcW w:w="1120" w:type="dxa"/>
            <w:noWrap/>
            <w:hideMark/>
          </w:tcPr>
          <w:p w14:paraId="21773FB4"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(18.33)</w:t>
            </w:r>
          </w:p>
        </w:tc>
        <w:tc>
          <w:tcPr>
            <w:tcW w:w="980" w:type="dxa"/>
            <w:noWrap/>
            <w:hideMark/>
          </w:tcPr>
          <w:p w14:paraId="76D3B268"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(4.84)</w:t>
            </w:r>
          </w:p>
        </w:tc>
        <w:tc>
          <w:tcPr>
            <w:tcW w:w="980" w:type="dxa"/>
            <w:noWrap/>
            <w:hideMark/>
          </w:tcPr>
          <w:p w14:paraId="32702DB4"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15.20</w:t>
            </w:r>
          </w:p>
        </w:tc>
        <w:tc>
          <w:tcPr>
            <w:tcW w:w="1000" w:type="dxa"/>
            <w:noWrap/>
            <w:hideMark/>
          </w:tcPr>
          <w:p w14:paraId="149617DA"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15.59</w:t>
            </w:r>
          </w:p>
        </w:tc>
        <w:tc>
          <w:tcPr>
            <w:tcW w:w="880" w:type="dxa"/>
            <w:noWrap/>
            <w:hideMark/>
          </w:tcPr>
          <w:p w14:paraId="5D1DC848"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5A9953F0"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(2.66)</w:t>
            </w:r>
          </w:p>
        </w:tc>
      </w:tr>
      <w:tr w:rsidR="00AE7B3B" w:rsidRPr="000E1B7E" w14:paraId="2FBC8D20"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7CB5537F"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Vanilla</w:t>
            </w:r>
          </w:p>
        </w:tc>
        <w:tc>
          <w:tcPr>
            <w:tcW w:w="980" w:type="dxa"/>
            <w:noWrap/>
            <w:hideMark/>
          </w:tcPr>
          <w:p w14:paraId="5351251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79.69</w:t>
            </w:r>
          </w:p>
        </w:tc>
        <w:tc>
          <w:tcPr>
            <w:tcW w:w="1120" w:type="dxa"/>
            <w:noWrap/>
            <w:hideMark/>
          </w:tcPr>
          <w:p w14:paraId="6B08202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95.32</w:t>
            </w:r>
          </w:p>
        </w:tc>
        <w:tc>
          <w:tcPr>
            <w:tcW w:w="980" w:type="dxa"/>
            <w:noWrap/>
            <w:hideMark/>
          </w:tcPr>
          <w:p w14:paraId="31C607E7"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30.35</w:t>
            </w:r>
          </w:p>
        </w:tc>
        <w:tc>
          <w:tcPr>
            <w:tcW w:w="980" w:type="dxa"/>
            <w:noWrap/>
            <w:hideMark/>
          </w:tcPr>
          <w:p w14:paraId="152A0874"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47.99</w:t>
            </w:r>
          </w:p>
        </w:tc>
        <w:tc>
          <w:tcPr>
            <w:tcW w:w="1000" w:type="dxa"/>
            <w:noWrap/>
            <w:hideMark/>
          </w:tcPr>
          <w:p w14:paraId="0893145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246.51</w:t>
            </w:r>
          </w:p>
        </w:tc>
        <w:tc>
          <w:tcPr>
            <w:tcW w:w="880" w:type="dxa"/>
            <w:noWrap/>
            <w:hideMark/>
          </w:tcPr>
          <w:p w14:paraId="0D7F60E3"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6AB4A8CC"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57.89</w:t>
            </w:r>
          </w:p>
        </w:tc>
      </w:tr>
      <w:tr w:rsidR="00AE7B3B" w:rsidRPr="000E1B7E" w14:paraId="42A39D21" w14:textId="77777777" w:rsidTr="00AE7B3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6F7ED77E"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Water</w:t>
            </w:r>
          </w:p>
        </w:tc>
        <w:tc>
          <w:tcPr>
            <w:tcW w:w="980" w:type="dxa"/>
            <w:noWrap/>
            <w:hideMark/>
          </w:tcPr>
          <w:p w14:paraId="701DF8E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(25.44)</w:t>
            </w:r>
          </w:p>
        </w:tc>
        <w:tc>
          <w:tcPr>
            <w:tcW w:w="1120" w:type="dxa"/>
            <w:noWrap/>
            <w:hideMark/>
          </w:tcPr>
          <w:p w14:paraId="48E39B8D"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(46.29)</w:t>
            </w:r>
          </w:p>
        </w:tc>
        <w:tc>
          <w:tcPr>
            <w:tcW w:w="980" w:type="dxa"/>
            <w:noWrap/>
            <w:hideMark/>
          </w:tcPr>
          <w:p w14:paraId="5ED3490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(12.40)</w:t>
            </w:r>
          </w:p>
        </w:tc>
        <w:tc>
          <w:tcPr>
            <w:tcW w:w="980" w:type="dxa"/>
            <w:noWrap/>
            <w:hideMark/>
          </w:tcPr>
          <w:p w14:paraId="6AA4DB4B"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37.87</w:t>
            </w:r>
          </w:p>
        </w:tc>
        <w:tc>
          <w:tcPr>
            <w:tcW w:w="1000" w:type="dxa"/>
            <w:noWrap/>
            <w:hideMark/>
          </w:tcPr>
          <w:p w14:paraId="517DB8F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45.61</w:t>
            </w:r>
          </w:p>
        </w:tc>
        <w:tc>
          <w:tcPr>
            <w:tcW w:w="880" w:type="dxa"/>
            <w:noWrap/>
            <w:hideMark/>
          </w:tcPr>
          <w:p w14:paraId="5F2DCB13"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p>
        </w:tc>
        <w:tc>
          <w:tcPr>
            <w:tcW w:w="1107" w:type="dxa"/>
            <w:noWrap/>
            <w:hideMark/>
          </w:tcPr>
          <w:p w14:paraId="7AD46E97" w14:textId="77777777" w:rsidR="00AE7B3B" w:rsidRPr="000E1B7E" w:rsidRDefault="00AE7B3B" w:rsidP="005959B5">
            <w:pPr>
              <w:jc w:val="both"/>
              <w:cnfStyle w:val="000000100000" w:firstRow="0" w:lastRow="0" w:firstColumn="0" w:lastColumn="0" w:oddVBand="0" w:evenVBand="0" w:oddHBand="1" w:evenHBand="0" w:firstRowFirstColumn="0" w:firstRowLastColumn="0" w:lastRowFirstColumn="0" w:lastRowLastColumn="0"/>
              <w:rPr>
                <w:color w:val="000000"/>
                <w:sz w:val="20"/>
                <w:szCs w:val="20"/>
                <w:lang w:val="en-US"/>
              </w:rPr>
            </w:pPr>
            <w:r w:rsidRPr="000E1B7E">
              <w:rPr>
                <w:color w:val="000000"/>
                <w:sz w:val="20"/>
                <w:szCs w:val="20"/>
                <w:lang w:val="en-US"/>
              </w:rPr>
              <w:t>(6.94)</w:t>
            </w:r>
          </w:p>
        </w:tc>
      </w:tr>
      <w:tr w:rsidR="00AE7B3B" w:rsidRPr="000E1B7E" w14:paraId="52239174" w14:textId="77777777" w:rsidTr="00AE7B3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8" w:type="dxa"/>
            <w:noWrap/>
            <w:hideMark/>
          </w:tcPr>
          <w:p w14:paraId="19CFC1A6" w14:textId="77777777" w:rsidR="00AE7B3B" w:rsidRPr="000E1B7E" w:rsidRDefault="00AE7B3B" w:rsidP="005959B5">
            <w:pPr>
              <w:jc w:val="both"/>
              <w:rPr>
                <w:rFonts w:ascii="Times New Roman" w:eastAsia="Times New Roman" w:hAnsi="Times New Roman" w:cs="Times New Roman"/>
                <w:color w:val="000000"/>
                <w:sz w:val="20"/>
                <w:szCs w:val="20"/>
                <w:lang w:val="en-US"/>
              </w:rPr>
            </w:pPr>
            <w:r w:rsidRPr="000E1B7E">
              <w:rPr>
                <w:rFonts w:ascii="Times New Roman" w:eastAsia="Times New Roman" w:hAnsi="Times New Roman" w:cs="Times New Roman"/>
                <w:color w:val="000000"/>
                <w:sz w:val="20"/>
                <w:szCs w:val="20"/>
                <w:lang w:val="en-US"/>
              </w:rPr>
              <w:t>Other Exports     2/</w:t>
            </w:r>
          </w:p>
        </w:tc>
        <w:tc>
          <w:tcPr>
            <w:tcW w:w="980" w:type="dxa"/>
            <w:noWrap/>
            <w:hideMark/>
          </w:tcPr>
          <w:p w14:paraId="5244BBCB"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(6.07)</w:t>
            </w:r>
          </w:p>
        </w:tc>
        <w:tc>
          <w:tcPr>
            <w:tcW w:w="1120" w:type="dxa"/>
            <w:noWrap/>
            <w:hideMark/>
          </w:tcPr>
          <w:p w14:paraId="31E54752"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(1.82)</w:t>
            </w:r>
          </w:p>
        </w:tc>
        <w:tc>
          <w:tcPr>
            <w:tcW w:w="980" w:type="dxa"/>
            <w:noWrap/>
            <w:hideMark/>
          </w:tcPr>
          <w:p w14:paraId="43EDCFD5"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13.11</w:t>
            </w:r>
          </w:p>
        </w:tc>
        <w:tc>
          <w:tcPr>
            <w:tcW w:w="980" w:type="dxa"/>
            <w:noWrap/>
            <w:hideMark/>
          </w:tcPr>
          <w:p w14:paraId="154AFD51"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13.79</w:t>
            </w:r>
          </w:p>
        </w:tc>
        <w:tc>
          <w:tcPr>
            <w:tcW w:w="1000" w:type="dxa"/>
            <w:noWrap/>
            <w:hideMark/>
          </w:tcPr>
          <w:p w14:paraId="78E4C53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12.35</w:t>
            </w:r>
          </w:p>
        </w:tc>
        <w:tc>
          <w:tcPr>
            <w:tcW w:w="880" w:type="dxa"/>
            <w:noWrap/>
            <w:hideMark/>
          </w:tcPr>
          <w:p w14:paraId="7B6EE968"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p>
        </w:tc>
        <w:tc>
          <w:tcPr>
            <w:tcW w:w="1107" w:type="dxa"/>
            <w:noWrap/>
            <w:hideMark/>
          </w:tcPr>
          <w:p w14:paraId="68FD228E" w14:textId="77777777" w:rsidR="00AE7B3B" w:rsidRPr="000E1B7E" w:rsidRDefault="00AE7B3B" w:rsidP="005959B5">
            <w:pPr>
              <w:jc w:val="both"/>
              <w:cnfStyle w:val="000000010000" w:firstRow="0" w:lastRow="0" w:firstColumn="0" w:lastColumn="0" w:oddVBand="0" w:evenVBand="0" w:oddHBand="0" w:evenHBand="1" w:firstRowFirstColumn="0" w:firstRowLastColumn="0" w:lastRowFirstColumn="0" w:lastRowLastColumn="0"/>
              <w:rPr>
                <w:color w:val="000000"/>
                <w:sz w:val="20"/>
                <w:szCs w:val="20"/>
                <w:lang w:val="en-US"/>
              </w:rPr>
            </w:pPr>
            <w:r w:rsidRPr="000E1B7E">
              <w:rPr>
                <w:color w:val="000000"/>
                <w:sz w:val="20"/>
                <w:szCs w:val="20"/>
                <w:lang w:val="en-US"/>
              </w:rPr>
              <w:t>8.36</w:t>
            </w:r>
          </w:p>
        </w:tc>
      </w:tr>
    </w:tbl>
    <w:p w14:paraId="398FF040" w14:textId="77777777" w:rsidR="00AE7B3B" w:rsidRPr="000E1B7E" w:rsidRDefault="00AE7B3B" w:rsidP="005959B5">
      <w:pPr>
        <w:spacing w:line="360" w:lineRule="auto"/>
        <w:jc w:val="both"/>
      </w:pPr>
      <w:r w:rsidRPr="000E1B7E">
        <w:t>Source: Computed based on Export statistics by Bank of Uganda</w:t>
      </w:r>
    </w:p>
    <w:p w14:paraId="62008A4F" w14:textId="77777777" w:rsidR="00AE7B3B" w:rsidRPr="000E1B7E" w:rsidRDefault="00AE7B3B" w:rsidP="005959B5">
      <w:pPr>
        <w:spacing w:line="360" w:lineRule="auto"/>
        <w:jc w:val="both"/>
      </w:pPr>
    </w:p>
    <w:p w14:paraId="49C6E858" w14:textId="77777777" w:rsidR="00AE7B3B" w:rsidRPr="000E1B7E" w:rsidRDefault="005E042B" w:rsidP="00F85D24">
      <w:pPr>
        <w:pStyle w:val="DeltaBodytext"/>
        <w:numPr>
          <w:ilvl w:val="0"/>
          <w:numId w:val="26"/>
        </w:numPr>
        <w:autoSpaceDE w:val="0"/>
        <w:autoSpaceDN w:val="0"/>
        <w:adjustRightInd w:val="0"/>
        <w:spacing w:before="240" w:line="360" w:lineRule="auto"/>
        <w:ind w:left="567" w:hanging="567"/>
        <w:rPr>
          <w:rFonts w:ascii="Times New Roman" w:hAnsi="Times New Roman"/>
          <w:color w:val="000000"/>
          <w:sz w:val="24"/>
          <w:szCs w:val="24"/>
          <w:lang w:val="en-US"/>
        </w:rPr>
      </w:pPr>
      <w:r w:rsidRPr="000E1B7E">
        <w:rPr>
          <w:rFonts w:ascii="Times New Roman" w:hAnsi="Times New Roman"/>
          <w:sz w:val="24"/>
          <w:szCs w:val="24"/>
        </w:rPr>
        <w:lastRenderedPageBreak/>
        <w:t>As shown in the table 17</w:t>
      </w:r>
      <w:r w:rsidR="00AE7B3B" w:rsidRPr="000E1B7E">
        <w:rPr>
          <w:rFonts w:ascii="Times New Roman" w:hAnsi="Times New Roman"/>
          <w:sz w:val="24"/>
          <w:szCs w:val="24"/>
        </w:rPr>
        <w:t xml:space="preserve">, the actual annual growth of export is higher than projected under NDP except for </w:t>
      </w:r>
      <w:r w:rsidR="00AE7B3B" w:rsidRPr="000E1B7E">
        <w:rPr>
          <w:rFonts w:ascii="Times New Roman" w:hAnsi="Times New Roman"/>
          <w:color w:val="000000"/>
          <w:sz w:val="24"/>
          <w:szCs w:val="24"/>
          <w:lang w:val="en-US"/>
        </w:rPr>
        <w:t>Plastic Products and Edible Fats and Oils, both of which have registered negative growth rates of 8.72% and 30.38% respectively over the first three years of NDP II compared to the projected growth of 21.64% and 6.15% respectively.  Overall, most commodities have register</w:t>
      </w:r>
      <w:r w:rsidR="00910179" w:rsidRPr="000E1B7E">
        <w:rPr>
          <w:rFonts w:ascii="Times New Roman" w:hAnsi="Times New Roman"/>
          <w:color w:val="000000"/>
          <w:sz w:val="24"/>
          <w:szCs w:val="24"/>
          <w:lang w:val="en-US"/>
        </w:rPr>
        <w:t>ed positive annual growth in ex</w:t>
      </w:r>
      <w:r w:rsidR="00AE7B3B" w:rsidRPr="000E1B7E">
        <w:rPr>
          <w:rFonts w:ascii="Times New Roman" w:hAnsi="Times New Roman"/>
          <w:color w:val="000000"/>
          <w:sz w:val="24"/>
          <w:szCs w:val="24"/>
          <w:lang w:val="en-US"/>
        </w:rPr>
        <w:t>ports over the first three years of NDP II except Water, Soap, Cement, Simsim, Tobacco, Plastic Products, and Edible Fats and Oils.</w:t>
      </w:r>
    </w:p>
    <w:p w14:paraId="6ECC442B" w14:textId="77777777" w:rsidR="004E64B1" w:rsidRPr="000E1B7E" w:rsidRDefault="008624B5" w:rsidP="00F85D24">
      <w:pPr>
        <w:pStyle w:val="ListParagraph"/>
        <w:numPr>
          <w:ilvl w:val="2"/>
          <w:numId w:val="22"/>
        </w:numPr>
        <w:ind w:left="851" w:hanging="851"/>
        <w:rPr>
          <w:rFonts w:ascii="Times New Roman" w:hAnsi="Times New Roman"/>
          <w:b/>
          <w:color w:val="000000" w:themeColor="text1"/>
          <w:sz w:val="24"/>
          <w:szCs w:val="24"/>
        </w:rPr>
      </w:pPr>
      <w:bookmarkStart w:id="146" w:name="_Toc3478397"/>
      <w:r w:rsidRPr="000E1B7E">
        <w:rPr>
          <w:rFonts w:ascii="Times New Roman" w:hAnsi="Times New Roman"/>
          <w:b/>
          <w:color w:val="000000" w:themeColor="text1"/>
          <w:sz w:val="24"/>
          <w:szCs w:val="24"/>
        </w:rPr>
        <w:t xml:space="preserve">Merchnadise </w:t>
      </w:r>
      <w:r w:rsidR="004E64B1" w:rsidRPr="000E1B7E">
        <w:rPr>
          <w:rFonts w:ascii="Times New Roman" w:hAnsi="Times New Roman"/>
          <w:b/>
          <w:color w:val="000000" w:themeColor="text1"/>
          <w:sz w:val="24"/>
          <w:szCs w:val="24"/>
        </w:rPr>
        <w:t>Exports as a Percentage of GDP</w:t>
      </w:r>
      <w:bookmarkEnd w:id="146"/>
    </w:p>
    <w:p w14:paraId="2D601B69" w14:textId="77777777" w:rsidR="004E64B1" w:rsidRPr="000E1B7E" w:rsidRDefault="004E64B1"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NDP II strategy aimed at increasing the ratio of </w:t>
      </w:r>
      <w:r w:rsidR="00E968DC" w:rsidRPr="000E1B7E">
        <w:rPr>
          <w:rFonts w:ascii="Times New Roman" w:hAnsi="Times New Roman"/>
          <w:sz w:val="24"/>
          <w:szCs w:val="24"/>
        </w:rPr>
        <w:t xml:space="preserve">merchandise </w:t>
      </w:r>
      <w:r w:rsidRPr="000E1B7E">
        <w:rPr>
          <w:rFonts w:ascii="Times New Roman" w:hAnsi="Times New Roman"/>
          <w:sz w:val="24"/>
          <w:szCs w:val="24"/>
        </w:rPr>
        <w:t xml:space="preserve">exports to GDP to </w:t>
      </w:r>
      <w:r w:rsidR="00E968DC" w:rsidRPr="000E1B7E">
        <w:rPr>
          <w:rFonts w:ascii="Times New Roman" w:hAnsi="Times New Roman"/>
          <w:sz w:val="24"/>
          <w:szCs w:val="24"/>
        </w:rPr>
        <w:t xml:space="preserve">16.5% </w:t>
      </w:r>
      <w:r w:rsidRPr="000E1B7E">
        <w:rPr>
          <w:rFonts w:ascii="Times New Roman" w:hAnsi="Times New Roman"/>
          <w:sz w:val="24"/>
          <w:szCs w:val="24"/>
        </w:rPr>
        <w:t xml:space="preserve">by 2020. </w:t>
      </w:r>
      <w:r w:rsidR="00007414" w:rsidRPr="000E1B7E">
        <w:rPr>
          <w:rFonts w:ascii="Times New Roman" w:hAnsi="Times New Roman"/>
          <w:sz w:val="24"/>
          <w:szCs w:val="24"/>
        </w:rPr>
        <w:t>It should be noted that NDP II document had inconsistent projections for Exports as a % of GDP. NDP II strategy page 133 projects Exports as a % of GDP to grow to 16.5% by end of NDP II; while debt sustainability assumptions are based on target of average exports of goods to GDP of 14% over NDP II period</w:t>
      </w:r>
      <w:r w:rsidR="000A70B3" w:rsidRPr="000E1B7E">
        <w:rPr>
          <w:rFonts w:ascii="Times New Roman" w:hAnsi="Times New Roman"/>
          <w:sz w:val="24"/>
          <w:szCs w:val="24"/>
        </w:rPr>
        <w:t xml:space="preserve"> (page 154)</w:t>
      </w:r>
      <w:r w:rsidR="00007414" w:rsidRPr="000E1B7E">
        <w:rPr>
          <w:rFonts w:ascii="Times New Roman" w:hAnsi="Times New Roman"/>
          <w:sz w:val="24"/>
          <w:szCs w:val="24"/>
        </w:rPr>
        <w:t xml:space="preserve">; while NDP II results framework (table 5A on page 284) forcasts exports proportion to GDP to 9.88 by 2017/18 and 9.95 by 2019/20. Merchandise Exports performance data by bank of Uganda revealed that  Exports as a % of GDP over the first three years of NDP II has increased from 10.9% in 2015/16 to 12.72% in 2017/18. Accordingly, despite the recorded growth in merchandise exports, the country is still lagging behing her </w:t>
      </w:r>
      <w:r w:rsidR="000A70B3" w:rsidRPr="000E1B7E">
        <w:rPr>
          <w:rFonts w:ascii="Times New Roman" w:hAnsi="Times New Roman"/>
          <w:sz w:val="24"/>
          <w:szCs w:val="24"/>
        </w:rPr>
        <w:t xml:space="preserve">target of exports to GDP ration and it is unlikely to achieve the target of 16.5% by 2019/20. </w:t>
      </w:r>
    </w:p>
    <w:p w14:paraId="5B08534D" w14:textId="77777777" w:rsidR="004E64B1" w:rsidRPr="000E1B7E" w:rsidRDefault="00061159" w:rsidP="00061159">
      <w:pPr>
        <w:pStyle w:val="Caption"/>
        <w:rPr>
          <w:rFonts w:ascii="Times New Roman" w:eastAsia="Calibri" w:hAnsi="Times New Roman" w:cs="Times New Roman"/>
          <w:b/>
          <w:bCs/>
          <w:i w:val="0"/>
          <w:color w:val="auto"/>
          <w:sz w:val="24"/>
          <w:szCs w:val="24"/>
          <w:lang w:val="en-GB"/>
        </w:rPr>
      </w:pPr>
      <w:bookmarkStart w:id="147" w:name="_Toc3483128"/>
      <w:r w:rsidRPr="000E1B7E">
        <w:rPr>
          <w:rFonts w:ascii="Times New Roman" w:eastAsia="Calibri" w:hAnsi="Times New Roman" w:cs="Times New Roman"/>
          <w:b/>
          <w:bCs/>
          <w:i w:val="0"/>
          <w:color w:val="auto"/>
          <w:sz w:val="24"/>
          <w:szCs w:val="24"/>
          <w:lang w:val="en-GB"/>
        </w:rPr>
        <w:t xml:space="preserve">Table </w:t>
      </w:r>
      <w:r w:rsidR="001232BF" w:rsidRPr="000E1B7E">
        <w:rPr>
          <w:rFonts w:ascii="Times New Roman" w:eastAsia="Calibri" w:hAnsi="Times New Roman" w:cs="Times New Roman"/>
          <w:b/>
          <w:bCs/>
          <w:i w:val="0"/>
          <w:color w:val="auto"/>
          <w:sz w:val="24"/>
          <w:szCs w:val="24"/>
          <w:lang w:val="en-GB"/>
        </w:rPr>
        <w:fldChar w:fldCharType="begin"/>
      </w:r>
      <w:r w:rsidRPr="000E1B7E">
        <w:rPr>
          <w:rFonts w:ascii="Times New Roman" w:eastAsia="Calibri" w:hAnsi="Times New Roman" w:cs="Times New Roman"/>
          <w:b/>
          <w:bCs/>
          <w:i w:val="0"/>
          <w:color w:val="auto"/>
          <w:sz w:val="24"/>
          <w:szCs w:val="24"/>
          <w:lang w:val="en-GB"/>
        </w:rPr>
        <w:instrText xml:space="preserve"> SEQ Table \* ARABIC </w:instrText>
      </w:r>
      <w:r w:rsidR="001232BF" w:rsidRPr="000E1B7E">
        <w:rPr>
          <w:rFonts w:ascii="Times New Roman" w:eastAsia="Calibri" w:hAnsi="Times New Roman" w:cs="Times New Roman"/>
          <w:b/>
          <w:bCs/>
          <w:i w:val="0"/>
          <w:color w:val="auto"/>
          <w:sz w:val="24"/>
          <w:szCs w:val="24"/>
          <w:lang w:val="en-GB"/>
        </w:rPr>
        <w:fldChar w:fldCharType="separate"/>
      </w:r>
      <w:r w:rsidR="006461AC" w:rsidRPr="000E1B7E">
        <w:rPr>
          <w:rFonts w:ascii="Times New Roman" w:eastAsia="Calibri" w:hAnsi="Times New Roman" w:cs="Times New Roman"/>
          <w:b/>
          <w:bCs/>
          <w:i w:val="0"/>
          <w:noProof/>
          <w:color w:val="auto"/>
          <w:sz w:val="24"/>
          <w:szCs w:val="24"/>
          <w:lang w:val="en-GB"/>
        </w:rPr>
        <w:t>18</w:t>
      </w:r>
      <w:r w:rsidR="001232BF" w:rsidRPr="000E1B7E">
        <w:rPr>
          <w:rFonts w:ascii="Times New Roman" w:eastAsia="Calibri" w:hAnsi="Times New Roman" w:cs="Times New Roman"/>
          <w:b/>
          <w:bCs/>
          <w:i w:val="0"/>
          <w:color w:val="auto"/>
          <w:sz w:val="24"/>
          <w:szCs w:val="24"/>
          <w:lang w:val="en-GB"/>
        </w:rPr>
        <w:fldChar w:fldCharType="end"/>
      </w:r>
      <w:r w:rsidR="004E64B1" w:rsidRPr="000E1B7E">
        <w:rPr>
          <w:rFonts w:ascii="Times New Roman" w:eastAsia="Calibri" w:hAnsi="Times New Roman" w:cs="Times New Roman"/>
          <w:b/>
          <w:bCs/>
          <w:i w:val="0"/>
          <w:color w:val="auto"/>
          <w:sz w:val="24"/>
          <w:szCs w:val="24"/>
          <w:lang w:val="en-GB"/>
        </w:rPr>
        <w:t>: Exports as a Percentage of GDP</w:t>
      </w:r>
      <w:bookmarkEnd w:id="147"/>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6"/>
        <w:gridCol w:w="889"/>
        <w:gridCol w:w="889"/>
        <w:gridCol w:w="889"/>
        <w:gridCol w:w="889"/>
        <w:gridCol w:w="889"/>
        <w:gridCol w:w="889"/>
        <w:gridCol w:w="889"/>
        <w:gridCol w:w="977"/>
      </w:tblGrid>
      <w:tr w:rsidR="00E1448F" w:rsidRPr="000E1B7E" w14:paraId="2E7B8B7C" w14:textId="77777777" w:rsidTr="009243BD">
        <w:trPr>
          <w:trHeight w:val="315"/>
        </w:trPr>
        <w:tc>
          <w:tcPr>
            <w:tcW w:w="1103" w:type="pct"/>
            <w:shd w:val="clear" w:color="000000" w:fill="BFBFBF"/>
            <w:noWrap/>
            <w:vAlign w:val="bottom"/>
            <w:hideMark/>
          </w:tcPr>
          <w:p w14:paraId="697087BD" w14:textId="77777777" w:rsidR="00E1448F" w:rsidRPr="000E1B7E" w:rsidRDefault="00E1448F" w:rsidP="005959B5">
            <w:pPr>
              <w:jc w:val="both"/>
              <w:rPr>
                <w:b/>
                <w:bCs/>
                <w:sz w:val="20"/>
                <w:szCs w:val="20"/>
                <w:lang w:val="en-US"/>
              </w:rPr>
            </w:pPr>
            <w:r w:rsidRPr="000E1B7E">
              <w:rPr>
                <w:b/>
                <w:bCs/>
                <w:sz w:val="20"/>
                <w:szCs w:val="20"/>
                <w:lang w:val="en-US"/>
              </w:rPr>
              <w:t> </w:t>
            </w:r>
          </w:p>
        </w:tc>
        <w:tc>
          <w:tcPr>
            <w:tcW w:w="482" w:type="pct"/>
            <w:shd w:val="clear" w:color="000000" w:fill="BFBFBF"/>
            <w:noWrap/>
            <w:vAlign w:val="bottom"/>
            <w:hideMark/>
          </w:tcPr>
          <w:p w14:paraId="1D14448A" w14:textId="77777777" w:rsidR="00E1448F" w:rsidRPr="000E1B7E" w:rsidRDefault="00E1448F" w:rsidP="005959B5">
            <w:pPr>
              <w:jc w:val="both"/>
              <w:rPr>
                <w:b/>
                <w:bCs/>
                <w:sz w:val="20"/>
                <w:szCs w:val="20"/>
                <w:lang w:val="en-US"/>
              </w:rPr>
            </w:pPr>
            <w:r w:rsidRPr="000E1B7E">
              <w:rPr>
                <w:b/>
                <w:bCs/>
                <w:sz w:val="20"/>
                <w:szCs w:val="20"/>
                <w:lang w:val="en-US"/>
              </w:rPr>
              <w:t>2010/11</w:t>
            </w:r>
          </w:p>
        </w:tc>
        <w:tc>
          <w:tcPr>
            <w:tcW w:w="481" w:type="pct"/>
            <w:shd w:val="clear" w:color="000000" w:fill="BFBFBF"/>
            <w:noWrap/>
            <w:vAlign w:val="bottom"/>
            <w:hideMark/>
          </w:tcPr>
          <w:p w14:paraId="2D9624AC" w14:textId="77777777" w:rsidR="00E1448F" w:rsidRPr="000E1B7E" w:rsidRDefault="00E1448F" w:rsidP="005959B5">
            <w:pPr>
              <w:jc w:val="both"/>
              <w:rPr>
                <w:b/>
                <w:bCs/>
                <w:sz w:val="20"/>
                <w:szCs w:val="20"/>
                <w:lang w:val="en-US"/>
              </w:rPr>
            </w:pPr>
            <w:r w:rsidRPr="000E1B7E">
              <w:rPr>
                <w:b/>
                <w:bCs/>
                <w:sz w:val="20"/>
                <w:szCs w:val="20"/>
                <w:lang w:val="en-US"/>
              </w:rPr>
              <w:t>2011/12</w:t>
            </w:r>
          </w:p>
        </w:tc>
        <w:tc>
          <w:tcPr>
            <w:tcW w:w="481" w:type="pct"/>
            <w:shd w:val="clear" w:color="000000" w:fill="BFBFBF"/>
            <w:noWrap/>
            <w:vAlign w:val="bottom"/>
            <w:hideMark/>
          </w:tcPr>
          <w:p w14:paraId="74099959" w14:textId="77777777" w:rsidR="00E1448F" w:rsidRPr="000E1B7E" w:rsidRDefault="00E1448F" w:rsidP="005959B5">
            <w:pPr>
              <w:jc w:val="both"/>
              <w:rPr>
                <w:b/>
                <w:bCs/>
                <w:sz w:val="20"/>
                <w:szCs w:val="20"/>
                <w:lang w:val="en-US"/>
              </w:rPr>
            </w:pPr>
            <w:r w:rsidRPr="000E1B7E">
              <w:rPr>
                <w:b/>
                <w:bCs/>
                <w:sz w:val="20"/>
                <w:szCs w:val="20"/>
                <w:lang w:val="en-US"/>
              </w:rPr>
              <w:t>2012/13</w:t>
            </w:r>
          </w:p>
        </w:tc>
        <w:tc>
          <w:tcPr>
            <w:tcW w:w="481" w:type="pct"/>
            <w:shd w:val="clear" w:color="000000" w:fill="BFBFBF"/>
            <w:noWrap/>
            <w:vAlign w:val="bottom"/>
            <w:hideMark/>
          </w:tcPr>
          <w:p w14:paraId="2F4CD462" w14:textId="77777777" w:rsidR="00E1448F" w:rsidRPr="000E1B7E" w:rsidRDefault="00E1448F" w:rsidP="005959B5">
            <w:pPr>
              <w:jc w:val="both"/>
              <w:rPr>
                <w:b/>
                <w:bCs/>
                <w:sz w:val="20"/>
                <w:szCs w:val="20"/>
                <w:lang w:val="en-US"/>
              </w:rPr>
            </w:pPr>
            <w:r w:rsidRPr="000E1B7E">
              <w:rPr>
                <w:b/>
                <w:bCs/>
                <w:sz w:val="20"/>
                <w:szCs w:val="20"/>
                <w:lang w:val="en-US"/>
              </w:rPr>
              <w:t>2013/14</w:t>
            </w:r>
          </w:p>
        </w:tc>
        <w:tc>
          <w:tcPr>
            <w:tcW w:w="481" w:type="pct"/>
            <w:shd w:val="clear" w:color="000000" w:fill="BFBFBF"/>
            <w:noWrap/>
            <w:vAlign w:val="bottom"/>
            <w:hideMark/>
          </w:tcPr>
          <w:p w14:paraId="317C808E" w14:textId="77777777" w:rsidR="00E1448F" w:rsidRPr="000E1B7E" w:rsidRDefault="00E1448F" w:rsidP="005959B5">
            <w:pPr>
              <w:jc w:val="both"/>
              <w:rPr>
                <w:b/>
                <w:bCs/>
                <w:sz w:val="20"/>
                <w:szCs w:val="20"/>
                <w:lang w:val="en-US"/>
              </w:rPr>
            </w:pPr>
            <w:r w:rsidRPr="000E1B7E">
              <w:rPr>
                <w:b/>
                <w:bCs/>
                <w:sz w:val="20"/>
                <w:szCs w:val="20"/>
                <w:lang w:val="en-US"/>
              </w:rPr>
              <w:t>2014/15</w:t>
            </w:r>
          </w:p>
        </w:tc>
        <w:tc>
          <w:tcPr>
            <w:tcW w:w="481" w:type="pct"/>
            <w:shd w:val="clear" w:color="000000" w:fill="BFBFBF"/>
            <w:noWrap/>
            <w:vAlign w:val="bottom"/>
            <w:hideMark/>
          </w:tcPr>
          <w:p w14:paraId="105C8FF8" w14:textId="77777777" w:rsidR="00E1448F" w:rsidRPr="000E1B7E" w:rsidRDefault="00E1448F" w:rsidP="005959B5">
            <w:pPr>
              <w:jc w:val="both"/>
              <w:rPr>
                <w:b/>
                <w:bCs/>
                <w:sz w:val="20"/>
                <w:szCs w:val="20"/>
                <w:lang w:val="en-US"/>
              </w:rPr>
            </w:pPr>
            <w:r w:rsidRPr="000E1B7E">
              <w:rPr>
                <w:b/>
                <w:bCs/>
                <w:sz w:val="20"/>
                <w:szCs w:val="20"/>
                <w:lang w:val="en-US"/>
              </w:rPr>
              <w:t>2015/16</w:t>
            </w:r>
          </w:p>
        </w:tc>
        <w:tc>
          <w:tcPr>
            <w:tcW w:w="481" w:type="pct"/>
            <w:shd w:val="clear" w:color="000000" w:fill="BFBFBF"/>
            <w:noWrap/>
            <w:vAlign w:val="bottom"/>
            <w:hideMark/>
          </w:tcPr>
          <w:p w14:paraId="4A0BE267" w14:textId="77777777" w:rsidR="00E1448F" w:rsidRPr="000E1B7E" w:rsidRDefault="00E1448F" w:rsidP="005959B5">
            <w:pPr>
              <w:jc w:val="both"/>
              <w:rPr>
                <w:b/>
                <w:bCs/>
                <w:sz w:val="20"/>
                <w:szCs w:val="20"/>
                <w:lang w:val="en-US"/>
              </w:rPr>
            </w:pPr>
            <w:r w:rsidRPr="000E1B7E">
              <w:rPr>
                <w:b/>
                <w:bCs/>
                <w:sz w:val="20"/>
                <w:szCs w:val="20"/>
                <w:lang w:val="en-US"/>
              </w:rPr>
              <w:t>2016/17</w:t>
            </w:r>
          </w:p>
        </w:tc>
        <w:tc>
          <w:tcPr>
            <w:tcW w:w="529" w:type="pct"/>
            <w:shd w:val="clear" w:color="000000" w:fill="BFBFBF"/>
            <w:noWrap/>
            <w:vAlign w:val="bottom"/>
            <w:hideMark/>
          </w:tcPr>
          <w:p w14:paraId="44F963EE" w14:textId="77777777" w:rsidR="00E1448F" w:rsidRPr="000E1B7E" w:rsidRDefault="00E1448F" w:rsidP="005959B5">
            <w:pPr>
              <w:jc w:val="both"/>
              <w:rPr>
                <w:b/>
                <w:bCs/>
                <w:sz w:val="20"/>
                <w:szCs w:val="20"/>
                <w:lang w:val="en-US"/>
              </w:rPr>
            </w:pPr>
            <w:r w:rsidRPr="000E1B7E">
              <w:rPr>
                <w:b/>
                <w:bCs/>
                <w:sz w:val="20"/>
                <w:szCs w:val="20"/>
                <w:lang w:val="en-US"/>
              </w:rPr>
              <w:t>2017/18</w:t>
            </w:r>
          </w:p>
        </w:tc>
      </w:tr>
      <w:tr w:rsidR="00E1448F" w:rsidRPr="000E1B7E" w14:paraId="775E0DBE" w14:textId="77777777" w:rsidTr="009243BD">
        <w:trPr>
          <w:trHeight w:val="315"/>
        </w:trPr>
        <w:tc>
          <w:tcPr>
            <w:tcW w:w="1103" w:type="pct"/>
            <w:shd w:val="clear" w:color="auto" w:fill="auto"/>
            <w:noWrap/>
            <w:vAlign w:val="bottom"/>
            <w:hideMark/>
          </w:tcPr>
          <w:p w14:paraId="54A2EEB6" w14:textId="77777777" w:rsidR="00E1448F" w:rsidRPr="000E1B7E" w:rsidRDefault="00E1448F" w:rsidP="005959B5">
            <w:pPr>
              <w:jc w:val="both"/>
              <w:rPr>
                <w:sz w:val="20"/>
                <w:szCs w:val="20"/>
                <w:lang w:val="en-US"/>
              </w:rPr>
            </w:pPr>
            <w:r w:rsidRPr="000E1B7E">
              <w:rPr>
                <w:sz w:val="20"/>
                <w:szCs w:val="20"/>
                <w:lang w:val="en-US"/>
              </w:rPr>
              <w:t xml:space="preserve">Exports as a % of GDP </w:t>
            </w:r>
          </w:p>
        </w:tc>
        <w:tc>
          <w:tcPr>
            <w:tcW w:w="482" w:type="pct"/>
            <w:shd w:val="clear" w:color="auto" w:fill="auto"/>
            <w:noWrap/>
            <w:vAlign w:val="bottom"/>
            <w:hideMark/>
          </w:tcPr>
          <w:p w14:paraId="09AC8DB8" w14:textId="77777777" w:rsidR="00E1448F" w:rsidRPr="000E1B7E" w:rsidRDefault="00E1448F" w:rsidP="005959B5">
            <w:pPr>
              <w:jc w:val="both"/>
              <w:rPr>
                <w:sz w:val="20"/>
                <w:szCs w:val="20"/>
                <w:lang w:val="en-US"/>
              </w:rPr>
            </w:pPr>
            <w:r w:rsidRPr="000E1B7E">
              <w:rPr>
                <w:sz w:val="20"/>
                <w:szCs w:val="20"/>
                <w:lang w:val="en-US"/>
              </w:rPr>
              <w:t>11.34</w:t>
            </w:r>
          </w:p>
        </w:tc>
        <w:tc>
          <w:tcPr>
            <w:tcW w:w="481" w:type="pct"/>
            <w:shd w:val="clear" w:color="auto" w:fill="auto"/>
            <w:noWrap/>
            <w:vAlign w:val="bottom"/>
            <w:hideMark/>
          </w:tcPr>
          <w:p w14:paraId="3BC577E7" w14:textId="77777777" w:rsidR="00E1448F" w:rsidRPr="000E1B7E" w:rsidRDefault="00E1448F" w:rsidP="005959B5">
            <w:pPr>
              <w:jc w:val="both"/>
              <w:rPr>
                <w:sz w:val="20"/>
                <w:szCs w:val="20"/>
                <w:lang w:val="en-US"/>
              </w:rPr>
            </w:pPr>
            <w:r w:rsidRPr="000E1B7E">
              <w:rPr>
                <w:sz w:val="20"/>
                <w:szCs w:val="20"/>
                <w:lang w:val="en-US"/>
              </w:rPr>
              <w:t>11.49</w:t>
            </w:r>
          </w:p>
        </w:tc>
        <w:tc>
          <w:tcPr>
            <w:tcW w:w="481" w:type="pct"/>
            <w:shd w:val="clear" w:color="auto" w:fill="auto"/>
            <w:noWrap/>
            <w:vAlign w:val="bottom"/>
            <w:hideMark/>
          </w:tcPr>
          <w:p w14:paraId="2195AB44" w14:textId="77777777" w:rsidR="00E1448F" w:rsidRPr="000E1B7E" w:rsidRDefault="00E1448F" w:rsidP="005959B5">
            <w:pPr>
              <w:jc w:val="both"/>
              <w:rPr>
                <w:sz w:val="20"/>
                <w:szCs w:val="20"/>
                <w:lang w:val="en-US"/>
              </w:rPr>
            </w:pPr>
            <w:r w:rsidRPr="000E1B7E">
              <w:rPr>
                <w:sz w:val="20"/>
                <w:szCs w:val="20"/>
                <w:lang w:val="en-US"/>
              </w:rPr>
              <w:t>11.81</w:t>
            </w:r>
          </w:p>
        </w:tc>
        <w:tc>
          <w:tcPr>
            <w:tcW w:w="481" w:type="pct"/>
            <w:shd w:val="clear" w:color="auto" w:fill="auto"/>
            <w:noWrap/>
            <w:vAlign w:val="bottom"/>
            <w:hideMark/>
          </w:tcPr>
          <w:p w14:paraId="05D81B16" w14:textId="77777777" w:rsidR="00E1448F" w:rsidRPr="000E1B7E" w:rsidRDefault="00E1448F" w:rsidP="005959B5">
            <w:pPr>
              <w:jc w:val="both"/>
              <w:rPr>
                <w:sz w:val="20"/>
                <w:szCs w:val="20"/>
                <w:lang w:val="en-US"/>
              </w:rPr>
            </w:pPr>
            <w:r w:rsidRPr="000E1B7E">
              <w:rPr>
                <w:sz w:val="20"/>
                <w:szCs w:val="20"/>
                <w:lang w:val="en-US"/>
              </w:rPr>
              <w:t>9.75</w:t>
            </w:r>
          </w:p>
        </w:tc>
        <w:tc>
          <w:tcPr>
            <w:tcW w:w="481" w:type="pct"/>
            <w:shd w:val="clear" w:color="auto" w:fill="auto"/>
            <w:noWrap/>
            <w:vAlign w:val="bottom"/>
            <w:hideMark/>
          </w:tcPr>
          <w:p w14:paraId="4E93C421" w14:textId="77777777" w:rsidR="00E1448F" w:rsidRPr="000E1B7E" w:rsidRDefault="00E1448F" w:rsidP="005959B5">
            <w:pPr>
              <w:jc w:val="both"/>
              <w:rPr>
                <w:sz w:val="20"/>
                <w:szCs w:val="20"/>
                <w:lang w:val="en-US"/>
              </w:rPr>
            </w:pPr>
            <w:r w:rsidRPr="000E1B7E">
              <w:rPr>
                <w:sz w:val="20"/>
                <w:szCs w:val="20"/>
                <w:lang w:val="en-US"/>
              </w:rPr>
              <w:t>9.93</w:t>
            </w:r>
          </w:p>
        </w:tc>
        <w:tc>
          <w:tcPr>
            <w:tcW w:w="481" w:type="pct"/>
            <w:shd w:val="clear" w:color="auto" w:fill="auto"/>
            <w:noWrap/>
            <w:vAlign w:val="bottom"/>
            <w:hideMark/>
          </w:tcPr>
          <w:p w14:paraId="15D7F51E" w14:textId="77777777" w:rsidR="00E1448F" w:rsidRPr="000E1B7E" w:rsidRDefault="00E1448F" w:rsidP="005959B5">
            <w:pPr>
              <w:jc w:val="both"/>
              <w:rPr>
                <w:sz w:val="20"/>
                <w:szCs w:val="20"/>
                <w:lang w:val="en-US"/>
              </w:rPr>
            </w:pPr>
            <w:r w:rsidRPr="000E1B7E">
              <w:rPr>
                <w:sz w:val="20"/>
                <w:szCs w:val="20"/>
                <w:lang w:val="en-US"/>
              </w:rPr>
              <w:t>10.90</w:t>
            </w:r>
          </w:p>
        </w:tc>
        <w:tc>
          <w:tcPr>
            <w:tcW w:w="481" w:type="pct"/>
            <w:shd w:val="clear" w:color="auto" w:fill="auto"/>
            <w:noWrap/>
            <w:vAlign w:val="bottom"/>
            <w:hideMark/>
          </w:tcPr>
          <w:p w14:paraId="18E32C2F" w14:textId="77777777" w:rsidR="00E1448F" w:rsidRPr="000E1B7E" w:rsidRDefault="00E1448F" w:rsidP="005959B5">
            <w:pPr>
              <w:jc w:val="both"/>
              <w:rPr>
                <w:sz w:val="20"/>
                <w:szCs w:val="20"/>
                <w:lang w:val="en-US"/>
              </w:rPr>
            </w:pPr>
            <w:r w:rsidRPr="000E1B7E">
              <w:rPr>
                <w:sz w:val="20"/>
                <w:szCs w:val="20"/>
                <w:lang w:val="en-US"/>
              </w:rPr>
              <w:t>12.28</w:t>
            </w:r>
          </w:p>
        </w:tc>
        <w:tc>
          <w:tcPr>
            <w:tcW w:w="529" w:type="pct"/>
            <w:shd w:val="clear" w:color="auto" w:fill="auto"/>
            <w:noWrap/>
            <w:vAlign w:val="bottom"/>
            <w:hideMark/>
          </w:tcPr>
          <w:p w14:paraId="5E22C7F6" w14:textId="77777777" w:rsidR="00E1448F" w:rsidRPr="000E1B7E" w:rsidRDefault="00E1448F" w:rsidP="005959B5">
            <w:pPr>
              <w:jc w:val="both"/>
              <w:rPr>
                <w:sz w:val="20"/>
                <w:szCs w:val="20"/>
                <w:lang w:val="en-US"/>
              </w:rPr>
            </w:pPr>
            <w:r w:rsidRPr="000E1B7E">
              <w:rPr>
                <w:sz w:val="20"/>
                <w:szCs w:val="20"/>
                <w:lang w:val="en-US"/>
              </w:rPr>
              <w:t>12.72</w:t>
            </w:r>
          </w:p>
        </w:tc>
      </w:tr>
      <w:tr w:rsidR="00E1448F" w:rsidRPr="000E1B7E" w14:paraId="1BCD598C" w14:textId="77777777" w:rsidTr="009243BD">
        <w:trPr>
          <w:trHeight w:val="315"/>
        </w:trPr>
        <w:tc>
          <w:tcPr>
            <w:tcW w:w="1103" w:type="pct"/>
            <w:shd w:val="clear" w:color="auto" w:fill="auto"/>
            <w:noWrap/>
            <w:vAlign w:val="bottom"/>
            <w:hideMark/>
          </w:tcPr>
          <w:p w14:paraId="6E422902" w14:textId="77777777" w:rsidR="00E1448F" w:rsidRPr="000E1B7E" w:rsidRDefault="000A70B3" w:rsidP="005959B5">
            <w:pPr>
              <w:jc w:val="both"/>
              <w:rPr>
                <w:sz w:val="20"/>
                <w:szCs w:val="20"/>
                <w:lang w:val="en-US"/>
              </w:rPr>
            </w:pPr>
            <w:r w:rsidRPr="000E1B7E">
              <w:rPr>
                <w:sz w:val="20"/>
                <w:szCs w:val="20"/>
                <w:lang w:val="en-US"/>
              </w:rPr>
              <w:t>NDP II Projections –table 5A page 284</w:t>
            </w:r>
          </w:p>
        </w:tc>
        <w:tc>
          <w:tcPr>
            <w:tcW w:w="482" w:type="pct"/>
            <w:shd w:val="clear" w:color="auto" w:fill="auto"/>
            <w:noWrap/>
            <w:vAlign w:val="bottom"/>
            <w:hideMark/>
          </w:tcPr>
          <w:p w14:paraId="7B2C1CA5" w14:textId="77777777" w:rsidR="00E1448F" w:rsidRPr="000E1B7E" w:rsidRDefault="00E1448F" w:rsidP="005959B5">
            <w:pPr>
              <w:jc w:val="both"/>
              <w:rPr>
                <w:sz w:val="20"/>
                <w:szCs w:val="20"/>
                <w:lang w:val="en-US"/>
              </w:rPr>
            </w:pPr>
          </w:p>
        </w:tc>
        <w:tc>
          <w:tcPr>
            <w:tcW w:w="481" w:type="pct"/>
            <w:shd w:val="clear" w:color="auto" w:fill="auto"/>
            <w:noWrap/>
            <w:vAlign w:val="bottom"/>
            <w:hideMark/>
          </w:tcPr>
          <w:p w14:paraId="6653EDEF" w14:textId="77777777" w:rsidR="00E1448F" w:rsidRPr="000E1B7E" w:rsidRDefault="00E1448F" w:rsidP="005959B5">
            <w:pPr>
              <w:jc w:val="both"/>
              <w:rPr>
                <w:sz w:val="20"/>
                <w:szCs w:val="20"/>
                <w:lang w:val="en-US"/>
              </w:rPr>
            </w:pPr>
          </w:p>
        </w:tc>
        <w:tc>
          <w:tcPr>
            <w:tcW w:w="481" w:type="pct"/>
            <w:shd w:val="clear" w:color="auto" w:fill="auto"/>
            <w:noWrap/>
            <w:vAlign w:val="bottom"/>
            <w:hideMark/>
          </w:tcPr>
          <w:p w14:paraId="3CDBDDBD" w14:textId="77777777" w:rsidR="00E1448F" w:rsidRPr="000E1B7E" w:rsidRDefault="00E1448F" w:rsidP="005959B5">
            <w:pPr>
              <w:jc w:val="both"/>
              <w:rPr>
                <w:sz w:val="20"/>
                <w:szCs w:val="20"/>
                <w:lang w:val="en-US"/>
              </w:rPr>
            </w:pPr>
          </w:p>
        </w:tc>
        <w:tc>
          <w:tcPr>
            <w:tcW w:w="481" w:type="pct"/>
            <w:shd w:val="clear" w:color="auto" w:fill="auto"/>
            <w:noWrap/>
            <w:vAlign w:val="bottom"/>
            <w:hideMark/>
          </w:tcPr>
          <w:p w14:paraId="59D6756C" w14:textId="77777777" w:rsidR="00E1448F" w:rsidRPr="000E1B7E" w:rsidRDefault="00E1448F" w:rsidP="005959B5">
            <w:pPr>
              <w:jc w:val="both"/>
              <w:rPr>
                <w:sz w:val="20"/>
                <w:szCs w:val="20"/>
                <w:lang w:val="en-US"/>
              </w:rPr>
            </w:pPr>
          </w:p>
        </w:tc>
        <w:tc>
          <w:tcPr>
            <w:tcW w:w="481" w:type="pct"/>
            <w:shd w:val="clear" w:color="auto" w:fill="auto"/>
            <w:noWrap/>
            <w:vAlign w:val="bottom"/>
            <w:hideMark/>
          </w:tcPr>
          <w:p w14:paraId="1363A14E" w14:textId="77777777" w:rsidR="00E1448F" w:rsidRPr="000E1B7E" w:rsidRDefault="00E1448F" w:rsidP="005959B5">
            <w:pPr>
              <w:jc w:val="both"/>
              <w:rPr>
                <w:sz w:val="20"/>
                <w:szCs w:val="20"/>
                <w:lang w:val="en-US"/>
              </w:rPr>
            </w:pPr>
          </w:p>
        </w:tc>
        <w:tc>
          <w:tcPr>
            <w:tcW w:w="481" w:type="pct"/>
            <w:shd w:val="clear" w:color="auto" w:fill="auto"/>
            <w:noWrap/>
            <w:hideMark/>
          </w:tcPr>
          <w:p w14:paraId="702FE47B" w14:textId="77777777" w:rsidR="00E1448F" w:rsidRPr="000E1B7E" w:rsidRDefault="008624B5" w:rsidP="005959B5">
            <w:pPr>
              <w:jc w:val="both"/>
              <w:rPr>
                <w:sz w:val="20"/>
                <w:szCs w:val="20"/>
                <w:lang w:val="en-US"/>
              </w:rPr>
            </w:pPr>
            <w:r w:rsidRPr="000E1B7E">
              <w:rPr>
                <w:sz w:val="20"/>
                <w:szCs w:val="20"/>
                <w:lang w:val="en-US"/>
              </w:rPr>
              <w:t>9.49</w:t>
            </w:r>
          </w:p>
        </w:tc>
        <w:tc>
          <w:tcPr>
            <w:tcW w:w="481" w:type="pct"/>
            <w:shd w:val="clear" w:color="auto" w:fill="auto"/>
            <w:noWrap/>
            <w:hideMark/>
          </w:tcPr>
          <w:p w14:paraId="785D36E5" w14:textId="77777777" w:rsidR="00E1448F" w:rsidRPr="000E1B7E" w:rsidRDefault="008624B5" w:rsidP="005959B5">
            <w:pPr>
              <w:jc w:val="both"/>
              <w:rPr>
                <w:sz w:val="20"/>
                <w:szCs w:val="20"/>
                <w:lang w:val="en-US"/>
              </w:rPr>
            </w:pPr>
            <w:r w:rsidRPr="000E1B7E">
              <w:rPr>
                <w:sz w:val="20"/>
                <w:szCs w:val="20"/>
                <w:lang w:val="en-US"/>
              </w:rPr>
              <w:t>9.91</w:t>
            </w:r>
          </w:p>
        </w:tc>
        <w:tc>
          <w:tcPr>
            <w:tcW w:w="529" w:type="pct"/>
            <w:shd w:val="clear" w:color="auto" w:fill="auto"/>
            <w:noWrap/>
            <w:hideMark/>
          </w:tcPr>
          <w:p w14:paraId="2B0FE4E8" w14:textId="77777777" w:rsidR="00E1448F" w:rsidRPr="000E1B7E" w:rsidRDefault="008624B5" w:rsidP="005959B5">
            <w:pPr>
              <w:jc w:val="both"/>
              <w:rPr>
                <w:sz w:val="20"/>
                <w:szCs w:val="20"/>
                <w:lang w:val="en-US"/>
              </w:rPr>
            </w:pPr>
            <w:r w:rsidRPr="000E1B7E">
              <w:rPr>
                <w:sz w:val="20"/>
                <w:szCs w:val="20"/>
                <w:lang w:val="en-US"/>
              </w:rPr>
              <w:t>9.88</w:t>
            </w:r>
          </w:p>
        </w:tc>
      </w:tr>
      <w:tr w:rsidR="008624B5" w:rsidRPr="000E1B7E" w14:paraId="794A443B" w14:textId="77777777" w:rsidTr="008624B5">
        <w:trPr>
          <w:trHeight w:val="315"/>
        </w:trPr>
        <w:tc>
          <w:tcPr>
            <w:tcW w:w="1103" w:type="pct"/>
            <w:shd w:val="clear" w:color="auto" w:fill="auto"/>
            <w:noWrap/>
            <w:vAlign w:val="bottom"/>
            <w:hideMark/>
          </w:tcPr>
          <w:p w14:paraId="2FF10B5B" w14:textId="77777777" w:rsidR="008624B5" w:rsidRPr="000E1B7E" w:rsidRDefault="008624B5" w:rsidP="005959B5">
            <w:pPr>
              <w:jc w:val="both"/>
              <w:rPr>
                <w:sz w:val="20"/>
                <w:szCs w:val="20"/>
                <w:lang w:val="en-US"/>
              </w:rPr>
            </w:pPr>
            <w:r w:rsidRPr="000E1B7E">
              <w:rPr>
                <w:sz w:val="20"/>
                <w:szCs w:val="20"/>
                <w:lang w:val="en-US"/>
              </w:rPr>
              <w:t>NDP II target- page 133</w:t>
            </w:r>
          </w:p>
        </w:tc>
        <w:tc>
          <w:tcPr>
            <w:tcW w:w="482" w:type="pct"/>
            <w:shd w:val="clear" w:color="auto" w:fill="auto"/>
            <w:noWrap/>
            <w:vAlign w:val="bottom"/>
            <w:hideMark/>
          </w:tcPr>
          <w:p w14:paraId="4D4D5E13" w14:textId="77777777" w:rsidR="008624B5" w:rsidRPr="000E1B7E" w:rsidRDefault="008624B5" w:rsidP="005959B5">
            <w:pPr>
              <w:jc w:val="both"/>
              <w:rPr>
                <w:sz w:val="20"/>
                <w:szCs w:val="20"/>
                <w:lang w:val="en-US"/>
              </w:rPr>
            </w:pPr>
          </w:p>
        </w:tc>
        <w:tc>
          <w:tcPr>
            <w:tcW w:w="481" w:type="pct"/>
            <w:shd w:val="clear" w:color="auto" w:fill="auto"/>
            <w:noWrap/>
            <w:vAlign w:val="bottom"/>
            <w:hideMark/>
          </w:tcPr>
          <w:p w14:paraId="2C1EEBB3" w14:textId="77777777" w:rsidR="008624B5" w:rsidRPr="000E1B7E" w:rsidRDefault="008624B5" w:rsidP="005959B5">
            <w:pPr>
              <w:jc w:val="both"/>
              <w:rPr>
                <w:sz w:val="20"/>
                <w:szCs w:val="20"/>
                <w:lang w:val="en-US"/>
              </w:rPr>
            </w:pPr>
          </w:p>
        </w:tc>
        <w:tc>
          <w:tcPr>
            <w:tcW w:w="481" w:type="pct"/>
            <w:shd w:val="clear" w:color="auto" w:fill="auto"/>
            <w:noWrap/>
            <w:vAlign w:val="bottom"/>
            <w:hideMark/>
          </w:tcPr>
          <w:p w14:paraId="394501FA" w14:textId="77777777" w:rsidR="008624B5" w:rsidRPr="000E1B7E" w:rsidRDefault="008624B5" w:rsidP="005959B5">
            <w:pPr>
              <w:jc w:val="both"/>
              <w:rPr>
                <w:sz w:val="20"/>
                <w:szCs w:val="20"/>
                <w:lang w:val="en-US"/>
              </w:rPr>
            </w:pPr>
          </w:p>
        </w:tc>
        <w:tc>
          <w:tcPr>
            <w:tcW w:w="481" w:type="pct"/>
            <w:shd w:val="clear" w:color="auto" w:fill="auto"/>
            <w:noWrap/>
            <w:vAlign w:val="bottom"/>
            <w:hideMark/>
          </w:tcPr>
          <w:p w14:paraId="2769A665" w14:textId="77777777" w:rsidR="008624B5" w:rsidRPr="000E1B7E" w:rsidRDefault="008624B5" w:rsidP="005959B5">
            <w:pPr>
              <w:jc w:val="both"/>
              <w:rPr>
                <w:sz w:val="20"/>
                <w:szCs w:val="20"/>
                <w:lang w:val="en-US"/>
              </w:rPr>
            </w:pPr>
          </w:p>
        </w:tc>
        <w:tc>
          <w:tcPr>
            <w:tcW w:w="481" w:type="pct"/>
            <w:shd w:val="clear" w:color="auto" w:fill="auto"/>
            <w:noWrap/>
            <w:vAlign w:val="bottom"/>
            <w:hideMark/>
          </w:tcPr>
          <w:p w14:paraId="1B212A9D" w14:textId="77777777" w:rsidR="008624B5" w:rsidRPr="000E1B7E" w:rsidRDefault="008624B5" w:rsidP="005959B5">
            <w:pPr>
              <w:jc w:val="both"/>
              <w:rPr>
                <w:sz w:val="20"/>
                <w:szCs w:val="20"/>
                <w:lang w:val="en-US"/>
              </w:rPr>
            </w:pPr>
          </w:p>
        </w:tc>
        <w:tc>
          <w:tcPr>
            <w:tcW w:w="1491" w:type="pct"/>
            <w:gridSpan w:val="3"/>
            <w:shd w:val="clear" w:color="auto" w:fill="auto"/>
            <w:noWrap/>
            <w:hideMark/>
          </w:tcPr>
          <w:p w14:paraId="626C8C2B" w14:textId="77777777" w:rsidR="008624B5" w:rsidRPr="000E1B7E" w:rsidRDefault="008624B5" w:rsidP="005959B5">
            <w:pPr>
              <w:jc w:val="both"/>
              <w:rPr>
                <w:sz w:val="20"/>
                <w:szCs w:val="20"/>
                <w:lang w:val="en-US"/>
              </w:rPr>
            </w:pPr>
            <w:r w:rsidRPr="000E1B7E">
              <w:rPr>
                <w:sz w:val="20"/>
                <w:szCs w:val="20"/>
                <w:lang w:val="en-US"/>
              </w:rPr>
              <w:t>16.5% by 2019/20</w:t>
            </w:r>
          </w:p>
        </w:tc>
      </w:tr>
    </w:tbl>
    <w:p w14:paraId="312879E1" w14:textId="77777777" w:rsidR="004E64B1" w:rsidRPr="000E1B7E" w:rsidRDefault="004E64B1" w:rsidP="005959B5">
      <w:pPr>
        <w:jc w:val="both"/>
      </w:pPr>
      <w:r w:rsidRPr="000E1B7E">
        <w:t xml:space="preserve">Source: BoU </w:t>
      </w:r>
    </w:p>
    <w:p w14:paraId="78D87CAF" w14:textId="77777777" w:rsidR="006933A0" w:rsidRPr="000E1B7E" w:rsidRDefault="006933A0" w:rsidP="005959B5">
      <w:pPr>
        <w:jc w:val="both"/>
      </w:pPr>
    </w:p>
    <w:p w14:paraId="24343E83" w14:textId="77777777" w:rsidR="00527F5E" w:rsidRPr="000E1B7E" w:rsidRDefault="00527F5E" w:rsidP="00527F5E">
      <w:pPr>
        <w:pStyle w:val="ListParagraph"/>
        <w:numPr>
          <w:ilvl w:val="2"/>
          <w:numId w:val="22"/>
        </w:numPr>
        <w:ind w:left="851" w:hanging="851"/>
        <w:rPr>
          <w:rFonts w:ascii="Times New Roman" w:hAnsi="Times New Roman"/>
          <w:b/>
          <w:color w:val="000000" w:themeColor="text1"/>
          <w:sz w:val="24"/>
          <w:szCs w:val="24"/>
        </w:rPr>
      </w:pPr>
      <w:r w:rsidRPr="000E1B7E">
        <w:rPr>
          <w:rFonts w:ascii="Times New Roman" w:hAnsi="Times New Roman"/>
          <w:b/>
          <w:color w:val="000000" w:themeColor="text1"/>
          <w:sz w:val="24"/>
          <w:szCs w:val="24"/>
        </w:rPr>
        <w:t>Merchandise Imports</w:t>
      </w:r>
    </w:p>
    <w:p w14:paraId="034EE1AA" w14:textId="77777777" w:rsidR="00527F5E" w:rsidRPr="000E1B7E" w:rsidRDefault="00E90B02" w:rsidP="009A7E43">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Merchandise imports data by Bank of Uganda  shows that imports have continued to grow over the first three years of NDP II as </w:t>
      </w:r>
      <w:r w:rsidR="008756FB" w:rsidRPr="000E1B7E">
        <w:rPr>
          <w:rFonts w:ascii="Times New Roman" w:hAnsi="Times New Roman"/>
          <w:sz w:val="24"/>
          <w:szCs w:val="24"/>
        </w:rPr>
        <w:t xml:space="preserve">summarised in table 19. </w:t>
      </w:r>
      <w:r w:rsidR="009A7E43" w:rsidRPr="000E1B7E">
        <w:rPr>
          <w:rFonts w:ascii="Times New Roman" w:hAnsi="Times New Roman"/>
          <w:sz w:val="24"/>
          <w:szCs w:val="24"/>
        </w:rPr>
        <w:t xml:space="preserve"> Over the first three yea of NDP II, Government imports constitute on average 10.8% of total imports (compared to 8.3% under NDP I) and Governments imports are dominated by project imports, which are 95.2% of the government imports </w:t>
      </w:r>
      <w:r w:rsidRPr="000E1B7E">
        <w:rPr>
          <w:rFonts w:ascii="Times New Roman" w:hAnsi="Times New Roman"/>
          <w:sz w:val="24"/>
          <w:szCs w:val="24"/>
        </w:rPr>
        <w:t xml:space="preserve"> </w:t>
      </w:r>
      <w:r w:rsidR="009A7E43" w:rsidRPr="000E1B7E">
        <w:rPr>
          <w:rFonts w:ascii="Times New Roman" w:hAnsi="Times New Roman"/>
          <w:sz w:val="24"/>
          <w:szCs w:val="24"/>
        </w:rPr>
        <w:t xml:space="preserve">compared to 64.4% under NDP I. </w:t>
      </w:r>
      <w:r w:rsidR="009A7E43" w:rsidRPr="000E1B7E">
        <w:rPr>
          <w:rFonts w:ascii="Times New Roman" w:hAnsi="Times New Roman"/>
          <w:sz w:val="24"/>
          <w:szCs w:val="24"/>
        </w:rPr>
        <w:lastRenderedPageBreak/>
        <w:t>In absolute values, project imports have increased from annual average of of $266m over NDP I to $515.3 over the first three years of NDP II. On the other hand private sector imports comprised on average 89.2% of the total import bill over the first three yaesr of NDP II comnpared to 91.7% over NDP I. In absolute terms</w:t>
      </w:r>
      <w:r w:rsidR="00964F80" w:rsidRPr="000E1B7E">
        <w:rPr>
          <w:rFonts w:ascii="Times New Roman" w:hAnsi="Times New Roman"/>
          <w:sz w:val="24"/>
          <w:szCs w:val="24"/>
        </w:rPr>
        <w:t xml:space="preserve">, the country has experienced a reduction in formal imports for both oil and non-oil imports but a surge in informal imports is noted as summarised in table 19 </w:t>
      </w:r>
      <w:r w:rsidR="005737A3" w:rsidRPr="000E1B7E">
        <w:rPr>
          <w:rFonts w:ascii="Times New Roman" w:hAnsi="Times New Roman"/>
          <w:sz w:val="24"/>
          <w:szCs w:val="24"/>
        </w:rPr>
        <w:t>, while detailed composition of formal private sector imports is presented in appendix 8</w:t>
      </w:r>
      <w:r w:rsidR="00964F80" w:rsidRPr="000E1B7E">
        <w:rPr>
          <w:rFonts w:ascii="Times New Roman" w:hAnsi="Times New Roman"/>
          <w:sz w:val="24"/>
          <w:szCs w:val="24"/>
        </w:rPr>
        <w:t xml:space="preserve">. </w:t>
      </w:r>
      <w:r w:rsidR="009A7E43" w:rsidRPr="000E1B7E">
        <w:rPr>
          <w:rFonts w:ascii="Times New Roman" w:hAnsi="Times New Roman"/>
          <w:sz w:val="24"/>
          <w:szCs w:val="24"/>
        </w:rPr>
        <w:t xml:space="preserve"> </w:t>
      </w:r>
    </w:p>
    <w:p w14:paraId="0433E179" w14:textId="77777777" w:rsidR="00E90B02" w:rsidRPr="000E1B7E" w:rsidRDefault="00E90B02" w:rsidP="00E90B02">
      <w:pPr>
        <w:ind w:left="-67" w:right="-82"/>
        <w:rPr>
          <w:rFonts w:eastAsia="Calibri"/>
          <w:b/>
        </w:rPr>
      </w:pPr>
      <w:r w:rsidRPr="000E1B7E">
        <w:rPr>
          <w:rFonts w:eastAsia="Calibri"/>
          <w:b/>
        </w:rPr>
        <w:t xml:space="preserve">Table </w:t>
      </w:r>
      <w:r w:rsidR="00964F80" w:rsidRPr="000E1B7E">
        <w:rPr>
          <w:rFonts w:eastAsia="Calibri"/>
          <w:b/>
        </w:rPr>
        <w:t>19</w:t>
      </w:r>
      <w:r w:rsidRPr="000E1B7E">
        <w:rPr>
          <w:rFonts w:eastAsia="Calibri"/>
          <w:b/>
        </w:rPr>
        <w:t>: Imports Of Merchandise</w:t>
      </w:r>
      <w:r w:rsidR="00CF15C9" w:rsidRPr="000E1B7E">
        <w:rPr>
          <w:rFonts w:eastAsia="Calibri"/>
          <w:b/>
        </w:rPr>
        <w:t xml:space="preserve"> </w:t>
      </w:r>
      <w:r w:rsidRPr="000E1B7E">
        <w:rPr>
          <w:rFonts w:eastAsia="Calibri"/>
          <w:b/>
        </w:rPr>
        <w:t>(in millions of US $)</w:t>
      </w:r>
    </w:p>
    <w:tbl>
      <w:tblPr>
        <w:tblStyle w:val="TableGrid1"/>
        <w:tblW w:w="5316" w:type="pct"/>
        <w:tblLayout w:type="fixed"/>
        <w:tblLook w:val="04A0" w:firstRow="1" w:lastRow="0" w:firstColumn="1" w:lastColumn="0" w:noHBand="0" w:noVBand="1"/>
      </w:tblPr>
      <w:tblGrid>
        <w:gridCol w:w="2215"/>
        <w:gridCol w:w="710"/>
        <w:gridCol w:w="710"/>
        <w:gridCol w:w="709"/>
        <w:gridCol w:w="709"/>
        <w:gridCol w:w="711"/>
        <w:gridCol w:w="711"/>
        <w:gridCol w:w="711"/>
        <w:gridCol w:w="711"/>
        <w:gridCol w:w="796"/>
        <w:gridCol w:w="893"/>
      </w:tblGrid>
      <w:tr w:rsidR="009D356A" w:rsidRPr="000E1B7E" w14:paraId="11067614" w14:textId="77777777" w:rsidTr="009D356A">
        <w:trPr>
          <w:trHeight w:val="759"/>
        </w:trPr>
        <w:tc>
          <w:tcPr>
            <w:tcW w:w="1155" w:type="pct"/>
            <w:noWrap/>
            <w:hideMark/>
          </w:tcPr>
          <w:p w14:paraId="555D809A" w14:textId="77777777" w:rsidR="009D356A" w:rsidRPr="000E1B7E" w:rsidRDefault="009D356A" w:rsidP="00E90B02">
            <w:pPr>
              <w:ind w:left="-67" w:right="-82"/>
              <w:jc w:val="center"/>
              <w:rPr>
                <w:sz w:val="22"/>
                <w:szCs w:val="22"/>
              </w:rPr>
            </w:pPr>
            <w:r w:rsidRPr="000E1B7E">
              <w:rPr>
                <w:sz w:val="22"/>
                <w:szCs w:val="22"/>
              </w:rPr>
              <w:t> </w:t>
            </w:r>
          </w:p>
          <w:p w14:paraId="7F1B73C4" w14:textId="77777777" w:rsidR="009D356A" w:rsidRPr="000E1B7E" w:rsidRDefault="009D356A" w:rsidP="00E90B02">
            <w:pPr>
              <w:ind w:left="-67" w:right="-82"/>
              <w:jc w:val="center"/>
              <w:rPr>
                <w:sz w:val="22"/>
                <w:szCs w:val="22"/>
              </w:rPr>
            </w:pPr>
            <w:r w:rsidRPr="000E1B7E">
              <w:rPr>
                <w:sz w:val="22"/>
                <w:szCs w:val="22"/>
              </w:rPr>
              <w:t> </w:t>
            </w:r>
          </w:p>
        </w:tc>
        <w:tc>
          <w:tcPr>
            <w:tcW w:w="370" w:type="pct"/>
            <w:noWrap/>
            <w:hideMark/>
          </w:tcPr>
          <w:p w14:paraId="5B352355" w14:textId="77777777" w:rsidR="009D356A" w:rsidRPr="000E1B7E" w:rsidRDefault="009D356A" w:rsidP="00E90B02">
            <w:pPr>
              <w:ind w:left="-67" w:right="-82"/>
              <w:jc w:val="center"/>
              <w:rPr>
                <w:sz w:val="22"/>
                <w:szCs w:val="22"/>
              </w:rPr>
            </w:pPr>
            <w:r w:rsidRPr="000E1B7E">
              <w:rPr>
                <w:sz w:val="22"/>
                <w:szCs w:val="22"/>
              </w:rPr>
              <w:t>FY</w:t>
            </w:r>
          </w:p>
          <w:p w14:paraId="20995AE8" w14:textId="77777777" w:rsidR="009D356A" w:rsidRPr="000E1B7E" w:rsidRDefault="009D356A" w:rsidP="00E90B02">
            <w:pPr>
              <w:ind w:left="-67" w:right="-82"/>
              <w:jc w:val="center"/>
              <w:rPr>
                <w:sz w:val="22"/>
                <w:szCs w:val="22"/>
              </w:rPr>
            </w:pPr>
            <w:r w:rsidRPr="000E1B7E">
              <w:rPr>
                <w:sz w:val="22"/>
                <w:szCs w:val="22"/>
              </w:rPr>
              <w:t>10/11</w:t>
            </w:r>
          </w:p>
        </w:tc>
        <w:tc>
          <w:tcPr>
            <w:tcW w:w="370" w:type="pct"/>
            <w:noWrap/>
            <w:hideMark/>
          </w:tcPr>
          <w:p w14:paraId="364146C1" w14:textId="77777777" w:rsidR="009D356A" w:rsidRPr="000E1B7E" w:rsidRDefault="009D356A" w:rsidP="00E90B02">
            <w:pPr>
              <w:ind w:left="-67" w:right="-82"/>
              <w:jc w:val="center"/>
              <w:rPr>
                <w:sz w:val="22"/>
                <w:szCs w:val="22"/>
              </w:rPr>
            </w:pPr>
            <w:r w:rsidRPr="000E1B7E">
              <w:rPr>
                <w:sz w:val="22"/>
                <w:szCs w:val="22"/>
              </w:rPr>
              <w:t>FY</w:t>
            </w:r>
          </w:p>
          <w:p w14:paraId="0144371A" w14:textId="77777777" w:rsidR="009D356A" w:rsidRPr="000E1B7E" w:rsidRDefault="009D356A" w:rsidP="00E90B02">
            <w:pPr>
              <w:ind w:left="-67" w:right="-82"/>
              <w:jc w:val="center"/>
              <w:rPr>
                <w:sz w:val="22"/>
                <w:szCs w:val="22"/>
              </w:rPr>
            </w:pPr>
            <w:r w:rsidRPr="000E1B7E">
              <w:rPr>
                <w:sz w:val="22"/>
                <w:szCs w:val="22"/>
              </w:rPr>
              <w:t>11/12</w:t>
            </w:r>
          </w:p>
        </w:tc>
        <w:tc>
          <w:tcPr>
            <w:tcW w:w="370" w:type="pct"/>
            <w:noWrap/>
            <w:hideMark/>
          </w:tcPr>
          <w:p w14:paraId="3102A3E2" w14:textId="77777777" w:rsidR="009D356A" w:rsidRPr="000E1B7E" w:rsidRDefault="009D356A" w:rsidP="00E90B02">
            <w:pPr>
              <w:ind w:left="-67" w:right="-82"/>
              <w:jc w:val="center"/>
              <w:rPr>
                <w:sz w:val="22"/>
                <w:szCs w:val="22"/>
              </w:rPr>
            </w:pPr>
            <w:r w:rsidRPr="000E1B7E">
              <w:rPr>
                <w:sz w:val="22"/>
                <w:szCs w:val="22"/>
              </w:rPr>
              <w:t>FY</w:t>
            </w:r>
          </w:p>
          <w:p w14:paraId="4D55DADC" w14:textId="77777777" w:rsidR="009D356A" w:rsidRPr="000E1B7E" w:rsidRDefault="009D356A" w:rsidP="00E90B02">
            <w:pPr>
              <w:ind w:left="-67" w:right="-82"/>
              <w:jc w:val="center"/>
              <w:rPr>
                <w:sz w:val="22"/>
                <w:szCs w:val="22"/>
              </w:rPr>
            </w:pPr>
            <w:r w:rsidRPr="000E1B7E">
              <w:rPr>
                <w:sz w:val="22"/>
                <w:szCs w:val="22"/>
              </w:rPr>
              <w:t>12/13</w:t>
            </w:r>
          </w:p>
        </w:tc>
        <w:tc>
          <w:tcPr>
            <w:tcW w:w="370" w:type="pct"/>
            <w:noWrap/>
            <w:hideMark/>
          </w:tcPr>
          <w:p w14:paraId="71BA1361" w14:textId="77777777" w:rsidR="009D356A" w:rsidRPr="000E1B7E" w:rsidRDefault="009D356A" w:rsidP="00E90B02">
            <w:pPr>
              <w:ind w:left="-67" w:right="-82"/>
              <w:jc w:val="center"/>
              <w:rPr>
                <w:sz w:val="22"/>
                <w:szCs w:val="22"/>
              </w:rPr>
            </w:pPr>
            <w:r w:rsidRPr="000E1B7E">
              <w:rPr>
                <w:sz w:val="22"/>
                <w:szCs w:val="22"/>
              </w:rPr>
              <w:t>FY</w:t>
            </w:r>
          </w:p>
          <w:p w14:paraId="0A867683" w14:textId="77777777" w:rsidR="009D356A" w:rsidRPr="000E1B7E" w:rsidRDefault="009D356A" w:rsidP="00E90B02">
            <w:pPr>
              <w:ind w:left="-67" w:right="-82"/>
              <w:jc w:val="center"/>
              <w:rPr>
                <w:sz w:val="22"/>
                <w:szCs w:val="22"/>
              </w:rPr>
            </w:pPr>
            <w:r w:rsidRPr="000E1B7E">
              <w:rPr>
                <w:sz w:val="22"/>
                <w:szCs w:val="22"/>
              </w:rPr>
              <w:t>13/14</w:t>
            </w:r>
          </w:p>
        </w:tc>
        <w:tc>
          <w:tcPr>
            <w:tcW w:w="371" w:type="pct"/>
            <w:noWrap/>
            <w:hideMark/>
          </w:tcPr>
          <w:p w14:paraId="637D463F" w14:textId="77777777" w:rsidR="009D356A" w:rsidRPr="000E1B7E" w:rsidRDefault="009D356A" w:rsidP="00E90B02">
            <w:pPr>
              <w:ind w:left="-67" w:right="-82"/>
              <w:jc w:val="center"/>
              <w:rPr>
                <w:sz w:val="22"/>
                <w:szCs w:val="22"/>
              </w:rPr>
            </w:pPr>
            <w:r w:rsidRPr="000E1B7E">
              <w:rPr>
                <w:sz w:val="22"/>
                <w:szCs w:val="22"/>
              </w:rPr>
              <w:t>FY</w:t>
            </w:r>
          </w:p>
          <w:p w14:paraId="57FCC3BD" w14:textId="77777777" w:rsidR="009D356A" w:rsidRPr="000E1B7E" w:rsidRDefault="009D356A" w:rsidP="00E90B02">
            <w:pPr>
              <w:ind w:left="-67" w:right="-82"/>
              <w:jc w:val="center"/>
              <w:rPr>
                <w:sz w:val="22"/>
                <w:szCs w:val="22"/>
              </w:rPr>
            </w:pPr>
            <w:r w:rsidRPr="000E1B7E">
              <w:rPr>
                <w:sz w:val="22"/>
                <w:szCs w:val="22"/>
              </w:rPr>
              <w:t>14/15</w:t>
            </w:r>
          </w:p>
        </w:tc>
        <w:tc>
          <w:tcPr>
            <w:tcW w:w="371" w:type="pct"/>
            <w:noWrap/>
            <w:hideMark/>
          </w:tcPr>
          <w:p w14:paraId="16EE163C" w14:textId="77777777" w:rsidR="009D356A" w:rsidRPr="000E1B7E" w:rsidRDefault="009D356A" w:rsidP="00E90B02">
            <w:pPr>
              <w:ind w:left="-67" w:right="-82"/>
              <w:jc w:val="center"/>
              <w:rPr>
                <w:sz w:val="22"/>
                <w:szCs w:val="22"/>
              </w:rPr>
            </w:pPr>
            <w:r w:rsidRPr="000E1B7E">
              <w:rPr>
                <w:sz w:val="22"/>
                <w:szCs w:val="22"/>
              </w:rPr>
              <w:t>FY</w:t>
            </w:r>
          </w:p>
          <w:p w14:paraId="46D7B6D7" w14:textId="77777777" w:rsidR="009D356A" w:rsidRPr="000E1B7E" w:rsidRDefault="009D356A" w:rsidP="00E90B02">
            <w:pPr>
              <w:ind w:left="-67" w:right="-82"/>
              <w:jc w:val="center"/>
              <w:rPr>
                <w:sz w:val="22"/>
                <w:szCs w:val="22"/>
              </w:rPr>
            </w:pPr>
            <w:r w:rsidRPr="000E1B7E">
              <w:rPr>
                <w:sz w:val="22"/>
                <w:szCs w:val="22"/>
              </w:rPr>
              <w:t>15/16</w:t>
            </w:r>
          </w:p>
        </w:tc>
        <w:tc>
          <w:tcPr>
            <w:tcW w:w="371" w:type="pct"/>
            <w:noWrap/>
            <w:hideMark/>
          </w:tcPr>
          <w:p w14:paraId="5C8E350A" w14:textId="77777777" w:rsidR="009D356A" w:rsidRPr="000E1B7E" w:rsidRDefault="009D356A" w:rsidP="00E90B02">
            <w:pPr>
              <w:ind w:left="-67" w:right="-82"/>
              <w:jc w:val="center"/>
              <w:rPr>
                <w:sz w:val="22"/>
                <w:szCs w:val="22"/>
              </w:rPr>
            </w:pPr>
            <w:r w:rsidRPr="000E1B7E">
              <w:rPr>
                <w:sz w:val="22"/>
                <w:szCs w:val="22"/>
              </w:rPr>
              <w:t>FY</w:t>
            </w:r>
          </w:p>
          <w:p w14:paraId="56959FCA" w14:textId="77777777" w:rsidR="009D356A" w:rsidRPr="000E1B7E" w:rsidRDefault="009D356A" w:rsidP="00E90B02">
            <w:pPr>
              <w:ind w:left="-67" w:right="-82"/>
              <w:jc w:val="center"/>
              <w:rPr>
                <w:sz w:val="22"/>
                <w:szCs w:val="22"/>
              </w:rPr>
            </w:pPr>
            <w:r w:rsidRPr="000E1B7E">
              <w:rPr>
                <w:sz w:val="22"/>
                <w:szCs w:val="22"/>
              </w:rPr>
              <w:t>16/17</w:t>
            </w:r>
          </w:p>
        </w:tc>
        <w:tc>
          <w:tcPr>
            <w:tcW w:w="371" w:type="pct"/>
            <w:noWrap/>
            <w:hideMark/>
          </w:tcPr>
          <w:p w14:paraId="451FFC72" w14:textId="77777777" w:rsidR="009D356A" w:rsidRPr="000E1B7E" w:rsidRDefault="009D356A" w:rsidP="00E90B02">
            <w:pPr>
              <w:ind w:left="-67" w:right="-82"/>
              <w:jc w:val="center"/>
              <w:rPr>
                <w:sz w:val="22"/>
                <w:szCs w:val="22"/>
              </w:rPr>
            </w:pPr>
            <w:r w:rsidRPr="000E1B7E">
              <w:rPr>
                <w:sz w:val="22"/>
                <w:szCs w:val="22"/>
              </w:rPr>
              <w:t>FY</w:t>
            </w:r>
          </w:p>
          <w:p w14:paraId="7724891D" w14:textId="77777777" w:rsidR="009D356A" w:rsidRPr="000E1B7E" w:rsidRDefault="009D356A" w:rsidP="00E90B02">
            <w:pPr>
              <w:ind w:left="-67" w:right="-82"/>
              <w:jc w:val="center"/>
              <w:rPr>
                <w:sz w:val="22"/>
                <w:szCs w:val="22"/>
              </w:rPr>
            </w:pPr>
            <w:r w:rsidRPr="000E1B7E">
              <w:rPr>
                <w:sz w:val="22"/>
                <w:szCs w:val="22"/>
              </w:rPr>
              <w:t>17/18</w:t>
            </w:r>
          </w:p>
        </w:tc>
        <w:tc>
          <w:tcPr>
            <w:tcW w:w="415" w:type="pct"/>
            <w:hideMark/>
          </w:tcPr>
          <w:p w14:paraId="4FAD065C" w14:textId="77777777" w:rsidR="009D356A" w:rsidRPr="000E1B7E" w:rsidRDefault="009D356A" w:rsidP="00E90B02">
            <w:pPr>
              <w:ind w:left="-67" w:right="-82"/>
              <w:jc w:val="center"/>
              <w:rPr>
                <w:sz w:val="22"/>
                <w:szCs w:val="22"/>
              </w:rPr>
            </w:pPr>
            <w:r w:rsidRPr="000E1B7E">
              <w:rPr>
                <w:sz w:val="22"/>
                <w:szCs w:val="22"/>
              </w:rPr>
              <w:t>Annual Average NDP I</w:t>
            </w:r>
          </w:p>
        </w:tc>
        <w:tc>
          <w:tcPr>
            <w:tcW w:w="466" w:type="pct"/>
            <w:noWrap/>
            <w:hideMark/>
          </w:tcPr>
          <w:p w14:paraId="3BD9D5C2" w14:textId="77777777" w:rsidR="009D356A" w:rsidRPr="000E1B7E" w:rsidRDefault="009D356A" w:rsidP="00E90B02">
            <w:pPr>
              <w:ind w:left="-67" w:right="-82"/>
              <w:jc w:val="center"/>
              <w:rPr>
                <w:sz w:val="22"/>
                <w:szCs w:val="22"/>
              </w:rPr>
            </w:pPr>
            <w:r w:rsidRPr="000E1B7E">
              <w:rPr>
                <w:sz w:val="22"/>
                <w:szCs w:val="22"/>
              </w:rPr>
              <w:t>Annual</w:t>
            </w:r>
          </w:p>
          <w:p w14:paraId="2EEA4141" w14:textId="77777777" w:rsidR="009D356A" w:rsidRPr="000E1B7E" w:rsidRDefault="009D356A" w:rsidP="00E90B02">
            <w:pPr>
              <w:ind w:left="-67" w:right="-82"/>
              <w:jc w:val="center"/>
              <w:rPr>
                <w:sz w:val="22"/>
                <w:szCs w:val="22"/>
              </w:rPr>
            </w:pPr>
            <w:r w:rsidRPr="000E1B7E">
              <w:rPr>
                <w:sz w:val="22"/>
                <w:szCs w:val="22"/>
              </w:rPr>
              <w:t xml:space="preserve">Average </w:t>
            </w:r>
          </w:p>
          <w:p w14:paraId="6BD622EB" w14:textId="77777777" w:rsidR="009D356A" w:rsidRPr="000E1B7E" w:rsidRDefault="009D356A" w:rsidP="00E90B02">
            <w:pPr>
              <w:ind w:left="-67" w:right="-82"/>
              <w:jc w:val="center"/>
              <w:rPr>
                <w:sz w:val="22"/>
                <w:szCs w:val="22"/>
              </w:rPr>
            </w:pPr>
            <w:r w:rsidRPr="000E1B7E">
              <w:rPr>
                <w:sz w:val="22"/>
                <w:szCs w:val="22"/>
              </w:rPr>
              <w:t>NDP II</w:t>
            </w:r>
          </w:p>
        </w:tc>
      </w:tr>
      <w:tr w:rsidR="00E90B02" w:rsidRPr="000E1B7E" w14:paraId="42B30A78" w14:textId="77777777" w:rsidTr="009D356A">
        <w:trPr>
          <w:trHeight w:val="315"/>
        </w:trPr>
        <w:tc>
          <w:tcPr>
            <w:tcW w:w="1155" w:type="pct"/>
            <w:noWrap/>
            <w:hideMark/>
          </w:tcPr>
          <w:p w14:paraId="3FEC9589" w14:textId="77777777" w:rsidR="00E90B02" w:rsidRPr="000E1B7E" w:rsidRDefault="00E90B02" w:rsidP="00E90B02">
            <w:pPr>
              <w:ind w:left="-67" w:right="-82"/>
              <w:jc w:val="center"/>
              <w:rPr>
                <w:sz w:val="22"/>
                <w:szCs w:val="22"/>
              </w:rPr>
            </w:pPr>
            <w:r w:rsidRPr="000E1B7E">
              <w:rPr>
                <w:sz w:val="22"/>
                <w:szCs w:val="22"/>
              </w:rPr>
              <w:t>Total Imports</w:t>
            </w:r>
          </w:p>
        </w:tc>
        <w:tc>
          <w:tcPr>
            <w:tcW w:w="370" w:type="pct"/>
            <w:noWrap/>
            <w:vAlign w:val="bottom"/>
            <w:hideMark/>
          </w:tcPr>
          <w:p w14:paraId="7231926A" w14:textId="77777777" w:rsidR="00E90B02" w:rsidRPr="000E1B7E" w:rsidRDefault="00E90B02" w:rsidP="00E90B02">
            <w:pPr>
              <w:ind w:left="-67" w:right="-82"/>
              <w:jc w:val="center"/>
              <w:rPr>
                <w:sz w:val="22"/>
                <w:szCs w:val="22"/>
              </w:rPr>
            </w:pPr>
            <w:r w:rsidRPr="000E1B7E">
              <w:rPr>
                <w:sz w:val="22"/>
                <w:szCs w:val="22"/>
              </w:rPr>
              <w:t>4,671.1</w:t>
            </w:r>
          </w:p>
        </w:tc>
        <w:tc>
          <w:tcPr>
            <w:tcW w:w="370" w:type="pct"/>
            <w:noWrap/>
            <w:vAlign w:val="bottom"/>
            <w:hideMark/>
          </w:tcPr>
          <w:p w14:paraId="72CAF10E" w14:textId="77777777" w:rsidR="00E90B02" w:rsidRPr="000E1B7E" w:rsidRDefault="00E90B02" w:rsidP="00E90B02">
            <w:pPr>
              <w:ind w:left="-67" w:right="-82"/>
              <w:jc w:val="center"/>
              <w:rPr>
                <w:sz w:val="22"/>
                <w:szCs w:val="22"/>
              </w:rPr>
            </w:pPr>
            <w:r w:rsidRPr="000E1B7E">
              <w:rPr>
                <w:sz w:val="22"/>
                <w:szCs w:val="22"/>
              </w:rPr>
              <w:t>5,241.5</w:t>
            </w:r>
          </w:p>
        </w:tc>
        <w:tc>
          <w:tcPr>
            <w:tcW w:w="370" w:type="pct"/>
            <w:noWrap/>
            <w:vAlign w:val="bottom"/>
            <w:hideMark/>
          </w:tcPr>
          <w:p w14:paraId="6E8E8C5C" w14:textId="77777777" w:rsidR="00E90B02" w:rsidRPr="000E1B7E" w:rsidRDefault="00E90B02" w:rsidP="00E90B02">
            <w:pPr>
              <w:ind w:left="-67" w:right="-82"/>
              <w:jc w:val="center"/>
              <w:rPr>
                <w:sz w:val="22"/>
                <w:szCs w:val="22"/>
              </w:rPr>
            </w:pPr>
            <w:r w:rsidRPr="000E1B7E">
              <w:rPr>
                <w:sz w:val="22"/>
                <w:szCs w:val="22"/>
              </w:rPr>
              <w:t>5,035.1</w:t>
            </w:r>
          </w:p>
        </w:tc>
        <w:tc>
          <w:tcPr>
            <w:tcW w:w="370" w:type="pct"/>
            <w:noWrap/>
            <w:vAlign w:val="bottom"/>
            <w:hideMark/>
          </w:tcPr>
          <w:p w14:paraId="6DABA360" w14:textId="77777777" w:rsidR="00E90B02" w:rsidRPr="000E1B7E" w:rsidRDefault="00E90B02" w:rsidP="00E90B02">
            <w:pPr>
              <w:ind w:left="-67" w:right="-82"/>
              <w:jc w:val="center"/>
              <w:rPr>
                <w:sz w:val="22"/>
                <w:szCs w:val="22"/>
              </w:rPr>
            </w:pPr>
            <w:r w:rsidRPr="000E1B7E">
              <w:rPr>
                <w:sz w:val="22"/>
                <w:szCs w:val="22"/>
              </w:rPr>
              <w:t>5,073.5</w:t>
            </w:r>
          </w:p>
        </w:tc>
        <w:tc>
          <w:tcPr>
            <w:tcW w:w="371" w:type="pct"/>
            <w:noWrap/>
            <w:vAlign w:val="bottom"/>
            <w:hideMark/>
          </w:tcPr>
          <w:p w14:paraId="6CA780C0" w14:textId="77777777" w:rsidR="00E90B02" w:rsidRPr="000E1B7E" w:rsidRDefault="00E90B02" w:rsidP="00E90B02">
            <w:pPr>
              <w:ind w:left="-67" w:right="-82"/>
              <w:jc w:val="center"/>
              <w:rPr>
                <w:sz w:val="22"/>
                <w:szCs w:val="22"/>
              </w:rPr>
            </w:pPr>
            <w:r w:rsidRPr="000E1B7E">
              <w:rPr>
                <w:sz w:val="22"/>
                <w:szCs w:val="22"/>
              </w:rPr>
              <w:t>4,988.0</w:t>
            </w:r>
          </w:p>
        </w:tc>
        <w:tc>
          <w:tcPr>
            <w:tcW w:w="371" w:type="pct"/>
            <w:noWrap/>
            <w:vAlign w:val="bottom"/>
            <w:hideMark/>
          </w:tcPr>
          <w:p w14:paraId="71032EB9" w14:textId="77777777" w:rsidR="00E90B02" w:rsidRPr="000E1B7E" w:rsidRDefault="00E90B02" w:rsidP="00E90B02">
            <w:pPr>
              <w:ind w:left="-67" w:right="-82"/>
              <w:jc w:val="center"/>
              <w:rPr>
                <w:sz w:val="22"/>
                <w:szCs w:val="22"/>
              </w:rPr>
            </w:pPr>
            <w:r w:rsidRPr="000E1B7E">
              <w:rPr>
                <w:sz w:val="22"/>
                <w:szCs w:val="22"/>
              </w:rPr>
              <w:t>4,691.9</w:t>
            </w:r>
          </w:p>
        </w:tc>
        <w:tc>
          <w:tcPr>
            <w:tcW w:w="371" w:type="pct"/>
            <w:noWrap/>
            <w:vAlign w:val="bottom"/>
            <w:hideMark/>
          </w:tcPr>
          <w:p w14:paraId="22245B7B" w14:textId="77777777" w:rsidR="00E90B02" w:rsidRPr="000E1B7E" w:rsidRDefault="00E90B02" w:rsidP="00E90B02">
            <w:pPr>
              <w:ind w:left="-67" w:right="-82"/>
              <w:jc w:val="center"/>
              <w:rPr>
                <w:sz w:val="22"/>
                <w:szCs w:val="22"/>
              </w:rPr>
            </w:pPr>
            <w:r w:rsidRPr="000E1B7E">
              <w:rPr>
                <w:sz w:val="22"/>
                <w:szCs w:val="22"/>
              </w:rPr>
              <w:t>4,768.0</w:t>
            </w:r>
          </w:p>
        </w:tc>
        <w:tc>
          <w:tcPr>
            <w:tcW w:w="371" w:type="pct"/>
            <w:noWrap/>
            <w:vAlign w:val="bottom"/>
            <w:hideMark/>
          </w:tcPr>
          <w:p w14:paraId="67D6434A" w14:textId="77777777" w:rsidR="00E90B02" w:rsidRPr="000E1B7E" w:rsidRDefault="00E90B02" w:rsidP="00E90B02">
            <w:pPr>
              <w:ind w:left="-67" w:right="-82"/>
              <w:jc w:val="center"/>
              <w:rPr>
                <w:sz w:val="22"/>
                <w:szCs w:val="22"/>
              </w:rPr>
            </w:pPr>
            <w:r w:rsidRPr="000E1B7E">
              <w:rPr>
                <w:sz w:val="22"/>
                <w:szCs w:val="22"/>
              </w:rPr>
              <w:t>5,619.2</w:t>
            </w:r>
          </w:p>
        </w:tc>
        <w:tc>
          <w:tcPr>
            <w:tcW w:w="415" w:type="pct"/>
            <w:noWrap/>
            <w:vAlign w:val="bottom"/>
            <w:hideMark/>
          </w:tcPr>
          <w:p w14:paraId="21E06446" w14:textId="77777777" w:rsidR="00E90B02" w:rsidRPr="000E1B7E" w:rsidRDefault="00E90B02" w:rsidP="00E90B02">
            <w:pPr>
              <w:ind w:left="-67" w:right="-82"/>
              <w:jc w:val="center"/>
              <w:rPr>
                <w:sz w:val="22"/>
                <w:szCs w:val="22"/>
              </w:rPr>
            </w:pPr>
            <w:r w:rsidRPr="000E1B7E">
              <w:rPr>
                <w:sz w:val="22"/>
                <w:szCs w:val="22"/>
              </w:rPr>
              <w:t>5,001.8</w:t>
            </w:r>
          </w:p>
        </w:tc>
        <w:tc>
          <w:tcPr>
            <w:tcW w:w="466" w:type="pct"/>
            <w:noWrap/>
            <w:vAlign w:val="bottom"/>
            <w:hideMark/>
          </w:tcPr>
          <w:p w14:paraId="3873849B" w14:textId="77777777" w:rsidR="00E90B02" w:rsidRPr="000E1B7E" w:rsidRDefault="00E90B02" w:rsidP="00E90B02">
            <w:pPr>
              <w:ind w:left="-67" w:right="-82"/>
              <w:jc w:val="center"/>
              <w:rPr>
                <w:sz w:val="22"/>
                <w:szCs w:val="22"/>
              </w:rPr>
            </w:pPr>
            <w:r w:rsidRPr="000E1B7E">
              <w:rPr>
                <w:sz w:val="22"/>
                <w:szCs w:val="22"/>
              </w:rPr>
              <w:t>5,026.3</w:t>
            </w:r>
          </w:p>
        </w:tc>
      </w:tr>
      <w:tr w:rsidR="00E90B02" w:rsidRPr="000E1B7E" w14:paraId="1B30DD4B" w14:textId="77777777" w:rsidTr="009D356A">
        <w:trPr>
          <w:trHeight w:val="315"/>
        </w:trPr>
        <w:tc>
          <w:tcPr>
            <w:tcW w:w="1155" w:type="pct"/>
            <w:noWrap/>
            <w:hideMark/>
          </w:tcPr>
          <w:p w14:paraId="69A58777" w14:textId="77777777" w:rsidR="00E90B02" w:rsidRPr="000E1B7E" w:rsidRDefault="00E90B02" w:rsidP="00E90B02">
            <w:pPr>
              <w:ind w:left="-67" w:right="-82"/>
              <w:jc w:val="center"/>
              <w:rPr>
                <w:sz w:val="22"/>
                <w:szCs w:val="22"/>
              </w:rPr>
            </w:pPr>
            <w:r w:rsidRPr="000E1B7E">
              <w:rPr>
                <w:sz w:val="22"/>
                <w:szCs w:val="22"/>
              </w:rPr>
              <w:t>Government Imports</w:t>
            </w:r>
          </w:p>
        </w:tc>
        <w:tc>
          <w:tcPr>
            <w:tcW w:w="370" w:type="pct"/>
            <w:noWrap/>
            <w:vAlign w:val="bottom"/>
            <w:hideMark/>
          </w:tcPr>
          <w:p w14:paraId="0E4AD353" w14:textId="77777777" w:rsidR="00E90B02" w:rsidRPr="000E1B7E" w:rsidRDefault="00E90B02" w:rsidP="00E90B02">
            <w:pPr>
              <w:ind w:left="-67" w:right="-82"/>
              <w:jc w:val="center"/>
              <w:rPr>
                <w:sz w:val="22"/>
                <w:szCs w:val="22"/>
              </w:rPr>
            </w:pPr>
            <w:r w:rsidRPr="000E1B7E">
              <w:rPr>
                <w:sz w:val="22"/>
                <w:szCs w:val="22"/>
              </w:rPr>
              <w:t>559.9</w:t>
            </w:r>
          </w:p>
        </w:tc>
        <w:tc>
          <w:tcPr>
            <w:tcW w:w="370" w:type="pct"/>
            <w:noWrap/>
            <w:vAlign w:val="bottom"/>
            <w:hideMark/>
          </w:tcPr>
          <w:p w14:paraId="6799CAA0" w14:textId="77777777" w:rsidR="00E90B02" w:rsidRPr="000E1B7E" w:rsidRDefault="00E90B02" w:rsidP="00E90B02">
            <w:pPr>
              <w:ind w:left="-67" w:right="-82"/>
              <w:jc w:val="center"/>
              <w:rPr>
                <w:sz w:val="22"/>
                <w:szCs w:val="22"/>
              </w:rPr>
            </w:pPr>
            <w:r w:rsidRPr="000E1B7E">
              <w:rPr>
                <w:sz w:val="22"/>
                <w:szCs w:val="22"/>
              </w:rPr>
              <w:t>483.4</w:t>
            </w:r>
          </w:p>
        </w:tc>
        <w:tc>
          <w:tcPr>
            <w:tcW w:w="370" w:type="pct"/>
            <w:noWrap/>
            <w:vAlign w:val="bottom"/>
            <w:hideMark/>
          </w:tcPr>
          <w:p w14:paraId="11FF542A" w14:textId="77777777" w:rsidR="00E90B02" w:rsidRPr="000E1B7E" w:rsidRDefault="00E90B02" w:rsidP="00E90B02">
            <w:pPr>
              <w:ind w:left="-67" w:right="-82"/>
              <w:jc w:val="center"/>
              <w:rPr>
                <w:sz w:val="22"/>
                <w:szCs w:val="22"/>
              </w:rPr>
            </w:pPr>
            <w:r w:rsidRPr="000E1B7E">
              <w:rPr>
                <w:sz w:val="22"/>
                <w:szCs w:val="22"/>
              </w:rPr>
              <w:t>438.1</w:t>
            </w:r>
          </w:p>
        </w:tc>
        <w:tc>
          <w:tcPr>
            <w:tcW w:w="370" w:type="pct"/>
            <w:noWrap/>
            <w:vAlign w:val="bottom"/>
            <w:hideMark/>
          </w:tcPr>
          <w:p w14:paraId="0B4C824A" w14:textId="77777777" w:rsidR="00E90B02" w:rsidRPr="000E1B7E" w:rsidRDefault="00E90B02" w:rsidP="00E90B02">
            <w:pPr>
              <w:ind w:left="-67" w:right="-82"/>
              <w:jc w:val="center"/>
              <w:rPr>
                <w:sz w:val="22"/>
                <w:szCs w:val="22"/>
              </w:rPr>
            </w:pPr>
            <w:r w:rsidRPr="000E1B7E">
              <w:rPr>
                <w:sz w:val="22"/>
                <w:szCs w:val="22"/>
              </w:rPr>
              <w:t>361.0</w:t>
            </w:r>
          </w:p>
        </w:tc>
        <w:tc>
          <w:tcPr>
            <w:tcW w:w="371" w:type="pct"/>
            <w:noWrap/>
            <w:vAlign w:val="bottom"/>
            <w:hideMark/>
          </w:tcPr>
          <w:p w14:paraId="112EF8BF" w14:textId="77777777" w:rsidR="00E90B02" w:rsidRPr="000E1B7E" w:rsidRDefault="00E90B02" w:rsidP="00E90B02">
            <w:pPr>
              <w:ind w:left="-67" w:right="-82"/>
              <w:jc w:val="center"/>
              <w:rPr>
                <w:sz w:val="22"/>
                <w:szCs w:val="22"/>
              </w:rPr>
            </w:pPr>
            <w:r w:rsidRPr="000E1B7E">
              <w:rPr>
                <w:sz w:val="22"/>
                <w:szCs w:val="22"/>
              </w:rPr>
              <w:t>223.8</w:t>
            </w:r>
          </w:p>
        </w:tc>
        <w:tc>
          <w:tcPr>
            <w:tcW w:w="371" w:type="pct"/>
            <w:noWrap/>
            <w:vAlign w:val="bottom"/>
            <w:hideMark/>
          </w:tcPr>
          <w:p w14:paraId="52098323" w14:textId="77777777" w:rsidR="00E90B02" w:rsidRPr="000E1B7E" w:rsidRDefault="00E90B02" w:rsidP="00E90B02">
            <w:pPr>
              <w:ind w:left="-67" w:right="-82"/>
              <w:jc w:val="center"/>
              <w:rPr>
                <w:sz w:val="22"/>
                <w:szCs w:val="22"/>
              </w:rPr>
            </w:pPr>
            <w:r w:rsidRPr="000E1B7E">
              <w:rPr>
                <w:sz w:val="22"/>
                <w:szCs w:val="22"/>
              </w:rPr>
              <w:t>611.6</w:t>
            </w:r>
          </w:p>
        </w:tc>
        <w:tc>
          <w:tcPr>
            <w:tcW w:w="371" w:type="pct"/>
            <w:noWrap/>
            <w:vAlign w:val="bottom"/>
            <w:hideMark/>
          </w:tcPr>
          <w:p w14:paraId="51F8C80E" w14:textId="77777777" w:rsidR="00E90B02" w:rsidRPr="000E1B7E" w:rsidRDefault="00E90B02" w:rsidP="00E90B02">
            <w:pPr>
              <w:ind w:left="-67" w:right="-82"/>
              <w:jc w:val="center"/>
              <w:rPr>
                <w:sz w:val="22"/>
                <w:szCs w:val="22"/>
              </w:rPr>
            </w:pPr>
            <w:r w:rsidRPr="000E1B7E">
              <w:rPr>
                <w:sz w:val="22"/>
                <w:szCs w:val="22"/>
              </w:rPr>
              <w:t>417.9</w:t>
            </w:r>
          </w:p>
        </w:tc>
        <w:tc>
          <w:tcPr>
            <w:tcW w:w="371" w:type="pct"/>
            <w:noWrap/>
            <w:vAlign w:val="bottom"/>
            <w:hideMark/>
          </w:tcPr>
          <w:p w14:paraId="501FA1F8" w14:textId="77777777" w:rsidR="00E90B02" w:rsidRPr="000E1B7E" w:rsidRDefault="00E90B02" w:rsidP="00E90B02">
            <w:pPr>
              <w:ind w:left="-67" w:right="-82"/>
              <w:jc w:val="center"/>
              <w:rPr>
                <w:sz w:val="22"/>
                <w:szCs w:val="22"/>
              </w:rPr>
            </w:pPr>
            <w:r w:rsidRPr="000E1B7E">
              <w:rPr>
                <w:sz w:val="22"/>
                <w:szCs w:val="22"/>
              </w:rPr>
              <w:t>594.8</w:t>
            </w:r>
          </w:p>
        </w:tc>
        <w:tc>
          <w:tcPr>
            <w:tcW w:w="415" w:type="pct"/>
            <w:noWrap/>
            <w:vAlign w:val="bottom"/>
            <w:hideMark/>
          </w:tcPr>
          <w:p w14:paraId="68957B9C" w14:textId="77777777" w:rsidR="00E90B02" w:rsidRPr="000E1B7E" w:rsidRDefault="00E90B02" w:rsidP="00E90B02">
            <w:pPr>
              <w:ind w:left="-67" w:right="-82"/>
              <w:jc w:val="center"/>
              <w:rPr>
                <w:sz w:val="22"/>
                <w:szCs w:val="22"/>
              </w:rPr>
            </w:pPr>
            <w:r w:rsidRPr="000E1B7E">
              <w:rPr>
                <w:sz w:val="22"/>
                <w:szCs w:val="22"/>
              </w:rPr>
              <w:t>413.3</w:t>
            </w:r>
          </w:p>
        </w:tc>
        <w:tc>
          <w:tcPr>
            <w:tcW w:w="466" w:type="pct"/>
            <w:noWrap/>
            <w:vAlign w:val="bottom"/>
            <w:hideMark/>
          </w:tcPr>
          <w:p w14:paraId="49B40BAE" w14:textId="77777777" w:rsidR="00E90B02" w:rsidRPr="000E1B7E" w:rsidRDefault="00E90B02" w:rsidP="00E90B02">
            <w:pPr>
              <w:ind w:left="-67" w:right="-82"/>
              <w:jc w:val="center"/>
              <w:rPr>
                <w:sz w:val="22"/>
                <w:szCs w:val="22"/>
              </w:rPr>
            </w:pPr>
            <w:r w:rsidRPr="000E1B7E">
              <w:rPr>
                <w:sz w:val="22"/>
                <w:szCs w:val="22"/>
              </w:rPr>
              <w:t>541.4</w:t>
            </w:r>
          </w:p>
        </w:tc>
      </w:tr>
      <w:tr w:rsidR="00E90B02" w:rsidRPr="000E1B7E" w14:paraId="488B78B9" w14:textId="77777777" w:rsidTr="009D356A">
        <w:trPr>
          <w:trHeight w:val="315"/>
        </w:trPr>
        <w:tc>
          <w:tcPr>
            <w:tcW w:w="1155" w:type="pct"/>
            <w:noWrap/>
            <w:hideMark/>
          </w:tcPr>
          <w:p w14:paraId="3CA639DF" w14:textId="77777777" w:rsidR="00E90B02" w:rsidRPr="000E1B7E" w:rsidRDefault="00E90B02" w:rsidP="009D356A">
            <w:pPr>
              <w:ind w:left="-67" w:right="-82"/>
              <w:jc w:val="right"/>
              <w:rPr>
                <w:sz w:val="22"/>
                <w:szCs w:val="22"/>
              </w:rPr>
            </w:pPr>
            <w:r w:rsidRPr="000E1B7E">
              <w:rPr>
                <w:sz w:val="22"/>
                <w:szCs w:val="22"/>
              </w:rPr>
              <w:t xml:space="preserve">     Project</w:t>
            </w:r>
          </w:p>
        </w:tc>
        <w:tc>
          <w:tcPr>
            <w:tcW w:w="370" w:type="pct"/>
            <w:noWrap/>
            <w:vAlign w:val="bottom"/>
            <w:hideMark/>
          </w:tcPr>
          <w:p w14:paraId="5006FF9F" w14:textId="77777777" w:rsidR="00E90B02" w:rsidRPr="000E1B7E" w:rsidRDefault="00E90B02" w:rsidP="00E90B02">
            <w:pPr>
              <w:ind w:left="-67" w:right="-82"/>
              <w:jc w:val="center"/>
              <w:rPr>
                <w:sz w:val="22"/>
                <w:szCs w:val="22"/>
              </w:rPr>
            </w:pPr>
            <w:r w:rsidRPr="000E1B7E">
              <w:rPr>
                <w:sz w:val="22"/>
                <w:szCs w:val="22"/>
              </w:rPr>
              <w:t>173.0</w:t>
            </w:r>
          </w:p>
        </w:tc>
        <w:tc>
          <w:tcPr>
            <w:tcW w:w="370" w:type="pct"/>
            <w:noWrap/>
            <w:vAlign w:val="bottom"/>
            <w:hideMark/>
          </w:tcPr>
          <w:p w14:paraId="378947E9" w14:textId="77777777" w:rsidR="00E90B02" w:rsidRPr="000E1B7E" w:rsidRDefault="00E90B02" w:rsidP="00E90B02">
            <w:pPr>
              <w:ind w:left="-67" w:right="-82"/>
              <w:jc w:val="center"/>
              <w:rPr>
                <w:sz w:val="22"/>
                <w:szCs w:val="22"/>
              </w:rPr>
            </w:pPr>
            <w:r w:rsidRPr="000E1B7E">
              <w:rPr>
                <w:sz w:val="22"/>
                <w:szCs w:val="22"/>
              </w:rPr>
              <w:t>303.9</w:t>
            </w:r>
          </w:p>
        </w:tc>
        <w:tc>
          <w:tcPr>
            <w:tcW w:w="370" w:type="pct"/>
            <w:noWrap/>
            <w:vAlign w:val="bottom"/>
            <w:hideMark/>
          </w:tcPr>
          <w:p w14:paraId="2898849F" w14:textId="77777777" w:rsidR="00E90B02" w:rsidRPr="000E1B7E" w:rsidRDefault="00E90B02" w:rsidP="00E90B02">
            <w:pPr>
              <w:ind w:left="-67" w:right="-82"/>
              <w:jc w:val="center"/>
              <w:rPr>
                <w:sz w:val="22"/>
                <w:szCs w:val="22"/>
              </w:rPr>
            </w:pPr>
            <w:r w:rsidRPr="000E1B7E">
              <w:rPr>
                <w:sz w:val="22"/>
                <w:szCs w:val="22"/>
              </w:rPr>
              <w:t>358.6</w:t>
            </w:r>
          </w:p>
        </w:tc>
        <w:tc>
          <w:tcPr>
            <w:tcW w:w="370" w:type="pct"/>
            <w:noWrap/>
            <w:vAlign w:val="bottom"/>
            <w:hideMark/>
          </w:tcPr>
          <w:p w14:paraId="7E248C78" w14:textId="77777777" w:rsidR="00E90B02" w:rsidRPr="000E1B7E" w:rsidRDefault="00E90B02" w:rsidP="00E90B02">
            <w:pPr>
              <w:ind w:left="-67" w:right="-82"/>
              <w:jc w:val="center"/>
              <w:rPr>
                <w:sz w:val="22"/>
                <w:szCs w:val="22"/>
              </w:rPr>
            </w:pPr>
            <w:r w:rsidRPr="000E1B7E">
              <w:rPr>
                <w:sz w:val="22"/>
                <w:szCs w:val="22"/>
              </w:rPr>
              <w:t>300.5</w:t>
            </w:r>
          </w:p>
        </w:tc>
        <w:tc>
          <w:tcPr>
            <w:tcW w:w="371" w:type="pct"/>
            <w:noWrap/>
            <w:vAlign w:val="bottom"/>
            <w:hideMark/>
          </w:tcPr>
          <w:p w14:paraId="5B2DC716" w14:textId="77777777" w:rsidR="00E90B02" w:rsidRPr="000E1B7E" w:rsidRDefault="00E90B02" w:rsidP="00E90B02">
            <w:pPr>
              <w:ind w:left="-67" w:right="-82"/>
              <w:jc w:val="center"/>
              <w:rPr>
                <w:sz w:val="22"/>
                <w:szCs w:val="22"/>
              </w:rPr>
            </w:pPr>
            <w:r w:rsidRPr="000E1B7E">
              <w:rPr>
                <w:sz w:val="22"/>
                <w:szCs w:val="22"/>
              </w:rPr>
              <w:t>194.1</w:t>
            </w:r>
          </w:p>
        </w:tc>
        <w:tc>
          <w:tcPr>
            <w:tcW w:w="371" w:type="pct"/>
            <w:noWrap/>
            <w:vAlign w:val="bottom"/>
            <w:hideMark/>
          </w:tcPr>
          <w:p w14:paraId="063B7BA0" w14:textId="77777777" w:rsidR="00E90B02" w:rsidRPr="000E1B7E" w:rsidRDefault="00E90B02" w:rsidP="00E90B02">
            <w:pPr>
              <w:ind w:left="-67" w:right="-82"/>
              <w:jc w:val="center"/>
              <w:rPr>
                <w:sz w:val="22"/>
                <w:szCs w:val="22"/>
              </w:rPr>
            </w:pPr>
            <w:r w:rsidRPr="000E1B7E">
              <w:rPr>
                <w:sz w:val="22"/>
                <w:szCs w:val="22"/>
              </w:rPr>
              <w:t>566.5</w:t>
            </w:r>
          </w:p>
        </w:tc>
        <w:tc>
          <w:tcPr>
            <w:tcW w:w="371" w:type="pct"/>
            <w:noWrap/>
            <w:vAlign w:val="bottom"/>
            <w:hideMark/>
          </w:tcPr>
          <w:p w14:paraId="33025A6E" w14:textId="77777777" w:rsidR="00E90B02" w:rsidRPr="000E1B7E" w:rsidRDefault="00E90B02" w:rsidP="00E90B02">
            <w:pPr>
              <w:ind w:left="-67" w:right="-82"/>
              <w:jc w:val="center"/>
              <w:rPr>
                <w:sz w:val="22"/>
                <w:szCs w:val="22"/>
              </w:rPr>
            </w:pPr>
            <w:r w:rsidRPr="000E1B7E">
              <w:rPr>
                <w:sz w:val="22"/>
                <w:szCs w:val="22"/>
              </w:rPr>
              <w:t>391.6</w:t>
            </w:r>
          </w:p>
        </w:tc>
        <w:tc>
          <w:tcPr>
            <w:tcW w:w="371" w:type="pct"/>
            <w:noWrap/>
            <w:vAlign w:val="bottom"/>
            <w:hideMark/>
          </w:tcPr>
          <w:p w14:paraId="7C53F55D" w14:textId="77777777" w:rsidR="00E90B02" w:rsidRPr="000E1B7E" w:rsidRDefault="00E90B02" w:rsidP="00E90B02">
            <w:pPr>
              <w:ind w:left="-67" w:right="-82"/>
              <w:jc w:val="center"/>
              <w:rPr>
                <w:sz w:val="22"/>
                <w:szCs w:val="22"/>
              </w:rPr>
            </w:pPr>
            <w:r w:rsidRPr="000E1B7E">
              <w:rPr>
                <w:sz w:val="22"/>
                <w:szCs w:val="22"/>
              </w:rPr>
              <w:t>587.9</w:t>
            </w:r>
          </w:p>
        </w:tc>
        <w:tc>
          <w:tcPr>
            <w:tcW w:w="415" w:type="pct"/>
            <w:noWrap/>
            <w:vAlign w:val="bottom"/>
            <w:hideMark/>
          </w:tcPr>
          <w:p w14:paraId="3BF8F4F6" w14:textId="77777777" w:rsidR="00E90B02" w:rsidRPr="000E1B7E" w:rsidRDefault="00E90B02" w:rsidP="00E90B02">
            <w:pPr>
              <w:ind w:left="-67" w:right="-82"/>
              <w:jc w:val="center"/>
              <w:rPr>
                <w:sz w:val="22"/>
                <w:szCs w:val="22"/>
              </w:rPr>
            </w:pPr>
            <w:r w:rsidRPr="000E1B7E">
              <w:rPr>
                <w:sz w:val="22"/>
                <w:szCs w:val="22"/>
              </w:rPr>
              <w:t>266.0</w:t>
            </w:r>
          </w:p>
        </w:tc>
        <w:tc>
          <w:tcPr>
            <w:tcW w:w="466" w:type="pct"/>
            <w:noWrap/>
            <w:vAlign w:val="bottom"/>
            <w:hideMark/>
          </w:tcPr>
          <w:p w14:paraId="58DA44BA" w14:textId="77777777" w:rsidR="00E90B02" w:rsidRPr="000E1B7E" w:rsidRDefault="00E90B02" w:rsidP="00E90B02">
            <w:pPr>
              <w:ind w:left="-67" w:right="-82"/>
              <w:jc w:val="center"/>
              <w:rPr>
                <w:sz w:val="22"/>
                <w:szCs w:val="22"/>
              </w:rPr>
            </w:pPr>
            <w:r w:rsidRPr="000E1B7E">
              <w:rPr>
                <w:sz w:val="22"/>
                <w:szCs w:val="22"/>
              </w:rPr>
              <w:t>515.3</w:t>
            </w:r>
          </w:p>
        </w:tc>
      </w:tr>
      <w:tr w:rsidR="00E90B02" w:rsidRPr="000E1B7E" w14:paraId="237D66A8" w14:textId="77777777" w:rsidTr="009D356A">
        <w:trPr>
          <w:trHeight w:val="315"/>
        </w:trPr>
        <w:tc>
          <w:tcPr>
            <w:tcW w:w="1155" w:type="pct"/>
            <w:noWrap/>
            <w:hideMark/>
          </w:tcPr>
          <w:p w14:paraId="29A3334A" w14:textId="77777777" w:rsidR="00E90B02" w:rsidRPr="000E1B7E" w:rsidRDefault="00E90B02" w:rsidP="009D356A">
            <w:pPr>
              <w:ind w:left="-67" w:right="-82"/>
              <w:jc w:val="right"/>
              <w:rPr>
                <w:sz w:val="22"/>
                <w:szCs w:val="22"/>
              </w:rPr>
            </w:pPr>
            <w:r w:rsidRPr="000E1B7E">
              <w:rPr>
                <w:sz w:val="22"/>
                <w:szCs w:val="22"/>
              </w:rPr>
              <w:t xml:space="preserve">     Non-Project</w:t>
            </w:r>
          </w:p>
        </w:tc>
        <w:tc>
          <w:tcPr>
            <w:tcW w:w="370" w:type="pct"/>
            <w:noWrap/>
            <w:vAlign w:val="bottom"/>
            <w:hideMark/>
          </w:tcPr>
          <w:p w14:paraId="74F36ECD" w14:textId="77777777" w:rsidR="00E90B02" w:rsidRPr="000E1B7E" w:rsidRDefault="00E90B02" w:rsidP="00E90B02">
            <w:pPr>
              <w:ind w:left="-67" w:right="-82"/>
              <w:jc w:val="center"/>
              <w:rPr>
                <w:sz w:val="22"/>
                <w:szCs w:val="22"/>
              </w:rPr>
            </w:pPr>
            <w:r w:rsidRPr="000E1B7E">
              <w:rPr>
                <w:sz w:val="22"/>
                <w:szCs w:val="22"/>
              </w:rPr>
              <w:t>386.9</w:t>
            </w:r>
          </w:p>
        </w:tc>
        <w:tc>
          <w:tcPr>
            <w:tcW w:w="370" w:type="pct"/>
            <w:noWrap/>
            <w:vAlign w:val="bottom"/>
            <w:hideMark/>
          </w:tcPr>
          <w:p w14:paraId="39EEB545" w14:textId="77777777" w:rsidR="00E90B02" w:rsidRPr="000E1B7E" w:rsidRDefault="00E90B02" w:rsidP="00E90B02">
            <w:pPr>
              <w:ind w:left="-67" w:right="-82"/>
              <w:jc w:val="center"/>
              <w:rPr>
                <w:sz w:val="22"/>
                <w:szCs w:val="22"/>
              </w:rPr>
            </w:pPr>
            <w:r w:rsidRPr="000E1B7E">
              <w:rPr>
                <w:sz w:val="22"/>
                <w:szCs w:val="22"/>
              </w:rPr>
              <w:t>179.5</w:t>
            </w:r>
          </w:p>
        </w:tc>
        <w:tc>
          <w:tcPr>
            <w:tcW w:w="370" w:type="pct"/>
            <w:noWrap/>
            <w:vAlign w:val="bottom"/>
            <w:hideMark/>
          </w:tcPr>
          <w:p w14:paraId="15ACE937" w14:textId="77777777" w:rsidR="00E90B02" w:rsidRPr="000E1B7E" w:rsidRDefault="00E90B02" w:rsidP="00E90B02">
            <w:pPr>
              <w:ind w:left="-67" w:right="-82"/>
              <w:jc w:val="center"/>
              <w:rPr>
                <w:sz w:val="22"/>
                <w:szCs w:val="22"/>
              </w:rPr>
            </w:pPr>
            <w:r w:rsidRPr="000E1B7E">
              <w:rPr>
                <w:sz w:val="22"/>
                <w:szCs w:val="22"/>
              </w:rPr>
              <w:t>79.5</w:t>
            </w:r>
          </w:p>
        </w:tc>
        <w:tc>
          <w:tcPr>
            <w:tcW w:w="370" w:type="pct"/>
            <w:noWrap/>
            <w:vAlign w:val="bottom"/>
            <w:hideMark/>
          </w:tcPr>
          <w:p w14:paraId="257BB1F5" w14:textId="77777777" w:rsidR="00E90B02" w:rsidRPr="000E1B7E" w:rsidRDefault="00E90B02" w:rsidP="00E90B02">
            <w:pPr>
              <w:ind w:left="-67" w:right="-82"/>
              <w:jc w:val="center"/>
              <w:rPr>
                <w:sz w:val="22"/>
                <w:szCs w:val="22"/>
              </w:rPr>
            </w:pPr>
            <w:r w:rsidRPr="000E1B7E">
              <w:rPr>
                <w:sz w:val="22"/>
                <w:szCs w:val="22"/>
              </w:rPr>
              <w:t>60.4</w:t>
            </w:r>
          </w:p>
        </w:tc>
        <w:tc>
          <w:tcPr>
            <w:tcW w:w="371" w:type="pct"/>
            <w:noWrap/>
            <w:vAlign w:val="bottom"/>
            <w:hideMark/>
          </w:tcPr>
          <w:p w14:paraId="1566C8B7" w14:textId="77777777" w:rsidR="00E90B02" w:rsidRPr="000E1B7E" w:rsidRDefault="00E90B02" w:rsidP="00E90B02">
            <w:pPr>
              <w:ind w:left="-67" w:right="-82"/>
              <w:jc w:val="center"/>
              <w:rPr>
                <w:sz w:val="22"/>
                <w:szCs w:val="22"/>
              </w:rPr>
            </w:pPr>
            <w:r w:rsidRPr="000E1B7E">
              <w:rPr>
                <w:sz w:val="22"/>
                <w:szCs w:val="22"/>
              </w:rPr>
              <w:t>29.7</w:t>
            </w:r>
          </w:p>
        </w:tc>
        <w:tc>
          <w:tcPr>
            <w:tcW w:w="371" w:type="pct"/>
            <w:noWrap/>
            <w:vAlign w:val="bottom"/>
            <w:hideMark/>
          </w:tcPr>
          <w:p w14:paraId="232EDD9D" w14:textId="77777777" w:rsidR="00E90B02" w:rsidRPr="000E1B7E" w:rsidRDefault="00E90B02" w:rsidP="00E90B02">
            <w:pPr>
              <w:ind w:left="-67" w:right="-82"/>
              <w:jc w:val="center"/>
              <w:rPr>
                <w:sz w:val="22"/>
                <w:szCs w:val="22"/>
              </w:rPr>
            </w:pPr>
            <w:r w:rsidRPr="000E1B7E">
              <w:rPr>
                <w:sz w:val="22"/>
                <w:szCs w:val="22"/>
              </w:rPr>
              <w:t>45.1</w:t>
            </w:r>
          </w:p>
        </w:tc>
        <w:tc>
          <w:tcPr>
            <w:tcW w:w="371" w:type="pct"/>
            <w:noWrap/>
            <w:vAlign w:val="bottom"/>
            <w:hideMark/>
          </w:tcPr>
          <w:p w14:paraId="57F88E4D" w14:textId="77777777" w:rsidR="00E90B02" w:rsidRPr="000E1B7E" w:rsidRDefault="00E90B02" w:rsidP="00E90B02">
            <w:pPr>
              <w:ind w:left="-67" w:right="-82"/>
              <w:jc w:val="center"/>
              <w:rPr>
                <w:sz w:val="22"/>
                <w:szCs w:val="22"/>
              </w:rPr>
            </w:pPr>
            <w:r w:rsidRPr="000E1B7E">
              <w:rPr>
                <w:sz w:val="22"/>
                <w:szCs w:val="22"/>
              </w:rPr>
              <w:t>26.2</w:t>
            </w:r>
          </w:p>
        </w:tc>
        <w:tc>
          <w:tcPr>
            <w:tcW w:w="371" w:type="pct"/>
            <w:noWrap/>
            <w:vAlign w:val="bottom"/>
            <w:hideMark/>
          </w:tcPr>
          <w:p w14:paraId="7577F7A3" w14:textId="77777777" w:rsidR="00E90B02" w:rsidRPr="000E1B7E" w:rsidRDefault="00E90B02" w:rsidP="00E90B02">
            <w:pPr>
              <w:ind w:left="-67" w:right="-82"/>
              <w:jc w:val="center"/>
              <w:rPr>
                <w:sz w:val="22"/>
                <w:szCs w:val="22"/>
              </w:rPr>
            </w:pPr>
            <w:r w:rsidRPr="000E1B7E">
              <w:rPr>
                <w:sz w:val="22"/>
                <w:szCs w:val="22"/>
              </w:rPr>
              <w:t>6.9</w:t>
            </w:r>
          </w:p>
        </w:tc>
        <w:tc>
          <w:tcPr>
            <w:tcW w:w="415" w:type="pct"/>
            <w:noWrap/>
            <w:vAlign w:val="bottom"/>
            <w:hideMark/>
          </w:tcPr>
          <w:p w14:paraId="166415FD" w14:textId="77777777" w:rsidR="00E90B02" w:rsidRPr="000E1B7E" w:rsidRDefault="00E90B02" w:rsidP="00E90B02">
            <w:pPr>
              <w:ind w:left="-67" w:right="-82"/>
              <w:jc w:val="center"/>
              <w:rPr>
                <w:sz w:val="22"/>
                <w:szCs w:val="22"/>
              </w:rPr>
            </w:pPr>
            <w:r w:rsidRPr="000E1B7E">
              <w:rPr>
                <w:sz w:val="22"/>
                <w:szCs w:val="22"/>
              </w:rPr>
              <w:t>147.2</w:t>
            </w:r>
          </w:p>
        </w:tc>
        <w:tc>
          <w:tcPr>
            <w:tcW w:w="466" w:type="pct"/>
            <w:noWrap/>
            <w:vAlign w:val="bottom"/>
            <w:hideMark/>
          </w:tcPr>
          <w:p w14:paraId="18AC426F" w14:textId="77777777" w:rsidR="00E90B02" w:rsidRPr="000E1B7E" w:rsidRDefault="00E90B02" w:rsidP="00E90B02">
            <w:pPr>
              <w:ind w:left="-67" w:right="-82"/>
              <w:jc w:val="center"/>
              <w:rPr>
                <w:sz w:val="22"/>
                <w:szCs w:val="22"/>
              </w:rPr>
            </w:pPr>
            <w:r w:rsidRPr="000E1B7E">
              <w:rPr>
                <w:sz w:val="22"/>
                <w:szCs w:val="22"/>
              </w:rPr>
              <w:t>26.1</w:t>
            </w:r>
          </w:p>
        </w:tc>
      </w:tr>
      <w:tr w:rsidR="00E90B02" w:rsidRPr="000E1B7E" w14:paraId="7A988CDF" w14:textId="77777777" w:rsidTr="009D356A">
        <w:trPr>
          <w:trHeight w:val="315"/>
        </w:trPr>
        <w:tc>
          <w:tcPr>
            <w:tcW w:w="1155" w:type="pct"/>
            <w:noWrap/>
            <w:hideMark/>
          </w:tcPr>
          <w:p w14:paraId="1CD7F5B4" w14:textId="77777777" w:rsidR="00E90B02" w:rsidRPr="000E1B7E" w:rsidRDefault="00E90B02" w:rsidP="00E90B02">
            <w:pPr>
              <w:ind w:left="-67" w:right="-82"/>
              <w:jc w:val="center"/>
              <w:rPr>
                <w:sz w:val="22"/>
                <w:szCs w:val="22"/>
              </w:rPr>
            </w:pPr>
            <w:r w:rsidRPr="000E1B7E">
              <w:rPr>
                <w:sz w:val="22"/>
                <w:szCs w:val="22"/>
              </w:rPr>
              <w:t>Formal Private Sector Imports</w:t>
            </w:r>
          </w:p>
        </w:tc>
        <w:tc>
          <w:tcPr>
            <w:tcW w:w="370" w:type="pct"/>
            <w:noWrap/>
            <w:vAlign w:val="bottom"/>
            <w:hideMark/>
          </w:tcPr>
          <w:p w14:paraId="23F9B67C" w14:textId="77777777" w:rsidR="00E90B02" w:rsidRPr="000E1B7E" w:rsidRDefault="00E90B02" w:rsidP="00E90B02">
            <w:pPr>
              <w:ind w:left="-67" w:right="-82"/>
              <w:jc w:val="center"/>
              <w:rPr>
                <w:sz w:val="22"/>
                <w:szCs w:val="22"/>
              </w:rPr>
            </w:pPr>
            <w:r w:rsidRPr="000E1B7E">
              <w:rPr>
                <w:sz w:val="22"/>
                <w:szCs w:val="22"/>
              </w:rPr>
              <w:t>4,052.2</w:t>
            </w:r>
          </w:p>
        </w:tc>
        <w:tc>
          <w:tcPr>
            <w:tcW w:w="370" w:type="pct"/>
            <w:noWrap/>
            <w:vAlign w:val="bottom"/>
            <w:hideMark/>
          </w:tcPr>
          <w:p w14:paraId="3DDA8073" w14:textId="77777777" w:rsidR="00E90B02" w:rsidRPr="000E1B7E" w:rsidRDefault="00E90B02" w:rsidP="00E90B02">
            <w:pPr>
              <w:ind w:left="-67" w:right="-82"/>
              <w:jc w:val="center"/>
              <w:rPr>
                <w:sz w:val="22"/>
                <w:szCs w:val="22"/>
              </w:rPr>
            </w:pPr>
            <w:r w:rsidRPr="000E1B7E">
              <w:rPr>
                <w:sz w:val="22"/>
                <w:szCs w:val="22"/>
              </w:rPr>
              <w:t>4,702.0</w:t>
            </w:r>
          </w:p>
        </w:tc>
        <w:tc>
          <w:tcPr>
            <w:tcW w:w="370" w:type="pct"/>
            <w:noWrap/>
            <w:vAlign w:val="bottom"/>
            <w:hideMark/>
          </w:tcPr>
          <w:p w14:paraId="027E879C" w14:textId="77777777" w:rsidR="00E90B02" w:rsidRPr="000E1B7E" w:rsidRDefault="00E90B02" w:rsidP="00E90B02">
            <w:pPr>
              <w:ind w:left="-67" w:right="-82"/>
              <w:jc w:val="center"/>
              <w:rPr>
                <w:sz w:val="22"/>
                <w:szCs w:val="22"/>
              </w:rPr>
            </w:pPr>
            <w:r w:rsidRPr="000E1B7E">
              <w:rPr>
                <w:sz w:val="22"/>
                <w:szCs w:val="22"/>
              </w:rPr>
              <w:t>4,545.7</w:t>
            </w:r>
          </w:p>
        </w:tc>
        <w:tc>
          <w:tcPr>
            <w:tcW w:w="370" w:type="pct"/>
            <w:noWrap/>
            <w:vAlign w:val="bottom"/>
            <w:hideMark/>
          </w:tcPr>
          <w:p w14:paraId="4B251841" w14:textId="77777777" w:rsidR="00E90B02" w:rsidRPr="000E1B7E" w:rsidRDefault="00E90B02" w:rsidP="00E90B02">
            <w:pPr>
              <w:ind w:left="-67" w:right="-82"/>
              <w:jc w:val="center"/>
              <w:rPr>
                <w:sz w:val="22"/>
                <w:szCs w:val="22"/>
              </w:rPr>
            </w:pPr>
            <w:r w:rsidRPr="000E1B7E">
              <w:rPr>
                <w:sz w:val="22"/>
                <w:szCs w:val="22"/>
              </w:rPr>
              <w:t>4,656.0</w:t>
            </w:r>
          </w:p>
        </w:tc>
        <w:tc>
          <w:tcPr>
            <w:tcW w:w="371" w:type="pct"/>
            <w:noWrap/>
            <w:vAlign w:val="bottom"/>
            <w:hideMark/>
          </w:tcPr>
          <w:p w14:paraId="69205260" w14:textId="77777777" w:rsidR="00E90B02" w:rsidRPr="000E1B7E" w:rsidRDefault="00E90B02" w:rsidP="00E90B02">
            <w:pPr>
              <w:ind w:left="-67" w:right="-82"/>
              <w:jc w:val="center"/>
              <w:rPr>
                <w:sz w:val="22"/>
                <w:szCs w:val="22"/>
              </w:rPr>
            </w:pPr>
            <w:r w:rsidRPr="000E1B7E">
              <w:rPr>
                <w:sz w:val="22"/>
                <w:szCs w:val="22"/>
              </w:rPr>
              <w:t>4,692.7</w:t>
            </w:r>
          </w:p>
        </w:tc>
        <w:tc>
          <w:tcPr>
            <w:tcW w:w="371" w:type="pct"/>
            <w:noWrap/>
            <w:vAlign w:val="bottom"/>
            <w:hideMark/>
          </w:tcPr>
          <w:p w14:paraId="180518C6" w14:textId="77777777" w:rsidR="00E90B02" w:rsidRPr="000E1B7E" w:rsidRDefault="00E90B02" w:rsidP="00E90B02">
            <w:pPr>
              <w:ind w:left="-67" w:right="-82"/>
              <w:jc w:val="center"/>
              <w:rPr>
                <w:sz w:val="22"/>
                <w:szCs w:val="22"/>
              </w:rPr>
            </w:pPr>
            <w:r w:rsidRPr="000E1B7E">
              <w:rPr>
                <w:sz w:val="22"/>
                <w:szCs w:val="22"/>
              </w:rPr>
              <w:t>3,862.7</w:t>
            </w:r>
          </w:p>
        </w:tc>
        <w:tc>
          <w:tcPr>
            <w:tcW w:w="371" w:type="pct"/>
            <w:noWrap/>
            <w:vAlign w:val="bottom"/>
            <w:hideMark/>
          </w:tcPr>
          <w:p w14:paraId="16942CFD" w14:textId="77777777" w:rsidR="00E90B02" w:rsidRPr="000E1B7E" w:rsidRDefault="00E90B02" w:rsidP="00E90B02">
            <w:pPr>
              <w:ind w:left="-67" w:right="-82"/>
              <w:jc w:val="center"/>
              <w:rPr>
                <w:sz w:val="22"/>
                <w:szCs w:val="22"/>
              </w:rPr>
            </w:pPr>
            <w:r w:rsidRPr="000E1B7E">
              <w:rPr>
                <w:sz w:val="22"/>
                <w:szCs w:val="22"/>
              </w:rPr>
              <w:t>3,944.7</w:t>
            </w:r>
          </w:p>
        </w:tc>
        <w:tc>
          <w:tcPr>
            <w:tcW w:w="371" w:type="pct"/>
            <w:noWrap/>
            <w:vAlign w:val="bottom"/>
            <w:hideMark/>
          </w:tcPr>
          <w:p w14:paraId="4D8E9D35" w14:textId="77777777" w:rsidR="00E90B02" w:rsidRPr="000E1B7E" w:rsidRDefault="00E90B02" w:rsidP="00E90B02">
            <w:pPr>
              <w:ind w:left="-67" w:right="-82"/>
              <w:jc w:val="center"/>
              <w:rPr>
                <w:sz w:val="22"/>
                <w:szCs w:val="22"/>
              </w:rPr>
            </w:pPr>
            <w:r w:rsidRPr="000E1B7E">
              <w:rPr>
                <w:sz w:val="22"/>
                <w:szCs w:val="22"/>
              </w:rPr>
              <w:t>4,683.1</w:t>
            </w:r>
          </w:p>
        </w:tc>
        <w:tc>
          <w:tcPr>
            <w:tcW w:w="415" w:type="pct"/>
            <w:noWrap/>
            <w:vAlign w:val="bottom"/>
            <w:hideMark/>
          </w:tcPr>
          <w:p w14:paraId="7331D60A" w14:textId="77777777" w:rsidR="00E90B02" w:rsidRPr="000E1B7E" w:rsidRDefault="00E90B02" w:rsidP="00E90B02">
            <w:pPr>
              <w:ind w:left="-67" w:right="-82"/>
              <w:jc w:val="center"/>
              <w:rPr>
                <w:sz w:val="22"/>
                <w:szCs w:val="22"/>
              </w:rPr>
            </w:pPr>
            <w:r w:rsidRPr="000E1B7E">
              <w:rPr>
                <w:sz w:val="22"/>
                <w:szCs w:val="22"/>
              </w:rPr>
              <w:t>4,529.7</w:t>
            </w:r>
          </w:p>
        </w:tc>
        <w:tc>
          <w:tcPr>
            <w:tcW w:w="466" w:type="pct"/>
            <w:noWrap/>
            <w:vAlign w:val="bottom"/>
            <w:hideMark/>
          </w:tcPr>
          <w:p w14:paraId="59ED2B07" w14:textId="77777777" w:rsidR="00E90B02" w:rsidRPr="000E1B7E" w:rsidRDefault="00E90B02" w:rsidP="00E90B02">
            <w:pPr>
              <w:ind w:left="-67" w:right="-82"/>
              <w:jc w:val="center"/>
              <w:rPr>
                <w:sz w:val="22"/>
                <w:szCs w:val="22"/>
              </w:rPr>
            </w:pPr>
            <w:r w:rsidRPr="000E1B7E">
              <w:rPr>
                <w:sz w:val="22"/>
                <w:szCs w:val="22"/>
              </w:rPr>
              <w:t>4,163.5</w:t>
            </w:r>
          </w:p>
        </w:tc>
      </w:tr>
      <w:tr w:rsidR="00E90B02" w:rsidRPr="000E1B7E" w14:paraId="69614461" w14:textId="77777777" w:rsidTr="009D356A">
        <w:trPr>
          <w:trHeight w:val="315"/>
        </w:trPr>
        <w:tc>
          <w:tcPr>
            <w:tcW w:w="1155" w:type="pct"/>
            <w:noWrap/>
            <w:hideMark/>
          </w:tcPr>
          <w:p w14:paraId="49614557" w14:textId="77777777" w:rsidR="00E90B02" w:rsidRPr="000E1B7E" w:rsidRDefault="00E90B02" w:rsidP="009D356A">
            <w:pPr>
              <w:ind w:left="-67" w:right="-82"/>
              <w:jc w:val="right"/>
              <w:rPr>
                <w:sz w:val="22"/>
                <w:szCs w:val="22"/>
              </w:rPr>
            </w:pPr>
            <w:r w:rsidRPr="000E1B7E">
              <w:rPr>
                <w:sz w:val="22"/>
                <w:szCs w:val="22"/>
              </w:rPr>
              <w:t xml:space="preserve">         Oil imports</w:t>
            </w:r>
          </w:p>
        </w:tc>
        <w:tc>
          <w:tcPr>
            <w:tcW w:w="370" w:type="pct"/>
            <w:noWrap/>
            <w:vAlign w:val="bottom"/>
            <w:hideMark/>
          </w:tcPr>
          <w:p w14:paraId="33ADFE09" w14:textId="77777777" w:rsidR="00E90B02" w:rsidRPr="000E1B7E" w:rsidRDefault="00E90B02" w:rsidP="00E90B02">
            <w:pPr>
              <w:ind w:left="-67" w:right="-82"/>
              <w:jc w:val="center"/>
              <w:rPr>
                <w:sz w:val="22"/>
                <w:szCs w:val="22"/>
              </w:rPr>
            </w:pPr>
            <w:r w:rsidRPr="000E1B7E">
              <w:rPr>
                <w:sz w:val="22"/>
                <w:szCs w:val="22"/>
              </w:rPr>
              <w:t>678.7</w:t>
            </w:r>
          </w:p>
        </w:tc>
        <w:tc>
          <w:tcPr>
            <w:tcW w:w="370" w:type="pct"/>
            <w:noWrap/>
            <w:vAlign w:val="bottom"/>
            <w:hideMark/>
          </w:tcPr>
          <w:p w14:paraId="34F77A88" w14:textId="77777777" w:rsidR="00E90B02" w:rsidRPr="000E1B7E" w:rsidRDefault="00E90B02" w:rsidP="00E90B02">
            <w:pPr>
              <w:ind w:left="-67" w:right="-82"/>
              <w:jc w:val="center"/>
              <w:rPr>
                <w:sz w:val="22"/>
                <w:szCs w:val="22"/>
              </w:rPr>
            </w:pPr>
            <w:r w:rsidRPr="000E1B7E">
              <w:rPr>
                <w:sz w:val="22"/>
                <w:szCs w:val="22"/>
              </w:rPr>
              <w:t>947.0</w:t>
            </w:r>
          </w:p>
        </w:tc>
        <w:tc>
          <w:tcPr>
            <w:tcW w:w="370" w:type="pct"/>
            <w:noWrap/>
            <w:vAlign w:val="bottom"/>
            <w:hideMark/>
          </w:tcPr>
          <w:p w14:paraId="15249664" w14:textId="77777777" w:rsidR="00E90B02" w:rsidRPr="000E1B7E" w:rsidRDefault="00E90B02" w:rsidP="00E90B02">
            <w:pPr>
              <w:ind w:left="-67" w:right="-82"/>
              <w:jc w:val="center"/>
              <w:rPr>
                <w:sz w:val="22"/>
                <w:szCs w:val="22"/>
              </w:rPr>
            </w:pPr>
            <w:r w:rsidRPr="000E1B7E">
              <w:rPr>
                <w:sz w:val="22"/>
                <w:szCs w:val="22"/>
              </w:rPr>
              <w:t>1,028.1</w:t>
            </w:r>
          </w:p>
        </w:tc>
        <w:tc>
          <w:tcPr>
            <w:tcW w:w="370" w:type="pct"/>
            <w:noWrap/>
            <w:vAlign w:val="bottom"/>
            <w:hideMark/>
          </w:tcPr>
          <w:p w14:paraId="37AA2BC8" w14:textId="77777777" w:rsidR="00E90B02" w:rsidRPr="000E1B7E" w:rsidRDefault="00E90B02" w:rsidP="00E90B02">
            <w:pPr>
              <w:ind w:left="-67" w:right="-82"/>
              <w:jc w:val="center"/>
              <w:rPr>
                <w:sz w:val="22"/>
                <w:szCs w:val="22"/>
              </w:rPr>
            </w:pPr>
            <w:r w:rsidRPr="000E1B7E">
              <w:rPr>
                <w:sz w:val="22"/>
                <w:szCs w:val="22"/>
              </w:rPr>
              <w:t>1,089.8</w:t>
            </w:r>
          </w:p>
        </w:tc>
        <w:tc>
          <w:tcPr>
            <w:tcW w:w="371" w:type="pct"/>
            <w:noWrap/>
            <w:vAlign w:val="bottom"/>
            <w:hideMark/>
          </w:tcPr>
          <w:p w14:paraId="165E6D01" w14:textId="77777777" w:rsidR="00E90B02" w:rsidRPr="000E1B7E" w:rsidRDefault="00E90B02" w:rsidP="00E90B02">
            <w:pPr>
              <w:ind w:left="-67" w:right="-82"/>
              <w:jc w:val="center"/>
              <w:rPr>
                <w:sz w:val="22"/>
                <w:szCs w:val="22"/>
              </w:rPr>
            </w:pPr>
            <w:r w:rsidRPr="000E1B7E">
              <w:rPr>
                <w:sz w:val="22"/>
                <w:szCs w:val="22"/>
              </w:rPr>
              <w:t>933.0</w:t>
            </w:r>
          </w:p>
        </w:tc>
        <w:tc>
          <w:tcPr>
            <w:tcW w:w="371" w:type="pct"/>
            <w:noWrap/>
            <w:vAlign w:val="bottom"/>
            <w:hideMark/>
          </w:tcPr>
          <w:p w14:paraId="3F886E92" w14:textId="77777777" w:rsidR="00E90B02" w:rsidRPr="000E1B7E" w:rsidRDefault="00E90B02" w:rsidP="00E90B02">
            <w:pPr>
              <w:ind w:left="-67" w:right="-82"/>
              <w:jc w:val="center"/>
              <w:rPr>
                <w:sz w:val="22"/>
                <w:szCs w:val="22"/>
              </w:rPr>
            </w:pPr>
            <w:r w:rsidRPr="000E1B7E">
              <w:rPr>
                <w:sz w:val="22"/>
                <w:szCs w:val="22"/>
              </w:rPr>
              <w:t>645.9</w:t>
            </w:r>
          </w:p>
        </w:tc>
        <w:tc>
          <w:tcPr>
            <w:tcW w:w="371" w:type="pct"/>
            <w:noWrap/>
            <w:vAlign w:val="bottom"/>
            <w:hideMark/>
          </w:tcPr>
          <w:p w14:paraId="70069B25" w14:textId="77777777" w:rsidR="00E90B02" w:rsidRPr="000E1B7E" w:rsidRDefault="00E90B02" w:rsidP="00E90B02">
            <w:pPr>
              <w:ind w:left="-67" w:right="-82"/>
              <w:jc w:val="center"/>
              <w:rPr>
                <w:sz w:val="22"/>
                <w:szCs w:val="22"/>
              </w:rPr>
            </w:pPr>
            <w:r w:rsidRPr="000E1B7E">
              <w:rPr>
                <w:sz w:val="22"/>
                <w:szCs w:val="22"/>
              </w:rPr>
              <w:t>693.8</w:t>
            </w:r>
          </w:p>
        </w:tc>
        <w:tc>
          <w:tcPr>
            <w:tcW w:w="371" w:type="pct"/>
            <w:noWrap/>
            <w:vAlign w:val="bottom"/>
            <w:hideMark/>
          </w:tcPr>
          <w:p w14:paraId="487ADEEA" w14:textId="77777777" w:rsidR="00E90B02" w:rsidRPr="000E1B7E" w:rsidRDefault="00E90B02" w:rsidP="00E90B02">
            <w:pPr>
              <w:ind w:left="-67" w:right="-82"/>
              <w:jc w:val="center"/>
              <w:rPr>
                <w:sz w:val="22"/>
                <w:szCs w:val="22"/>
              </w:rPr>
            </w:pPr>
            <w:r w:rsidRPr="000E1B7E">
              <w:rPr>
                <w:sz w:val="22"/>
                <w:szCs w:val="22"/>
              </w:rPr>
              <w:t>910.7</w:t>
            </w:r>
          </w:p>
        </w:tc>
        <w:tc>
          <w:tcPr>
            <w:tcW w:w="415" w:type="pct"/>
            <w:noWrap/>
            <w:vAlign w:val="bottom"/>
            <w:hideMark/>
          </w:tcPr>
          <w:p w14:paraId="2CC6963E" w14:textId="77777777" w:rsidR="00E90B02" w:rsidRPr="000E1B7E" w:rsidRDefault="00E90B02" w:rsidP="00E90B02">
            <w:pPr>
              <w:ind w:left="-67" w:right="-82"/>
              <w:jc w:val="center"/>
              <w:rPr>
                <w:sz w:val="22"/>
                <w:szCs w:val="22"/>
              </w:rPr>
            </w:pPr>
            <w:r w:rsidRPr="000E1B7E">
              <w:rPr>
                <w:sz w:val="22"/>
                <w:szCs w:val="22"/>
              </w:rPr>
              <w:t>935.3</w:t>
            </w:r>
          </w:p>
        </w:tc>
        <w:tc>
          <w:tcPr>
            <w:tcW w:w="466" w:type="pct"/>
            <w:noWrap/>
            <w:vAlign w:val="bottom"/>
            <w:hideMark/>
          </w:tcPr>
          <w:p w14:paraId="597E9D31" w14:textId="77777777" w:rsidR="00E90B02" w:rsidRPr="000E1B7E" w:rsidRDefault="00E90B02" w:rsidP="00E90B02">
            <w:pPr>
              <w:ind w:left="-67" w:right="-82"/>
              <w:jc w:val="center"/>
              <w:rPr>
                <w:sz w:val="22"/>
                <w:szCs w:val="22"/>
              </w:rPr>
            </w:pPr>
            <w:r w:rsidRPr="000E1B7E">
              <w:rPr>
                <w:sz w:val="22"/>
                <w:szCs w:val="22"/>
              </w:rPr>
              <w:t>750.1</w:t>
            </w:r>
          </w:p>
        </w:tc>
      </w:tr>
      <w:tr w:rsidR="00E90B02" w:rsidRPr="000E1B7E" w14:paraId="0EE5C349" w14:textId="77777777" w:rsidTr="009D356A">
        <w:trPr>
          <w:trHeight w:val="315"/>
        </w:trPr>
        <w:tc>
          <w:tcPr>
            <w:tcW w:w="1155" w:type="pct"/>
            <w:noWrap/>
            <w:hideMark/>
          </w:tcPr>
          <w:p w14:paraId="53892670" w14:textId="77777777" w:rsidR="00E90B02" w:rsidRPr="000E1B7E" w:rsidRDefault="00E90B02" w:rsidP="009D356A">
            <w:pPr>
              <w:ind w:left="-67" w:right="-82"/>
              <w:jc w:val="right"/>
              <w:rPr>
                <w:sz w:val="22"/>
                <w:szCs w:val="22"/>
              </w:rPr>
            </w:pPr>
            <w:r w:rsidRPr="000E1B7E">
              <w:rPr>
                <w:sz w:val="22"/>
                <w:szCs w:val="22"/>
              </w:rPr>
              <w:t xml:space="preserve">         Non-oil imports</w:t>
            </w:r>
          </w:p>
        </w:tc>
        <w:tc>
          <w:tcPr>
            <w:tcW w:w="370" w:type="pct"/>
            <w:noWrap/>
            <w:vAlign w:val="bottom"/>
            <w:hideMark/>
          </w:tcPr>
          <w:p w14:paraId="4F94716D" w14:textId="77777777" w:rsidR="00E90B02" w:rsidRPr="000E1B7E" w:rsidRDefault="00E90B02" w:rsidP="00E90B02">
            <w:pPr>
              <w:ind w:left="-67" w:right="-82"/>
              <w:jc w:val="center"/>
              <w:rPr>
                <w:sz w:val="22"/>
                <w:szCs w:val="22"/>
              </w:rPr>
            </w:pPr>
            <w:r w:rsidRPr="000E1B7E">
              <w:rPr>
                <w:sz w:val="22"/>
                <w:szCs w:val="22"/>
              </w:rPr>
              <w:t>3,373.5</w:t>
            </w:r>
          </w:p>
        </w:tc>
        <w:tc>
          <w:tcPr>
            <w:tcW w:w="370" w:type="pct"/>
            <w:noWrap/>
            <w:vAlign w:val="bottom"/>
            <w:hideMark/>
          </w:tcPr>
          <w:p w14:paraId="0CD03B2B" w14:textId="77777777" w:rsidR="00E90B02" w:rsidRPr="000E1B7E" w:rsidRDefault="00E90B02" w:rsidP="00E90B02">
            <w:pPr>
              <w:ind w:left="-67" w:right="-82"/>
              <w:jc w:val="center"/>
              <w:rPr>
                <w:sz w:val="22"/>
                <w:szCs w:val="22"/>
              </w:rPr>
            </w:pPr>
            <w:r w:rsidRPr="000E1B7E">
              <w:rPr>
                <w:sz w:val="22"/>
                <w:szCs w:val="22"/>
              </w:rPr>
              <w:t>3,755.0</w:t>
            </w:r>
          </w:p>
        </w:tc>
        <w:tc>
          <w:tcPr>
            <w:tcW w:w="370" w:type="pct"/>
            <w:noWrap/>
            <w:vAlign w:val="bottom"/>
            <w:hideMark/>
          </w:tcPr>
          <w:p w14:paraId="2B7A888F" w14:textId="77777777" w:rsidR="00E90B02" w:rsidRPr="000E1B7E" w:rsidRDefault="00E90B02" w:rsidP="00E90B02">
            <w:pPr>
              <w:ind w:left="-67" w:right="-82"/>
              <w:jc w:val="center"/>
              <w:rPr>
                <w:sz w:val="22"/>
                <w:szCs w:val="22"/>
              </w:rPr>
            </w:pPr>
            <w:r w:rsidRPr="000E1B7E">
              <w:rPr>
                <w:sz w:val="22"/>
                <w:szCs w:val="22"/>
              </w:rPr>
              <w:t>3,517.6</w:t>
            </w:r>
          </w:p>
        </w:tc>
        <w:tc>
          <w:tcPr>
            <w:tcW w:w="370" w:type="pct"/>
            <w:noWrap/>
            <w:vAlign w:val="bottom"/>
            <w:hideMark/>
          </w:tcPr>
          <w:p w14:paraId="16D5A8AC" w14:textId="77777777" w:rsidR="00E90B02" w:rsidRPr="000E1B7E" w:rsidRDefault="00E90B02" w:rsidP="00E90B02">
            <w:pPr>
              <w:ind w:left="-67" w:right="-82"/>
              <w:jc w:val="center"/>
              <w:rPr>
                <w:sz w:val="22"/>
                <w:szCs w:val="22"/>
              </w:rPr>
            </w:pPr>
            <w:r w:rsidRPr="000E1B7E">
              <w:rPr>
                <w:sz w:val="22"/>
                <w:szCs w:val="22"/>
              </w:rPr>
              <w:t>3,566.2</w:t>
            </w:r>
          </w:p>
        </w:tc>
        <w:tc>
          <w:tcPr>
            <w:tcW w:w="371" w:type="pct"/>
            <w:noWrap/>
            <w:vAlign w:val="bottom"/>
            <w:hideMark/>
          </w:tcPr>
          <w:p w14:paraId="1DB49658" w14:textId="77777777" w:rsidR="00E90B02" w:rsidRPr="000E1B7E" w:rsidRDefault="00E90B02" w:rsidP="00E90B02">
            <w:pPr>
              <w:ind w:left="-67" w:right="-82"/>
              <w:jc w:val="center"/>
              <w:rPr>
                <w:sz w:val="22"/>
                <w:szCs w:val="22"/>
              </w:rPr>
            </w:pPr>
            <w:r w:rsidRPr="000E1B7E">
              <w:rPr>
                <w:sz w:val="22"/>
                <w:szCs w:val="22"/>
              </w:rPr>
              <w:t>3,759.6</w:t>
            </w:r>
          </w:p>
        </w:tc>
        <w:tc>
          <w:tcPr>
            <w:tcW w:w="371" w:type="pct"/>
            <w:noWrap/>
            <w:vAlign w:val="bottom"/>
            <w:hideMark/>
          </w:tcPr>
          <w:p w14:paraId="33F868DD" w14:textId="77777777" w:rsidR="00E90B02" w:rsidRPr="000E1B7E" w:rsidRDefault="00E90B02" w:rsidP="00E90B02">
            <w:pPr>
              <w:ind w:left="-67" w:right="-82"/>
              <w:jc w:val="center"/>
              <w:rPr>
                <w:sz w:val="22"/>
                <w:szCs w:val="22"/>
              </w:rPr>
            </w:pPr>
            <w:r w:rsidRPr="000E1B7E">
              <w:rPr>
                <w:sz w:val="22"/>
                <w:szCs w:val="22"/>
              </w:rPr>
              <w:t>3,216.7</w:t>
            </w:r>
          </w:p>
        </w:tc>
        <w:tc>
          <w:tcPr>
            <w:tcW w:w="371" w:type="pct"/>
            <w:noWrap/>
            <w:vAlign w:val="bottom"/>
            <w:hideMark/>
          </w:tcPr>
          <w:p w14:paraId="5BDBB748" w14:textId="77777777" w:rsidR="00E90B02" w:rsidRPr="000E1B7E" w:rsidRDefault="00E90B02" w:rsidP="00E90B02">
            <w:pPr>
              <w:ind w:left="-67" w:right="-82"/>
              <w:jc w:val="center"/>
              <w:rPr>
                <w:sz w:val="22"/>
                <w:szCs w:val="22"/>
              </w:rPr>
            </w:pPr>
            <w:r w:rsidRPr="000E1B7E">
              <w:rPr>
                <w:sz w:val="22"/>
                <w:szCs w:val="22"/>
              </w:rPr>
              <w:t>3,250.9</w:t>
            </w:r>
          </w:p>
        </w:tc>
        <w:tc>
          <w:tcPr>
            <w:tcW w:w="371" w:type="pct"/>
            <w:noWrap/>
            <w:vAlign w:val="bottom"/>
            <w:hideMark/>
          </w:tcPr>
          <w:p w14:paraId="17132C8F" w14:textId="77777777" w:rsidR="00E90B02" w:rsidRPr="000E1B7E" w:rsidRDefault="00E90B02" w:rsidP="00E90B02">
            <w:pPr>
              <w:ind w:left="-67" w:right="-82"/>
              <w:jc w:val="center"/>
              <w:rPr>
                <w:sz w:val="22"/>
                <w:szCs w:val="22"/>
              </w:rPr>
            </w:pPr>
            <w:r w:rsidRPr="000E1B7E">
              <w:rPr>
                <w:sz w:val="22"/>
                <w:szCs w:val="22"/>
              </w:rPr>
              <w:t>3,772.4</w:t>
            </w:r>
          </w:p>
        </w:tc>
        <w:tc>
          <w:tcPr>
            <w:tcW w:w="415" w:type="pct"/>
            <w:noWrap/>
            <w:vAlign w:val="bottom"/>
            <w:hideMark/>
          </w:tcPr>
          <w:p w14:paraId="55A136E6" w14:textId="77777777" w:rsidR="00E90B02" w:rsidRPr="000E1B7E" w:rsidRDefault="00E90B02" w:rsidP="00E90B02">
            <w:pPr>
              <w:ind w:left="-67" w:right="-82"/>
              <w:jc w:val="center"/>
              <w:rPr>
                <w:sz w:val="22"/>
                <w:szCs w:val="22"/>
              </w:rPr>
            </w:pPr>
            <w:r w:rsidRPr="000E1B7E">
              <w:rPr>
                <w:sz w:val="22"/>
                <w:szCs w:val="22"/>
              </w:rPr>
              <w:t>3,594.4</w:t>
            </w:r>
          </w:p>
        </w:tc>
        <w:tc>
          <w:tcPr>
            <w:tcW w:w="466" w:type="pct"/>
            <w:noWrap/>
            <w:vAlign w:val="bottom"/>
            <w:hideMark/>
          </w:tcPr>
          <w:p w14:paraId="24C4044D" w14:textId="77777777" w:rsidR="00E90B02" w:rsidRPr="000E1B7E" w:rsidRDefault="00E90B02" w:rsidP="00E90B02">
            <w:pPr>
              <w:ind w:left="-67" w:right="-82"/>
              <w:jc w:val="center"/>
              <w:rPr>
                <w:sz w:val="22"/>
                <w:szCs w:val="22"/>
              </w:rPr>
            </w:pPr>
            <w:r w:rsidRPr="000E1B7E">
              <w:rPr>
                <w:sz w:val="22"/>
                <w:szCs w:val="22"/>
              </w:rPr>
              <w:t>3,413.3</w:t>
            </w:r>
          </w:p>
        </w:tc>
      </w:tr>
      <w:tr w:rsidR="00E90B02" w:rsidRPr="000E1B7E" w14:paraId="31A80417" w14:textId="77777777" w:rsidTr="009D356A">
        <w:trPr>
          <w:trHeight w:val="315"/>
        </w:trPr>
        <w:tc>
          <w:tcPr>
            <w:tcW w:w="1155" w:type="pct"/>
            <w:noWrap/>
            <w:hideMark/>
          </w:tcPr>
          <w:p w14:paraId="1F817BAC" w14:textId="77777777" w:rsidR="00E90B02" w:rsidRPr="000E1B7E" w:rsidRDefault="00E90B02" w:rsidP="00E90B02">
            <w:pPr>
              <w:ind w:left="-67" w:right="-82"/>
              <w:jc w:val="center"/>
              <w:rPr>
                <w:sz w:val="22"/>
                <w:szCs w:val="22"/>
              </w:rPr>
            </w:pPr>
            <w:r w:rsidRPr="000E1B7E">
              <w:rPr>
                <w:sz w:val="22"/>
                <w:szCs w:val="22"/>
              </w:rPr>
              <w:t>Informal Private Sector Imports</w:t>
            </w:r>
          </w:p>
        </w:tc>
        <w:tc>
          <w:tcPr>
            <w:tcW w:w="370" w:type="pct"/>
            <w:noWrap/>
            <w:vAlign w:val="bottom"/>
            <w:hideMark/>
          </w:tcPr>
          <w:p w14:paraId="45723925" w14:textId="77777777" w:rsidR="00E90B02" w:rsidRPr="000E1B7E" w:rsidRDefault="00E90B02" w:rsidP="00E90B02">
            <w:pPr>
              <w:ind w:left="-67" w:right="-82"/>
              <w:jc w:val="center"/>
              <w:rPr>
                <w:sz w:val="22"/>
                <w:szCs w:val="22"/>
              </w:rPr>
            </w:pPr>
            <w:r w:rsidRPr="000E1B7E">
              <w:rPr>
                <w:sz w:val="22"/>
                <w:szCs w:val="22"/>
              </w:rPr>
              <w:t>59.0</w:t>
            </w:r>
          </w:p>
        </w:tc>
        <w:tc>
          <w:tcPr>
            <w:tcW w:w="370" w:type="pct"/>
            <w:noWrap/>
            <w:vAlign w:val="bottom"/>
            <w:hideMark/>
          </w:tcPr>
          <w:p w14:paraId="4A071B1B" w14:textId="77777777" w:rsidR="00E90B02" w:rsidRPr="000E1B7E" w:rsidRDefault="00E90B02" w:rsidP="00E90B02">
            <w:pPr>
              <w:ind w:left="-67" w:right="-82"/>
              <w:jc w:val="center"/>
              <w:rPr>
                <w:sz w:val="22"/>
                <w:szCs w:val="22"/>
              </w:rPr>
            </w:pPr>
            <w:r w:rsidRPr="000E1B7E">
              <w:rPr>
                <w:sz w:val="22"/>
                <w:szCs w:val="22"/>
              </w:rPr>
              <w:t>56.1</w:t>
            </w:r>
          </w:p>
        </w:tc>
        <w:tc>
          <w:tcPr>
            <w:tcW w:w="370" w:type="pct"/>
            <w:noWrap/>
            <w:vAlign w:val="bottom"/>
            <w:hideMark/>
          </w:tcPr>
          <w:p w14:paraId="0DA7AC69" w14:textId="77777777" w:rsidR="00E90B02" w:rsidRPr="000E1B7E" w:rsidRDefault="00E90B02" w:rsidP="00E90B02">
            <w:pPr>
              <w:ind w:left="-67" w:right="-82"/>
              <w:jc w:val="center"/>
              <w:rPr>
                <w:sz w:val="22"/>
                <w:szCs w:val="22"/>
              </w:rPr>
            </w:pPr>
            <w:r w:rsidRPr="000E1B7E">
              <w:rPr>
                <w:sz w:val="22"/>
                <w:szCs w:val="22"/>
              </w:rPr>
              <w:t>51.3</w:t>
            </w:r>
          </w:p>
        </w:tc>
        <w:tc>
          <w:tcPr>
            <w:tcW w:w="370" w:type="pct"/>
            <w:noWrap/>
            <w:vAlign w:val="bottom"/>
            <w:hideMark/>
          </w:tcPr>
          <w:p w14:paraId="748DE433" w14:textId="77777777" w:rsidR="00E90B02" w:rsidRPr="000E1B7E" w:rsidRDefault="00E90B02" w:rsidP="00E90B02">
            <w:pPr>
              <w:ind w:left="-67" w:right="-82"/>
              <w:jc w:val="center"/>
              <w:rPr>
                <w:sz w:val="22"/>
                <w:szCs w:val="22"/>
              </w:rPr>
            </w:pPr>
            <w:r w:rsidRPr="000E1B7E">
              <w:rPr>
                <w:sz w:val="22"/>
                <w:szCs w:val="22"/>
              </w:rPr>
              <w:t>56.5</w:t>
            </w:r>
          </w:p>
        </w:tc>
        <w:tc>
          <w:tcPr>
            <w:tcW w:w="371" w:type="pct"/>
            <w:noWrap/>
            <w:vAlign w:val="bottom"/>
            <w:hideMark/>
          </w:tcPr>
          <w:p w14:paraId="0278713E" w14:textId="77777777" w:rsidR="00E90B02" w:rsidRPr="000E1B7E" w:rsidRDefault="00E90B02" w:rsidP="00E90B02">
            <w:pPr>
              <w:ind w:left="-67" w:right="-82"/>
              <w:jc w:val="center"/>
              <w:rPr>
                <w:sz w:val="22"/>
                <w:szCs w:val="22"/>
              </w:rPr>
            </w:pPr>
            <w:r w:rsidRPr="000E1B7E">
              <w:rPr>
                <w:sz w:val="22"/>
                <w:szCs w:val="22"/>
              </w:rPr>
              <w:t>71.5</w:t>
            </w:r>
          </w:p>
        </w:tc>
        <w:tc>
          <w:tcPr>
            <w:tcW w:w="371" w:type="pct"/>
            <w:noWrap/>
            <w:vAlign w:val="bottom"/>
            <w:hideMark/>
          </w:tcPr>
          <w:p w14:paraId="619CFC9C" w14:textId="77777777" w:rsidR="00E90B02" w:rsidRPr="000E1B7E" w:rsidRDefault="00E90B02" w:rsidP="00E90B02">
            <w:pPr>
              <w:ind w:left="-67" w:right="-82"/>
              <w:jc w:val="center"/>
              <w:rPr>
                <w:sz w:val="22"/>
                <w:szCs w:val="22"/>
              </w:rPr>
            </w:pPr>
            <w:r w:rsidRPr="000E1B7E">
              <w:rPr>
                <w:sz w:val="22"/>
                <w:szCs w:val="22"/>
              </w:rPr>
              <w:t>217.6</w:t>
            </w:r>
          </w:p>
        </w:tc>
        <w:tc>
          <w:tcPr>
            <w:tcW w:w="371" w:type="pct"/>
            <w:noWrap/>
            <w:vAlign w:val="bottom"/>
            <w:hideMark/>
          </w:tcPr>
          <w:p w14:paraId="5E93E981" w14:textId="77777777" w:rsidR="00E90B02" w:rsidRPr="000E1B7E" w:rsidRDefault="00E90B02" w:rsidP="00E90B02">
            <w:pPr>
              <w:ind w:left="-67" w:right="-82"/>
              <w:jc w:val="center"/>
              <w:rPr>
                <w:sz w:val="22"/>
                <w:szCs w:val="22"/>
              </w:rPr>
            </w:pPr>
            <w:r w:rsidRPr="000E1B7E">
              <w:rPr>
                <w:sz w:val="22"/>
                <w:szCs w:val="22"/>
              </w:rPr>
              <w:t>405.4</w:t>
            </w:r>
          </w:p>
        </w:tc>
        <w:tc>
          <w:tcPr>
            <w:tcW w:w="371" w:type="pct"/>
            <w:noWrap/>
            <w:vAlign w:val="bottom"/>
            <w:hideMark/>
          </w:tcPr>
          <w:p w14:paraId="6B71DBDE" w14:textId="77777777" w:rsidR="00E90B02" w:rsidRPr="000E1B7E" w:rsidRDefault="00E90B02" w:rsidP="00E90B02">
            <w:pPr>
              <w:ind w:left="-67" w:right="-82"/>
              <w:jc w:val="center"/>
              <w:rPr>
                <w:sz w:val="22"/>
                <w:szCs w:val="22"/>
              </w:rPr>
            </w:pPr>
            <w:r w:rsidRPr="000E1B7E">
              <w:rPr>
                <w:sz w:val="22"/>
                <w:szCs w:val="22"/>
              </w:rPr>
              <w:t>341.3</w:t>
            </w:r>
          </w:p>
        </w:tc>
        <w:tc>
          <w:tcPr>
            <w:tcW w:w="415" w:type="pct"/>
            <w:noWrap/>
            <w:vAlign w:val="bottom"/>
            <w:hideMark/>
          </w:tcPr>
          <w:p w14:paraId="0A0CC3F8" w14:textId="77777777" w:rsidR="00E90B02" w:rsidRPr="000E1B7E" w:rsidRDefault="00E90B02" w:rsidP="00E90B02">
            <w:pPr>
              <w:ind w:left="-67" w:right="-82"/>
              <w:jc w:val="center"/>
              <w:rPr>
                <w:sz w:val="22"/>
                <w:szCs w:val="22"/>
              </w:rPr>
            </w:pPr>
            <w:r w:rsidRPr="000E1B7E">
              <w:rPr>
                <w:sz w:val="22"/>
                <w:szCs w:val="22"/>
              </w:rPr>
              <w:t>58.9</w:t>
            </w:r>
          </w:p>
        </w:tc>
        <w:tc>
          <w:tcPr>
            <w:tcW w:w="466" w:type="pct"/>
            <w:noWrap/>
            <w:vAlign w:val="bottom"/>
            <w:hideMark/>
          </w:tcPr>
          <w:p w14:paraId="26C6BF5C" w14:textId="77777777" w:rsidR="00E90B02" w:rsidRPr="000E1B7E" w:rsidRDefault="00E90B02" w:rsidP="00E90B02">
            <w:pPr>
              <w:ind w:left="-67" w:right="-82"/>
              <w:jc w:val="center"/>
              <w:rPr>
                <w:sz w:val="22"/>
                <w:szCs w:val="22"/>
              </w:rPr>
            </w:pPr>
            <w:r w:rsidRPr="000E1B7E">
              <w:rPr>
                <w:sz w:val="22"/>
                <w:szCs w:val="22"/>
              </w:rPr>
              <w:t>321.4</w:t>
            </w:r>
          </w:p>
        </w:tc>
      </w:tr>
      <w:tr w:rsidR="00E90B02" w:rsidRPr="000E1B7E" w14:paraId="18B04409" w14:textId="77777777" w:rsidTr="009D356A">
        <w:trPr>
          <w:trHeight w:val="315"/>
        </w:trPr>
        <w:tc>
          <w:tcPr>
            <w:tcW w:w="1155" w:type="pct"/>
            <w:noWrap/>
            <w:hideMark/>
          </w:tcPr>
          <w:p w14:paraId="15B1ADC4" w14:textId="77777777" w:rsidR="00E90B02" w:rsidRPr="000E1B7E" w:rsidRDefault="00E90B02" w:rsidP="00E90B02">
            <w:pPr>
              <w:ind w:left="-67" w:right="-82"/>
              <w:jc w:val="center"/>
              <w:rPr>
                <w:sz w:val="22"/>
                <w:szCs w:val="22"/>
              </w:rPr>
            </w:pPr>
            <w:r w:rsidRPr="000E1B7E">
              <w:rPr>
                <w:sz w:val="22"/>
                <w:szCs w:val="22"/>
              </w:rPr>
              <w:t>Total Private Sector Imports</w:t>
            </w:r>
          </w:p>
        </w:tc>
        <w:tc>
          <w:tcPr>
            <w:tcW w:w="370" w:type="pct"/>
            <w:noWrap/>
            <w:vAlign w:val="bottom"/>
            <w:hideMark/>
          </w:tcPr>
          <w:p w14:paraId="5C63EFA6" w14:textId="77777777" w:rsidR="00E90B02" w:rsidRPr="000E1B7E" w:rsidRDefault="00E90B02" w:rsidP="00E90B02">
            <w:pPr>
              <w:ind w:left="-67" w:right="-82"/>
              <w:jc w:val="center"/>
              <w:rPr>
                <w:sz w:val="22"/>
                <w:szCs w:val="22"/>
              </w:rPr>
            </w:pPr>
            <w:r w:rsidRPr="000E1B7E">
              <w:rPr>
                <w:sz w:val="22"/>
                <w:szCs w:val="22"/>
              </w:rPr>
              <w:t>4,111.2</w:t>
            </w:r>
          </w:p>
        </w:tc>
        <w:tc>
          <w:tcPr>
            <w:tcW w:w="370" w:type="pct"/>
            <w:noWrap/>
            <w:vAlign w:val="bottom"/>
            <w:hideMark/>
          </w:tcPr>
          <w:p w14:paraId="00ED9D08" w14:textId="77777777" w:rsidR="00E90B02" w:rsidRPr="000E1B7E" w:rsidRDefault="00E90B02" w:rsidP="00E90B02">
            <w:pPr>
              <w:ind w:left="-67" w:right="-82"/>
              <w:jc w:val="center"/>
              <w:rPr>
                <w:sz w:val="22"/>
                <w:szCs w:val="22"/>
              </w:rPr>
            </w:pPr>
            <w:r w:rsidRPr="000E1B7E">
              <w:rPr>
                <w:sz w:val="22"/>
                <w:szCs w:val="22"/>
              </w:rPr>
              <w:t>4,758.0</w:t>
            </w:r>
          </w:p>
        </w:tc>
        <w:tc>
          <w:tcPr>
            <w:tcW w:w="370" w:type="pct"/>
            <w:noWrap/>
            <w:vAlign w:val="bottom"/>
            <w:hideMark/>
          </w:tcPr>
          <w:p w14:paraId="36ADFAB2" w14:textId="77777777" w:rsidR="00E90B02" w:rsidRPr="000E1B7E" w:rsidRDefault="00E90B02" w:rsidP="00E90B02">
            <w:pPr>
              <w:ind w:left="-67" w:right="-82"/>
              <w:jc w:val="center"/>
              <w:rPr>
                <w:sz w:val="22"/>
                <w:szCs w:val="22"/>
              </w:rPr>
            </w:pPr>
            <w:r w:rsidRPr="000E1B7E">
              <w:rPr>
                <w:sz w:val="22"/>
                <w:szCs w:val="22"/>
              </w:rPr>
              <w:t>4,597.0</w:t>
            </w:r>
          </w:p>
        </w:tc>
        <w:tc>
          <w:tcPr>
            <w:tcW w:w="370" w:type="pct"/>
            <w:noWrap/>
            <w:vAlign w:val="bottom"/>
            <w:hideMark/>
          </w:tcPr>
          <w:p w14:paraId="4B7760BF" w14:textId="77777777" w:rsidR="00E90B02" w:rsidRPr="000E1B7E" w:rsidRDefault="00E90B02" w:rsidP="00E90B02">
            <w:pPr>
              <w:ind w:left="-67" w:right="-82"/>
              <w:jc w:val="center"/>
              <w:rPr>
                <w:sz w:val="22"/>
                <w:szCs w:val="22"/>
              </w:rPr>
            </w:pPr>
            <w:r w:rsidRPr="000E1B7E">
              <w:rPr>
                <w:sz w:val="22"/>
                <w:szCs w:val="22"/>
              </w:rPr>
              <w:t>4,712.5</w:t>
            </w:r>
          </w:p>
        </w:tc>
        <w:tc>
          <w:tcPr>
            <w:tcW w:w="371" w:type="pct"/>
            <w:noWrap/>
            <w:vAlign w:val="bottom"/>
            <w:hideMark/>
          </w:tcPr>
          <w:p w14:paraId="3DC75BC6" w14:textId="77777777" w:rsidR="00E90B02" w:rsidRPr="000E1B7E" w:rsidRDefault="00E90B02" w:rsidP="00E90B02">
            <w:pPr>
              <w:ind w:left="-67" w:right="-82"/>
              <w:jc w:val="center"/>
              <w:rPr>
                <w:sz w:val="22"/>
                <w:szCs w:val="22"/>
              </w:rPr>
            </w:pPr>
            <w:r w:rsidRPr="000E1B7E">
              <w:rPr>
                <w:sz w:val="22"/>
                <w:szCs w:val="22"/>
              </w:rPr>
              <w:t>4,764.2</w:t>
            </w:r>
          </w:p>
        </w:tc>
        <w:tc>
          <w:tcPr>
            <w:tcW w:w="371" w:type="pct"/>
            <w:noWrap/>
            <w:vAlign w:val="bottom"/>
            <w:hideMark/>
          </w:tcPr>
          <w:p w14:paraId="24189359" w14:textId="77777777" w:rsidR="00E90B02" w:rsidRPr="000E1B7E" w:rsidRDefault="00E90B02" w:rsidP="00E90B02">
            <w:pPr>
              <w:ind w:left="-67" w:right="-82"/>
              <w:jc w:val="center"/>
              <w:rPr>
                <w:sz w:val="22"/>
                <w:szCs w:val="22"/>
              </w:rPr>
            </w:pPr>
            <w:r w:rsidRPr="000E1B7E">
              <w:rPr>
                <w:sz w:val="22"/>
                <w:szCs w:val="22"/>
              </w:rPr>
              <w:t>4,080.3</w:t>
            </w:r>
          </w:p>
        </w:tc>
        <w:tc>
          <w:tcPr>
            <w:tcW w:w="371" w:type="pct"/>
            <w:noWrap/>
            <w:vAlign w:val="bottom"/>
            <w:hideMark/>
          </w:tcPr>
          <w:p w14:paraId="5DD97DB2" w14:textId="77777777" w:rsidR="00E90B02" w:rsidRPr="000E1B7E" w:rsidRDefault="00E90B02" w:rsidP="00E90B02">
            <w:pPr>
              <w:ind w:left="-67" w:right="-82"/>
              <w:jc w:val="center"/>
              <w:rPr>
                <w:sz w:val="22"/>
                <w:szCs w:val="22"/>
              </w:rPr>
            </w:pPr>
            <w:r w:rsidRPr="000E1B7E">
              <w:rPr>
                <w:sz w:val="22"/>
                <w:szCs w:val="22"/>
              </w:rPr>
              <w:t>4,350.1</w:t>
            </w:r>
          </w:p>
        </w:tc>
        <w:tc>
          <w:tcPr>
            <w:tcW w:w="371" w:type="pct"/>
            <w:noWrap/>
            <w:vAlign w:val="bottom"/>
            <w:hideMark/>
          </w:tcPr>
          <w:p w14:paraId="7BB7F0A0" w14:textId="77777777" w:rsidR="00E90B02" w:rsidRPr="000E1B7E" w:rsidRDefault="00E90B02" w:rsidP="00E90B02">
            <w:pPr>
              <w:ind w:left="-67" w:right="-82"/>
              <w:jc w:val="center"/>
              <w:rPr>
                <w:sz w:val="22"/>
                <w:szCs w:val="22"/>
              </w:rPr>
            </w:pPr>
            <w:r w:rsidRPr="000E1B7E">
              <w:rPr>
                <w:sz w:val="22"/>
                <w:szCs w:val="22"/>
              </w:rPr>
              <w:t>5,024.4</w:t>
            </w:r>
          </w:p>
        </w:tc>
        <w:tc>
          <w:tcPr>
            <w:tcW w:w="415" w:type="pct"/>
            <w:noWrap/>
            <w:vAlign w:val="bottom"/>
            <w:hideMark/>
          </w:tcPr>
          <w:p w14:paraId="5A971798" w14:textId="77777777" w:rsidR="00E90B02" w:rsidRPr="000E1B7E" w:rsidRDefault="00E90B02" w:rsidP="00E90B02">
            <w:pPr>
              <w:ind w:left="-67" w:right="-82"/>
              <w:jc w:val="center"/>
              <w:rPr>
                <w:sz w:val="22"/>
                <w:szCs w:val="22"/>
              </w:rPr>
            </w:pPr>
            <w:r w:rsidRPr="000E1B7E">
              <w:rPr>
                <w:sz w:val="22"/>
                <w:szCs w:val="22"/>
              </w:rPr>
              <w:t>4,588.6</w:t>
            </w:r>
          </w:p>
        </w:tc>
        <w:tc>
          <w:tcPr>
            <w:tcW w:w="466" w:type="pct"/>
            <w:noWrap/>
            <w:vAlign w:val="bottom"/>
            <w:hideMark/>
          </w:tcPr>
          <w:p w14:paraId="71710A97" w14:textId="77777777" w:rsidR="00E90B02" w:rsidRPr="000E1B7E" w:rsidRDefault="00E90B02" w:rsidP="00E90B02">
            <w:pPr>
              <w:ind w:left="-67" w:right="-82"/>
              <w:jc w:val="center"/>
              <w:rPr>
                <w:sz w:val="22"/>
                <w:szCs w:val="22"/>
              </w:rPr>
            </w:pPr>
            <w:r w:rsidRPr="000E1B7E">
              <w:rPr>
                <w:sz w:val="22"/>
                <w:szCs w:val="22"/>
              </w:rPr>
              <w:t>4,484.9</w:t>
            </w:r>
          </w:p>
        </w:tc>
      </w:tr>
    </w:tbl>
    <w:p w14:paraId="3D2EC671" w14:textId="77777777" w:rsidR="00E90B02" w:rsidRPr="000E1B7E" w:rsidRDefault="00964F80" w:rsidP="005959B5">
      <w:pPr>
        <w:jc w:val="both"/>
      </w:pPr>
      <w:r w:rsidRPr="000E1B7E">
        <w:t xml:space="preserve">Source: Bank of Uganda </w:t>
      </w:r>
    </w:p>
    <w:p w14:paraId="467FA73B" w14:textId="77777777" w:rsidR="00964F80" w:rsidRPr="000E1B7E" w:rsidRDefault="00964F80" w:rsidP="005959B5">
      <w:pPr>
        <w:jc w:val="both"/>
      </w:pPr>
    </w:p>
    <w:p w14:paraId="2A3F5588" w14:textId="77777777" w:rsidR="00964F80" w:rsidRPr="000E1B7E" w:rsidRDefault="009B1C5B" w:rsidP="009B1C5B">
      <w:pPr>
        <w:pStyle w:val="ListParagraph"/>
        <w:numPr>
          <w:ilvl w:val="2"/>
          <w:numId w:val="22"/>
        </w:numPr>
        <w:ind w:left="851" w:hanging="851"/>
        <w:rPr>
          <w:rFonts w:ascii="Times New Roman" w:hAnsi="Times New Roman"/>
          <w:b/>
          <w:color w:val="000000" w:themeColor="text1"/>
          <w:sz w:val="24"/>
          <w:szCs w:val="24"/>
        </w:rPr>
      </w:pPr>
      <w:r w:rsidRPr="000E1B7E">
        <w:rPr>
          <w:rFonts w:ascii="Times New Roman" w:hAnsi="Times New Roman"/>
          <w:b/>
          <w:color w:val="000000" w:themeColor="text1"/>
          <w:sz w:val="24"/>
          <w:szCs w:val="24"/>
        </w:rPr>
        <w:t>External trade in Services</w:t>
      </w:r>
    </w:p>
    <w:p w14:paraId="5AC106BD" w14:textId="77777777" w:rsidR="00AE2F03" w:rsidRPr="000E1B7E" w:rsidRDefault="00CF15C9" w:rsidP="00AE2F03">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Uganda has experienced a contraction in external trade in services. </w:t>
      </w:r>
      <w:r w:rsidR="00803964" w:rsidRPr="000E1B7E">
        <w:rPr>
          <w:rFonts w:ascii="Times New Roman" w:hAnsi="Times New Roman"/>
          <w:sz w:val="24"/>
          <w:szCs w:val="24"/>
        </w:rPr>
        <w:t>Annual average export of services was $1,834.5m over the first three years of NDP II, compared to annual average of $1,995.1</w:t>
      </w:r>
      <w:r w:rsidR="00AE2F03" w:rsidRPr="000E1B7E">
        <w:rPr>
          <w:rFonts w:ascii="Times New Roman" w:hAnsi="Times New Roman"/>
          <w:sz w:val="24"/>
          <w:szCs w:val="24"/>
        </w:rPr>
        <w:t>m</w:t>
      </w:r>
      <w:r w:rsidR="00803964" w:rsidRPr="000E1B7E">
        <w:rPr>
          <w:rFonts w:ascii="Times New Roman" w:hAnsi="Times New Roman"/>
          <w:sz w:val="24"/>
          <w:szCs w:val="24"/>
        </w:rPr>
        <w:t xml:space="preserve"> over the NDP I period. Exports continued to be dominated by travel services</w:t>
      </w:r>
      <w:r w:rsidR="00AE2F03" w:rsidRPr="000E1B7E">
        <w:rPr>
          <w:rFonts w:ascii="Times New Roman" w:hAnsi="Times New Roman"/>
          <w:sz w:val="24"/>
          <w:szCs w:val="24"/>
        </w:rPr>
        <w:t xml:space="preserve">, with annual averages of $1,033m over the first three years of NDP II and $982.9m over the five year NDP I period. Increased export of travel services is attributed to increase in foreigners (tourists) visiting Uganda. Annual average import of services was $2,150.3m over the first three years of NDP II, compared to annual average of $2,420.9m over the NDP I period. Imports continued to be dominated by transport services, with annual averages of $1,150.9m over the first three years of NDP II and $1,178.6m over the five year NDP I period. Increased import of travel services is attributed to the demand for transport services for transporting imports destined for </w:t>
      </w:r>
      <w:r w:rsidR="00AE2F03" w:rsidRPr="000E1B7E">
        <w:rPr>
          <w:rFonts w:ascii="Times New Roman" w:hAnsi="Times New Roman"/>
          <w:sz w:val="24"/>
          <w:szCs w:val="24"/>
        </w:rPr>
        <w:lastRenderedPageBreak/>
        <w:t>Uganda. As a result, total trade in services has declined from an annual average of $4,416m over the NDP I period to an annual average of $3,984.8m over the first three years of NDP II, equivalent to 9.7% decline as summarised in table 20.</w:t>
      </w:r>
    </w:p>
    <w:p w14:paraId="3A2C73AD" w14:textId="77777777" w:rsidR="009B1C5B" w:rsidRPr="000E1B7E" w:rsidRDefault="00AE2F03" w:rsidP="005959B5">
      <w:pPr>
        <w:jc w:val="both"/>
        <w:rPr>
          <w:b/>
        </w:rPr>
      </w:pPr>
      <w:r w:rsidRPr="000E1B7E">
        <w:t xml:space="preserve"> </w:t>
      </w:r>
      <w:r w:rsidR="00CF15C9" w:rsidRPr="000E1B7E">
        <w:rPr>
          <w:b/>
        </w:rPr>
        <w:t>Table 20: Trade in Services</w:t>
      </w:r>
      <w:r w:rsidR="00CF15C9" w:rsidRPr="000E1B7E">
        <w:rPr>
          <w:rFonts w:eastAsia="Calibri"/>
          <w:b/>
        </w:rPr>
        <w:t>(in millions of US $)</w:t>
      </w:r>
    </w:p>
    <w:tbl>
      <w:tblPr>
        <w:tblStyle w:val="TableGrid1"/>
        <w:tblW w:w="9242" w:type="dxa"/>
        <w:tblLook w:val="04A0" w:firstRow="1" w:lastRow="0" w:firstColumn="1" w:lastColumn="0" w:noHBand="0" w:noVBand="1"/>
      </w:tblPr>
      <w:tblGrid>
        <w:gridCol w:w="1968"/>
        <w:gridCol w:w="989"/>
        <w:gridCol w:w="989"/>
        <w:gridCol w:w="989"/>
        <w:gridCol w:w="989"/>
        <w:gridCol w:w="1728"/>
        <w:gridCol w:w="1758"/>
      </w:tblGrid>
      <w:tr w:rsidR="00CF15C9" w:rsidRPr="000E1B7E" w14:paraId="7C053241" w14:textId="77777777" w:rsidTr="00CF15C9">
        <w:trPr>
          <w:trHeight w:val="530"/>
        </w:trPr>
        <w:tc>
          <w:tcPr>
            <w:tcW w:w="1968" w:type="dxa"/>
            <w:noWrap/>
            <w:hideMark/>
          </w:tcPr>
          <w:p w14:paraId="565E86B8" w14:textId="77777777" w:rsidR="00CF15C9" w:rsidRPr="000E1B7E" w:rsidRDefault="00CF15C9" w:rsidP="00CF15C9">
            <w:pPr>
              <w:ind w:left="-67" w:right="-82"/>
              <w:jc w:val="center"/>
            </w:pPr>
            <w:r w:rsidRPr="000E1B7E">
              <w:t> </w:t>
            </w:r>
          </w:p>
          <w:p w14:paraId="036316A4" w14:textId="77777777" w:rsidR="00CF15C9" w:rsidRPr="000E1B7E" w:rsidRDefault="00CF15C9" w:rsidP="00CF15C9">
            <w:pPr>
              <w:ind w:left="-67" w:right="-82"/>
              <w:jc w:val="center"/>
            </w:pPr>
            <w:r w:rsidRPr="000E1B7E">
              <w:t> </w:t>
            </w:r>
          </w:p>
        </w:tc>
        <w:tc>
          <w:tcPr>
            <w:tcW w:w="947" w:type="dxa"/>
            <w:noWrap/>
            <w:hideMark/>
          </w:tcPr>
          <w:p w14:paraId="0B68443C" w14:textId="77777777" w:rsidR="00CF15C9" w:rsidRPr="000E1B7E" w:rsidRDefault="00CF15C9" w:rsidP="00CF15C9">
            <w:pPr>
              <w:ind w:left="-67" w:right="-82"/>
              <w:jc w:val="center"/>
            </w:pPr>
            <w:r w:rsidRPr="000E1B7E">
              <w:t>FY</w:t>
            </w:r>
          </w:p>
          <w:p w14:paraId="3A0E5D2E" w14:textId="77777777" w:rsidR="00CF15C9" w:rsidRPr="000E1B7E" w:rsidRDefault="00CF15C9" w:rsidP="00CF15C9">
            <w:pPr>
              <w:ind w:left="-67" w:right="-82"/>
              <w:jc w:val="center"/>
            </w:pPr>
            <w:r w:rsidRPr="000E1B7E">
              <w:t>2014/15</w:t>
            </w:r>
          </w:p>
        </w:tc>
        <w:tc>
          <w:tcPr>
            <w:tcW w:w="947" w:type="dxa"/>
            <w:noWrap/>
            <w:hideMark/>
          </w:tcPr>
          <w:p w14:paraId="54198E11" w14:textId="77777777" w:rsidR="00CF15C9" w:rsidRPr="000E1B7E" w:rsidRDefault="00CF15C9" w:rsidP="00CF15C9">
            <w:pPr>
              <w:ind w:left="-67" w:right="-82"/>
              <w:jc w:val="center"/>
            </w:pPr>
            <w:r w:rsidRPr="000E1B7E">
              <w:t>FY</w:t>
            </w:r>
          </w:p>
          <w:p w14:paraId="736C12A4" w14:textId="77777777" w:rsidR="00CF15C9" w:rsidRPr="000E1B7E" w:rsidRDefault="00CF15C9" w:rsidP="00CF15C9">
            <w:pPr>
              <w:ind w:left="-67" w:right="-82"/>
              <w:jc w:val="center"/>
            </w:pPr>
            <w:r w:rsidRPr="000E1B7E">
              <w:t>2015/16</w:t>
            </w:r>
          </w:p>
        </w:tc>
        <w:tc>
          <w:tcPr>
            <w:tcW w:w="947" w:type="dxa"/>
            <w:noWrap/>
            <w:hideMark/>
          </w:tcPr>
          <w:p w14:paraId="14141012" w14:textId="77777777" w:rsidR="00CF15C9" w:rsidRPr="000E1B7E" w:rsidRDefault="00CF15C9" w:rsidP="00CF15C9">
            <w:pPr>
              <w:ind w:left="-67" w:right="-82"/>
              <w:jc w:val="center"/>
            </w:pPr>
            <w:r w:rsidRPr="000E1B7E">
              <w:t>FY</w:t>
            </w:r>
          </w:p>
          <w:p w14:paraId="60B94AFE" w14:textId="77777777" w:rsidR="00CF15C9" w:rsidRPr="000E1B7E" w:rsidRDefault="00CF15C9" w:rsidP="00CF15C9">
            <w:pPr>
              <w:ind w:left="-67" w:right="-82"/>
              <w:jc w:val="center"/>
            </w:pPr>
            <w:r w:rsidRPr="000E1B7E">
              <w:t>2016/17</w:t>
            </w:r>
          </w:p>
        </w:tc>
        <w:tc>
          <w:tcPr>
            <w:tcW w:w="947" w:type="dxa"/>
            <w:noWrap/>
            <w:hideMark/>
          </w:tcPr>
          <w:p w14:paraId="3F7EE4EA" w14:textId="77777777" w:rsidR="00CF15C9" w:rsidRPr="000E1B7E" w:rsidRDefault="00CF15C9" w:rsidP="00CF15C9">
            <w:pPr>
              <w:ind w:left="-67" w:right="-82"/>
              <w:jc w:val="center"/>
            </w:pPr>
            <w:r w:rsidRPr="000E1B7E">
              <w:t>FY</w:t>
            </w:r>
          </w:p>
          <w:p w14:paraId="0220BB67" w14:textId="77777777" w:rsidR="00CF15C9" w:rsidRPr="000E1B7E" w:rsidRDefault="00CF15C9" w:rsidP="00CF15C9">
            <w:pPr>
              <w:ind w:left="-67" w:right="-82"/>
              <w:jc w:val="center"/>
            </w:pPr>
            <w:r w:rsidRPr="000E1B7E">
              <w:t>2017/18</w:t>
            </w:r>
          </w:p>
        </w:tc>
        <w:tc>
          <w:tcPr>
            <w:tcW w:w="1728" w:type="dxa"/>
            <w:noWrap/>
            <w:hideMark/>
          </w:tcPr>
          <w:p w14:paraId="3CC22274" w14:textId="77777777" w:rsidR="00CF15C9" w:rsidRPr="000E1B7E" w:rsidRDefault="00CF15C9" w:rsidP="00CF15C9">
            <w:pPr>
              <w:jc w:val="center"/>
            </w:pPr>
            <w:r w:rsidRPr="000E1B7E">
              <w:t>Annual average NDP I</w:t>
            </w:r>
          </w:p>
        </w:tc>
        <w:tc>
          <w:tcPr>
            <w:tcW w:w="1758" w:type="dxa"/>
            <w:noWrap/>
            <w:hideMark/>
          </w:tcPr>
          <w:p w14:paraId="7EB09348" w14:textId="77777777" w:rsidR="00CF15C9" w:rsidRPr="000E1B7E" w:rsidRDefault="00CF15C9" w:rsidP="00CF15C9">
            <w:pPr>
              <w:jc w:val="center"/>
            </w:pPr>
            <w:r w:rsidRPr="000E1B7E">
              <w:t>Annual average</w:t>
            </w:r>
          </w:p>
          <w:p w14:paraId="570F2B83" w14:textId="77777777" w:rsidR="00CF15C9" w:rsidRPr="000E1B7E" w:rsidRDefault="00CF15C9" w:rsidP="00CF15C9">
            <w:pPr>
              <w:jc w:val="center"/>
              <w:rPr>
                <w:bCs/>
                <w:lang w:val="en-US"/>
              </w:rPr>
            </w:pPr>
            <w:r w:rsidRPr="000E1B7E">
              <w:t>NDP II</w:t>
            </w:r>
          </w:p>
        </w:tc>
      </w:tr>
      <w:tr w:rsidR="00CF15C9" w:rsidRPr="000E1B7E" w14:paraId="37DD541D" w14:textId="77777777" w:rsidTr="00CF15C9">
        <w:trPr>
          <w:trHeight w:val="315"/>
        </w:trPr>
        <w:tc>
          <w:tcPr>
            <w:tcW w:w="1968" w:type="dxa"/>
            <w:hideMark/>
          </w:tcPr>
          <w:p w14:paraId="6E65D681" w14:textId="77777777" w:rsidR="00CF15C9" w:rsidRPr="000E1B7E" w:rsidRDefault="00CF15C9" w:rsidP="00CF15C9">
            <w:pPr>
              <w:ind w:left="-67" w:right="-82"/>
              <w:jc w:val="center"/>
            </w:pPr>
            <w:r w:rsidRPr="000E1B7E">
              <w:t xml:space="preserve">      Exports</w:t>
            </w:r>
          </w:p>
        </w:tc>
        <w:tc>
          <w:tcPr>
            <w:tcW w:w="947" w:type="dxa"/>
            <w:noWrap/>
            <w:hideMark/>
          </w:tcPr>
          <w:p w14:paraId="53E30C79" w14:textId="77777777" w:rsidR="00CF15C9" w:rsidRPr="000E1B7E" w:rsidRDefault="00CF15C9" w:rsidP="00CF15C9">
            <w:pPr>
              <w:ind w:left="-67" w:right="-82"/>
              <w:jc w:val="center"/>
            </w:pPr>
            <w:r w:rsidRPr="000E1B7E">
              <w:t>2,173.69</w:t>
            </w:r>
          </w:p>
        </w:tc>
        <w:tc>
          <w:tcPr>
            <w:tcW w:w="947" w:type="dxa"/>
            <w:noWrap/>
            <w:hideMark/>
          </w:tcPr>
          <w:p w14:paraId="4862504E" w14:textId="77777777" w:rsidR="00CF15C9" w:rsidRPr="000E1B7E" w:rsidRDefault="00CF15C9" w:rsidP="00CF15C9">
            <w:pPr>
              <w:ind w:left="-67" w:right="-82"/>
              <w:jc w:val="center"/>
            </w:pPr>
            <w:r w:rsidRPr="000E1B7E">
              <w:t>1,984.71</w:t>
            </w:r>
          </w:p>
        </w:tc>
        <w:tc>
          <w:tcPr>
            <w:tcW w:w="947" w:type="dxa"/>
            <w:noWrap/>
            <w:hideMark/>
          </w:tcPr>
          <w:p w14:paraId="7EAF8BB6" w14:textId="77777777" w:rsidR="00CF15C9" w:rsidRPr="000E1B7E" w:rsidRDefault="00CF15C9" w:rsidP="00CF15C9">
            <w:pPr>
              <w:ind w:left="-67" w:right="-82"/>
              <w:jc w:val="center"/>
            </w:pPr>
            <w:r w:rsidRPr="000E1B7E">
              <w:t>1,688.61</w:t>
            </w:r>
          </w:p>
        </w:tc>
        <w:tc>
          <w:tcPr>
            <w:tcW w:w="947" w:type="dxa"/>
            <w:noWrap/>
            <w:hideMark/>
          </w:tcPr>
          <w:p w14:paraId="2F8FBAFB" w14:textId="77777777" w:rsidR="00CF15C9" w:rsidRPr="000E1B7E" w:rsidRDefault="00CF15C9" w:rsidP="00CF15C9">
            <w:pPr>
              <w:ind w:left="-67" w:right="-82"/>
              <w:jc w:val="center"/>
            </w:pPr>
            <w:r w:rsidRPr="000E1B7E">
              <w:t>1,830.16</w:t>
            </w:r>
          </w:p>
        </w:tc>
        <w:tc>
          <w:tcPr>
            <w:tcW w:w="1728" w:type="dxa"/>
            <w:noWrap/>
            <w:hideMark/>
          </w:tcPr>
          <w:p w14:paraId="3804FE62" w14:textId="77777777" w:rsidR="00CF15C9" w:rsidRPr="000E1B7E" w:rsidRDefault="00CF15C9" w:rsidP="00CF15C9">
            <w:pPr>
              <w:jc w:val="center"/>
            </w:pPr>
            <w:r w:rsidRPr="000E1B7E">
              <w:t>1,995.19</w:t>
            </w:r>
          </w:p>
        </w:tc>
        <w:tc>
          <w:tcPr>
            <w:tcW w:w="1758" w:type="dxa"/>
            <w:noWrap/>
            <w:hideMark/>
          </w:tcPr>
          <w:p w14:paraId="329FCF38" w14:textId="77777777" w:rsidR="00CF15C9" w:rsidRPr="000E1B7E" w:rsidRDefault="00CF15C9" w:rsidP="00CF15C9">
            <w:pPr>
              <w:jc w:val="center"/>
            </w:pPr>
            <w:r w:rsidRPr="000E1B7E">
              <w:t>1,834.50</w:t>
            </w:r>
          </w:p>
        </w:tc>
      </w:tr>
      <w:tr w:rsidR="00CF15C9" w:rsidRPr="000E1B7E" w14:paraId="76EC0B84" w14:textId="77777777" w:rsidTr="00CF15C9">
        <w:trPr>
          <w:trHeight w:val="315"/>
        </w:trPr>
        <w:tc>
          <w:tcPr>
            <w:tcW w:w="1968" w:type="dxa"/>
            <w:hideMark/>
          </w:tcPr>
          <w:p w14:paraId="40F09BED" w14:textId="77777777" w:rsidR="00CF15C9" w:rsidRPr="000E1B7E" w:rsidRDefault="00CF15C9" w:rsidP="00CF15C9">
            <w:pPr>
              <w:ind w:left="-67" w:right="-82"/>
              <w:jc w:val="center"/>
            </w:pPr>
            <w:r w:rsidRPr="000E1B7E">
              <w:t xml:space="preserve">      Imports</w:t>
            </w:r>
          </w:p>
        </w:tc>
        <w:tc>
          <w:tcPr>
            <w:tcW w:w="947" w:type="dxa"/>
            <w:noWrap/>
            <w:hideMark/>
          </w:tcPr>
          <w:p w14:paraId="699AA032" w14:textId="77777777" w:rsidR="00CF15C9" w:rsidRPr="000E1B7E" w:rsidRDefault="00CF15C9" w:rsidP="00CF15C9">
            <w:pPr>
              <w:ind w:left="-67" w:right="-82"/>
              <w:jc w:val="center"/>
            </w:pPr>
            <w:r w:rsidRPr="000E1B7E">
              <w:t>2,639.82</w:t>
            </w:r>
          </w:p>
        </w:tc>
        <w:tc>
          <w:tcPr>
            <w:tcW w:w="947" w:type="dxa"/>
            <w:noWrap/>
            <w:hideMark/>
          </w:tcPr>
          <w:p w14:paraId="6C009AD8" w14:textId="77777777" w:rsidR="00CF15C9" w:rsidRPr="000E1B7E" w:rsidRDefault="00CF15C9" w:rsidP="00CF15C9">
            <w:pPr>
              <w:ind w:left="-67" w:right="-82"/>
              <w:jc w:val="center"/>
            </w:pPr>
            <w:r w:rsidRPr="000E1B7E">
              <w:t>2,239.83</w:t>
            </w:r>
          </w:p>
        </w:tc>
        <w:tc>
          <w:tcPr>
            <w:tcW w:w="947" w:type="dxa"/>
            <w:noWrap/>
            <w:hideMark/>
          </w:tcPr>
          <w:p w14:paraId="6E4133E5" w14:textId="77777777" w:rsidR="00CF15C9" w:rsidRPr="000E1B7E" w:rsidRDefault="00CF15C9" w:rsidP="00CF15C9">
            <w:pPr>
              <w:ind w:left="-67" w:right="-82"/>
              <w:jc w:val="center"/>
            </w:pPr>
            <w:r w:rsidRPr="000E1B7E">
              <w:t>1,956.72</w:t>
            </w:r>
          </w:p>
        </w:tc>
        <w:tc>
          <w:tcPr>
            <w:tcW w:w="947" w:type="dxa"/>
            <w:noWrap/>
            <w:hideMark/>
          </w:tcPr>
          <w:p w14:paraId="5670D9E4" w14:textId="77777777" w:rsidR="00CF15C9" w:rsidRPr="000E1B7E" w:rsidRDefault="00CF15C9" w:rsidP="00CF15C9">
            <w:pPr>
              <w:ind w:left="-67" w:right="-82"/>
              <w:jc w:val="center"/>
            </w:pPr>
            <w:r w:rsidRPr="000E1B7E">
              <w:t>2,254.36</w:t>
            </w:r>
          </w:p>
        </w:tc>
        <w:tc>
          <w:tcPr>
            <w:tcW w:w="1728" w:type="dxa"/>
            <w:noWrap/>
            <w:hideMark/>
          </w:tcPr>
          <w:p w14:paraId="4263E9DA" w14:textId="77777777" w:rsidR="00CF15C9" w:rsidRPr="000E1B7E" w:rsidRDefault="00CF15C9" w:rsidP="00CF15C9">
            <w:pPr>
              <w:jc w:val="center"/>
            </w:pPr>
            <w:r w:rsidRPr="000E1B7E">
              <w:t>2,420.85</w:t>
            </w:r>
          </w:p>
        </w:tc>
        <w:tc>
          <w:tcPr>
            <w:tcW w:w="1758" w:type="dxa"/>
            <w:noWrap/>
            <w:hideMark/>
          </w:tcPr>
          <w:p w14:paraId="0E0F2ADD" w14:textId="77777777" w:rsidR="00CF15C9" w:rsidRPr="000E1B7E" w:rsidRDefault="00CF15C9" w:rsidP="00CF15C9">
            <w:pPr>
              <w:jc w:val="center"/>
            </w:pPr>
            <w:r w:rsidRPr="000E1B7E">
              <w:t>2,150.30</w:t>
            </w:r>
          </w:p>
        </w:tc>
      </w:tr>
      <w:tr w:rsidR="00CF15C9" w:rsidRPr="000E1B7E" w14:paraId="6D0FFC4C" w14:textId="77777777" w:rsidTr="00AE2F03">
        <w:trPr>
          <w:trHeight w:val="315"/>
        </w:trPr>
        <w:tc>
          <w:tcPr>
            <w:tcW w:w="1968" w:type="dxa"/>
            <w:hideMark/>
          </w:tcPr>
          <w:p w14:paraId="5882BFBD" w14:textId="77777777" w:rsidR="00CF15C9" w:rsidRPr="000E1B7E" w:rsidRDefault="00CF15C9" w:rsidP="00CF15C9">
            <w:pPr>
              <w:ind w:left="-67" w:right="-82"/>
              <w:jc w:val="center"/>
            </w:pPr>
            <w:r w:rsidRPr="000E1B7E">
              <w:t xml:space="preserve">Total Trade </w:t>
            </w:r>
          </w:p>
        </w:tc>
        <w:tc>
          <w:tcPr>
            <w:tcW w:w="947" w:type="dxa"/>
            <w:noWrap/>
            <w:vAlign w:val="bottom"/>
            <w:hideMark/>
          </w:tcPr>
          <w:p w14:paraId="2B028802" w14:textId="77777777" w:rsidR="00CF15C9" w:rsidRPr="000E1B7E" w:rsidRDefault="00CF15C9" w:rsidP="00CF15C9">
            <w:pPr>
              <w:jc w:val="center"/>
              <w:rPr>
                <w:bCs/>
              </w:rPr>
            </w:pPr>
            <w:r w:rsidRPr="000E1B7E">
              <w:rPr>
                <w:bCs/>
              </w:rPr>
              <w:t>4,813.5</w:t>
            </w:r>
          </w:p>
        </w:tc>
        <w:tc>
          <w:tcPr>
            <w:tcW w:w="947" w:type="dxa"/>
            <w:noWrap/>
            <w:vAlign w:val="bottom"/>
            <w:hideMark/>
          </w:tcPr>
          <w:p w14:paraId="1B28801B" w14:textId="77777777" w:rsidR="00CF15C9" w:rsidRPr="000E1B7E" w:rsidRDefault="00CF15C9" w:rsidP="00CF15C9">
            <w:pPr>
              <w:jc w:val="center"/>
              <w:rPr>
                <w:bCs/>
              </w:rPr>
            </w:pPr>
            <w:r w:rsidRPr="000E1B7E">
              <w:rPr>
                <w:bCs/>
              </w:rPr>
              <w:t>4,224.5</w:t>
            </w:r>
          </w:p>
        </w:tc>
        <w:tc>
          <w:tcPr>
            <w:tcW w:w="947" w:type="dxa"/>
            <w:noWrap/>
            <w:vAlign w:val="bottom"/>
            <w:hideMark/>
          </w:tcPr>
          <w:p w14:paraId="7BC75B4E" w14:textId="77777777" w:rsidR="00CF15C9" w:rsidRPr="000E1B7E" w:rsidRDefault="00CF15C9" w:rsidP="00CF15C9">
            <w:pPr>
              <w:jc w:val="center"/>
              <w:rPr>
                <w:bCs/>
              </w:rPr>
            </w:pPr>
            <w:r w:rsidRPr="000E1B7E">
              <w:rPr>
                <w:bCs/>
              </w:rPr>
              <w:t>3,645.3</w:t>
            </w:r>
          </w:p>
        </w:tc>
        <w:tc>
          <w:tcPr>
            <w:tcW w:w="947" w:type="dxa"/>
            <w:noWrap/>
            <w:vAlign w:val="bottom"/>
            <w:hideMark/>
          </w:tcPr>
          <w:p w14:paraId="2A06B4D3" w14:textId="77777777" w:rsidR="00CF15C9" w:rsidRPr="000E1B7E" w:rsidRDefault="00CF15C9" w:rsidP="00CF15C9">
            <w:pPr>
              <w:jc w:val="center"/>
              <w:rPr>
                <w:bCs/>
              </w:rPr>
            </w:pPr>
            <w:r w:rsidRPr="000E1B7E">
              <w:rPr>
                <w:bCs/>
              </w:rPr>
              <w:t>4,084.5</w:t>
            </w:r>
          </w:p>
        </w:tc>
        <w:tc>
          <w:tcPr>
            <w:tcW w:w="1728" w:type="dxa"/>
            <w:noWrap/>
            <w:vAlign w:val="bottom"/>
            <w:hideMark/>
          </w:tcPr>
          <w:p w14:paraId="5E53D54C" w14:textId="77777777" w:rsidR="00CF15C9" w:rsidRPr="000E1B7E" w:rsidRDefault="00CF15C9" w:rsidP="00CF15C9">
            <w:pPr>
              <w:jc w:val="center"/>
              <w:rPr>
                <w:bCs/>
              </w:rPr>
            </w:pPr>
            <w:r w:rsidRPr="000E1B7E">
              <w:rPr>
                <w:bCs/>
              </w:rPr>
              <w:t>4,416.03</w:t>
            </w:r>
          </w:p>
        </w:tc>
        <w:tc>
          <w:tcPr>
            <w:tcW w:w="1758" w:type="dxa"/>
            <w:noWrap/>
            <w:vAlign w:val="bottom"/>
            <w:hideMark/>
          </w:tcPr>
          <w:p w14:paraId="512AABDC" w14:textId="77777777" w:rsidR="00CF15C9" w:rsidRPr="000E1B7E" w:rsidRDefault="00CF15C9" w:rsidP="00CF15C9">
            <w:pPr>
              <w:jc w:val="center"/>
              <w:rPr>
                <w:bCs/>
              </w:rPr>
            </w:pPr>
            <w:r w:rsidRPr="000E1B7E">
              <w:rPr>
                <w:bCs/>
              </w:rPr>
              <w:t>3,984.80</w:t>
            </w:r>
          </w:p>
        </w:tc>
      </w:tr>
      <w:tr w:rsidR="00CF15C9" w:rsidRPr="000E1B7E" w14:paraId="6567222D" w14:textId="77777777" w:rsidTr="00CF15C9">
        <w:trPr>
          <w:trHeight w:val="315"/>
        </w:trPr>
        <w:tc>
          <w:tcPr>
            <w:tcW w:w="1968" w:type="dxa"/>
            <w:hideMark/>
          </w:tcPr>
          <w:p w14:paraId="194EE699" w14:textId="77777777" w:rsidR="00CF15C9" w:rsidRPr="000E1B7E" w:rsidRDefault="00CF15C9" w:rsidP="00CF15C9">
            <w:pPr>
              <w:ind w:left="-67" w:right="-82"/>
              <w:jc w:val="center"/>
            </w:pPr>
            <w:r w:rsidRPr="000E1B7E">
              <w:t>Trade Balance</w:t>
            </w:r>
          </w:p>
        </w:tc>
        <w:tc>
          <w:tcPr>
            <w:tcW w:w="947" w:type="dxa"/>
            <w:noWrap/>
            <w:hideMark/>
          </w:tcPr>
          <w:p w14:paraId="02F14025" w14:textId="77777777" w:rsidR="00CF15C9" w:rsidRPr="000E1B7E" w:rsidRDefault="00CF15C9" w:rsidP="00CF15C9">
            <w:pPr>
              <w:ind w:left="-67" w:right="-82"/>
              <w:jc w:val="center"/>
            </w:pPr>
            <w:r w:rsidRPr="000E1B7E">
              <w:t>-466.13</w:t>
            </w:r>
          </w:p>
        </w:tc>
        <w:tc>
          <w:tcPr>
            <w:tcW w:w="947" w:type="dxa"/>
            <w:noWrap/>
            <w:hideMark/>
          </w:tcPr>
          <w:p w14:paraId="7C3686A2" w14:textId="77777777" w:rsidR="00CF15C9" w:rsidRPr="000E1B7E" w:rsidRDefault="00CF15C9" w:rsidP="00CF15C9">
            <w:pPr>
              <w:ind w:left="-67" w:right="-82"/>
              <w:jc w:val="center"/>
            </w:pPr>
            <w:r w:rsidRPr="000E1B7E">
              <w:t>-255.11</w:t>
            </w:r>
          </w:p>
        </w:tc>
        <w:tc>
          <w:tcPr>
            <w:tcW w:w="947" w:type="dxa"/>
            <w:noWrap/>
            <w:hideMark/>
          </w:tcPr>
          <w:p w14:paraId="52D7E1B9" w14:textId="77777777" w:rsidR="00CF15C9" w:rsidRPr="000E1B7E" w:rsidRDefault="00CF15C9" w:rsidP="00CF15C9">
            <w:pPr>
              <w:ind w:left="-67" w:right="-82"/>
              <w:jc w:val="center"/>
            </w:pPr>
            <w:r w:rsidRPr="000E1B7E">
              <w:t>-268.11</w:t>
            </w:r>
          </w:p>
        </w:tc>
        <w:tc>
          <w:tcPr>
            <w:tcW w:w="947" w:type="dxa"/>
            <w:noWrap/>
            <w:hideMark/>
          </w:tcPr>
          <w:p w14:paraId="3EFB6421" w14:textId="77777777" w:rsidR="00CF15C9" w:rsidRPr="000E1B7E" w:rsidRDefault="00CF15C9" w:rsidP="00CF15C9">
            <w:pPr>
              <w:ind w:left="-67" w:right="-82"/>
              <w:jc w:val="center"/>
            </w:pPr>
            <w:r w:rsidRPr="000E1B7E">
              <w:t>-424.20</w:t>
            </w:r>
          </w:p>
        </w:tc>
        <w:tc>
          <w:tcPr>
            <w:tcW w:w="1728" w:type="dxa"/>
            <w:noWrap/>
            <w:hideMark/>
          </w:tcPr>
          <w:p w14:paraId="4D3D0B5F" w14:textId="77777777" w:rsidR="00CF15C9" w:rsidRPr="000E1B7E" w:rsidRDefault="00CF15C9" w:rsidP="00CF15C9">
            <w:pPr>
              <w:jc w:val="center"/>
            </w:pPr>
            <w:r w:rsidRPr="000E1B7E">
              <w:t>-425.66</w:t>
            </w:r>
          </w:p>
        </w:tc>
        <w:tc>
          <w:tcPr>
            <w:tcW w:w="1758" w:type="dxa"/>
            <w:noWrap/>
            <w:hideMark/>
          </w:tcPr>
          <w:p w14:paraId="39EA1CFE" w14:textId="77777777" w:rsidR="00CF15C9" w:rsidRPr="000E1B7E" w:rsidRDefault="00CF15C9" w:rsidP="00CF15C9">
            <w:pPr>
              <w:jc w:val="center"/>
            </w:pPr>
            <w:r w:rsidRPr="000E1B7E">
              <w:t>-315.81</w:t>
            </w:r>
          </w:p>
        </w:tc>
      </w:tr>
    </w:tbl>
    <w:p w14:paraId="4096F363" w14:textId="77777777" w:rsidR="00CF15C9" w:rsidRPr="000E1B7E" w:rsidRDefault="00AE2F03" w:rsidP="005959B5">
      <w:pPr>
        <w:jc w:val="both"/>
      </w:pPr>
      <w:r w:rsidRPr="000E1B7E">
        <w:t>Source: Bank of Uganda.</w:t>
      </w:r>
    </w:p>
    <w:p w14:paraId="7A03EB09" w14:textId="77777777" w:rsidR="00E90B02" w:rsidRPr="000E1B7E" w:rsidRDefault="00E90B02" w:rsidP="005959B5">
      <w:pPr>
        <w:jc w:val="both"/>
      </w:pPr>
    </w:p>
    <w:p w14:paraId="035CC2D1" w14:textId="77777777" w:rsidR="009D604E" w:rsidRPr="000E1B7E" w:rsidRDefault="009D604E" w:rsidP="009D604E">
      <w:pPr>
        <w:pStyle w:val="ListParagraph"/>
        <w:numPr>
          <w:ilvl w:val="2"/>
          <w:numId w:val="22"/>
        </w:numPr>
        <w:ind w:left="851" w:hanging="851"/>
        <w:rPr>
          <w:rFonts w:ascii="Times New Roman" w:hAnsi="Times New Roman"/>
          <w:b/>
          <w:color w:val="000000" w:themeColor="text1"/>
          <w:sz w:val="24"/>
          <w:szCs w:val="24"/>
        </w:rPr>
      </w:pPr>
      <w:r w:rsidRPr="000E1B7E">
        <w:rPr>
          <w:rFonts w:ascii="Times New Roman" w:hAnsi="Times New Roman"/>
          <w:b/>
          <w:color w:val="000000" w:themeColor="text1"/>
          <w:sz w:val="24"/>
          <w:szCs w:val="24"/>
        </w:rPr>
        <w:t>Primary Income Flows</w:t>
      </w:r>
    </w:p>
    <w:p w14:paraId="18AA79DC" w14:textId="77777777" w:rsidR="00874588" w:rsidRPr="000E1B7E" w:rsidRDefault="00874588" w:rsidP="009B34D1">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Uganda has registered an increase in n</w:t>
      </w:r>
      <w:r w:rsidR="009D604E" w:rsidRPr="000E1B7E">
        <w:rPr>
          <w:rFonts w:ascii="Times New Roman" w:hAnsi="Times New Roman"/>
          <w:sz w:val="24"/>
          <w:szCs w:val="24"/>
        </w:rPr>
        <w:t xml:space="preserve">et primary income </w:t>
      </w:r>
      <w:r w:rsidRPr="000E1B7E">
        <w:rPr>
          <w:rFonts w:ascii="Times New Roman" w:hAnsi="Times New Roman"/>
          <w:sz w:val="24"/>
          <w:szCs w:val="24"/>
        </w:rPr>
        <w:t>flow, increasing from annual average of $477m over the NDP I period to an annual average of $699.9m over the first three years of NDP II</w:t>
      </w:r>
      <w:r w:rsidR="009B34D1" w:rsidRPr="000E1B7E">
        <w:rPr>
          <w:rFonts w:ascii="Times New Roman" w:hAnsi="Times New Roman"/>
          <w:sz w:val="24"/>
          <w:szCs w:val="24"/>
        </w:rPr>
        <w:t>, summarised in table 21.</w:t>
      </w:r>
      <w:r w:rsidRPr="000E1B7E">
        <w:rPr>
          <w:rFonts w:ascii="Times New Roman" w:hAnsi="Times New Roman"/>
          <w:sz w:val="24"/>
          <w:szCs w:val="24"/>
        </w:rPr>
        <w:t xml:space="preserve"> Increases are recorded across on dimessions of primary income</w:t>
      </w:r>
      <w:r w:rsidR="009B34D1" w:rsidRPr="000E1B7E">
        <w:rPr>
          <w:rFonts w:ascii="Times New Roman" w:hAnsi="Times New Roman"/>
          <w:sz w:val="24"/>
          <w:szCs w:val="24"/>
        </w:rPr>
        <w:t>; a)</w:t>
      </w:r>
      <w:r w:rsidRPr="000E1B7E">
        <w:rPr>
          <w:rFonts w:ascii="Times New Roman" w:hAnsi="Times New Roman"/>
          <w:sz w:val="24"/>
          <w:szCs w:val="24"/>
        </w:rPr>
        <w:t>Compesation of employees increased from annual average of $124.4m over the NDP I period to an annual average of $165m over the first three years of NDP</w:t>
      </w:r>
      <w:r w:rsidR="009B34D1" w:rsidRPr="000E1B7E">
        <w:rPr>
          <w:rFonts w:ascii="Times New Roman" w:hAnsi="Times New Roman"/>
          <w:sz w:val="24"/>
          <w:szCs w:val="24"/>
        </w:rPr>
        <w:t xml:space="preserve"> II, b)</w:t>
      </w:r>
      <w:r w:rsidRPr="000E1B7E">
        <w:rPr>
          <w:rFonts w:ascii="Times New Roman" w:hAnsi="Times New Roman"/>
          <w:sz w:val="24"/>
          <w:szCs w:val="24"/>
        </w:rPr>
        <w:t xml:space="preserve">Investment income increased from annual average of $352.6m over the NDP I period to an annual average of $535m over the first three years of NDP II. The increase is mainly attributed to a surge in direct investment </w:t>
      </w:r>
      <w:r w:rsidR="009B34D1" w:rsidRPr="000E1B7E">
        <w:rPr>
          <w:rFonts w:ascii="Times New Roman" w:hAnsi="Times New Roman"/>
          <w:sz w:val="24"/>
          <w:szCs w:val="24"/>
        </w:rPr>
        <w:t>especially to energy sector, oil and gas, and mineral resources.</w:t>
      </w:r>
    </w:p>
    <w:p w14:paraId="5F11ADA9" w14:textId="77777777" w:rsidR="00E90533" w:rsidRPr="000E1B7E" w:rsidRDefault="009B34D1" w:rsidP="009B34D1">
      <w:pPr>
        <w:ind w:left="360"/>
        <w:rPr>
          <w:b/>
        </w:rPr>
      </w:pPr>
      <w:r w:rsidRPr="000E1B7E">
        <w:rPr>
          <w:b/>
        </w:rPr>
        <w:t xml:space="preserve">Table 21: Primary Income Flows </w:t>
      </w:r>
    </w:p>
    <w:tbl>
      <w:tblPr>
        <w:tblStyle w:val="TableGrid1"/>
        <w:tblW w:w="5293" w:type="pct"/>
        <w:tblInd w:w="-252" w:type="dxa"/>
        <w:tblLook w:val="04A0" w:firstRow="1" w:lastRow="0" w:firstColumn="1" w:lastColumn="0" w:noHBand="0" w:noVBand="1"/>
      </w:tblPr>
      <w:tblGrid>
        <w:gridCol w:w="1922"/>
        <w:gridCol w:w="748"/>
        <w:gridCol w:w="748"/>
        <w:gridCol w:w="748"/>
        <w:gridCol w:w="748"/>
        <w:gridCol w:w="749"/>
        <w:gridCol w:w="749"/>
        <w:gridCol w:w="749"/>
        <w:gridCol w:w="749"/>
        <w:gridCol w:w="876"/>
        <w:gridCol w:w="758"/>
      </w:tblGrid>
      <w:tr w:rsidR="00E90533" w:rsidRPr="000B7A9D" w14:paraId="0B23D95F" w14:textId="77777777" w:rsidTr="00CF634A">
        <w:trPr>
          <w:trHeight w:val="810"/>
        </w:trPr>
        <w:tc>
          <w:tcPr>
            <w:tcW w:w="1012" w:type="pct"/>
            <w:noWrap/>
            <w:hideMark/>
          </w:tcPr>
          <w:p w14:paraId="444003D6" w14:textId="77777777" w:rsidR="00E90533" w:rsidRPr="000B7A9D" w:rsidRDefault="00E90533" w:rsidP="00E90533">
            <w:pPr>
              <w:rPr>
                <w:b/>
                <w:bCs/>
                <w:sz w:val="20"/>
                <w:szCs w:val="20"/>
                <w:lang w:val="en-US"/>
              </w:rPr>
            </w:pPr>
            <w:r w:rsidRPr="000B7A9D">
              <w:rPr>
                <w:b/>
                <w:bCs/>
                <w:sz w:val="20"/>
                <w:szCs w:val="20"/>
                <w:lang w:val="en-US"/>
              </w:rPr>
              <w:t> </w:t>
            </w:r>
          </w:p>
          <w:p w14:paraId="66E0019B" w14:textId="77777777" w:rsidR="00E90533" w:rsidRPr="000B7A9D" w:rsidRDefault="00E90533" w:rsidP="00E90533">
            <w:pPr>
              <w:rPr>
                <w:b/>
                <w:bCs/>
                <w:sz w:val="20"/>
                <w:szCs w:val="20"/>
                <w:lang w:val="en-US"/>
              </w:rPr>
            </w:pPr>
            <w:r w:rsidRPr="000B7A9D">
              <w:rPr>
                <w:b/>
                <w:bCs/>
                <w:sz w:val="20"/>
                <w:szCs w:val="20"/>
                <w:lang w:val="en-US"/>
              </w:rPr>
              <w:t> </w:t>
            </w:r>
          </w:p>
        </w:tc>
        <w:tc>
          <w:tcPr>
            <w:tcW w:w="397" w:type="pct"/>
            <w:noWrap/>
            <w:hideMark/>
          </w:tcPr>
          <w:p w14:paraId="3AAA817C"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3A363449" w14:textId="77777777" w:rsidR="00E90533" w:rsidRPr="000B7A9D" w:rsidRDefault="00E90533" w:rsidP="00E90533">
            <w:pPr>
              <w:ind w:left="-108" w:right="-128"/>
              <w:jc w:val="center"/>
              <w:rPr>
                <w:bCs/>
                <w:sz w:val="20"/>
                <w:szCs w:val="20"/>
                <w:lang w:val="en-US"/>
              </w:rPr>
            </w:pPr>
            <w:r w:rsidRPr="000B7A9D">
              <w:rPr>
                <w:bCs/>
                <w:sz w:val="20"/>
                <w:szCs w:val="20"/>
                <w:lang w:val="en-US"/>
              </w:rPr>
              <w:t>10/11</w:t>
            </w:r>
          </w:p>
        </w:tc>
        <w:tc>
          <w:tcPr>
            <w:tcW w:w="397" w:type="pct"/>
            <w:noWrap/>
            <w:hideMark/>
          </w:tcPr>
          <w:p w14:paraId="4C809DE0"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7D356D8B" w14:textId="77777777" w:rsidR="00E90533" w:rsidRPr="000B7A9D" w:rsidRDefault="00E90533" w:rsidP="00E90533">
            <w:pPr>
              <w:ind w:left="-108" w:right="-128"/>
              <w:jc w:val="center"/>
              <w:rPr>
                <w:bCs/>
                <w:sz w:val="20"/>
                <w:szCs w:val="20"/>
                <w:lang w:val="en-US"/>
              </w:rPr>
            </w:pPr>
            <w:r w:rsidRPr="000B7A9D">
              <w:rPr>
                <w:bCs/>
                <w:sz w:val="20"/>
                <w:szCs w:val="20"/>
                <w:lang w:val="en-US"/>
              </w:rPr>
              <w:t>11/12</w:t>
            </w:r>
          </w:p>
        </w:tc>
        <w:tc>
          <w:tcPr>
            <w:tcW w:w="397" w:type="pct"/>
            <w:noWrap/>
            <w:hideMark/>
          </w:tcPr>
          <w:p w14:paraId="05B85F2B"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0D2796DE" w14:textId="77777777" w:rsidR="00E90533" w:rsidRPr="000B7A9D" w:rsidRDefault="00E90533" w:rsidP="00E90533">
            <w:pPr>
              <w:ind w:left="-108" w:right="-128"/>
              <w:jc w:val="center"/>
              <w:rPr>
                <w:bCs/>
                <w:sz w:val="20"/>
                <w:szCs w:val="20"/>
                <w:lang w:val="en-US"/>
              </w:rPr>
            </w:pPr>
            <w:r w:rsidRPr="000B7A9D">
              <w:rPr>
                <w:bCs/>
                <w:sz w:val="20"/>
                <w:szCs w:val="20"/>
                <w:lang w:val="en-US"/>
              </w:rPr>
              <w:t>12/13</w:t>
            </w:r>
          </w:p>
        </w:tc>
        <w:tc>
          <w:tcPr>
            <w:tcW w:w="397" w:type="pct"/>
            <w:noWrap/>
            <w:hideMark/>
          </w:tcPr>
          <w:p w14:paraId="42D37680"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4575DAA6" w14:textId="77777777" w:rsidR="00E90533" w:rsidRPr="000B7A9D" w:rsidRDefault="00E90533" w:rsidP="00E90533">
            <w:pPr>
              <w:ind w:left="-108" w:right="-128"/>
              <w:jc w:val="center"/>
              <w:rPr>
                <w:bCs/>
                <w:sz w:val="20"/>
                <w:szCs w:val="20"/>
                <w:lang w:val="en-US"/>
              </w:rPr>
            </w:pPr>
            <w:r w:rsidRPr="000B7A9D">
              <w:rPr>
                <w:bCs/>
                <w:sz w:val="20"/>
                <w:szCs w:val="20"/>
                <w:lang w:val="en-US"/>
              </w:rPr>
              <w:t>13/14</w:t>
            </w:r>
          </w:p>
        </w:tc>
        <w:tc>
          <w:tcPr>
            <w:tcW w:w="397" w:type="pct"/>
            <w:noWrap/>
            <w:hideMark/>
          </w:tcPr>
          <w:p w14:paraId="5551FD73"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45751B3D" w14:textId="77777777" w:rsidR="00E90533" w:rsidRPr="000B7A9D" w:rsidRDefault="00E90533" w:rsidP="00E90533">
            <w:pPr>
              <w:ind w:left="-108" w:right="-128"/>
              <w:jc w:val="center"/>
              <w:rPr>
                <w:bCs/>
                <w:sz w:val="20"/>
                <w:szCs w:val="20"/>
                <w:lang w:val="en-US"/>
              </w:rPr>
            </w:pPr>
            <w:r w:rsidRPr="000B7A9D">
              <w:rPr>
                <w:bCs/>
                <w:sz w:val="20"/>
                <w:szCs w:val="20"/>
                <w:lang w:val="en-US"/>
              </w:rPr>
              <w:t>14/15</w:t>
            </w:r>
          </w:p>
        </w:tc>
        <w:tc>
          <w:tcPr>
            <w:tcW w:w="397" w:type="pct"/>
            <w:noWrap/>
            <w:hideMark/>
          </w:tcPr>
          <w:p w14:paraId="38A2D3AB"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599F1F29" w14:textId="77777777" w:rsidR="00E90533" w:rsidRPr="000B7A9D" w:rsidRDefault="00E90533" w:rsidP="00E90533">
            <w:pPr>
              <w:ind w:left="-108" w:right="-128"/>
              <w:jc w:val="center"/>
              <w:rPr>
                <w:bCs/>
                <w:sz w:val="20"/>
                <w:szCs w:val="20"/>
                <w:lang w:val="en-US"/>
              </w:rPr>
            </w:pPr>
            <w:r w:rsidRPr="000B7A9D">
              <w:rPr>
                <w:bCs/>
                <w:sz w:val="20"/>
                <w:szCs w:val="20"/>
                <w:lang w:val="en-US"/>
              </w:rPr>
              <w:t>15/16</w:t>
            </w:r>
          </w:p>
        </w:tc>
        <w:tc>
          <w:tcPr>
            <w:tcW w:w="397" w:type="pct"/>
            <w:noWrap/>
            <w:hideMark/>
          </w:tcPr>
          <w:p w14:paraId="487B5225"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3E0B1EA6" w14:textId="77777777" w:rsidR="00E90533" w:rsidRPr="000B7A9D" w:rsidRDefault="00E90533" w:rsidP="00E90533">
            <w:pPr>
              <w:ind w:left="-108" w:right="-128"/>
              <w:jc w:val="center"/>
              <w:rPr>
                <w:bCs/>
                <w:sz w:val="20"/>
                <w:szCs w:val="20"/>
                <w:lang w:val="en-US"/>
              </w:rPr>
            </w:pPr>
            <w:r w:rsidRPr="000B7A9D">
              <w:rPr>
                <w:bCs/>
                <w:sz w:val="20"/>
                <w:szCs w:val="20"/>
                <w:lang w:val="en-US"/>
              </w:rPr>
              <w:t>16/17</w:t>
            </w:r>
          </w:p>
        </w:tc>
        <w:tc>
          <w:tcPr>
            <w:tcW w:w="397" w:type="pct"/>
            <w:noWrap/>
            <w:hideMark/>
          </w:tcPr>
          <w:p w14:paraId="4BA38B8A" w14:textId="77777777" w:rsidR="00E90533" w:rsidRPr="000B7A9D" w:rsidRDefault="00E90533" w:rsidP="00E90533">
            <w:pPr>
              <w:ind w:left="-108" w:right="-128"/>
              <w:jc w:val="center"/>
              <w:rPr>
                <w:bCs/>
                <w:sz w:val="20"/>
                <w:szCs w:val="20"/>
                <w:lang w:val="en-US"/>
              </w:rPr>
            </w:pPr>
            <w:r w:rsidRPr="000B7A9D">
              <w:rPr>
                <w:bCs/>
                <w:sz w:val="20"/>
                <w:szCs w:val="20"/>
                <w:lang w:val="en-US"/>
              </w:rPr>
              <w:t>FY</w:t>
            </w:r>
          </w:p>
          <w:p w14:paraId="5C2D00AD" w14:textId="77777777" w:rsidR="00E90533" w:rsidRPr="000B7A9D" w:rsidRDefault="00E90533" w:rsidP="00E90533">
            <w:pPr>
              <w:ind w:left="-108" w:right="-128"/>
              <w:jc w:val="center"/>
              <w:rPr>
                <w:bCs/>
                <w:sz w:val="20"/>
                <w:szCs w:val="20"/>
                <w:lang w:val="en-US"/>
              </w:rPr>
            </w:pPr>
            <w:r w:rsidRPr="000B7A9D">
              <w:rPr>
                <w:bCs/>
                <w:sz w:val="20"/>
                <w:szCs w:val="20"/>
                <w:lang w:val="en-US"/>
              </w:rPr>
              <w:t>17/18</w:t>
            </w:r>
          </w:p>
        </w:tc>
        <w:tc>
          <w:tcPr>
            <w:tcW w:w="410" w:type="pct"/>
            <w:noWrap/>
            <w:hideMark/>
          </w:tcPr>
          <w:p w14:paraId="457FDAFE" w14:textId="77777777" w:rsidR="00E90533" w:rsidRPr="000B7A9D" w:rsidRDefault="00E90533" w:rsidP="00E90533">
            <w:pPr>
              <w:ind w:left="-108" w:right="-128"/>
              <w:jc w:val="center"/>
              <w:rPr>
                <w:bCs/>
                <w:sz w:val="20"/>
                <w:szCs w:val="20"/>
                <w:lang w:val="en-US"/>
              </w:rPr>
            </w:pPr>
            <w:r w:rsidRPr="000B7A9D">
              <w:rPr>
                <w:bCs/>
                <w:sz w:val="20"/>
                <w:szCs w:val="20"/>
                <w:lang w:val="en-US"/>
              </w:rPr>
              <w:t>Annual</w:t>
            </w:r>
          </w:p>
          <w:p w14:paraId="55011C90" w14:textId="77777777" w:rsidR="00E90533" w:rsidRPr="000B7A9D" w:rsidRDefault="00E90533" w:rsidP="00E90533">
            <w:pPr>
              <w:ind w:left="-108" w:right="-128"/>
              <w:jc w:val="center"/>
              <w:rPr>
                <w:bCs/>
                <w:sz w:val="20"/>
                <w:szCs w:val="20"/>
                <w:lang w:val="en-US"/>
              </w:rPr>
            </w:pPr>
            <w:r w:rsidRPr="000B7A9D">
              <w:rPr>
                <w:bCs/>
                <w:sz w:val="20"/>
                <w:szCs w:val="20"/>
                <w:lang w:val="en-US"/>
              </w:rPr>
              <w:t>Average</w:t>
            </w:r>
          </w:p>
          <w:p w14:paraId="26B1956F" w14:textId="77777777" w:rsidR="00E90533" w:rsidRPr="000B7A9D" w:rsidRDefault="00E90533" w:rsidP="00E90533">
            <w:pPr>
              <w:ind w:left="-108" w:right="-128"/>
              <w:jc w:val="center"/>
              <w:rPr>
                <w:bCs/>
                <w:sz w:val="20"/>
                <w:szCs w:val="20"/>
                <w:lang w:val="en-US"/>
              </w:rPr>
            </w:pPr>
            <w:r w:rsidRPr="000B7A9D">
              <w:rPr>
                <w:bCs/>
                <w:sz w:val="20"/>
                <w:szCs w:val="20"/>
                <w:lang w:val="en-US"/>
              </w:rPr>
              <w:t>NDP I</w:t>
            </w:r>
          </w:p>
        </w:tc>
        <w:tc>
          <w:tcPr>
            <w:tcW w:w="405" w:type="pct"/>
          </w:tcPr>
          <w:p w14:paraId="05BE83FE" w14:textId="77777777" w:rsidR="00E90533" w:rsidRPr="000B7A9D" w:rsidRDefault="00E90533" w:rsidP="00E90533">
            <w:pPr>
              <w:ind w:left="-108" w:right="-128"/>
              <w:jc w:val="center"/>
              <w:rPr>
                <w:bCs/>
                <w:sz w:val="20"/>
                <w:szCs w:val="20"/>
                <w:lang w:val="en-US"/>
              </w:rPr>
            </w:pPr>
            <w:r w:rsidRPr="000B7A9D">
              <w:rPr>
                <w:bCs/>
                <w:sz w:val="20"/>
                <w:szCs w:val="20"/>
                <w:lang w:val="en-US"/>
              </w:rPr>
              <w:t>Annual</w:t>
            </w:r>
          </w:p>
          <w:p w14:paraId="78DA5161" w14:textId="77777777" w:rsidR="00E90533" w:rsidRPr="000B7A9D" w:rsidRDefault="00E90533" w:rsidP="00E90533">
            <w:pPr>
              <w:ind w:left="-108" w:right="-128"/>
              <w:jc w:val="center"/>
              <w:rPr>
                <w:bCs/>
                <w:sz w:val="20"/>
                <w:szCs w:val="20"/>
                <w:lang w:val="en-US"/>
              </w:rPr>
            </w:pPr>
            <w:r w:rsidRPr="000B7A9D">
              <w:rPr>
                <w:bCs/>
                <w:sz w:val="20"/>
                <w:szCs w:val="20"/>
                <w:lang w:val="en-US"/>
              </w:rPr>
              <w:t>average</w:t>
            </w:r>
          </w:p>
          <w:p w14:paraId="6A70F996" w14:textId="77777777" w:rsidR="00E90533" w:rsidRPr="000B7A9D" w:rsidRDefault="00E90533" w:rsidP="00E90533">
            <w:pPr>
              <w:ind w:left="-108" w:right="-128"/>
              <w:jc w:val="center"/>
              <w:rPr>
                <w:bCs/>
                <w:sz w:val="20"/>
                <w:szCs w:val="20"/>
                <w:lang w:val="en-US"/>
              </w:rPr>
            </w:pPr>
            <w:r w:rsidRPr="000B7A9D">
              <w:rPr>
                <w:bCs/>
                <w:sz w:val="20"/>
                <w:szCs w:val="20"/>
                <w:lang w:val="en-US"/>
              </w:rPr>
              <w:t>NDP II</w:t>
            </w:r>
          </w:p>
        </w:tc>
      </w:tr>
      <w:tr w:rsidR="00E90533" w:rsidRPr="000B7A9D" w14:paraId="53454CCE" w14:textId="77777777" w:rsidTr="00CF634A">
        <w:trPr>
          <w:trHeight w:val="315"/>
        </w:trPr>
        <w:tc>
          <w:tcPr>
            <w:tcW w:w="1012" w:type="pct"/>
            <w:hideMark/>
          </w:tcPr>
          <w:p w14:paraId="7956B7DF" w14:textId="77777777" w:rsidR="00E90533" w:rsidRPr="000B7A9D" w:rsidRDefault="00E90533" w:rsidP="00E90533">
            <w:pPr>
              <w:rPr>
                <w:bCs/>
                <w:sz w:val="20"/>
                <w:szCs w:val="20"/>
                <w:lang w:val="en-US"/>
              </w:rPr>
            </w:pPr>
            <w:r w:rsidRPr="000B7A9D">
              <w:rPr>
                <w:bCs/>
                <w:sz w:val="20"/>
                <w:szCs w:val="20"/>
                <w:lang w:val="en-US"/>
              </w:rPr>
              <w:t>Primary income</w:t>
            </w:r>
          </w:p>
        </w:tc>
        <w:tc>
          <w:tcPr>
            <w:tcW w:w="397" w:type="pct"/>
            <w:noWrap/>
            <w:vAlign w:val="bottom"/>
            <w:hideMark/>
          </w:tcPr>
          <w:p w14:paraId="0ED8E638" w14:textId="77777777" w:rsidR="00E90533" w:rsidRPr="000B7A9D" w:rsidRDefault="00E90533" w:rsidP="00E90533">
            <w:pPr>
              <w:ind w:left="-136" w:right="-107"/>
              <w:jc w:val="center"/>
              <w:rPr>
                <w:bCs/>
                <w:sz w:val="20"/>
                <w:szCs w:val="20"/>
              </w:rPr>
            </w:pPr>
            <w:r w:rsidRPr="000B7A9D">
              <w:rPr>
                <w:bCs/>
                <w:sz w:val="20"/>
                <w:szCs w:val="20"/>
              </w:rPr>
              <w:t>-311.6</w:t>
            </w:r>
          </w:p>
        </w:tc>
        <w:tc>
          <w:tcPr>
            <w:tcW w:w="397" w:type="pct"/>
            <w:noWrap/>
            <w:vAlign w:val="bottom"/>
            <w:hideMark/>
          </w:tcPr>
          <w:p w14:paraId="32049DBA" w14:textId="77777777" w:rsidR="00E90533" w:rsidRPr="000B7A9D" w:rsidRDefault="00E90533" w:rsidP="00E90533">
            <w:pPr>
              <w:ind w:left="-136" w:right="-107"/>
              <w:jc w:val="center"/>
              <w:rPr>
                <w:bCs/>
                <w:sz w:val="20"/>
                <w:szCs w:val="20"/>
              </w:rPr>
            </w:pPr>
            <w:r w:rsidRPr="000B7A9D">
              <w:rPr>
                <w:bCs/>
                <w:sz w:val="20"/>
                <w:szCs w:val="20"/>
              </w:rPr>
              <w:t>-459.2</w:t>
            </w:r>
          </w:p>
        </w:tc>
        <w:tc>
          <w:tcPr>
            <w:tcW w:w="397" w:type="pct"/>
            <w:noWrap/>
            <w:vAlign w:val="bottom"/>
            <w:hideMark/>
          </w:tcPr>
          <w:p w14:paraId="7623C8ED" w14:textId="77777777" w:rsidR="00E90533" w:rsidRPr="000B7A9D" w:rsidRDefault="00E90533" w:rsidP="00E90533">
            <w:pPr>
              <w:ind w:left="-136" w:right="-107"/>
              <w:jc w:val="center"/>
              <w:rPr>
                <w:bCs/>
                <w:sz w:val="20"/>
                <w:szCs w:val="20"/>
              </w:rPr>
            </w:pPr>
            <w:r w:rsidRPr="000B7A9D">
              <w:rPr>
                <w:bCs/>
                <w:sz w:val="20"/>
                <w:szCs w:val="20"/>
              </w:rPr>
              <w:t>-517.8</w:t>
            </w:r>
          </w:p>
        </w:tc>
        <w:tc>
          <w:tcPr>
            <w:tcW w:w="397" w:type="pct"/>
            <w:noWrap/>
            <w:vAlign w:val="bottom"/>
            <w:hideMark/>
          </w:tcPr>
          <w:p w14:paraId="55E01C90" w14:textId="77777777" w:rsidR="00E90533" w:rsidRPr="000B7A9D" w:rsidRDefault="00E90533" w:rsidP="00E90533">
            <w:pPr>
              <w:ind w:left="-136" w:right="-107"/>
              <w:jc w:val="center"/>
              <w:rPr>
                <w:bCs/>
                <w:sz w:val="20"/>
                <w:szCs w:val="20"/>
              </w:rPr>
            </w:pPr>
            <w:r w:rsidRPr="000B7A9D">
              <w:rPr>
                <w:bCs/>
                <w:sz w:val="20"/>
                <w:szCs w:val="20"/>
              </w:rPr>
              <w:t>-606.7</w:t>
            </w:r>
          </w:p>
        </w:tc>
        <w:tc>
          <w:tcPr>
            <w:tcW w:w="397" w:type="pct"/>
            <w:noWrap/>
            <w:vAlign w:val="bottom"/>
            <w:hideMark/>
          </w:tcPr>
          <w:p w14:paraId="11B4B2E2" w14:textId="77777777" w:rsidR="00E90533" w:rsidRPr="000B7A9D" w:rsidRDefault="00E90533" w:rsidP="00E90533">
            <w:pPr>
              <w:ind w:left="-136" w:right="-107"/>
              <w:jc w:val="center"/>
              <w:rPr>
                <w:bCs/>
                <w:sz w:val="20"/>
                <w:szCs w:val="20"/>
              </w:rPr>
            </w:pPr>
            <w:r w:rsidRPr="000B7A9D">
              <w:rPr>
                <w:bCs/>
                <w:sz w:val="20"/>
                <w:szCs w:val="20"/>
              </w:rPr>
              <w:t>-489.7</w:t>
            </w:r>
          </w:p>
        </w:tc>
        <w:tc>
          <w:tcPr>
            <w:tcW w:w="397" w:type="pct"/>
            <w:noWrap/>
            <w:vAlign w:val="bottom"/>
            <w:hideMark/>
          </w:tcPr>
          <w:p w14:paraId="5C3F3129" w14:textId="77777777" w:rsidR="00E90533" w:rsidRPr="000B7A9D" w:rsidRDefault="00E90533" w:rsidP="00E90533">
            <w:pPr>
              <w:ind w:left="-136" w:right="-107"/>
              <w:jc w:val="center"/>
              <w:rPr>
                <w:bCs/>
                <w:sz w:val="20"/>
                <w:szCs w:val="20"/>
              </w:rPr>
            </w:pPr>
            <w:r w:rsidRPr="000B7A9D">
              <w:rPr>
                <w:bCs/>
                <w:sz w:val="20"/>
                <w:szCs w:val="20"/>
              </w:rPr>
              <w:t>-512.1</w:t>
            </w:r>
          </w:p>
        </w:tc>
        <w:tc>
          <w:tcPr>
            <w:tcW w:w="397" w:type="pct"/>
            <w:noWrap/>
            <w:vAlign w:val="bottom"/>
            <w:hideMark/>
          </w:tcPr>
          <w:p w14:paraId="7F4DE069" w14:textId="77777777" w:rsidR="00E90533" w:rsidRPr="000B7A9D" w:rsidRDefault="00E90533" w:rsidP="00E90533">
            <w:pPr>
              <w:ind w:left="-136" w:right="-107"/>
              <w:jc w:val="center"/>
              <w:rPr>
                <w:bCs/>
                <w:sz w:val="20"/>
                <w:szCs w:val="20"/>
              </w:rPr>
            </w:pPr>
            <w:r w:rsidRPr="000B7A9D">
              <w:rPr>
                <w:bCs/>
                <w:sz w:val="20"/>
                <w:szCs w:val="20"/>
              </w:rPr>
              <w:t>-718.4</w:t>
            </w:r>
          </w:p>
        </w:tc>
        <w:tc>
          <w:tcPr>
            <w:tcW w:w="397" w:type="pct"/>
            <w:noWrap/>
            <w:vAlign w:val="bottom"/>
            <w:hideMark/>
          </w:tcPr>
          <w:p w14:paraId="69A71946" w14:textId="77777777" w:rsidR="00E90533" w:rsidRPr="000B7A9D" w:rsidRDefault="00E90533" w:rsidP="00E90533">
            <w:pPr>
              <w:ind w:left="-136" w:right="-107"/>
              <w:jc w:val="center"/>
              <w:rPr>
                <w:bCs/>
                <w:sz w:val="20"/>
                <w:szCs w:val="20"/>
              </w:rPr>
            </w:pPr>
            <w:r w:rsidRPr="000B7A9D">
              <w:rPr>
                <w:bCs/>
                <w:sz w:val="20"/>
                <w:szCs w:val="20"/>
              </w:rPr>
              <w:t>-869.3</w:t>
            </w:r>
          </w:p>
        </w:tc>
        <w:tc>
          <w:tcPr>
            <w:tcW w:w="410" w:type="pct"/>
            <w:noWrap/>
            <w:vAlign w:val="bottom"/>
            <w:hideMark/>
          </w:tcPr>
          <w:p w14:paraId="4A817975" w14:textId="77777777" w:rsidR="00E90533" w:rsidRPr="000B7A9D" w:rsidRDefault="00E90533" w:rsidP="00E90533">
            <w:pPr>
              <w:ind w:left="-136" w:right="-107"/>
              <w:jc w:val="center"/>
              <w:rPr>
                <w:bCs/>
                <w:sz w:val="20"/>
                <w:szCs w:val="20"/>
              </w:rPr>
            </w:pPr>
            <w:r w:rsidRPr="000B7A9D">
              <w:rPr>
                <w:bCs/>
                <w:sz w:val="20"/>
                <w:szCs w:val="20"/>
              </w:rPr>
              <w:t>-477.0</w:t>
            </w:r>
          </w:p>
        </w:tc>
        <w:tc>
          <w:tcPr>
            <w:tcW w:w="405" w:type="pct"/>
            <w:vAlign w:val="bottom"/>
          </w:tcPr>
          <w:p w14:paraId="641D4DFA" w14:textId="77777777" w:rsidR="00E90533" w:rsidRPr="000B7A9D" w:rsidRDefault="00E90533" w:rsidP="00E90533">
            <w:pPr>
              <w:ind w:left="-136" w:right="-107"/>
              <w:jc w:val="center"/>
              <w:rPr>
                <w:bCs/>
                <w:sz w:val="20"/>
                <w:szCs w:val="20"/>
              </w:rPr>
            </w:pPr>
            <w:r w:rsidRPr="000B7A9D">
              <w:rPr>
                <w:bCs/>
                <w:sz w:val="20"/>
                <w:szCs w:val="20"/>
              </w:rPr>
              <w:t>-699.9</w:t>
            </w:r>
          </w:p>
        </w:tc>
      </w:tr>
      <w:tr w:rsidR="00E90533" w:rsidRPr="000B7A9D" w14:paraId="3E48FFEF" w14:textId="77777777" w:rsidTr="00CF634A">
        <w:trPr>
          <w:trHeight w:val="315"/>
        </w:trPr>
        <w:tc>
          <w:tcPr>
            <w:tcW w:w="1012" w:type="pct"/>
            <w:hideMark/>
          </w:tcPr>
          <w:p w14:paraId="24A064A3" w14:textId="77777777" w:rsidR="00E90533" w:rsidRPr="000B7A9D" w:rsidRDefault="00E90533" w:rsidP="00E90533">
            <w:pPr>
              <w:rPr>
                <w:sz w:val="20"/>
                <w:szCs w:val="20"/>
                <w:lang w:val="en-US"/>
              </w:rPr>
            </w:pPr>
            <w:r w:rsidRPr="000B7A9D">
              <w:rPr>
                <w:sz w:val="20"/>
                <w:szCs w:val="20"/>
                <w:lang w:val="en-US"/>
              </w:rPr>
              <w:t xml:space="preserve">Compensation of employees </w:t>
            </w:r>
          </w:p>
        </w:tc>
        <w:tc>
          <w:tcPr>
            <w:tcW w:w="397" w:type="pct"/>
            <w:noWrap/>
            <w:vAlign w:val="bottom"/>
            <w:hideMark/>
          </w:tcPr>
          <w:p w14:paraId="384186F9" w14:textId="77777777" w:rsidR="00E90533" w:rsidRPr="000B7A9D" w:rsidRDefault="00E90533" w:rsidP="00E90533">
            <w:pPr>
              <w:ind w:left="-136" w:right="-107"/>
              <w:jc w:val="center"/>
              <w:rPr>
                <w:sz w:val="20"/>
                <w:szCs w:val="20"/>
              </w:rPr>
            </w:pPr>
            <w:r w:rsidRPr="000B7A9D">
              <w:rPr>
                <w:sz w:val="20"/>
                <w:szCs w:val="20"/>
              </w:rPr>
              <w:t>-83.7</w:t>
            </w:r>
          </w:p>
        </w:tc>
        <w:tc>
          <w:tcPr>
            <w:tcW w:w="397" w:type="pct"/>
            <w:noWrap/>
            <w:vAlign w:val="bottom"/>
            <w:hideMark/>
          </w:tcPr>
          <w:p w14:paraId="44E3DC6B" w14:textId="77777777" w:rsidR="00E90533" w:rsidRPr="000B7A9D" w:rsidRDefault="00E90533" w:rsidP="00E90533">
            <w:pPr>
              <w:ind w:left="-136" w:right="-107"/>
              <w:jc w:val="center"/>
              <w:rPr>
                <w:sz w:val="20"/>
                <w:szCs w:val="20"/>
              </w:rPr>
            </w:pPr>
            <w:r w:rsidRPr="000B7A9D">
              <w:rPr>
                <w:sz w:val="20"/>
                <w:szCs w:val="20"/>
              </w:rPr>
              <w:t>-130.5</w:t>
            </w:r>
          </w:p>
        </w:tc>
        <w:tc>
          <w:tcPr>
            <w:tcW w:w="397" w:type="pct"/>
            <w:noWrap/>
            <w:vAlign w:val="bottom"/>
            <w:hideMark/>
          </w:tcPr>
          <w:p w14:paraId="748BC62A" w14:textId="77777777" w:rsidR="00E90533" w:rsidRPr="000B7A9D" w:rsidRDefault="00E90533" w:rsidP="00E90533">
            <w:pPr>
              <w:ind w:left="-136" w:right="-107"/>
              <w:jc w:val="center"/>
              <w:rPr>
                <w:sz w:val="20"/>
                <w:szCs w:val="20"/>
              </w:rPr>
            </w:pPr>
            <w:r w:rsidRPr="000B7A9D">
              <w:rPr>
                <w:sz w:val="20"/>
                <w:szCs w:val="20"/>
              </w:rPr>
              <w:t>-163.9</w:t>
            </w:r>
          </w:p>
        </w:tc>
        <w:tc>
          <w:tcPr>
            <w:tcW w:w="397" w:type="pct"/>
            <w:noWrap/>
            <w:vAlign w:val="bottom"/>
            <w:hideMark/>
          </w:tcPr>
          <w:p w14:paraId="313E3C89" w14:textId="77777777" w:rsidR="00E90533" w:rsidRPr="000B7A9D" w:rsidRDefault="00E90533" w:rsidP="00E90533">
            <w:pPr>
              <w:ind w:left="-136" w:right="-107"/>
              <w:jc w:val="center"/>
              <w:rPr>
                <w:sz w:val="20"/>
                <w:szCs w:val="20"/>
              </w:rPr>
            </w:pPr>
            <w:r w:rsidRPr="000B7A9D">
              <w:rPr>
                <w:sz w:val="20"/>
                <w:szCs w:val="20"/>
              </w:rPr>
              <w:t>-145.2</w:t>
            </w:r>
          </w:p>
        </w:tc>
        <w:tc>
          <w:tcPr>
            <w:tcW w:w="397" w:type="pct"/>
            <w:noWrap/>
            <w:vAlign w:val="bottom"/>
            <w:hideMark/>
          </w:tcPr>
          <w:p w14:paraId="3BA5103D" w14:textId="77777777" w:rsidR="00E90533" w:rsidRPr="000B7A9D" w:rsidRDefault="00E90533" w:rsidP="00E90533">
            <w:pPr>
              <w:ind w:left="-136" w:right="-107"/>
              <w:jc w:val="center"/>
              <w:rPr>
                <w:sz w:val="20"/>
                <w:szCs w:val="20"/>
              </w:rPr>
            </w:pPr>
            <w:r w:rsidRPr="000B7A9D">
              <w:rPr>
                <w:sz w:val="20"/>
                <w:szCs w:val="20"/>
              </w:rPr>
              <w:t>-99.0</w:t>
            </w:r>
          </w:p>
        </w:tc>
        <w:tc>
          <w:tcPr>
            <w:tcW w:w="397" w:type="pct"/>
            <w:noWrap/>
            <w:vAlign w:val="bottom"/>
            <w:hideMark/>
          </w:tcPr>
          <w:p w14:paraId="466CBE0A" w14:textId="77777777" w:rsidR="00E90533" w:rsidRPr="000B7A9D" w:rsidRDefault="00E90533" w:rsidP="00E90533">
            <w:pPr>
              <w:ind w:left="-136" w:right="-107"/>
              <w:jc w:val="center"/>
              <w:rPr>
                <w:sz w:val="20"/>
                <w:szCs w:val="20"/>
              </w:rPr>
            </w:pPr>
            <w:r w:rsidRPr="000B7A9D">
              <w:rPr>
                <w:sz w:val="20"/>
                <w:szCs w:val="20"/>
              </w:rPr>
              <w:t>-161.4</w:t>
            </w:r>
          </w:p>
        </w:tc>
        <w:tc>
          <w:tcPr>
            <w:tcW w:w="397" w:type="pct"/>
            <w:noWrap/>
            <w:vAlign w:val="bottom"/>
            <w:hideMark/>
          </w:tcPr>
          <w:p w14:paraId="54C36338" w14:textId="77777777" w:rsidR="00E90533" w:rsidRPr="000B7A9D" w:rsidRDefault="00E90533" w:rsidP="00E90533">
            <w:pPr>
              <w:ind w:left="-136" w:right="-107"/>
              <w:jc w:val="center"/>
              <w:rPr>
                <w:sz w:val="20"/>
                <w:szCs w:val="20"/>
              </w:rPr>
            </w:pPr>
            <w:r w:rsidRPr="000B7A9D">
              <w:rPr>
                <w:sz w:val="20"/>
                <w:szCs w:val="20"/>
              </w:rPr>
              <w:t>-135.9</w:t>
            </w:r>
          </w:p>
        </w:tc>
        <w:tc>
          <w:tcPr>
            <w:tcW w:w="397" w:type="pct"/>
            <w:noWrap/>
            <w:vAlign w:val="bottom"/>
            <w:hideMark/>
          </w:tcPr>
          <w:p w14:paraId="66C23029" w14:textId="77777777" w:rsidR="00E90533" w:rsidRPr="000B7A9D" w:rsidRDefault="00E90533" w:rsidP="00E90533">
            <w:pPr>
              <w:ind w:left="-136" w:right="-107"/>
              <w:jc w:val="center"/>
              <w:rPr>
                <w:sz w:val="20"/>
                <w:szCs w:val="20"/>
              </w:rPr>
            </w:pPr>
            <w:r w:rsidRPr="000B7A9D">
              <w:rPr>
                <w:sz w:val="20"/>
                <w:szCs w:val="20"/>
              </w:rPr>
              <w:t>-197.6</w:t>
            </w:r>
          </w:p>
        </w:tc>
        <w:tc>
          <w:tcPr>
            <w:tcW w:w="410" w:type="pct"/>
            <w:noWrap/>
            <w:vAlign w:val="bottom"/>
            <w:hideMark/>
          </w:tcPr>
          <w:p w14:paraId="42BE8669" w14:textId="77777777" w:rsidR="00E90533" w:rsidRPr="000B7A9D" w:rsidRDefault="00E90533" w:rsidP="00E90533">
            <w:pPr>
              <w:ind w:left="-136" w:right="-107"/>
              <w:jc w:val="center"/>
              <w:rPr>
                <w:bCs/>
                <w:sz w:val="20"/>
                <w:szCs w:val="20"/>
              </w:rPr>
            </w:pPr>
            <w:r w:rsidRPr="000B7A9D">
              <w:rPr>
                <w:bCs/>
                <w:sz w:val="20"/>
                <w:szCs w:val="20"/>
              </w:rPr>
              <w:t>-124.4</w:t>
            </w:r>
          </w:p>
        </w:tc>
        <w:tc>
          <w:tcPr>
            <w:tcW w:w="405" w:type="pct"/>
            <w:vAlign w:val="bottom"/>
          </w:tcPr>
          <w:p w14:paraId="22374B1B" w14:textId="77777777" w:rsidR="00E90533" w:rsidRPr="000B7A9D" w:rsidRDefault="00E90533" w:rsidP="00E90533">
            <w:pPr>
              <w:ind w:left="-136" w:right="-107"/>
              <w:jc w:val="center"/>
              <w:rPr>
                <w:bCs/>
                <w:sz w:val="20"/>
                <w:szCs w:val="20"/>
              </w:rPr>
            </w:pPr>
            <w:r w:rsidRPr="000B7A9D">
              <w:rPr>
                <w:bCs/>
                <w:sz w:val="20"/>
                <w:szCs w:val="20"/>
              </w:rPr>
              <w:t>-165.0</w:t>
            </w:r>
          </w:p>
        </w:tc>
      </w:tr>
      <w:tr w:rsidR="00E90533" w:rsidRPr="000B7A9D" w14:paraId="3C7DB771" w14:textId="77777777" w:rsidTr="00CF634A">
        <w:trPr>
          <w:trHeight w:val="315"/>
        </w:trPr>
        <w:tc>
          <w:tcPr>
            <w:tcW w:w="1012" w:type="pct"/>
            <w:hideMark/>
          </w:tcPr>
          <w:p w14:paraId="118F4559" w14:textId="77777777" w:rsidR="00E90533" w:rsidRPr="000B7A9D" w:rsidRDefault="00E90533" w:rsidP="00E90533">
            <w:pPr>
              <w:rPr>
                <w:sz w:val="20"/>
                <w:szCs w:val="20"/>
                <w:lang w:val="en-US"/>
              </w:rPr>
            </w:pPr>
            <w:r w:rsidRPr="000B7A9D">
              <w:rPr>
                <w:sz w:val="20"/>
                <w:szCs w:val="20"/>
                <w:lang w:val="en-US"/>
              </w:rPr>
              <w:t>Investment income</w:t>
            </w:r>
          </w:p>
        </w:tc>
        <w:tc>
          <w:tcPr>
            <w:tcW w:w="397" w:type="pct"/>
            <w:noWrap/>
            <w:vAlign w:val="bottom"/>
            <w:hideMark/>
          </w:tcPr>
          <w:p w14:paraId="406432C9" w14:textId="77777777" w:rsidR="00E90533" w:rsidRPr="000B7A9D" w:rsidRDefault="00E90533" w:rsidP="00E90533">
            <w:pPr>
              <w:ind w:left="-136" w:right="-107"/>
              <w:jc w:val="center"/>
              <w:rPr>
                <w:sz w:val="20"/>
                <w:szCs w:val="20"/>
              </w:rPr>
            </w:pPr>
            <w:r w:rsidRPr="000B7A9D">
              <w:rPr>
                <w:sz w:val="20"/>
                <w:szCs w:val="20"/>
              </w:rPr>
              <w:t>-227.9</w:t>
            </w:r>
          </w:p>
        </w:tc>
        <w:tc>
          <w:tcPr>
            <w:tcW w:w="397" w:type="pct"/>
            <w:noWrap/>
            <w:vAlign w:val="bottom"/>
            <w:hideMark/>
          </w:tcPr>
          <w:p w14:paraId="5EFD1F7C" w14:textId="77777777" w:rsidR="00E90533" w:rsidRPr="000B7A9D" w:rsidRDefault="00E90533" w:rsidP="00E90533">
            <w:pPr>
              <w:ind w:left="-136" w:right="-107"/>
              <w:jc w:val="center"/>
              <w:rPr>
                <w:sz w:val="20"/>
                <w:szCs w:val="20"/>
              </w:rPr>
            </w:pPr>
            <w:r w:rsidRPr="000B7A9D">
              <w:rPr>
                <w:sz w:val="20"/>
                <w:szCs w:val="20"/>
              </w:rPr>
              <w:t>-328.7</w:t>
            </w:r>
          </w:p>
        </w:tc>
        <w:tc>
          <w:tcPr>
            <w:tcW w:w="397" w:type="pct"/>
            <w:noWrap/>
            <w:vAlign w:val="bottom"/>
            <w:hideMark/>
          </w:tcPr>
          <w:p w14:paraId="2FADC96A" w14:textId="77777777" w:rsidR="00E90533" w:rsidRPr="000B7A9D" w:rsidRDefault="00E90533" w:rsidP="00E90533">
            <w:pPr>
              <w:ind w:left="-136" w:right="-107"/>
              <w:jc w:val="center"/>
              <w:rPr>
                <w:sz w:val="20"/>
                <w:szCs w:val="20"/>
              </w:rPr>
            </w:pPr>
            <w:r w:rsidRPr="000B7A9D">
              <w:rPr>
                <w:sz w:val="20"/>
                <w:szCs w:val="20"/>
              </w:rPr>
              <w:t>-354.0</w:t>
            </w:r>
          </w:p>
        </w:tc>
        <w:tc>
          <w:tcPr>
            <w:tcW w:w="397" w:type="pct"/>
            <w:noWrap/>
            <w:vAlign w:val="bottom"/>
            <w:hideMark/>
          </w:tcPr>
          <w:p w14:paraId="3914BA87" w14:textId="77777777" w:rsidR="00E90533" w:rsidRPr="000B7A9D" w:rsidRDefault="00E90533" w:rsidP="00E90533">
            <w:pPr>
              <w:ind w:left="-136" w:right="-107"/>
              <w:jc w:val="center"/>
              <w:rPr>
                <w:sz w:val="20"/>
                <w:szCs w:val="20"/>
              </w:rPr>
            </w:pPr>
            <w:r w:rsidRPr="000B7A9D">
              <w:rPr>
                <w:sz w:val="20"/>
                <w:szCs w:val="20"/>
              </w:rPr>
              <w:t>-461.6</w:t>
            </w:r>
          </w:p>
        </w:tc>
        <w:tc>
          <w:tcPr>
            <w:tcW w:w="397" w:type="pct"/>
            <w:noWrap/>
            <w:vAlign w:val="bottom"/>
            <w:hideMark/>
          </w:tcPr>
          <w:p w14:paraId="6B44B0C5" w14:textId="77777777" w:rsidR="00E90533" w:rsidRPr="000B7A9D" w:rsidRDefault="00E90533" w:rsidP="00E90533">
            <w:pPr>
              <w:ind w:left="-136" w:right="-107"/>
              <w:jc w:val="center"/>
              <w:rPr>
                <w:sz w:val="20"/>
                <w:szCs w:val="20"/>
              </w:rPr>
            </w:pPr>
            <w:r w:rsidRPr="000B7A9D">
              <w:rPr>
                <w:sz w:val="20"/>
                <w:szCs w:val="20"/>
              </w:rPr>
              <w:t>-390.7</w:t>
            </w:r>
          </w:p>
        </w:tc>
        <w:tc>
          <w:tcPr>
            <w:tcW w:w="397" w:type="pct"/>
            <w:noWrap/>
            <w:vAlign w:val="bottom"/>
            <w:hideMark/>
          </w:tcPr>
          <w:p w14:paraId="453E6CB4" w14:textId="77777777" w:rsidR="00E90533" w:rsidRPr="000B7A9D" w:rsidRDefault="00E90533" w:rsidP="00E90533">
            <w:pPr>
              <w:ind w:left="-136" w:right="-107"/>
              <w:jc w:val="center"/>
              <w:rPr>
                <w:sz w:val="20"/>
                <w:szCs w:val="20"/>
              </w:rPr>
            </w:pPr>
            <w:r w:rsidRPr="000B7A9D">
              <w:rPr>
                <w:sz w:val="20"/>
                <w:szCs w:val="20"/>
              </w:rPr>
              <w:t>-350.6</w:t>
            </w:r>
          </w:p>
        </w:tc>
        <w:tc>
          <w:tcPr>
            <w:tcW w:w="397" w:type="pct"/>
            <w:noWrap/>
            <w:vAlign w:val="bottom"/>
            <w:hideMark/>
          </w:tcPr>
          <w:p w14:paraId="06DD080A" w14:textId="77777777" w:rsidR="00E90533" w:rsidRPr="000B7A9D" w:rsidRDefault="00E90533" w:rsidP="00E90533">
            <w:pPr>
              <w:ind w:left="-136" w:right="-107"/>
              <w:jc w:val="center"/>
              <w:rPr>
                <w:sz w:val="20"/>
                <w:szCs w:val="20"/>
              </w:rPr>
            </w:pPr>
            <w:r w:rsidRPr="000B7A9D">
              <w:rPr>
                <w:sz w:val="20"/>
                <w:szCs w:val="20"/>
              </w:rPr>
              <w:t>-582.5</w:t>
            </w:r>
          </w:p>
        </w:tc>
        <w:tc>
          <w:tcPr>
            <w:tcW w:w="397" w:type="pct"/>
            <w:noWrap/>
            <w:vAlign w:val="bottom"/>
            <w:hideMark/>
          </w:tcPr>
          <w:p w14:paraId="688A2885" w14:textId="77777777" w:rsidR="00E90533" w:rsidRPr="000B7A9D" w:rsidRDefault="00E90533" w:rsidP="00E90533">
            <w:pPr>
              <w:ind w:left="-136" w:right="-107"/>
              <w:jc w:val="center"/>
              <w:rPr>
                <w:sz w:val="20"/>
                <w:szCs w:val="20"/>
              </w:rPr>
            </w:pPr>
            <w:r w:rsidRPr="000B7A9D">
              <w:rPr>
                <w:sz w:val="20"/>
                <w:szCs w:val="20"/>
              </w:rPr>
              <w:t>-671.7</w:t>
            </w:r>
          </w:p>
        </w:tc>
        <w:tc>
          <w:tcPr>
            <w:tcW w:w="410" w:type="pct"/>
            <w:noWrap/>
            <w:vAlign w:val="bottom"/>
            <w:hideMark/>
          </w:tcPr>
          <w:p w14:paraId="17415BB2" w14:textId="77777777" w:rsidR="00E90533" w:rsidRPr="000B7A9D" w:rsidRDefault="00E90533" w:rsidP="00E90533">
            <w:pPr>
              <w:ind w:left="-136" w:right="-107"/>
              <w:jc w:val="center"/>
              <w:rPr>
                <w:bCs/>
                <w:sz w:val="20"/>
                <w:szCs w:val="20"/>
              </w:rPr>
            </w:pPr>
            <w:r w:rsidRPr="000B7A9D">
              <w:rPr>
                <w:bCs/>
                <w:sz w:val="20"/>
                <w:szCs w:val="20"/>
              </w:rPr>
              <w:t>-352.6</w:t>
            </w:r>
          </w:p>
        </w:tc>
        <w:tc>
          <w:tcPr>
            <w:tcW w:w="405" w:type="pct"/>
            <w:vAlign w:val="bottom"/>
          </w:tcPr>
          <w:p w14:paraId="41678C4A" w14:textId="77777777" w:rsidR="00E90533" w:rsidRPr="000B7A9D" w:rsidRDefault="00E90533" w:rsidP="00E90533">
            <w:pPr>
              <w:ind w:left="-136" w:right="-107"/>
              <w:jc w:val="center"/>
              <w:rPr>
                <w:bCs/>
                <w:sz w:val="20"/>
                <w:szCs w:val="20"/>
              </w:rPr>
            </w:pPr>
            <w:r w:rsidRPr="000B7A9D">
              <w:rPr>
                <w:bCs/>
                <w:sz w:val="20"/>
                <w:szCs w:val="20"/>
              </w:rPr>
              <w:t>-535.0</w:t>
            </w:r>
          </w:p>
        </w:tc>
      </w:tr>
      <w:tr w:rsidR="009B34D1" w:rsidRPr="000B7A9D" w14:paraId="371CC6FC" w14:textId="77777777" w:rsidTr="00CF634A">
        <w:trPr>
          <w:trHeight w:val="315"/>
        </w:trPr>
        <w:tc>
          <w:tcPr>
            <w:tcW w:w="1012" w:type="pct"/>
            <w:hideMark/>
          </w:tcPr>
          <w:p w14:paraId="3DF34B9C" w14:textId="77777777" w:rsidR="009B34D1" w:rsidRPr="000B7A9D" w:rsidRDefault="009B34D1" w:rsidP="009B34D1">
            <w:pPr>
              <w:jc w:val="center"/>
              <w:rPr>
                <w:b/>
                <w:i/>
                <w:sz w:val="20"/>
                <w:szCs w:val="20"/>
                <w:lang w:val="en-US"/>
              </w:rPr>
            </w:pPr>
            <w:r w:rsidRPr="000B7A9D">
              <w:rPr>
                <w:b/>
                <w:i/>
                <w:sz w:val="20"/>
                <w:szCs w:val="20"/>
                <w:lang w:val="en-US"/>
              </w:rPr>
              <w:t>Of which</w:t>
            </w:r>
          </w:p>
        </w:tc>
        <w:tc>
          <w:tcPr>
            <w:tcW w:w="397" w:type="pct"/>
            <w:noWrap/>
            <w:vAlign w:val="bottom"/>
            <w:hideMark/>
          </w:tcPr>
          <w:p w14:paraId="39A8662E" w14:textId="77777777" w:rsidR="009B34D1" w:rsidRPr="000B7A9D" w:rsidRDefault="009B34D1" w:rsidP="00E90533">
            <w:pPr>
              <w:ind w:left="-136" w:right="-107"/>
              <w:jc w:val="center"/>
              <w:rPr>
                <w:sz w:val="20"/>
                <w:szCs w:val="20"/>
              </w:rPr>
            </w:pPr>
          </w:p>
        </w:tc>
        <w:tc>
          <w:tcPr>
            <w:tcW w:w="397" w:type="pct"/>
            <w:noWrap/>
            <w:vAlign w:val="bottom"/>
            <w:hideMark/>
          </w:tcPr>
          <w:p w14:paraId="0C64C9A2" w14:textId="77777777" w:rsidR="009B34D1" w:rsidRPr="000B7A9D" w:rsidRDefault="009B34D1" w:rsidP="00E90533">
            <w:pPr>
              <w:ind w:left="-136" w:right="-107"/>
              <w:jc w:val="center"/>
              <w:rPr>
                <w:sz w:val="20"/>
                <w:szCs w:val="20"/>
              </w:rPr>
            </w:pPr>
          </w:p>
        </w:tc>
        <w:tc>
          <w:tcPr>
            <w:tcW w:w="397" w:type="pct"/>
            <w:noWrap/>
            <w:vAlign w:val="bottom"/>
            <w:hideMark/>
          </w:tcPr>
          <w:p w14:paraId="1197F3F1" w14:textId="77777777" w:rsidR="009B34D1" w:rsidRPr="000B7A9D" w:rsidRDefault="009B34D1" w:rsidP="00E90533">
            <w:pPr>
              <w:ind w:left="-136" w:right="-107"/>
              <w:jc w:val="center"/>
              <w:rPr>
                <w:sz w:val="20"/>
                <w:szCs w:val="20"/>
              </w:rPr>
            </w:pPr>
          </w:p>
        </w:tc>
        <w:tc>
          <w:tcPr>
            <w:tcW w:w="397" w:type="pct"/>
            <w:noWrap/>
            <w:vAlign w:val="bottom"/>
            <w:hideMark/>
          </w:tcPr>
          <w:p w14:paraId="0D761ED9" w14:textId="77777777" w:rsidR="009B34D1" w:rsidRPr="000B7A9D" w:rsidRDefault="009B34D1" w:rsidP="00E90533">
            <w:pPr>
              <w:ind w:left="-136" w:right="-107"/>
              <w:jc w:val="center"/>
              <w:rPr>
                <w:sz w:val="20"/>
                <w:szCs w:val="20"/>
              </w:rPr>
            </w:pPr>
          </w:p>
        </w:tc>
        <w:tc>
          <w:tcPr>
            <w:tcW w:w="397" w:type="pct"/>
            <w:noWrap/>
            <w:vAlign w:val="bottom"/>
            <w:hideMark/>
          </w:tcPr>
          <w:p w14:paraId="078A2A73" w14:textId="77777777" w:rsidR="009B34D1" w:rsidRPr="000B7A9D" w:rsidRDefault="009B34D1" w:rsidP="00E90533">
            <w:pPr>
              <w:ind w:left="-136" w:right="-107"/>
              <w:jc w:val="center"/>
              <w:rPr>
                <w:sz w:val="20"/>
                <w:szCs w:val="20"/>
              </w:rPr>
            </w:pPr>
          </w:p>
        </w:tc>
        <w:tc>
          <w:tcPr>
            <w:tcW w:w="397" w:type="pct"/>
            <w:noWrap/>
            <w:vAlign w:val="bottom"/>
            <w:hideMark/>
          </w:tcPr>
          <w:p w14:paraId="5A8B396B" w14:textId="77777777" w:rsidR="009B34D1" w:rsidRPr="000B7A9D" w:rsidRDefault="009B34D1" w:rsidP="00E90533">
            <w:pPr>
              <w:ind w:left="-136" w:right="-107"/>
              <w:jc w:val="center"/>
              <w:rPr>
                <w:sz w:val="20"/>
                <w:szCs w:val="20"/>
              </w:rPr>
            </w:pPr>
          </w:p>
        </w:tc>
        <w:tc>
          <w:tcPr>
            <w:tcW w:w="397" w:type="pct"/>
            <w:noWrap/>
            <w:vAlign w:val="bottom"/>
            <w:hideMark/>
          </w:tcPr>
          <w:p w14:paraId="2A26AE31" w14:textId="77777777" w:rsidR="009B34D1" w:rsidRPr="000B7A9D" w:rsidRDefault="009B34D1" w:rsidP="00E90533">
            <w:pPr>
              <w:ind w:left="-136" w:right="-107"/>
              <w:jc w:val="center"/>
              <w:rPr>
                <w:sz w:val="20"/>
                <w:szCs w:val="20"/>
              </w:rPr>
            </w:pPr>
          </w:p>
        </w:tc>
        <w:tc>
          <w:tcPr>
            <w:tcW w:w="397" w:type="pct"/>
            <w:noWrap/>
            <w:vAlign w:val="bottom"/>
            <w:hideMark/>
          </w:tcPr>
          <w:p w14:paraId="28F54BFE" w14:textId="77777777" w:rsidR="009B34D1" w:rsidRPr="000B7A9D" w:rsidRDefault="009B34D1" w:rsidP="00E90533">
            <w:pPr>
              <w:ind w:left="-136" w:right="-107"/>
              <w:jc w:val="center"/>
              <w:rPr>
                <w:sz w:val="20"/>
                <w:szCs w:val="20"/>
              </w:rPr>
            </w:pPr>
          </w:p>
        </w:tc>
        <w:tc>
          <w:tcPr>
            <w:tcW w:w="410" w:type="pct"/>
            <w:noWrap/>
            <w:vAlign w:val="bottom"/>
            <w:hideMark/>
          </w:tcPr>
          <w:p w14:paraId="65711FF8" w14:textId="77777777" w:rsidR="009B34D1" w:rsidRPr="000B7A9D" w:rsidRDefault="009B34D1" w:rsidP="00E90533">
            <w:pPr>
              <w:ind w:left="-136" w:right="-107"/>
              <w:jc w:val="center"/>
              <w:rPr>
                <w:bCs/>
                <w:sz w:val="20"/>
                <w:szCs w:val="20"/>
              </w:rPr>
            </w:pPr>
          </w:p>
        </w:tc>
        <w:tc>
          <w:tcPr>
            <w:tcW w:w="405" w:type="pct"/>
            <w:vAlign w:val="bottom"/>
          </w:tcPr>
          <w:p w14:paraId="3FE45EFC" w14:textId="77777777" w:rsidR="009B34D1" w:rsidRPr="000B7A9D" w:rsidRDefault="009B34D1" w:rsidP="00E90533">
            <w:pPr>
              <w:ind w:left="-136" w:right="-107"/>
              <w:jc w:val="center"/>
              <w:rPr>
                <w:bCs/>
                <w:sz w:val="20"/>
                <w:szCs w:val="20"/>
              </w:rPr>
            </w:pPr>
          </w:p>
        </w:tc>
      </w:tr>
      <w:tr w:rsidR="00E90533" w:rsidRPr="000B7A9D" w14:paraId="74808463" w14:textId="77777777" w:rsidTr="00CF634A">
        <w:trPr>
          <w:trHeight w:val="315"/>
        </w:trPr>
        <w:tc>
          <w:tcPr>
            <w:tcW w:w="1012" w:type="pct"/>
            <w:hideMark/>
          </w:tcPr>
          <w:p w14:paraId="660A786D" w14:textId="77777777" w:rsidR="00E90533" w:rsidRPr="000B7A9D" w:rsidRDefault="00E90533" w:rsidP="00874588">
            <w:pPr>
              <w:jc w:val="right"/>
              <w:rPr>
                <w:sz w:val="20"/>
                <w:szCs w:val="20"/>
                <w:lang w:val="en-US"/>
              </w:rPr>
            </w:pPr>
            <w:r w:rsidRPr="000B7A9D">
              <w:rPr>
                <w:sz w:val="20"/>
                <w:szCs w:val="20"/>
                <w:lang w:val="en-US"/>
              </w:rPr>
              <w:t>Direct investment</w:t>
            </w:r>
          </w:p>
        </w:tc>
        <w:tc>
          <w:tcPr>
            <w:tcW w:w="397" w:type="pct"/>
            <w:noWrap/>
            <w:vAlign w:val="bottom"/>
            <w:hideMark/>
          </w:tcPr>
          <w:p w14:paraId="3ABAE75B" w14:textId="77777777" w:rsidR="00E90533" w:rsidRPr="000B7A9D" w:rsidRDefault="00E90533" w:rsidP="00E90533">
            <w:pPr>
              <w:ind w:left="-136" w:right="-107"/>
              <w:jc w:val="center"/>
              <w:rPr>
                <w:sz w:val="20"/>
                <w:szCs w:val="20"/>
              </w:rPr>
            </w:pPr>
            <w:r w:rsidRPr="000B7A9D">
              <w:rPr>
                <w:sz w:val="20"/>
                <w:szCs w:val="20"/>
              </w:rPr>
              <w:t>-199.2</w:t>
            </w:r>
          </w:p>
        </w:tc>
        <w:tc>
          <w:tcPr>
            <w:tcW w:w="397" w:type="pct"/>
            <w:noWrap/>
            <w:vAlign w:val="bottom"/>
            <w:hideMark/>
          </w:tcPr>
          <w:p w14:paraId="2F4A6E45" w14:textId="77777777" w:rsidR="00E90533" w:rsidRPr="000B7A9D" w:rsidRDefault="00E90533" w:rsidP="00E90533">
            <w:pPr>
              <w:ind w:left="-136" w:right="-107"/>
              <w:jc w:val="center"/>
              <w:rPr>
                <w:sz w:val="20"/>
                <w:szCs w:val="20"/>
              </w:rPr>
            </w:pPr>
            <w:r w:rsidRPr="000B7A9D">
              <w:rPr>
                <w:sz w:val="20"/>
                <w:szCs w:val="20"/>
              </w:rPr>
              <w:t>-273.4</w:t>
            </w:r>
          </w:p>
        </w:tc>
        <w:tc>
          <w:tcPr>
            <w:tcW w:w="397" w:type="pct"/>
            <w:noWrap/>
            <w:vAlign w:val="bottom"/>
            <w:hideMark/>
          </w:tcPr>
          <w:p w14:paraId="5575093C" w14:textId="77777777" w:rsidR="00E90533" w:rsidRPr="000B7A9D" w:rsidRDefault="00E90533" w:rsidP="00E90533">
            <w:pPr>
              <w:ind w:left="-136" w:right="-107"/>
              <w:jc w:val="center"/>
              <w:rPr>
                <w:sz w:val="20"/>
                <w:szCs w:val="20"/>
              </w:rPr>
            </w:pPr>
            <w:r w:rsidRPr="000B7A9D">
              <w:rPr>
                <w:sz w:val="20"/>
                <w:szCs w:val="20"/>
              </w:rPr>
              <w:t>-272.4</w:t>
            </w:r>
          </w:p>
        </w:tc>
        <w:tc>
          <w:tcPr>
            <w:tcW w:w="397" w:type="pct"/>
            <w:noWrap/>
            <w:vAlign w:val="bottom"/>
            <w:hideMark/>
          </w:tcPr>
          <w:p w14:paraId="05F0172C" w14:textId="77777777" w:rsidR="00E90533" w:rsidRPr="000B7A9D" w:rsidRDefault="00E90533" w:rsidP="00E90533">
            <w:pPr>
              <w:ind w:left="-136" w:right="-107"/>
              <w:jc w:val="center"/>
              <w:rPr>
                <w:sz w:val="20"/>
                <w:szCs w:val="20"/>
              </w:rPr>
            </w:pPr>
            <w:r w:rsidRPr="000B7A9D">
              <w:rPr>
                <w:sz w:val="20"/>
                <w:szCs w:val="20"/>
              </w:rPr>
              <w:t>-368.5</w:t>
            </w:r>
          </w:p>
        </w:tc>
        <w:tc>
          <w:tcPr>
            <w:tcW w:w="397" w:type="pct"/>
            <w:noWrap/>
            <w:vAlign w:val="bottom"/>
            <w:hideMark/>
          </w:tcPr>
          <w:p w14:paraId="66B59453" w14:textId="77777777" w:rsidR="00E90533" w:rsidRPr="000B7A9D" w:rsidRDefault="00E90533" w:rsidP="00E90533">
            <w:pPr>
              <w:ind w:left="-136" w:right="-107"/>
              <w:jc w:val="center"/>
              <w:rPr>
                <w:sz w:val="20"/>
                <w:szCs w:val="20"/>
              </w:rPr>
            </w:pPr>
            <w:r w:rsidRPr="000B7A9D">
              <w:rPr>
                <w:sz w:val="20"/>
                <w:szCs w:val="20"/>
              </w:rPr>
              <w:t>-288.6</w:t>
            </w:r>
          </w:p>
        </w:tc>
        <w:tc>
          <w:tcPr>
            <w:tcW w:w="397" w:type="pct"/>
            <w:noWrap/>
            <w:vAlign w:val="bottom"/>
            <w:hideMark/>
          </w:tcPr>
          <w:p w14:paraId="5F082DD6" w14:textId="77777777" w:rsidR="00E90533" w:rsidRPr="000B7A9D" w:rsidRDefault="00E90533" w:rsidP="00E90533">
            <w:pPr>
              <w:ind w:left="-136" w:right="-107"/>
              <w:jc w:val="center"/>
              <w:rPr>
                <w:sz w:val="20"/>
                <w:szCs w:val="20"/>
              </w:rPr>
            </w:pPr>
            <w:r w:rsidRPr="000B7A9D">
              <w:rPr>
                <w:sz w:val="20"/>
                <w:szCs w:val="20"/>
              </w:rPr>
              <w:t>-280.6</w:t>
            </w:r>
          </w:p>
        </w:tc>
        <w:tc>
          <w:tcPr>
            <w:tcW w:w="397" w:type="pct"/>
            <w:noWrap/>
            <w:vAlign w:val="bottom"/>
            <w:hideMark/>
          </w:tcPr>
          <w:p w14:paraId="57D343FB" w14:textId="77777777" w:rsidR="00E90533" w:rsidRPr="000B7A9D" w:rsidRDefault="00E90533" w:rsidP="00E90533">
            <w:pPr>
              <w:ind w:left="-136" w:right="-107"/>
              <w:jc w:val="center"/>
              <w:rPr>
                <w:sz w:val="20"/>
                <w:szCs w:val="20"/>
              </w:rPr>
            </w:pPr>
            <w:r w:rsidRPr="000B7A9D">
              <w:rPr>
                <w:sz w:val="20"/>
                <w:szCs w:val="20"/>
              </w:rPr>
              <w:t>-447.3</w:t>
            </w:r>
          </w:p>
        </w:tc>
        <w:tc>
          <w:tcPr>
            <w:tcW w:w="397" w:type="pct"/>
            <w:noWrap/>
            <w:vAlign w:val="bottom"/>
            <w:hideMark/>
          </w:tcPr>
          <w:p w14:paraId="5EE3DAD5" w14:textId="77777777" w:rsidR="00E90533" w:rsidRPr="000B7A9D" w:rsidRDefault="00E90533" w:rsidP="00E90533">
            <w:pPr>
              <w:ind w:left="-136" w:right="-107"/>
              <w:jc w:val="center"/>
              <w:rPr>
                <w:sz w:val="20"/>
                <w:szCs w:val="20"/>
              </w:rPr>
            </w:pPr>
            <w:r w:rsidRPr="000B7A9D">
              <w:rPr>
                <w:sz w:val="20"/>
                <w:szCs w:val="20"/>
              </w:rPr>
              <w:t>-528.9</w:t>
            </w:r>
          </w:p>
        </w:tc>
        <w:tc>
          <w:tcPr>
            <w:tcW w:w="410" w:type="pct"/>
            <w:noWrap/>
            <w:vAlign w:val="bottom"/>
            <w:hideMark/>
          </w:tcPr>
          <w:p w14:paraId="664F17BC" w14:textId="77777777" w:rsidR="00E90533" w:rsidRPr="000B7A9D" w:rsidRDefault="00E90533" w:rsidP="00E90533">
            <w:pPr>
              <w:ind w:left="-136" w:right="-107"/>
              <w:jc w:val="center"/>
              <w:rPr>
                <w:bCs/>
                <w:sz w:val="20"/>
                <w:szCs w:val="20"/>
              </w:rPr>
            </w:pPr>
            <w:r w:rsidRPr="000B7A9D">
              <w:rPr>
                <w:bCs/>
                <w:sz w:val="20"/>
                <w:szCs w:val="20"/>
              </w:rPr>
              <w:t>-280.4</w:t>
            </w:r>
          </w:p>
        </w:tc>
        <w:tc>
          <w:tcPr>
            <w:tcW w:w="405" w:type="pct"/>
            <w:vAlign w:val="bottom"/>
          </w:tcPr>
          <w:p w14:paraId="034E78E4" w14:textId="77777777" w:rsidR="00E90533" w:rsidRPr="000B7A9D" w:rsidRDefault="00E90533" w:rsidP="00E90533">
            <w:pPr>
              <w:ind w:left="-136" w:right="-107"/>
              <w:jc w:val="center"/>
              <w:rPr>
                <w:bCs/>
                <w:sz w:val="20"/>
                <w:szCs w:val="20"/>
              </w:rPr>
            </w:pPr>
            <w:r w:rsidRPr="000B7A9D">
              <w:rPr>
                <w:bCs/>
                <w:sz w:val="20"/>
                <w:szCs w:val="20"/>
              </w:rPr>
              <w:t>-418.9</w:t>
            </w:r>
          </w:p>
        </w:tc>
      </w:tr>
      <w:tr w:rsidR="00E90533" w:rsidRPr="000B7A9D" w14:paraId="33AB66C3" w14:textId="77777777" w:rsidTr="00CF634A">
        <w:trPr>
          <w:trHeight w:val="315"/>
        </w:trPr>
        <w:tc>
          <w:tcPr>
            <w:tcW w:w="1012" w:type="pct"/>
            <w:hideMark/>
          </w:tcPr>
          <w:p w14:paraId="0163C7B3" w14:textId="77777777" w:rsidR="00E90533" w:rsidRPr="000B7A9D" w:rsidRDefault="00E90533" w:rsidP="00874588">
            <w:pPr>
              <w:jc w:val="right"/>
              <w:rPr>
                <w:sz w:val="20"/>
                <w:szCs w:val="20"/>
                <w:lang w:val="en-US"/>
              </w:rPr>
            </w:pPr>
            <w:r w:rsidRPr="000B7A9D">
              <w:rPr>
                <w:sz w:val="20"/>
                <w:szCs w:val="20"/>
                <w:lang w:val="en-US"/>
              </w:rPr>
              <w:t>Portfolio investment</w:t>
            </w:r>
          </w:p>
        </w:tc>
        <w:tc>
          <w:tcPr>
            <w:tcW w:w="397" w:type="pct"/>
            <w:noWrap/>
            <w:vAlign w:val="bottom"/>
            <w:hideMark/>
          </w:tcPr>
          <w:p w14:paraId="6BF0E0A3" w14:textId="77777777" w:rsidR="00E90533" w:rsidRPr="000B7A9D" w:rsidRDefault="00E90533" w:rsidP="00E90533">
            <w:pPr>
              <w:ind w:left="-136" w:right="-107"/>
              <w:jc w:val="center"/>
              <w:rPr>
                <w:sz w:val="20"/>
                <w:szCs w:val="20"/>
              </w:rPr>
            </w:pPr>
            <w:r w:rsidRPr="000B7A9D">
              <w:rPr>
                <w:sz w:val="20"/>
                <w:szCs w:val="20"/>
              </w:rPr>
              <w:t>-5.8</w:t>
            </w:r>
          </w:p>
        </w:tc>
        <w:tc>
          <w:tcPr>
            <w:tcW w:w="397" w:type="pct"/>
            <w:noWrap/>
            <w:vAlign w:val="bottom"/>
            <w:hideMark/>
          </w:tcPr>
          <w:p w14:paraId="12E6B96A" w14:textId="77777777" w:rsidR="00E90533" w:rsidRPr="000B7A9D" w:rsidRDefault="00E90533" w:rsidP="00E90533">
            <w:pPr>
              <w:ind w:left="-136" w:right="-107"/>
              <w:jc w:val="center"/>
              <w:rPr>
                <w:sz w:val="20"/>
                <w:szCs w:val="20"/>
              </w:rPr>
            </w:pPr>
            <w:r w:rsidRPr="000B7A9D">
              <w:rPr>
                <w:sz w:val="20"/>
                <w:szCs w:val="20"/>
              </w:rPr>
              <w:t>-42.1</w:t>
            </w:r>
          </w:p>
        </w:tc>
        <w:tc>
          <w:tcPr>
            <w:tcW w:w="397" w:type="pct"/>
            <w:noWrap/>
            <w:vAlign w:val="bottom"/>
            <w:hideMark/>
          </w:tcPr>
          <w:p w14:paraId="3863E19D" w14:textId="77777777" w:rsidR="00E90533" w:rsidRPr="000B7A9D" w:rsidRDefault="00E90533" w:rsidP="00E90533">
            <w:pPr>
              <w:ind w:left="-136" w:right="-107"/>
              <w:jc w:val="center"/>
              <w:rPr>
                <w:sz w:val="20"/>
                <w:szCs w:val="20"/>
              </w:rPr>
            </w:pPr>
            <w:r w:rsidRPr="000B7A9D">
              <w:rPr>
                <w:sz w:val="20"/>
                <w:szCs w:val="20"/>
              </w:rPr>
              <w:t>-52.9</w:t>
            </w:r>
          </w:p>
        </w:tc>
        <w:tc>
          <w:tcPr>
            <w:tcW w:w="397" w:type="pct"/>
            <w:noWrap/>
            <w:vAlign w:val="bottom"/>
            <w:hideMark/>
          </w:tcPr>
          <w:p w14:paraId="6AD31029" w14:textId="77777777" w:rsidR="00E90533" w:rsidRPr="000B7A9D" w:rsidRDefault="00E90533" w:rsidP="00E90533">
            <w:pPr>
              <w:ind w:left="-136" w:right="-107"/>
              <w:jc w:val="center"/>
              <w:rPr>
                <w:sz w:val="20"/>
                <w:szCs w:val="20"/>
              </w:rPr>
            </w:pPr>
            <w:r w:rsidRPr="000B7A9D">
              <w:rPr>
                <w:sz w:val="20"/>
                <w:szCs w:val="20"/>
              </w:rPr>
              <w:t>-35.0</w:t>
            </w:r>
          </w:p>
        </w:tc>
        <w:tc>
          <w:tcPr>
            <w:tcW w:w="397" w:type="pct"/>
            <w:noWrap/>
            <w:vAlign w:val="bottom"/>
            <w:hideMark/>
          </w:tcPr>
          <w:p w14:paraId="3E1FE3B7" w14:textId="77777777" w:rsidR="00E90533" w:rsidRPr="000B7A9D" w:rsidRDefault="00E90533" w:rsidP="00E90533">
            <w:pPr>
              <w:ind w:left="-136" w:right="-107"/>
              <w:jc w:val="center"/>
              <w:rPr>
                <w:sz w:val="20"/>
                <w:szCs w:val="20"/>
              </w:rPr>
            </w:pPr>
            <w:r w:rsidRPr="000B7A9D">
              <w:rPr>
                <w:sz w:val="20"/>
                <w:szCs w:val="20"/>
              </w:rPr>
              <w:t>-42.0</w:t>
            </w:r>
          </w:p>
        </w:tc>
        <w:tc>
          <w:tcPr>
            <w:tcW w:w="397" w:type="pct"/>
            <w:noWrap/>
            <w:vAlign w:val="bottom"/>
            <w:hideMark/>
          </w:tcPr>
          <w:p w14:paraId="686FAFD5" w14:textId="77777777" w:rsidR="00E90533" w:rsidRPr="000B7A9D" w:rsidRDefault="00E90533" w:rsidP="00E90533">
            <w:pPr>
              <w:ind w:left="-136" w:right="-107"/>
              <w:jc w:val="center"/>
              <w:rPr>
                <w:sz w:val="20"/>
                <w:szCs w:val="20"/>
              </w:rPr>
            </w:pPr>
            <w:r w:rsidRPr="000B7A9D">
              <w:rPr>
                <w:sz w:val="20"/>
                <w:szCs w:val="20"/>
              </w:rPr>
              <w:t>-31.6</w:t>
            </w:r>
          </w:p>
        </w:tc>
        <w:tc>
          <w:tcPr>
            <w:tcW w:w="397" w:type="pct"/>
            <w:noWrap/>
            <w:vAlign w:val="bottom"/>
            <w:hideMark/>
          </w:tcPr>
          <w:p w14:paraId="1FB95BBE" w14:textId="77777777" w:rsidR="00E90533" w:rsidRPr="000B7A9D" w:rsidRDefault="00E90533" w:rsidP="00E90533">
            <w:pPr>
              <w:ind w:left="-136" w:right="-107"/>
              <w:jc w:val="center"/>
              <w:rPr>
                <w:sz w:val="20"/>
                <w:szCs w:val="20"/>
              </w:rPr>
            </w:pPr>
            <w:r w:rsidRPr="000B7A9D">
              <w:rPr>
                <w:sz w:val="20"/>
                <w:szCs w:val="20"/>
              </w:rPr>
              <w:t>-47.2</w:t>
            </w:r>
          </w:p>
        </w:tc>
        <w:tc>
          <w:tcPr>
            <w:tcW w:w="397" w:type="pct"/>
            <w:noWrap/>
            <w:vAlign w:val="bottom"/>
            <w:hideMark/>
          </w:tcPr>
          <w:p w14:paraId="250147F0" w14:textId="77777777" w:rsidR="00E90533" w:rsidRPr="000B7A9D" w:rsidRDefault="00E90533" w:rsidP="00E90533">
            <w:pPr>
              <w:ind w:left="-136" w:right="-107"/>
              <w:jc w:val="center"/>
              <w:rPr>
                <w:sz w:val="20"/>
                <w:szCs w:val="20"/>
              </w:rPr>
            </w:pPr>
            <w:r w:rsidRPr="000B7A9D">
              <w:rPr>
                <w:sz w:val="20"/>
                <w:szCs w:val="20"/>
              </w:rPr>
              <w:t>-63.5</w:t>
            </w:r>
          </w:p>
        </w:tc>
        <w:tc>
          <w:tcPr>
            <w:tcW w:w="410" w:type="pct"/>
            <w:noWrap/>
            <w:vAlign w:val="bottom"/>
            <w:hideMark/>
          </w:tcPr>
          <w:p w14:paraId="3D3199B4" w14:textId="77777777" w:rsidR="00E90533" w:rsidRPr="000B7A9D" w:rsidRDefault="00E90533" w:rsidP="00E90533">
            <w:pPr>
              <w:ind w:left="-136" w:right="-107"/>
              <w:jc w:val="center"/>
              <w:rPr>
                <w:bCs/>
                <w:sz w:val="20"/>
                <w:szCs w:val="20"/>
              </w:rPr>
            </w:pPr>
            <w:r w:rsidRPr="000B7A9D">
              <w:rPr>
                <w:bCs/>
                <w:sz w:val="20"/>
                <w:szCs w:val="20"/>
              </w:rPr>
              <w:t>-35.6</w:t>
            </w:r>
          </w:p>
        </w:tc>
        <w:tc>
          <w:tcPr>
            <w:tcW w:w="405" w:type="pct"/>
            <w:vAlign w:val="bottom"/>
          </w:tcPr>
          <w:p w14:paraId="32E26E3A" w14:textId="77777777" w:rsidR="00E90533" w:rsidRPr="000B7A9D" w:rsidRDefault="00E90533" w:rsidP="00E90533">
            <w:pPr>
              <w:ind w:left="-136" w:right="-107"/>
              <w:jc w:val="center"/>
              <w:rPr>
                <w:bCs/>
                <w:sz w:val="20"/>
                <w:szCs w:val="20"/>
              </w:rPr>
            </w:pPr>
            <w:r w:rsidRPr="000B7A9D">
              <w:rPr>
                <w:bCs/>
                <w:sz w:val="20"/>
                <w:szCs w:val="20"/>
              </w:rPr>
              <w:t>-47.4</w:t>
            </w:r>
          </w:p>
        </w:tc>
      </w:tr>
      <w:tr w:rsidR="00E90533" w:rsidRPr="000B7A9D" w14:paraId="35D85DD8" w14:textId="77777777" w:rsidTr="00CF634A">
        <w:trPr>
          <w:trHeight w:val="315"/>
        </w:trPr>
        <w:tc>
          <w:tcPr>
            <w:tcW w:w="1012" w:type="pct"/>
            <w:hideMark/>
          </w:tcPr>
          <w:p w14:paraId="51920973" w14:textId="77777777" w:rsidR="00E90533" w:rsidRPr="000B7A9D" w:rsidRDefault="00E90533" w:rsidP="00CF634A">
            <w:pPr>
              <w:tabs>
                <w:tab w:val="left" w:pos="1692"/>
              </w:tabs>
              <w:ind w:right="-107"/>
              <w:jc w:val="right"/>
              <w:rPr>
                <w:sz w:val="20"/>
                <w:szCs w:val="20"/>
                <w:lang w:val="en-US"/>
              </w:rPr>
            </w:pPr>
            <w:r w:rsidRPr="000B7A9D">
              <w:rPr>
                <w:sz w:val="20"/>
                <w:szCs w:val="20"/>
                <w:lang w:val="en-US"/>
              </w:rPr>
              <w:t>Other</w:t>
            </w:r>
            <w:r w:rsidR="00CF634A" w:rsidRPr="000B7A9D">
              <w:rPr>
                <w:sz w:val="20"/>
                <w:szCs w:val="20"/>
                <w:lang w:val="en-US"/>
              </w:rPr>
              <w:t xml:space="preserve"> </w:t>
            </w:r>
            <w:r w:rsidRPr="000B7A9D">
              <w:rPr>
                <w:sz w:val="20"/>
                <w:szCs w:val="20"/>
                <w:lang w:val="en-US"/>
              </w:rPr>
              <w:t>investment</w:t>
            </w:r>
          </w:p>
        </w:tc>
        <w:tc>
          <w:tcPr>
            <w:tcW w:w="397" w:type="pct"/>
            <w:noWrap/>
            <w:vAlign w:val="bottom"/>
            <w:hideMark/>
          </w:tcPr>
          <w:p w14:paraId="6A816CF9" w14:textId="77777777" w:rsidR="00E90533" w:rsidRPr="000B7A9D" w:rsidRDefault="00E90533" w:rsidP="00E90533">
            <w:pPr>
              <w:ind w:left="-136" w:right="-107"/>
              <w:jc w:val="center"/>
              <w:rPr>
                <w:sz w:val="20"/>
                <w:szCs w:val="20"/>
              </w:rPr>
            </w:pPr>
            <w:r w:rsidRPr="000B7A9D">
              <w:rPr>
                <w:sz w:val="20"/>
                <w:szCs w:val="20"/>
              </w:rPr>
              <w:t>-38.1</w:t>
            </w:r>
          </w:p>
        </w:tc>
        <w:tc>
          <w:tcPr>
            <w:tcW w:w="397" w:type="pct"/>
            <w:noWrap/>
            <w:vAlign w:val="bottom"/>
            <w:hideMark/>
          </w:tcPr>
          <w:p w14:paraId="023E7164" w14:textId="77777777" w:rsidR="00E90533" w:rsidRPr="000B7A9D" w:rsidRDefault="00E90533" w:rsidP="00E90533">
            <w:pPr>
              <w:ind w:left="-136" w:right="-107"/>
              <w:jc w:val="center"/>
              <w:rPr>
                <w:sz w:val="20"/>
                <w:szCs w:val="20"/>
              </w:rPr>
            </w:pPr>
            <w:r w:rsidRPr="000B7A9D">
              <w:rPr>
                <w:sz w:val="20"/>
                <w:szCs w:val="20"/>
              </w:rPr>
              <w:t>-31.9</w:t>
            </w:r>
          </w:p>
        </w:tc>
        <w:tc>
          <w:tcPr>
            <w:tcW w:w="397" w:type="pct"/>
            <w:noWrap/>
            <w:vAlign w:val="bottom"/>
            <w:hideMark/>
          </w:tcPr>
          <w:p w14:paraId="3090B024" w14:textId="77777777" w:rsidR="00E90533" w:rsidRPr="000B7A9D" w:rsidRDefault="00E90533" w:rsidP="00E90533">
            <w:pPr>
              <w:ind w:left="-136" w:right="-107"/>
              <w:jc w:val="center"/>
              <w:rPr>
                <w:sz w:val="20"/>
                <w:szCs w:val="20"/>
              </w:rPr>
            </w:pPr>
            <w:r w:rsidRPr="000B7A9D">
              <w:rPr>
                <w:sz w:val="20"/>
                <w:szCs w:val="20"/>
              </w:rPr>
              <w:t>-41.1</w:t>
            </w:r>
          </w:p>
        </w:tc>
        <w:tc>
          <w:tcPr>
            <w:tcW w:w="397" w:type="pct"/>
            <w:noWrap/>
            <w:vAlign w:val="bottom"/>
            <w:hideMark/>
          </w:tcPr>
          <w:p w14:paraId="39C2325E" w14:textId="77777777" w:rsidR="00E90533" w:rsidRPr="000B7A9D" w:rsidRDefault="00E90533" w:rsidP="00E90533">
            <w:pPr>
              <w:ind w:left="-136" w:right="-107"/>
              <w:jc w:val="center"/>
              <w:rPr>
                <w:sz w:val="20"/>
                <w:szCs w:val="20"/>
              </w:rPr>
            </w:pPr>
            <w:r w:rsidRPr="000B7A9D">
              <w:rPr>
                <w:sz w:val="20"/>
                <w:szCs w:val="20"/>
              </w:rPr>
              <w:t>-76.5</w:t>
            </w:r>
          </w:p>
        </w:tc>
        <w:tc>
          <w:tcPr>
            <w:tcW w:w="397" w:type="pct"/>
            <w:noWrap/>
            <w:vAlign w:val="bottom"/>
            <w:hideMark/>
          </w:tcPr>
          <w:p w14:paraId="6A131018" w14:textId="77777777" w:rsidR="00E90533" w:rsidRPr="000B7A9D" w:rsidRDefault="00E90533" w:rsidP="00E90533">
            <w:pPr>
              <w:ind w:left="-136" w:right="-107"/>
              <w:jc w:val="center"/>
              <w:rPr>
                <w:sz w:val="20"/>
                <w:szCs w:val="20"/>
              </w:rPr>
            </w:pPr>
            <w:r w:rsidRPr="000B7A9D">
              <w:rPr>
                <w:sz w:val="20"/>
                <w:szCs w:val="20"/>
              </w:rPr>
              <w:t>-81.2</w:t>
            </w:r>
          </w:p>
        </w:tc>
        <w:tc>
          <w:tcPr>
            <w:tcW w:w="397" w:type="pct"/>
            <w:noWrap/>
            <w:vAlign w:val="bottom"/>
            <w:hideMark/>
          </w:tcPr>
          <w:p w14:paraId="785D61A6" w14:textId="77777777" w:rsidR="00E90533" w:rsidRPr="000B7A9D" w:rsidRDefault="00E90533" w:rsidP="00E90533">
            <w:pPr>
              <w:ind w:left="-136" w:right="-107"/>
              <w:jc w:val="center"/>
              <w:rPr>
                <w:sz w:val="20"/>
                <w:szCs w:val="20"/>
              </w:rPr>
            </w:pPr>
            <w:r w:rsidRPr="000B7A9D">
              <w:rPr>
                <w:sz w:val="20"/>
                <w:szCs w:val="20"/>
              </w:rPr>
              <w:t>-76.1</w:t>
            </w:r>
          </w:p>
        </w:tc>
        <w:tc>
          <w:tcPr>
            <w:tcW w:w="397" w:type="pct"/>
            <w:noWrap/>
            <w:vAlign w:val="bottom"/>
            <w:hideMark/>
          </w:tcPr>
          <w:p w14:paraId="317823F4" w14:textId="77777777" w:rsidR="00E90533" w:rsidRPr="000B7A9D" w:rsidRDefault="00E90533" w:rsidP="00E90533">
            <w:pPr>
              <w:ind w:left="-136" w:right="-107"/>
              <w:jc w:val="center"/>
              <w:rPr>
                <w:sz w:val="20"/>
                <w:szCs w:val="20"/>
              </w:rPr>
            </w:pPr>
            <w:r w:rsidRPr="000B7A9D">
              <w:rPr>
                <w:sz w:val="20"/>
                <w:szCs w:val="20"/>
              </w:rPr>
              <w:t>-106.6</w:t>
            </w:r>
          </w:p>
        </w:tc>
        <w:tc>
          <w:tcPr>
            <w:tcW w:w="397" w:type="pct"/>
            <w:noWrap/>
            <w:vAlign w:val="bottom"/>
            <w:hideMark/>
          </w:tcPr>
          <w:p w14:paraId="69080AD9" w14:textId="77777777" w:rsidR="00E90533" w:rsidRPr="000B7A9D" w:rsidRDefault="00E90533" w:rsidP="00E90533">
            <w:pPr>
              <w:ind w:left="-136" w:right="-107"/>
              <w:jc w:val="center"/>
              <w:rPr>
                <w:sz w:val="20"/>
                <w:szCs w:val="20"/>
              </w:rPr>
            </w:pPr>
            <w:r w:rsidRPr="000B7A9D">
              <w:rPr>
                <w:sz w:val="20"/>
                <w:szCs w:val="20"/>
              </w:rPr>
              <w:t>-121.5</w:t>
            </w:r>
          </w:p>
        </w:tc>
        <w:tc>
          <w:tcPr>
            <w:tcW w:w="410" w:type="pct"/>
            <w:noWrap/>
            <w:vAlign w:val="bottom"/>
            <w:hideMark/>
          </w:tcPr>
          <w:p w14:paraId="74952469" w14:textId="77777777" w:rsidR="00E90533" w:rsidRPr="000B7A9D" w:rsidRDefault="00E90533" w:rsidP="00E90533">
            <w:pPr>
              <w:ind w:left="-136" w:right="-107"/>
              <w:jc w:val="center"/>
              <w:rPr>
                <w:bCs/>
                <w:sz w:val="20"/>
                <w:szCs w:val="20"/>
              </w:rPr>
            </w:pPr>
            <w:r w:rsidRPr="000B7A9D">
              <w:rPr>
                <w:bCs/>
                <w:sz w:val="20"/>
                <w:szCs w:val="20"/>
              </w:rPr>
              <w:t>-53.7</w:t>
            </w:r>
          </w:p>
        </w:tc>
        <w:tc>
          <w:tcPr>
            <w:tcW w:w="405" w:type="pct"/>
            <w:vAlign w:val="bottom"/>
          </w:tcPr>
          <w:p w14:paraId="18A2BA78" w14:textId="77777777" w:rsidR="00E90533" w:rsidRPr="000B7A9D" w:rsidRDefault="00E90533" w:rsidP="00E90533">
            <w:pPr>
              <w:ind w:left="-136" w:right="-107"/>
              <w:jc w:val="center"/>
              <w:rPr>
                <w:bCs/>
                <w:sz w:val="20"/>
                <w:szCs w:val="20"/>
              </w:rPr>
            </w:pPr>
            <w:r w:rsidRPr="000B7A9D">
              <w:rPr>
                <w:bCs/>
                <w:sz w:val="20"/>
                <w:szCs w:val="20"/>
              </w:rPr>
              <w:t>-101.4</w:t>
            </w:r>
          </w:p>
        </w:tc>
      </w:tr>
      <w:tr w:rsidR="00E90533" w:rsidRPr="000B7A9D" w14:paraId="2CADA7EB" w14:textId="77777777" w:rsidTr="00CF634A">
        <w:trPr>
          <w:trHeight w:val="315"/>
        </w:trPr>
        <w:tc>
          <w:tcPr>
            <w:tcW w:w="1012" w:type="pct"/>
            <w:hideMark/>
          </w:tcPr>
          <w:p w14:paraId="4894EF8D" w14:textId="77777777" w:rsidR="00E90533" w:rsidRPr="000B7A9D" w:rsidRDefault="00E90533" w:rsidP="00874588">
            <w:pPr>
              <w:jc w:val="right"/>
              <w:rPr>
                <w:sz w:val="20"/>
                <w:szCs w:val="20"/>
                <w:lang w:val="en-US"/>
              </w:rPr>
            </w:pPr>
            <w:r w:rsidRPr="000B7A9D">
              <w:rPr>
                <w:sz w:val="20"/>
                <w:szCs w:val="20"/>
                <w:lang w:val="en-US"/>
              </w:rPr>
              <w:t>Reserve assets</w:t>
            </w:r>
          </w:p>
        </w:tc>
        <w:tc>
          <w:tcPr>
            <w:tcW w:w="397" w:type="pct"/>
            <w:noWrap/>
            <w:vAlign w:val="bottom"/>
            <w:hideMark/>
          </w:tcPr>
          <w:p w14:paraId="14B6C406" w14:textId="77777777" w:rsidR="00E90533" w:rsidRPr="000B7A9D" w:rsidRDefault="00E90533" w:rsidP="00E90533">
            <w:pPr>
              <w:ind w:left="-136" w:right="-107"/>
              <w:jc w:val="center"/>
              <w:rPr>
                <w:sz w:val="20"/>
                <w:szCs w:val="20"/>
              </w:rPr>
            </w:pPr>
            <w:r w:rsidRPr="000B7A9D">
              <w:rPr>
                <w:sz w:val="20"/>
                <w:szCs w:val="20"/>
              </w:rPr>
              <w:t>15.3</w:t>
            </w:r>
          </w:p>
        </w:tc>
        <w:tc>
          <w:tcPr>
            <w:tcW w:w="397" w:type="pct"/>
            <w:noWrap/>
            <w:vAlign w:val="bottom"/>
            <w:hideMark/>
          </w:tcPr>
          <w:p w14:paraId="428ADED0" w14:textId="77777777" w:rsidR="00E90533" w:rsidRPr="000B7A9D" w:rsidRDefault="00E90533" w:rsidP="00E90533">
            <w:pPr>
              <w:ind w:left="-136" w:right="-107"/>
              <w:jc w:val="center"/>
              <w:rPr>
                <w:sz w:val="20"/>
                <w:szCs w:val="20"/>
              </w:rPr>
            </w:pPr>
            <w:r w:rsidRPr="000B7A9D">
              <w:rPr>
                <w:sz w:val="20"/>
                <w:szCs w:val="20"/>
              </w:rPr>
              <w:t>18.6</w:t>
            </w:r>
          </w:p>
        </w:tc>
        <w:tc>
          <w:tcPr>
            <w:tcW w:w="397" w:type="pct"/>
            <w:noWrap/>
            <w:vAlign w:val="bottom"/>
            <w:hideMark/>
          </w:tcPr>
          <w:p w14:paraId="6492BA16" w14:textId="77777777" w:rsidR="00E90533" w:rsidRPr="000B7A9D" w:rsidRDefault="00E90533" w:rsidP="00E90533">
            <w:pPr>
              <w:ind w:left="-136" w:right="-107"/>
              <w:jc w:val="center"/>
              <w:rPr>
                <w:sz w:val="20"/>
                <w:szCs w:val="20"/>
              </w:rPr>
            </w:pPr>
            <w:r w:rsidRPr="000B7A9D">
              <w:rPr>
                <w:sz w:val="20"/>
                <w:szCs w:val="20"/>
              </w:rPr>
              <w:t>12.4</w:t>
            </w:r>
          </w:p>
        </w:tc>
        <w:tc>
          <w:tcPr>
            <w:tcW w:w="397" w:type="pct"/>
            <w:noWrap/>
            <w:vAlign w:val="bottom"/>
            <w:hideMark/>
          </w:tcPr>
          <w:p w14:paraId="6BF9C6BD" w14:textId="77777777" w:rsidR="00E90533" w:rsidRPr="000B7A9D" w:rsidRDefault="00E90533" w:rsidP="00E90533">
            <w:pPr>
              <w:ind w:left="-136" w:right="-107"/>
              <w:jc w:val="center"/>
              <w:rPr>
                <w:sz w:val="20"/>
                <w:szCs w:val="20"/>
              </w:rPr>
            </w:pPr>
            <w:r w:rsidRPr="000B7A9D">
              <w:rPr>
                <w:sz w:val="20"/>
                <w:szCs w:val="20"/>
              </w:rPr>
              <w:t>18.3</w:t>
            </w:r>
          </w:p>
        </w:tc>
        <w:tc>
          <w:tcPr>
            <w:tcW w:w="397" w:type="pct"/>
            <w:noWrap/>
            <w:vAlign w:val="bottom"/>
            <w:hideMark/>
          </w:tcPr>
          <w:p w14:paraId="684A3E50" w14:textId="77777777" w:rsidR="00E90533" w:rsidRPr="000B7A9D" w:rsidRDefault="00E90533" w:rsidP="00E90533">
            <w:pPr>
              <w:ind w:left="-136" w:right="-107"/>
              <w:jc w:val="center"/>
              <w:rPr>
                <w:sz w:val="20"/>
                <w:szCs w:val="20"/>
              </w:rPr>
            </w:pPr>
            <w:r w:rsidRPr="000B7A9D">
              <w:rPr>
                <w:sz w:val="20"/>
                <w:szCs w:val="20"/>
              </w:rPr>
              <w:t>21.0</w:t>
            </w:r>
          </w:p>
        </w:tc>
        <w:tc>
          <w:tcPr>
            <w:tcW w:w="397" w:type="pct"/>
            <w:noWrap/>
            <w:vAlign w:val="bottom"/>
            <w:hideMark/>
          </w:tcPr>
          <w:p w14:paraId="0345746F" w14:textId="77777777" w:rsidR="00E90533" w:rsidRPr="000B7A9D" w:rsidRDefault="00E90533" w:rsidP="00E90533">
            <w:pPr>
              <w:ind w:left="-136" w:right="-107"/>
              <w:jc w:val="center"/>
              <w:rPr>
                <w:sz w:val="20"/>
                <w:szCs w:val="20"/>
              </w:rPr>
            </w:pPr>
            <w:r w:rsidRPr="000B7A9D">
              <w:rPr>
                <w:sz w:val="20"/>
                <w:szCs w:val="20"/>
              </w:rPr>
              <w:t>37.6</w:t>
            </w:r>
          </w:p>
        </w:tc>
        <w:tc>
          <w:tcPr>
            <w:tcW w:w="397" w:type="pct"/>
            <w:noWrap/>
            <w:vAlign w:val="bottom"/>
            <w:hideMark/>
          </w:tcPr>
          <w:p w14:paraId="1A9072FC" w14:textId="77777777" w:rsidR="00E90533" w:rsidRPr="000B7A9D" w:rsidRDefault="00E90533" w:rsidP="00E90533">
            <w:pPr>
              <w:ind w:left="-136" w:right="-107"/>
              <w:jc w:val="center"/>
              <w:rPr>
                <w:sz w:val="20"/>
                <w:szCs w:val="20"/>
              </w:rPr>
            </w:pPr>
            <w:r w:rsidRPr="000B7A9D">
              <w:rPr>
                <w:sz w:val="20"/>
                <w:szCs w:val="20"/>
              </w:rPr>
              <w:t>18.6</w:t>
            </w:r>
          </w:p>
        </w:tc>
        <w:tc>
          <w:tcPr>
            <w:tcW w:w="397" w:type="pct"/>
            <w:noWrap/>
            <w:vAlign w:val="bottom"/>
            <w:hideMark/>
          </w:tcPr>
          <w:p w14:paraId="3297EAEB" w14:textId="77777777" w:rsidR="00E90533" w:rsidRPr="000B7A9D" w:rsidRDefault="00E90533" w:rsidP="00E90533">
            <w:pPr>
              <w:ind w:left="-136" w:right="-107"/>
              <w:jc w:val="center"/>
              <w:rPr>
                <w:sz w:val="20"/>
                <w:szCs w:val="20"/>
              </w:rPr>
            </w:pPr>
            <w:r w:rsidRPr="000B7A9D">
              <w:rPr>
                <w:sz w:val="20"/>
                <w:szCs w:val="20"/>
              </w:rPr>
              <w:t>42.2</w:t>
            </w:r>
          </w:p>
        </w:tc>
        <w:tc>
          <w:tcPr>
            <w:tcW w:w="410" w:type="pct"/>
            <w:noWrap/>
            <w:vAlign w:val="bottom"/>
            <w:hideMark/>
          </w:tcPr>
          <w:p w14:paraId="091BFACA" w14:textId="77777777" w:rsidR="00E90533" w:rsidRPr="000B7A9D" w:rsidRDefault="00E90533" w:rsidP="00E90533">
            <w:pPr>
              <w:ind w:left="-136" w:right="-107"/>
              <w:jc w:val="center"/>
              <w:rPr>
                <w:bCs/>
                <w:sz w:val="20"/>
                <w:szCs w:val="20"/>
              </w:rPr>
            </w:pPr>
            <w:r w:rsidRPr="000B7A9D">
              <w:rPr>
                <w:bCs/>
                <w:sz w:val="20"/>
                <w:szCs w:val="20"/>
              </w:rPr>
              <w:t>17.1</w:t>
            </w:r>
          </w:p>
        </w:tc>
        <w:tc>
          <w:tcPr>
            <w:tcW w:w="405" w:type="pct"/>
            <w:vAlign w:val="bottom"/>
          </w:tcPr>
          <w:p w14:paraId="1170BA74" w14:textId="77777777" w:rsidR="00E90533" w:rsidRPr="000B7A9D" w:rsidRDefault="00E90533" w:rsidP="00E90533">
            <w:pPr>
              <w:ind w:left="-136" w:right="-107"/>
              <w:jc w:val="center"/>
              <w:rPr>
                <w:bCs/>
                <w:sz w:val="20"/>
                <w:szCs w:val="20"/>
              </w:rPr>
            </w:pPr>
            <w:r w:rsidRPr="000B7A9D">
              <w:rPr>
                <w:bCs/>
                <w:sz w:val="20"/>
                <w:szCs w:val="20"/>
              </w:rPr>
              <w:t>32.8</w:t>
            </w:r>
          </w:p>
        </w:tc>
      </w:tr>
    </w:tbl>
    <w:p w14:paraId="1D0FA98E" w14:textId="77777777" w:rsidR="00CF634A" w:rsidRPr="000E1B7E" w:rsidRDefault="001D33B6" w:rsidP="000B7A9D">
      <w:pPr>
        <w:spacing w:after="240"/>
      </w:pPr>
      <w:r w:rsidRPr="000E1B7E">
        <w:t>Source: Bank of Uganda</w:t>
      </w:r>
    </w:p>
    <w:p w14:paraId="7CE8757D" w14:textId="77777777" w:rsidR="000B7A9D" w:rsidRDefault="000B7A9D">
      <w:pPr>
        <w:rPr>
          <w:rFonts w:eastAsia="Calibri"/>
          <w:b/>
          <w:color w:val="000000" w:themeColor="text1"/>
        </w:rPr>
      </w:pPr>
      <w:r>
        <w:rPr>
          <w:b/>
          <w:color w:val="000000" w:themeColor="text1"/>
        </w:rPr>
        <w:br w:type="page"/>
      </w:r>
    </w:p>
    <w:p w14:paraId="7CF0327E" w14:textId="77777777" w:rsidR="00050BD4" w:rsidRPr="000E1B7E" w:rsidRDefault="00050BD4" w:rsidP="00050BD4">
      <w:pPr>
        <w:pStyle w:val="ListParagraph"/>
        <w:numPr>
          <w:ilvl w:val="2"/>
          <w:numId w:val="22"/>
        </w:numPr>
        <w:ind w:left="851" w:hanging="851"/>
        <w:rPr>
          <w:rFonts w:ascii="Times New Roman" w:hAnsi="Times New Roman"/>
          <w:b/>
          <w:color w:val="000000" w:themeColor="text1"/>
          <w:sz w:val="24"/>
          <w:szCs w:val="24"/>
        </w:rPr>
      </w:pPr>
      <w:r w:rsidRPr="000E1B7E">
        <w:rPr>
          <w:rFonts w:ascii="Times New Roman" w:hAnsi="Times New Roman"/>
          <w:b/>
          <w:color w:val="000000" w:themeColor="text1"/>
          <w:sz w:val="24"/>
          <w:szCs w:val="24"/>
        </w:rPr>
        <w:lastRenderedPageBreak/>
        <w:t>Secondary Income Flows</w:t>
      </w:r>
    </w:p>
    <w:p w14:paraId="25CE162B" w14:textId="77777777" w:rsidR="00AD1841" w:rsidRPr="000E1B7E" w:rsidRDefault="00AD1841" w:rsidP="001D33B6">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 xml:space="preserve">Uganda has registered an increase in net </w:t>
      </w:r>
      <w:r w:rsidR="000B1FA2" w:rsidRPr="000E1B7E">
        <w:rPr>
          <w:rFonts w:ascii="Times New Roman" w:hAnsi="Times New Roman"/>
          <w:sz w:val="24"/>
          <w:szCs w:val="24"/>
        </w:rPr>
        <w:t>secondary</w:t>
      </w:r>
      <w:r w:rsidRPr="000E1B7E">
        <w:rPr>
          <w:rFonts w:ascii="Times New Roman" w:hAnsi="Times New Roman"/>
          <w:sz w:val="24"/>
          <w:szCs w:val="24"/>
        </w:rPr>
        <w:t xml:space="preserve"> income flow, increasing from annual average of $</w:t>
      </w:r>
      <w:r w:rsidR="000B1FA2" w:rsidRPr="000E1B7E">
        <w:rPr>
          <w:rFonts w:ascii="Times New Roman" w:hAnsi="Times New Roman"/>
          <w:sz w:val="24"/>
          <w:szCs w:val="24"/>
        </w:rPr>
        <w:t>1,405.</w:t>
      </w:r>
      <w:r w:rsidRPr="000E1B7E">
        <w:rPr>
          <w:rFonts w:ascii="Times New Roman" w:hAnsi="Times New Roman"/>
          <w:sz w:val="24"/>
          <w:szCs w:val="24"/>
        </w:rPr>
        <w:t>4m over the NDP I period to an annual average of $</w:t>
      </w:r>
      <w:r w:rsidR="000B1FA2" w:rsidRPr="000E1B7E">
        <w:rPr>
          <w:rFonts w:ascii="Times New Roman" w:hAnsi="Times New Roman"/>
          <w:sz w:val="24"/>
          <w:szCs w:val="24"/>
        </w:rPr>
        <w:t>1,481.7</w:t>
      </w:r>
      <w:r w:rsidRPr="000E1B7E">
        <w:rPr>
          <w:rFonts w:ascii="Times New Roman" w:hAnsi="Times New Roman"/>
          <w:sz w:val="24"/>
          <w:szCs w:val="24"/>
        </w:rPr>
        <w:t>m over the first three years of NDP II, summarised in table 2</w:t>
      </w:r>
      <w:r w:rsidR="000B1FA2" w:rsidRPr="000E1B7E">
        <w:rPr>
          <w:rFonts w:ascii="Times New Roman" w:hAnsi="Times New Roman"/>
          <w:sz w:val="24"/>
          <w:szCs w:val="24"/>
        </w:rPr>
        <w:t>2</w:t>
      </w:r>
      <w:r w:rsidRPr="000E1B7E">
        <w:rPr>
          <w:rFonts w:ascii="Times New Roman" w:hAnsi="Times New Roman"/>
          <w:sz w:val="24"/>
          <w:szCs w:val="24"/>
        </w:rPr>
        <w:t xml:space="preserve">. </w:t>
      </w:r>
      <w:r w:rsidR="000B1FA2" w:rsidRPr="000E1B7E">
        <w:rPr>
          <w:rFonts w:ascii="Times New Roman" w:hAnsi="Times New Roman"/>
          <w:sz w:val="24"/>
          <w:szCs w:val="24"/>
        </w:rPr>
        <w:t xml:space="preserve">A decrease is recorded with respect to general government income flows, while an increase is recorded with respect to </w:t>
      </w:r>
      <w:r w:rsidR="00F21073" w:rsidRPr="000E1B7E">
        <w:rPr>
          <w:rFonts w:ascii="Times New Roman" w:hAnsi="Times New Roman"/>
          <w:sz w:val="24"/>
          <w:szCs w:val="24"/>
        </w:rPr>
        <w:t>f</w:t>
      </w:r>
      <w:r w:rsidR="000B1FA2" w:rsidRPr="000E1B7E">
        <w:rPr>
          <w:rFonts w:ascii="Times New Roman" w:hAnsi="Times New Roman"/>
          <w:sz w:val="24"/>
          <w:szCs w:val="24"/>
        </w:rPr>
        <w:t>inancial corporations, nonfinancial corporations, households, and NPISHs</w:t>
      </w:r>
      <w:r w:rsidR="00F21073" w:rsidRPr="000E1B7E">
        <w:rPr>
          <w:rFonts w:ascii="Times New Roman" w:hAnsi="Times New Roman"/>
          <w:sz w:val="24"/>
          <w:szCs w:val="24"/>
        </w:rPr>
        <w:t xml:space="preserve"> as briefly discussed below</w:t>
      </w:r>
      <w:r w:rsidRPr="000E1B7E">
        <w:rPr>
          <w:rFonts w:ascii="Times New Roman" w:hAnsi="Times New Roman"/>
          <w:sz w:val="24"/>
          <w:szCs w:val="24"/>
        </w:rPr>
        <w:t>; a)</w:t>
      </w:r>
      <w:r w:rsidR="00F21073" w:rsidRPr="000E1B7E">
        <w:rPr>
          <w:rFonts w:ascii="Times New Roman" w:hAnsi="Times New Roman"/>
          <w:sz w:val="24"/>
          <w:szCs w:val="24"/>
        </w:rPr>
        <w:t xml:space="preserve">General government income declined from annual average of $438.9m </w:t>
      </w:r>
      <w:r w:rsidRPr="000E1B7E">
        <w:rPr>
          <w:rFonts w:ascii="Times New Roman" w:hAnsi="Times New Roman"/>
          <w:sz w:val="24"/>
          <w:szCs w:val="24"/>
        </w:rPr>
        <w:t>over the NDP I period to an annual average of $</w:t>
      </w:r>
      <w:r w:rsidR="00F21073" w:rsidRPr="000E1B7E">
        <w:rPr>
          <w:rFonts w:ascii="Times New Roman" w:hAnsi="Times New Roman"/>
          <w:sz w:val="24"/>
          <w:szCs w:val="24"/>
        </w:rPr>
        <w:t>184.5</w:t>
      </w:r>
      <w:r w:rsidRPr="000E1B7E">
        <w:rPr>
          <w:rFonts w:ascii="Times New Roman" w:hAnsi="Times New Roman"/>
          <w:sz w:val="24"/>
          <w:szCs w:val="24"/>
        </w:rPr>
        <w:t>m over the first three years of NDP II</w:t>
      </w:r>
      <w:r w:rsidR="00F21073" w:rsidRPr="000E1B7E">
        <w:rPr>
          <w:rFonts w:ascii="Times New Roman" w:hAnsi="Times New Roman"/>
          <w:sz w:val="24"/>
          <w:szCs w:val="24"/>
        </w:rPr>
        <w:t xml:space="preserve">. The declines have been driven by reduction of </w:t>
      </w:r>
      <w:r w:rsidR="001D33B6" w:rsidRPr="000E1B7E">
        <w:rPr>
          <w:rFonts w:ascii="Times New Roman" w:hAnsi="Times New Roman"/>
          <w:sz w:val="24"/>
          <w:szCs w:val="24"/>
        </w:rPr>
        <w:t xml:space="preserve">official development assistance through </w:t>
      </w:r>
      <w:r w:rsidR="00F21073" w:rsidRPr="000E1B7E">
        <w:rPr>
          <w:rFonts w:ascii="Times New Roman" w:hAnsi="Times New Roman"/>
          <w:sz w:val="24"/>
          <w:szCs w:val="24"/>
        </w:rPr>
        <w:t>budget support and and project aid flows. Development partners have moved away from budget support and project aid support has also shrinked</w:t>
      </w:r>
      <w:r w:rsidRPr="000E1B7E">
        <w:rPr>
          <w:rFonts w:ascii="Times New Roman" w:hAnsi="Times New Roman"/>
          <w:sz w:val="24"/>
          <w:szCs w:val="24"/>
        </w:rPr>
        <w:t xml:space="preserve"> b)</w:t>
      </w:r>
      <w:r w:rsidR="00F21073" w:rsidRPr="000E1B7E">
        <w:rPr>
          <w:rFonts w:ascii="Times New Roman" w:hAnsi="Times New Roman"/>
          <w:sz w:val="24"/>
          <w:szCs w:val="24"/>
        </w:rPr>
        <w:t xml:space="preserve"> secondary income from financial corporations, nonfinancial corporations, households, and NPISHs</w:t>
      </w:r>
      <w:r w:rsidRPr="000E1B7E">
        <w:rPr>
          <w:rFonts w:ascii="Times New Roman" w:hAnsi="Times New Roman"/>
          <w:sz w:val="24"/>
          <w:szCs w:val="24"/>
        </w:rPr>
        <w:t xml:space="preserve"> income increased from annual average of $</w:t>
      </w:r>
      <w:r w:rsidR="001D33B6" w:rsidRPr="000E1B7E">
        <w:rPr>
          <w:rFonts w:ascii="Times New Roman" w:hAnsi="Times New Roman"/>
          <w:sz w:val="24"/>
          <w:szCs w:val="24"/>
        </w:rPr>
        <w:t>996.7</w:t>
      </w:r>
      <w:r w:rsidRPr="000E1B7E">
        <w:rPr>
          <w:rFonts w:ascii="Times New Roman" w:hAnsi="Times New Roman"/>
          <w:sz w:val="24"/>
          <w:szCs w:val="24"/>
        </w:rPr>
        <w:t>.6m over the NDP I period to an annual average of $</w:t>
      </w:r>
      <w:r w:rsidR="001D33B6" w:rsidRPr="000E1B7E">
        <w:rPr>
          <w:rFonts w:ascii="Times New Roman" w:hAnsi="Times New Roman"/>
          <w:sz w:val="24"/>
          <w:szCs w:val="24"/>
        </w:rPr>
        <w:t>1,297.1</w:t>
      </w:r>
      <w:r w:rsidRPr="000E1B7E">
        <w:rPr>
          <w:rFonts w:ascii="Times New Roman" w:hAnsi="Times New Roman"/>
          <w:sz w:val="24"/>
          <w:szCs w:val="24"/>
        </w:rPr>
        <w:t xml:space="preserve">m over the first three years of NDP II. The increase is mainly attributed to a surge in </w:t>
      </w:r>
      <w:r w:rsidR="001D33B6" w:rsidRPr="000E1B7E">
        <w:rPr>
          <w:rFonts w:ascii="Times New Roman" w:hAnsi="Times New Roman"/>
          <w:sz w:val="24"/>
          <w:szCs w:val="24"/>
        </w:rPr>
        <w:t xml:space="preserve">personnal transifers and increased flows to Non-Governmental organisations as shown in table 22. </w:t>
      </w:r>
    </w:p>
    <w:p w14:paraId="6E3535FA" w14:textId="77777777" w:rsidR="00723D9D" w:rsidRPr="000E1B7E" w:rsidRDefault="001D33B6" w:rsidP="005959B5">
      <w:pPr>
        <w:jc w:val="both"/>
        <w:rPr>
          <w:b/>
          <w:bCs/>
        </w:rPr>
      </w:pPr>
      <w:r w:rsidRPr="000E1B7E">
        <w:rPr>
          <w:b/>
          <w:bCs/>
        </w:rPr>
        <w:t xml:space="preserve">Table 22: </w:t>
      </w:r>
      <w:r w:rsidR="00050BD4" w:rsidRPr="000E1B7E">
        <w:rPr>
          <w:b/>
          <w:bCs/>
        </w:rPr>
        <w:t>Secondary income</w:t>
      </w:r>
      <w:r w:rsidRPr="000E1B7E">
        <w:rPr>
          <w:b/>
          <w:bCs/>
        </w:rPr>
        <w:t xml:space="preserve"> flows</w:t>
      </w:r>
    </w:p>
    <w:p w14:paraId="0A64A72B" w14:textId="77777777" w:rsidR="00050BD4" w:rsidRPr="000E1B7E" w:rsidRDefault="00050BD4" w:rsidP="005959B5">
      <w:pPr>
        <w:jc w:val="both"/>
      </w:pPr>
    </w:p>
    <w:tbl>
      <w:tblPr>
        <w:tblStyle w:val="TableGrid1"/>
        <w:tblW w:w="5578" w:type="pct"/>
        <w:tblLook w:val="04A0" w:firstRow="1" w:lastRow="0" w:firstColumn="1" w:lastColumn="0" w:noHBand="0" w:noVBand="1"/>
      </w:tblPr>
      <w:tblGrid>
        <w:gridCol w:w="1414"/>
        <w:gridCol w:w="864"/>
        <w:gridCol w:w="862"/>
        <w:gridCol w:w="864"/>
        <w:gridCol w:w="864"/>
        <w:gridCol w:w="864"/>
        <w:gridCol w:w="864"/>
        <w:gridCol w:w="864"/>
        <w:gridCol w:w="864"/>
        <w:gridCol w:w="876"/>
        <w:gridCol w:w="858"/>
      </w:tblGrid>
      <w:tr w:rsidR="00824371" w:rsidRPr="00E83432" w14:paraId="5E8C08FA" w14:textId="77777777" w:rsidTr="00F21073">
        <w:trPr>
          <w:trHeight w:val="810"/>
        </w:trPr>
        <w:tc>
          <w:tcPr>
            <w:tcW w:w="704" w:type="pct"/>
            <w:noWrap/>
            <w:hideMark/>
          </w:tcPr>
          <w:p w14:paraId="526DCD19" w14:textId="77777777" w:rsidR="00824371" w:rsidRPr="00E83432" w:rsidRDefault="00824371" w:rsidP="000B1FA2">
            <w:pPr>
              <w:rPr>
                <w:b/>
                <w:bCs/>
                <w:sz w:val="20"/>
                <w:szCs w:val="20"/>
                <w:lang w:val="en-US"/>
              </w:rPr>
            </w:pPr>
            <w:r w:rsidRPr="00E83432">
              <w:rPr>
                <w:b/>
                <w:bCs/>
                <w:sz w:val="20"/>
                <w:szCs w:val="20"/>
                <w:lang w:val="en-US"/>
              </w:rPr>
              <w:t> </w:t>
            </w:r>
          </w:p>
          <w:p w14:paraId="596225ED" w14:textId="77777777" w:rsidR="00824371" w:rsidRPr="00E83432" w:rsidRDefault="00824371" w:rsidP="000B1FA2">
            <w:pPr>
              <w:rPr>
                <w:b/>
                <w:bCs/>
                <w:sz w:val="20"/>
                <w:szCs w:val="20"/>
                <w:lang w:val="en-US"/>
              </w:rPr>
            </w:pPr>
            <w:r w:rsidRPr="00E83432">
              <w:rPr>
                <w:b/>
                <w:bCs/>
                <w:sz w:val="20"/>
                <w:szCs w:val="20"/>
                <w:lang w:val="en-US"/>
              </w:rPr>
              <w:t> </w:t>
            </w:r>
          </w:p>
        </w:tc>
        <w:tc>
          <w:tcPr>
            <w:tcW w:w="430" w:type="pct"/>
            <w:noWrap/>
            <w:hideMark/>
          </w:tcPr>
          <w:p w14:paraId="2555D9E1"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69944BFA" w14:textId="77777777" w:rsidR="00824371" w:rsidRPr="00E83432" w:rsidRDefault="00824371" w:rsidP="000B1FA2">
            <w:pPr>
              <w:ind w:left="-108" w:right="-128"/>
              <w:jc w:val="center"/>
              <w:rPr>
                <w:bCs/>
                <w:sz w:val="20"/>
                <w:szCs w:val="20"/>
                <w:lang w:val="en-US"/>
              </w:rPr>
            </w:pPr>
            <w:r w:rsidRPr="00E83432">
              <w:rPr>
                <w:bCs/>
                <w:sz w:val="20"/>
                <w:szCs w:val="20"/>
                <w:lang w:val="en-US"/>
              </w:rPr>
              <w:t>10/11</w:t>
            </w:r>
          </w:p>
        </w:tc>
        <w:tc>
          <w:tcPr>
            <w:tcW w:w="429" w:type="pct"/>
            <w:noWrap/>
            <w:hideMark/>
          </w:tcPr>
          <w:p w14:paraId="79339B58"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4BDB83E4" w14:textId="77777777" w:rsidR="00824371" w:rsidRPr="00E83432" w:rsidRDefault="00824371" w:rsidP="000B1FA2">
            <w:pPr>
              <w:ind w:left="-108" w:right="-128"/>
              <w:jc w:val="center"/>
              <w:rPr>
                <w:bCs/>
                <w:sz w:val="20"/>
                <w:szCs w:val="20"/>
                <w:lang w:val="en-US"/>
              </w:rPr>
            </w:pPr>
            <w:r w:rsidRPr="00E83432">
              <w:rPr>
                <w:bCs/>
                <w:sz w:val="20"/>
                <w:szCs w:val="20"/>
                <w:lang w:val="en-US"/>
              </w:rPr>
              <w:t>11/12</w:t>
            </w:r>
          </w:p>
        </w:tc>
        <w:tc>
          <w:tcPr>
            <w:tcW w:w="430" w:type="pct"/>
            <w:noWrap/>
            <w:hideMark/>
          </w:tcPr>
          <w:p w14:paraId="3F5FA4A9"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533CB146" w14:textId="77777777" w:rsidR="00824371" w:rsidRPr="00E83432" w:rsidRDefault="00824371" w:rsidP="000B1FA2">
            <w:pPr>
              <w:ind w:left="-108" w:right="-128"/>
              <w:jc w:val="center"/>
              <w:rPr>
                <w:bCs/>
                <w:sz w:val="20"/>
                <w:szCs w:val="20"/>
                <w:lang w:val="en-US"/>
              </w:rPr>
            </w:pPr>
            <w:r w:rsidRPr="00E83432">
              <w:rPr>
                <w:bCs/>
                <w:sz w:val="20"/>
                <w:szCs w:val="20"/>
                <w:lang w:val="en-US"/>
              </w:rPr>
              <w:t>12/13</w:t>
            </w:r>
          </w:p>
        </w:tc>
        <w:tc>
          <w:tcPr>
            <w:tcW w:w="430" w:type="pct"/>
            <w:noWrap/>
            <w:hideMark/>
          </w:tcPr>
          <w:p w14:paraId="5A69A804"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225F7646" w14:textId="77777777" w:rsidR="00824371" w:rsidRPr="00E83432" w:rsidRDefault="00824371" w:rsidP="000B1FA2">
            <w:pPr>
              <w:ind w:left="-108" w:right="-128"/>
              <w:jc w:val="center"/>
              <w:rPr>
                <w:bCs/>
                <w:sz w:val="20"/>
                <w:szCs w:val="20"/>
                <w:lang w:val="en-US"/>
              </w:rPr>
            </w:pPr>
            <w:r w:rsidRPr="00E83432">
              <w:rPr>
                <w:bCs/>
                <w:sz w:val="20"/>
                <w:szCs w:val="20"/>
                <w:lang w:val="en-US"/>
              </w:rPr>
              <w:t>13/14</w:t>
            </w:r>
          </w:p>
        </w:tc>
        <w:tc>
          <w:tcPr>
            <w:tcW w:w="430" w:type="pct"/>
            <w:noWrap/>
            <w:hideMark/>
          </w:tcPr>
          <w:p w14:paraId="43492695"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685A0315" w14:textId="77777777" w:rsidR="00824371" w:rsidRPr="00E83432" w:rsidRDefault="00824371" w:rsidP="000B1FA2">
            <w:pPr>
              <w:ind w:left="-108" w:right="-128"/>
              <w:jc w:val="center"/>
              <w:rPr>
                <w:bCs/>
                <w:sz w:val="20"/>
                <w:szCs w:val="20"/>
                <w:lang w:val="en-US"/>
              </w:rPr>
            </w:pPr>
            <w:r w:rsidRPr="00E83432">
              <w:rPr>
                <w:bCs/>
                <w:sz w:val="20"/>
                <w:szCs w:val="20"/>
                <w:lang w:val="en-US"/>
              </w:rPr>
              <w:t>14/15</w:t>
            </w:r>
          </w:p>
        </w:tc>
        <w:tc>
          <w:tcPr>
            <w:tcW w:w="430" w:type="pct"/>
            <w:noWrap/>
            <w:hideMark/>
          </w:tcPr>
          <w:p w14:paraId="60353E7A"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75AAC634" w14:textId="77777777" w:rsidR="00824371" w:rsidRPr="00E83432" w:rsidRDefault="00824371" w:rsidP="000B1FA2">
            <w:pPr>
              <w:ind w:left="-108" w:right="-128"/>
              <w:jc w:val="center"/>
              <w:rPr>
                <w:bCs/>
                <w:sz w:val="20"/>
                <w:szCs w:val="20"/>
                <w:lang w:val="en-US"/>
              </w:rPr>
            </w:pPr>
            <w:r w:rsidRPr="00E83432">
              <w:rPr>
                <w:bCs/>
                <w:sz w:val="20"/>
                <w:szCs w:val="20"/>
                <w:lang w:val="en-US"/>
              </w:rPr>
              <w:t>15/16</w:t>
            </w:r>
          </w:p>
        </w:tc>
        <w:tc>
          <w:tcPr>
            <w:tcW w:w="430" w:type="pct"/>
            <w:noWrap/>
            <w:hideMark/>
          </w:tcPr>
          <w:p w14:paraId="3382AAB5"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36DBB84C" w14:textId="77777777" w:rsidR="00824371" w:rsidRPr="00E83432" w:rsidRDefault="00824371" w:rsidP="000B1FA2">
            <w:pPr>
              <w:ind w:left="-108" w:right="-128"/>
              <w:jc w:val="center"/>
              <w:rPr>
                <w:bCs/>
                <w:sz w:val="20"/>
                <w:szCs w:val="20"/>
                <w:lang w:val="en-US"/>
              </w:rPr>
            </w:pPr>
            <w:r w:rsidRPr="00E83432">
              <w:rPr>
                <w:bCs/>
                <w:sz w:val="20"/>
                <w:szCs w:val="20"/>
                <w:lang w:val="en-US"/>
              </w:rPr>
              <w:t>16/17</w:t>
            </w:r>
          </w:p>
        </w:tc>
        <w:tc>
          <w:tcPr>
            <w:tcW w:w="430" w:type="pct"/>
            <w:noWrap/>
            <w:hideMark/>
          </w:tcPr>
          <w:p w14:paraId="263A0D95" w14:textId="77777777" w:rsidR="00824371" w:rsidRPr="00E83432" w:rsidRDefault="00824371" w:rsidP="000B1FA2">
            <w:pPr>
              <w:ind w:left="-108" w:right="-128"/>
              <w:jc w:val="center"/>
              <w:rPr>
                <w:bCs/>
                <w:sz w:val="20"/>
                <w:szCs w:val="20"/>
                <w:lang w:val="en-US"/>
              </w:rPr>
            </w:pPr>
            <w:r w:rsidRPr="00E83432">
              <w:rPr>
                <w:bCs/>
                <w:sz w:val="20"/>
                <w:szCs w:val="20"/>
                <w:lang w:val="en-US"/>
              </w:rPr>
              <w:t>FY</w:t>
            </w:r>
          </w:p>
          <w:p w14:paraId="1C27DC08" w14:textId="77777777" w:rsidR="00824371" w:rsidRPr="00E83432" w:rsidRDefault="00824371" w:rsidP="000B1FA2">
            <w:pPr>
              <w:ind w:left="-108" w:right="-128"/>
              <w:jc w:val="center"/>
              <w:rPr>
                <w:bCs/>
                <w:sz w:val="20"/>
                <w:szCs w:val="20"/>
                <w:lang w:val="en-US"/>
              </w:rPr>
            </w:pPr>
            <w:r w:rsidRPr="00E83432">
              <w:rPr>
                <w:bCs/>
                <w:sz w:val="20"/>
                <w:szCs w:val="20"/>
                <w:lang w:val="en-US"/>
              </w:rPr>
              <w:t>17/18</w:t>
            </w:r>
          </w:p>
        </w:tc>
        <w:tc>
          <w:tcPr>
            <w:tcW w:w="430" w:type="pct"/>
            <w:noWrap/>
            <w:hideMark/>
          </w:tcPr>
          <w:p w14:paraId="4030DCA6" w14:textId="77777777" w:rsidR="00824371" w:rsidRPr="00E83432" w:rsidRDefault="00824371" w:rsidP="000B1FA2">
            <w:pPr>
              <w:ind w:left="-108" w:right="-128"/>
              <w:jc w:val="center"/>
              <w:rPr>
                <w:bCs/>
                <w:sz w:val="20"/>
                <w:szCs w:val="20"/>
                <w:lang w:val="en-US"/>
              </w:rPr>
            </w:pPr>
            <w:r w:rsidRPr="00E83432">
              <w:rPr>
                <w:bCs/>
                <w:sz w:val="20"/>
                <w:szCs w:val="20"/>
                <w:lang w:val="en-US"/>
              </w:rPr>
              <w:t>Annual</w:t>
            </w:r>
          </w:p>
          <w:p w14:paraId="2D8D998F" w14:textId="77777777" w:rsidR="00824371" w:rsidRPr="00E83432" w:rsidRDefault="00824371" w:rsidP="000B1FA2">
            <w:pPr>
              <w:ind w:left="-108" w:right="-128"/>
              <w:jc w:val="center"/>
              <w:rPr>
                <w:bCs/>
                <w:sz w:val="20"/>
                <w:szCs w:val="20"/>
                <w:lang w:val="en-US"/>
              </w:rPr>
            </w:pPr>
            <w:r w:rsidRPr="00E83432">
              <w:rPr>
                <w:bCs/>
                <w:sz w:val="20"/>
                <w:szCs w:val="20"/>
                <w:lang w:val="en-US"/>
              </w:rPr>
              <w:t>Average</w:t>
            </w:r>
          </w:p>
          <w:p w14:paraId="2C48C0D7" w14:textId="77777777" w:rsidR="00824371" w:rsidRPr="00E83432" w:rsidRDefault="00824371" w:rsidP="000B1FA2">
            <w:pPr>
              <w:ind w:left="-108" w:right="-128"/>
              <w:jc w:val="center"/>
              <w:rPr>
                <w:bCs/>
                <w:sz w:val="20"/>
                <w:szCs w:val="20"/>
                <w:lang w:val="en-US"/>
              </w:rPr>
            </w:pPr>
            <w:r w:rsidRPr="00E83432">
              <w:rPr>
                <w:bCs/>
                <w:sz w:val="20"/>
                <w:szCs w:val="20"/>
                <w:lang w:val="en-US"/>
              </w:rPr>
              <w:t>NDP I</w:t>
            </w:r>
          </w:p>
        </w:tc>
        <w:tc>
          <w:tcPr>
            <w:tcW w:w="427" w:type="pct"/>
          </w:tcPr>
          <w:p w14:paraId="7E1AD34A" w14:textId="77777777" w:rsidR="00824371" w:rsidRPr="00E83432" w:rsidRDefault="00824371" w:rsidP="000B1FA2">
            <w:pPr>
              <w:ind w:left="-108" w:right="-128"/>
              <w:jc w:val="center"/>
              <w:rPr>
                <w:bCs/>
                <w:sz w:val="20"/>
                <w:szCs w:val="20"/>
                <w:lang w:val="en-US"/>
              </w:rPr>
            </w:pPr>
            <w:r w:rsidRPr="00E83432">
              <w:rPr>
                <w:bCs/>
                <w:sz w:val="20"/>
                <w:szCs w:val="20"/>
                <w:lang w:val="en-US"/>
              </w:rPr>
              <w:t>Annual</w:t>
            </w:r>
          </w:p>
          <w:p w14:paraId="6628C042" w14:textId="77777777" w:rsidR="00824371" w:rsidRPr="00E83432" w:rsidRDefault="00824371" w:rsidP="000B1FA2">
            <w:pPr>
              <w:ind w:left="-108" w:right="-128"/>
              <w:jc w:val="center"/>
              <w:rPr>
                <w:bCs/>
                <w:sz w:val="20"/>
                <w:szCs w:val="20"/>
                <w:lang w:val="en-US"/>
              </w:rPr>
            </w:pPr>
            <w:r w:rsidRPr="00E83432">
              <w:rPr>
                <w:bCs/>
                <w:sz w:val="20"/>
                <w:szCs w:val="20"/>
                <w:lang w:val="en-US"/>
              </w:rPr>
              <w:t>average</w:t>
            </w:r>
          </w:p>
          <w:p w14:paraId="44647FEA" w14:textId="77777777" w:rsidR="00824371" w:rsidRPr="00E83432" w:rsidRDefault="00824371" w:rsidP="000B1FA2">
            <w:pPr>
              <w:ind w:left="-108" w:right="-128"/>
              <w:jc w:val="center"/>
              <w:rPr>
                <w:bCs/>
                <w:sz w:val="20"/>
                <w:szCs w:val="20"/>
                <w:lang w:val="en-US"/>
              </w:rPr>
            </w:pPr>
            <w:r w:rsidRPr="00E83432">
              <w:rPr>
                <w:bCs/>
                <w:sz w:val="20"/>
                <w:szCs w:val="20"/>
                <w:lang w:val="en-US"/>
              </w:rPr>
              <w:t>NDP II</w:t>
            </w:r>
          </w:p>
        </w:tc>
      </w:tr>
      <w:tr w:rsidR="00824371" w:rsidRPr="00E83432" w14:paraId="36CD6209" w14:textId="77777777" w:rsidTr="00F21073">
        <w:trPr>
          <w:trHeight w:val="315"/>
        </w:trPr>
        <w:tc>
          <w:tcPr>
            <w:tcW w:w="704" w:type="pct"/>
            <w:hideMark/>
          </w:tcPr>
          <w:p w14:paraId="3D4137E9" w14:textId="77777777" w:rsidR="00824371" w:rsidRPr="00E83432" w:rsidRDefault="00824371" w:rsidP="00824371">
            <w:pPr>
              <w:rPr>
                <w:b/>
                <w:bCs/>
                <w:sz w:val="20"/>
                <w:szCs w:val="20"/>
              </w:rPr>
            </w:pPr>
            <w:r w:rsidRPr="00E83432">
              <w:rPr>
                <w:b/>
                <w:bCs/>
                <w:sz w:val="20"/>
                <w:szCs w:val="20"/>
              </w:rPr>
              <w:t>Secondary income</w:t>
            </w:r>
          </w:p>
        </w:tc>
        <w:tc>
          <w:tcPr>
            <w:tcW w:w="430" w:type="pct"/>
            <w:noWrap/>
            <w:vAlign w:val="bottom"/>
            <w:hideMark/>
          </w:tcPr>
          <w:p w14:paraId="0A0ABE5D" w14:textId="77777777" w:rsidR="00824371" w:rsidRPr="00E83432" w:rsidRDefault="00824371" w:rsidP="00824371">
            <w:pPr>
              <w:jc w:val="center"/>
              <w:rPr>
                <w:b/>
                <w:bCs/>
                <w:sz w:val="20"/>
                <w:szCs w:val="20"/>
              </w:rPr>
            </w:pPr>
            <w:r w:rsidRPr="00E83432">
              <w:rPr>
                <w:b/>
                <w:bCs/>
                <w:sz w:val="20"/>
                <w:szCs w:val="20"/>
              </w:rPr>
              <w:t>1,590.3</w:t>
            </w:r>
          </w:p>
        </w:tc>
        <w:tc>
          <w:tcPr>
            <w:tcW w:w="429" w:type="pct"/>
            <w:noWrap/>
            <w:vAlign w:val="bottom"/>
            <w:hideMark/>
          </w:tcPr>
          <w:p w14:paraId="5935ABA8" w14:textId="77777777" w:rsidR="00824371" w:rsidRPr="00E83432" w:rsidRDefault="00824371" w:rsidP="00824371">
            <w:pPr>
              <w:jc w:val="center"/>
              <w:rPr>
                <w:b/>
                <w:bCs/>
                <w:sz w:val="20"/>
                <w:szCs w:val="20"/>
              </w:rPr>
            </w:pPr>
            <w:r w:rsidRPr="00E83432">
              <w:rPr>
                <w:b/>
                <w:bCs/>
                <w:sz w:val="20"/>
                <w:szCs w:val="20"/>
              </w:rPr>
              <w:t>1,414.5</w:t>
            </w:r>
          </w:p>
        </w:tc>
        <w:tc>
          <w:tcPr>
            <w:tcW w:w="430" w:type="pct"/>
            <w:noWrap/>
            <w:vAlign w:val="bottom"/>
            <w:hideMark/>
          </w:tcPr>
          <w:p w14:paraId="7B073CDF" w14:textId="77777777" w:rsidR="00824371" w:rsidRPr="00E83432" w:rsidRDefault="00824371" w:rsidP="00824371">
            <w:pPr>
              <w:jc w:val="center"/>
              <w:rPr>
                <w:b/>
                <w:bCs/>
                <w:sz w:val="20"/>
                <w:szCs w:val="20"/>
              </w:rPr>
            </w:pPr>
            <w:r w:rsidRPr="00E83432">
              <w:rPr>
                <w:b/>
                <w:bCs/>
                <w:sz w:val="20"/>
                <w:szCs w:val="20"/>
              </w:rPr>
              <w:t>1,472.9</w:t>
            </w:r>
          </w:p>
        </w:tc>
        <w:tc>
          <w:tcPr>
            <w:tcW w:w="430" w:type="pct"/>
            <w:noWrap/>
            <w:vAlign w:val="bottom"/>
            <w:hideMark/>
          </w:tcPr>
          <w:p w14:paraId="5FB725FB" w14:textId="77777777" w:rsidR="00824371" w:rsidRPr="00E83432" w:rsidRDefault="00824371" w:rsidP="00824371">
            <w:pPr>
              <w:jc w:val="center"/>
              <w:rPr>
                <w:b/>
                <w:bCs/>
                <w:sz w:val="20"/>
                <w:szCs w:val="20"/>
              </w:rPr>
            </w:pPr>
            <w:r w:rsidRPr="00E83432">
              <w:rPr>
                <w:b/>
                <w:bCs/>
                <w:sz w:val="20"/>
                <w:szCs w:val="20"/>
              </w:rPr>
              <w:t>1,204.4</w:t>
            </w:r>
          </w:p>
        </w:tc>
        <w:tc>
          <w:tcPr>
            <w:tcW w:w="430" w:type="pct"/>
            <w:noWrap/>
            <w:vAlign w:val="bottom"/>
            <w:hideMark/>
          </w:tcPr>
          <w:p w14:paraId="1038E87A" w14:textId="77777777" w:rsidR="00824371" w:rsidRPr="00E83432" w:rsidRDefault="00824371" w:rsidP="00824371">
            <w:pPr>
              <w:jc w:val="center"/>
              <w:rPr>
                <w:b/>
                <w:bCs/>
                <w:sz w:val="20"/>
                <w:szCs w:val="20"/>
              </w:rPr>
            </w:pPr>
            <w:r w:rsidRPr="00E83432">
              <w:rPr>
                <w:b/>
                <w:bCs/>
                <w:sz w:val="20"/>
                <w:szCs w:val="20"/>
              </w:rPr>
              <w:t>1,344.9</w:t>
            </w:r>
          </w:p>
        </w:tc>
        <w:tc>
          <w:tcPr>
            <w:tcW w:w="430" w:type="pct"/>
            <w:noWrap/>
            <w:vAlign w:val="bottom"/>
            <w:hideMark/>
          </w:tcPr>
          <w:p w14:paraId="723B3F13" w14:textId="77777777" w:rsidR="00824371" w:rsidRPr="00E83432" w:rsidRDefault="00824371" w:rsidP="00824371">
            <w:pPr>
              <w:jc w:val="center"/>
              <w:rPr>
                <w:b/>
                <w:bCs/>
                <w:sz w:val="20"/>
                <w:szCs w:val="20"/>
              </w:rPr>
            </w:pPr>
            <w:r w:rsidRPr="00E83432">
              <w:rPr>
                <w:b/>
                <w:bCs/>
                <w:sz w:val="20"/>
                <w:szCs w:val="20"/>
              </w:rPr>
              <w:t>1,414.4</w:t>
            </w:r>
          </w:p>
        </w:tc>
        <w:tc>
          <w:tcPr>
            <w:tcW w:w="430" w:type="pct"/>
            <w:noWrap/>
            <w:vAlign w:val="bottom"/>
            <w:hideMark/>
          </w:tcPr>
          <w:p w14:paraId="65EFA2ED" w14:textId="77777777" w:rsidR="00824371" w:rsidRPr="00E83432" w:rsidRDefault="00824371" w:rsidP="00824371">
            <w:pPr>
              <w:jc w:val="center"/>
              <w:rPr>
                <w:b/>
                <w:bCs/>
                <w:sz w:val="20"/>
                <w:szCs w:val="20"/>
              </w:rPr>
            </w:pPr>
            <w:r w:rsidRPr="00E83432">
              <w:rPr>
                <w:b/>
                <w:bCs/>
                <w:sz w:val="20"/>
                <w:szCs w:val="20"/>
              </w:rPr>
              <w:t>1,460.5</w:t>
            </w:r>
          </w:p>
        </w:tc>
        <w:tc>
          <w:tcPr>
            <w:tcW w:w="430" w:type="pct"/>
            <w:noWrap/>
            <w:vAlign w:val="bottom"/>
            <w:hideMark/>
          </w:tcPr>
          <w:p w14:paraId="354A5503" w14:textId="77777777" w:rsidR="00824371" w:rsidRPr="00E83432" w:rsidRDefault="00824371" w:rsidP="00824371">
            <w:pPr>
              <w:jc w:val="center"/>
              <w:rPr>
                <w:b/>
                <w:bCs/>
                <w:sz w:val="20"/>
                <w:szCs w:val="20"/>
              </w:rPr>
            </w:pPr>
            <w:r w:rsidRPr="00E83432">
              <w:rPr>
                <w:b/>
                <w:bCs/>
                <w:sz w:val="20"/>
                <w:szCs w:val="20"/>
              </w:rPr>
              <w:t>1,570.0</w:t>
            </w:r>
          </w:p>
        </w:tc>
        <w:tc>
          <w:tcPr>
            <w:tcW w:w="430" w:type="pct"/>
            <w:noWrap/>
            <w:vAlign w:val="bottom"/>
            <w:hideMark/>
          </w:tcPr>
          <w:p w14:paraId="7FAC11AD" w14:textId="77777777" w:rsidR="00824371" w:rsidRPr="00E83432" w:rsidRDefault="00824371" w:rsidP="00824371">
            <w:pPr>
              <w:jc w:val="center"/>
              <w:rPr>
                <w:b/>
                <w:bCs/>
                <w:sz w:val="20"/>
                <w:szCs w:val="20"/>
              </w:rPr>
            </w:pPr>
            <w:r w:rsidRPr="00E83432">
              <w:rPr>
                <w:b/>
                <w:bCs/>
                <w:sz w:val="20"/>
                <w:szCs w:val="20"/>
              </w:rPr>
              <w:t>1,405.4</w:t>
            </w:r>
          </w:p>
        </w:tc>
        <w:tc>
          <w:tcPr>
            <w:tcW w:w="427" w:type="pct"/>
            <w:vAlign w:val="bottom"/>
          </w:tcPr>
          <w:p w14:paraId="072F25E4" w14:textId="77777777" w:rsidR="00824371" w:rsidRPr="00E83432" w:rsidRDefault="00824371" w:rsidP="00824371">
            <w:pPr>
              <w:jc w:val="center"/>
              <w:rPr>
                <w:b/>
                <w:bCs/>
                <w:sz w:val="20"/>
                <w:szCs w:val="20"/>
              </w:rPr>
            </w:pPr>
            <w:r w:rsidRPr="00E83432">
              <w:rPr>
                <w:b/>
                <w:bCs/>
                <w:sz w:val="20"/>
                <w:szCs w:val="20"/>
              </w:rPr>
              <w:t>1,481.7</w:t>
            </w:r>
          </w:p>
        </w:tc>
      </w:tr>
      <w:tr w:rsidR="00824371" w:rsidRPr="00E83432" w14:paraId="5A5C7AA0" w14:textId="77777777" w:rsidTr="00F21073">
        <w:trPr>
          <w:trHeight w:val="315"/>
        </w:trPr>
        <w:tc>
          <w:tcPr>
            <w:tcW w:w="704" w:type="pct"/>
            <w:hideMark/>
          </w:tcPr>
          <w:p w14:paraId="0036D4AE" w14:textId="77777777" w:rsidR="00824371" w:rsidRPr="00E83432" w:rsidRDefault="00824371" w:rsidP="00824371">
            <w:pPr>
              <w:rPr>
                <w:sz w:val="20"/>
                <w:szCs w:val="20"/>
              </w:rPr>
            </w:pPr>
            <w:r w:rsidRPr="00E83432">
              <w:rPr>
                <w:sz w:val="20"/>
                <w:szCs w:val="20"/>
              </w:rPr>
              <w:t>General government</w:t>
            </w:r>
          </w:p>
        </w:tc>
        <w:tc>
          <w:tcPr>
            <w:tcW w:w="430" w:type="pct"/>
            <w:noWrap/>
            <w:vAlign w:val="bottom"/>
            <w:hideMark/>
          </w:tcPr>
          <w:p w14:paraId="5289CFC8" w14:textId="77777777" w:rsidR="00824371" w:rsidRPr="00E83432" w:rsidRDefault="00824371" w:rsidP="00824371">
            <w:pPr>
              <w:jc w:val="center"/>
              <w:rPr>
                <w:sz w:val="20"/>
                <w:szCs w:val="20"/>
              </w:rPr>
            </w:pPr>
            <w:r w:rsidRPr="00E83432">
              <w:rPr>
                <w:sz w:val="20"/>
                <w:szCs w:val="20"/>
              </w:rPr>
              <w:t>834.8</w:t>
            </w:r>
          </w:p>
        </w:tc>
        <w:tc>
          <w:tcPr>
            <w:tcW w:w="429" w:type="pct"/>
            <w:noWrap/>
            <w:vAlign w:val="bottom"/>
            <w:hideMark/>
          </w:tcPr>
          <w:p w14:paraId="0BF50AD2" w14:textId="77777777" w:rsidR="00824371" w:rsidRPr="00E83432" w:rsidRDefault="00824371" w:rsidP="00824371">
            <w:pPr>
              <w:jc w:val="center"/>
              <w:rPr>
                <w:sz w:val="20"/>
                <w:szCs w:val="20"/>
              </w:rPr>
            </w:pPr>
            <w:r w:rsidRPr="00E83432">
              <w:rPr>
                <w:sz w:val="20"/>
                <w:szCs w:val="20"/>
              </w:rPr>
              <w:t>576.3</w:t>
            </w:r>
          </w:p>
        </w:tc>
        <w:tc>
          <w:tcPr>
            <w:tcW w:w="430" w:type="pct"/>
            <w:noWrap/>
            <w:vAlign w:val="bottom"/>
            <w:hideMark/>
          </w:tcPr>
          <w:p w14:paraId="52ACD003" w14:textId="77777777" w:rsidR="00824371" w:rsidRPr="00E83432" w:rsidRDefault="00824371" w:rsidP="00824371">
            <w:pPr>
              <w:jc w:val="center"/>
              <w:rPr>
                <w:sz w:val="20"/>
                <w:szCs w:val="20"/>
              </w:rPr>
            </w:pPr>
            <w:r w:rsidRPr="00E83432">
              <w:rPr>
                <w:sz w:val="20"/>
                <w:szCs w:val="20"/>
              </w:rPr>
              <w:t>343.0</w:t>
            </w:r>
          </w:p>
        </w:tc>
        <w:tc>
          <w:tcPr>
            <w:tcW w:w="430" w:type="pct"/>
            <w:noWrap/>
            <w:vAlign w:val="bottom"/>
            <w:hideMark/>
          </w:tcPr>
          <w:p w14:paraId="4AB4E5FF" w14:textId="77777777" w:rsidR="00824371" w:rsidRPr="00E83432" w:rsidRDefault="00824371" w:rsidP="00824371">
            <w:pPr>
              <w:jc w:val="center"/>
              <w:rPr>
                <w:sz w:val="20"/>
                <w:szCs w:val="20"/>
              </w:rPr>
            </w:pPr>
            <w:r w:rsidRPr="00E83432">
              <w:rPr>
                <w:sz w:val="20"/>
                <w:szCs w:val="20"/>
              </w:rPr>
              <w:t>205.4</w:t>
            </w:r>
          </w:p>
        </w:tc>
        <w:tc>
          <w:tcPr>
            <w:tcW w:w="430" w:type="pct"/>
            <w:noWrap/>
            <w:vAlign w:val="bottom"/>
            <w:hideMark/>
          </w:tcPr>
          <w:p w14:paraId="18E8387D" w14:textId="77777777" w:rsidR="00824371" w:rsidRPr="00E83432" w:rsidRDefault="00824371" w:rsidP="00824371">
            <w:pPr>
              <w:jc w:val="center"/>
              <w:rPr>
                <w:sz w:val="20"/>
                <w:szCs w:val="20"/>
              </w:rPr>
            </w:pPr>
            <w:r w:rsidRPr="00E83432">
              <w:rPr>
                <w:sz w:val="20"/>
                <w:szCs w:val="20"/>
              </w:rPr>
              <w:t>234.1</w:t>
            </w:r>
          </w:p>
        </w:tc>
        <w:tc>
          <w:tcPr>
            <w:tcW w:w="430" w:type="pct"/>
            <w:noWrap/>
            <w:vAlign w:val="bottom"/>
            <w:hideMark/>
          </w:tcPr>
          <w:p w14:paraId="1FCBC683" w14:textId="77777777" w:rsidR="00824371" w:rsidRPr="00E83432" w:rsidRDefault="00824371" w:rsidP="00824371">
            <w:pPr>
              <w:jc w:val="center"/>
              <w:rPr>
                <w:sz w:val="20"/>
                <w:szCs w:val="20"/>
              </w:rPr>
            </w:pPr>
            <w:r w:rsidRPr="00E83432">
              <w:rPr>
                <w:sz w:val="20"/>
                <w:szCs w:val="20"/>
              </w:rPr>
              <w:t>238.3</w:t>
            </w:r>
          </w:p>
        </w:tc>
        <w:tc>
          <w:tcPr>
            <w:tcW w:w="430" w:type="pct"/>
            <w:noWrap/>
            <w:vAlign w:val="bottom"/>
            <w:hideMark/>
          </w:tcPr>
          <w:p w14:paraId="678B64C8" w14:textId="77777777" w:rsidR="00824371" w:rsidRPr="00E83432" w:rsidRDefault="00824371" w:rsidP="00824371">
            <w:pPr>
              <w:jc w:val="center"/>
              <w:rPr>
                <w:sz w:val="20"/>
                <w:szCs w:val="20"/>
              </w:rPr>
            </w:pPr>
            <w:r w:rsidRPr="00E83432">
              <w:rPr>
                <w:sz w:val="20"/>
                <w:szCs w:val="20"/>
              </w:rPr>
              <w:t>183.8</w:t>
            </w:r>
          </w:p>
        </w:tc>
        <w:tc>
          <w:tcPr>
            <w:tcW w:w="430" w:type="pct"/>
            <w:noWrap/>
            <w:vAlign w:val="bottom"/>
            <w:hideMark/>
          </w:tcPr>
          <w:p w14:paraId="69A63AA6" w14:textId="77777777" w:rsidR="00824371" w:rsidRPr="00E83432" w:rsidRDefault="00824371" w:rsidP="00824371">
            <w:pPr>
              <w:jc w:val="center"/>
              <w:rPr>
                <w:sz w:val="20"/>
                <w:szCs w:val="20"/>
              </w:rPr>
            </w:pPr>
            <w:r w:rsidRPr="00E83432">
              <w:rPr>
                <w:sz w:val="20"/>
                <w:szCs w:val="20"/>
              </w:rPr>
              <w:t>131.5</w:t>
            </w:r>
          </w:p>
        </w:tc>
        <w:tc>
          <w:tcPr>
            <w:tcW w:w="430" w:type="pct"/>
            <w:noWrap/>
            <w:vAlign w:val="bottom"/>
            <w:hideMark/>
          </w:tcPr>
          <w:p w14:paraId="2924E506" w14:textId="77777777" w:rsidR="00824371" w:rsidRPr="00E83432" w:rsidRDefault="00824371" w:rsidP="00824371">
            <w:pPr>
              <w:jc w:val="center"/>
              <w:rPr>
                <w:b/>
                <w:bCs/>
                <w:sz w:val="20"/>
                <w:szCs w:val="20"/>
              </w:rPr>
            </w:pPr>
            <w:r w:rsidRPr="00E83432">
              <w:rPr>
                <w:b/>
                <w:bCs/>
                <w:sz w:val="20"/>
                <w:szCs w:val="20"/>
              </w:rPr>
              <w:t>438.7</w:t>
            </w:r>
          </w:p>
        </w:tc>
        <w:tc>
          <w:tcPr>
            <w:tcW w:w="427" w:type="pct"/>
            <w:vAlign w:val="bottom"/>
          </w:tcPr>
          <w:p w14:paraId="0772CE2E" w14:textId="77777777" w:rsidR="00824371" w:rsidRPr="00E83432" w:rsidRDefault="00824371" w:rsidP="00824371">
            <w:pPr>
              <w:jc w:val="center"/>
              <w:rPr>
                <w:b/>
                <w:bCs/>
                <w:sz w:val="20"/>
                <w:szCs w:val="20"/>
              </w:rPr>
            </w:pPr>
            <w:r w:rsidRPr="00E83432">
              <w:rPr>
                <w:b/>
                <w:bCs/>
                <w:sz w:val="20"/>
                <w:szCs w:val="20"/>
              </w:rPr>
              <w:t>184.5</w:t>
            </w:r>
          </w:p>
        </w:tc>
      </w:tr>
      <w:tr w:rsidR="00824371" w:rsidRPr="00E83432" w14:paraId="4B9EDF1F" w14:textId="77777777" w:rsidTr="00F21073">
        <w:trPr>
          <w:trHeight w:val="315"/>
        </w:trPr>
        <w:tc>
          <w:tcPr>
            <w:tcW w:w="704" w:type="pct"/>
            <w:vAlign w:val="bottom"/>
            <w:hideMark/>
          </w:tcPr>
          <w:p w14:paraId="28D923A5" w14:textId="77777777" w:rsidR="00824371" w:rsidRPr="00E83432" w:rsidRDefault="00824371" w:rsidP="001D33B6">
            <w:pPr>
              <w:jc w:val="right"/>
              <w:rPr>
                <w:i/>
                <w:sz w:val="20"/>
                <w:szCs w:val="20"/>
              </w:rPr>
            </w:pPr>
            <w:r w:rsidRPr="00E83432">
              <w:rPr>
                <w:i/>
                <w:sz w:val="20"/>
                <w:szCs w:val="20"/>
              </w:rPr>
              <w:t>Budget Support</w:t>
            </w:r>
          </w:p>
        </w:tc>
        <w:tc>
          <w:tcPr>
            <w:tcW w:w="430" w:type="pct"/>
            <w:noWrap/>
            <w:vAlign w:val="bottom"/>
            <w:hideMark/>
          </w:tcPr>
          <w:p w14:paraId="2D392A6A" w14:textId="77777777" w:rsidR="00824371" w:rsidRPr="00E83432" w:rsidRDefault="00824371" w:rsidP="00824371">
            <w:pPr>
              <w:jc w:val="center"/>
              <w:rPr>
                <w:i/>
                <w:sz w:val="20"/>
                <w:szCs w:val="20"/>
              </w:rPr>
            </w:pPr>
            <w:r w:rsidRPr="00E83432">
              <w:rPr>
                <w:i/>
                <w:sz w:val="20"/>
                <w:szCs w:val="20"/>
              </w:rPr>
              <w:t>172.0</w:t>
            </w:r>
          </w:p>
        </w:tc>
        <w:tc>
          <w:tcPr>
            <w:tcW w:w="429" w:type="pct"/>
            <w:noWrap/>
            <w:vAlign w:val="bottom"/>
            <w:hideMark/>
          </w:tcPr>
          <w:p w14:paraId="051CE433" w14:textId="77777777" w:rsidR="00824371" w:rsidRPr="00E83432" w:rsidRDefault="00824371" w:rsidP="00824371">
            <w:pPr>
              <w:jc w:val="center"/>
              <w:rPr>
                <w:i/>
                <w:sz w:val="20"/>
                <w:szCs w:val="20"/>
              </w:rPr>
            </w:pPr>
            <w:r w:rsidRPr="00E83432">
              <w:rPr>
                <w:i/>
                <w:sz w:val="20"/>
                <w:szCs w:val="20"/>
              </w:rPr>
              <w:t>174.7</w:t>
            </w:r>
          </w:p>
        </w:tc>
        <w:tc>
          <w:tcPr>
            <w:tcW w:w="430" w:type="pct"/>
            <w:noWrap/>
            <w:vAlign w:val="bottom"/>
            <w:hideMark/>
          </w:tcPr>
          <w:p w14:paraId="406B3B24" w14:textId="77777777" w:rsidR="00824371" w:rsidRPr="00E83432" w:rsidRDefault="00824371" w:rsidP="00824371">
            <w:pPr>
              <w:jc w:val="center"/>
              <w:rPr>
                <w:i/>
                <w:sz w:val="20"/>
                <w:szCs w:val="20"/>
              </w:rPr>
            </w:pPr>
            <w:r w:rsidRPr="00E83432">
              <w:rPr>
                <w:i/>
                <w:sz w:val="20"/>
                <w:szCs w:val="20"/>
              </w:rPr>
              <w:t>25.7</w:t>
            </w:r>
          </w:p>
        </w:tc>
        <w:tc>
          <w:tcPr>
            <w:tcW w:w="430" w:type="pct"/>
            <w:noWrap/>
            <w:vAlign w:val="bottom"/>
            <w:hideMark/>
          </w:tcPr>
          <w:p w14:paraId="6CC899E9" w14:textId="77777777" w:rsidR="00824371" w:rsidRPr="00E83432" w:rsidRDefault="00824371" w:rsidP="00824371">
            <w:pPr>
              <w:jc w:val="center"/>
              <w:rPr>
                <w:i/>
                <w:sz w:val="20"/>
                <w:szCs w:val="20"/>
              </w:rPr>
            </w:pPr>
            <w:r w:rsidRPr="00E83432">
              <w:rPr>
                <w:i/>
                <w:sz w:val="20"/>
                <w:szCs w:val="20"/>
              </w:rPr>
              <w:t>30.3</w:t>
            </w:r>
          </w:p>
        </w:tc>
        <w:tc>
          <w:tcPr>
            <w:tcW w:w="430" w:type="pct"/>
            <w:noWrap/>
            <w:vAlign w:val="bottom"/>
            <w:hideMark/>
          </w:tcPr>
          <w:p w14:paraId="66C56492" w14:textId="77777777" w:rsidR="00824371" w:rsidRPr="00E83432" w:rsidRDefault="00824371" w:rsidP="00824371">
            <w:pPr>
              <w:jc w:val="center"/>
              <w:rPr>
                <w:i/>
                <w:sz w:val="20"/>
                <w:szCs w:val="20"/>
              </w:rPr>
            </w:pPr>
            <w:r w:rsidRPr="00E83432">
              <w:rPr>
                <w:i/>
                <w:sz w:val="20"/>
                <w:szCs w:val="20"/>
              </w:rPr>
              <w:t>39.4</w:t>
            </w:r>
          </w:p>
        </w:tc>
        <w:tc>
          <w:tcPr>
            <w:tcW w:w="430" w:type="pct"/>
            <w:noWrap/>
            <w:vAlign w:val="bottom"/>
            <w:hideMark/>
          </w:tcPr>
          <w:p w14:paraId="3DB028A7" w14:textId="77777777" w:rsidR="00824371" w:rsidRPr="00E83432" w:rsidRDefault="00824371" w:rsidP="00824371">
            <w:pPr>
              <w:jc w:val="center"/>
              <w:rPr>
                <w:i/>
                <w:sz w:val="20"/>
                <w:szCs w:val="20"/>
              </w:rPr>
            </w:pPr>
            <w:r w:rsidRPr="00E83432">
              <w:rPr>
                <w:i/>
                <w:sz w:val="20"/>
                <w:szCs w:val="20"/>
              </w:rPr>
              <w:t>43.1</w:t>
            </w:r>
          </w:p>
        </w:tc>
        <w:tc>
          <w:tcPr>
            <w:tcW w:w="430" w:type="pct"/>
            <w:noWrap/>
            <w:vAlign w:val="bottom"/>
            <w:hideMark/>
          </w:tcPr>
          <w:p w14:paraId="2A1472EC" w14:textId="77777777" w:rsidR="00824371" w:rsidRPr="00E83432" w:rsidRDefault="00824371" w:rsidP="00824371">
            <w:pPr>
              <w:jc w:val="center"/>
              <w:rPr>
                <w:i/>
                <w:sz w:val="20"/>
                <w:szCs w:val="20"/>
              </w:rPr>
            </w:pPr>
            <w:r w:rsidRPr="00E83432">
              <w:rPr>
                <w:i/>
                <w:sz w:val="20"/>
                <w:szCs w:val="20"/>
              </w:rPr>
              <w:t>6.6</w:t>
            </w:r>
          </w:p>
        </w:tc>
        <w:tc>
          <w:tcPr>
            <w:tcW w:w="430" w:type="pct"/>
            <w:noWrap/>
            <w:vAlign w:val="bottom"/>
            <w:hideMark/>
          </w:tcPr>
          <w:p w14:paraId="6D89A2EB" w14:textId="77777777" w:rsidR="00824371" w:rsidRPr="00E83432" w:rsidRDefault="00824371" w:rsidP="00824371">
            <w:pPr>
              <w:jc w:val="center"/>
              <w:rPr>
                <w:i/>
                <w:sz w:val="20"/>
                <w:szCs w:val="20"/>
              </w:rPr>
            </w:pPr>
            <w:r w:rsidRPr="00E83432">
              <w:rPr>
                <w:i/>
                <w:sz w:val="20"/>
                <w:szCs w:val="20"/>
              </w:rPr>
              <w:t>-</w:t>
            </w:r>
          </w:p>
        </w:tc>
        <w:tc>
          <w:tcPr>
            <w:tcW w:w="430" w:type="pct"/>
            <w:noWrap/>
            <w:vAlign w:val="bottom"/>
            <w:hideMark/>
          </w:tcPr>
          <w:p w14:paraId="543C13BF" w14:textId="77777777" w:rsidR="00824371" w:rsidRPr="00E83432" w:rsidRDefault="00824371" w:rsidP="00824371">
            <w:pPr>
              <w:jc w:val="center"/>
              <w:rPr>
                <w:b/>
                <w:bCs/>
                <w:i/>
                <w:sz w:val="20"/>
                <w:szCs w:val="20"/>
              </w:rPr>
            </w:pPr>
            <w:r w:rsidRPr="00E83432">
              <w:rPr>
                <w:b/>
                <w:bCs/>
                <w:i/>
                <w:sz w:val="20"/>
                <w:szCs w:val="20"/>
              </w:rPr>
              <w:t>88.4</w:t>
            </w:r>
          </w:p>
        </w:tc>
        <w:tc>
          <w:tcPr>
            <w:tcW w:w="427" w:type="pct"/>
            <w:vAlign w:val="bottom"/>
          </w:tcPr>
          <w:p w14:paraId="1FCE6253" w14:textId="77777777" w:rsidR="00824371" w:rsidRPr="00E83432" w:rsidRDefault="00824371" w:rsidP="00824371">
            <w:pPr>
              <w:jc w:val="center"/>
              <w:rPr>
                <w:b/>
                <w:bCs/>
                <w:i/>
                <w:sz w:val="20"/>
                <w:szCs w:val="20"/>
              </w:rPr>
            </w:pPr>
            <w:r w:rsidRPr="00E83432">
              <w:rPr>
                <w:b/>
                <w:bCs/>
                <w:i/>
                <w:sz w:val="20"/>
                <w:szCs w:val="20"/>
              </w:rPr>
              <w:t>16.6</w:t>
            </w:r>
          </w:p>
        </w:tc>
      </w:tr>
      <w:tr w:rsidR="00824371" w:rsidRPr="00E83432" w14:paraId="57499BC8" w14:textId="77777777" w:rsidTr="00F21073">
        <w:trPr>
          <w:trHeight w:val="315"/>
        </w:trPr>
        <w:tc>
          <w:tcPr>
            <w:tcW w:w="704" w:type="pct"/>
            <w:vAlign w:val="bottom"/>
            <w:hideMark/>
          </w:tcPr>
          <w:p w14:paraId="28E2815A" w14:textId="77777777" w:rsidR="00824371" w:rsidRPr="00E83432" w:rsidRDefault="00824371" w:rsidP="001D33B6">
            <w:pPr>
              <w:jc w:val="right"/>
              <w:rPr>
                <w:i/>
                <w:sz w:val="20"/>
                <w:szCs w:val="20"/>
              </w:rPr>
            </w:pPr>
            <w:r w:rsidRPr="00E83432">
              <w:rPr>
                <w:i/>
                <w:sz w:val="20"/>
                <w:szCs w:val="20"/>
              </w:rPr>
              <w:t>Project Aid</w:t>
            </w:r>
          </w:p>
        </w:tc>
        <w:tc>
          <w:tcPr>
            <w:tcW w:w="430" w:type="pct"/>
            <w:noWrap/>
            <w:vAlign w:val="bottom"/>
            <w:hideMark/>
          </w:tcPr>
          <w:p w14:paraId="1489326A" w14:textId="77777777" w:rsidR="00824371" w:rsidRPr="00E83432" w:rsidRDefault="00824371" w:rsidP="00824371">
            <w:pPr>
              <w:jc w:val="center"/>
              <w:rPr>
                <w:i/>
                <w:sz w:val="20"/>
                <w:szCs w:val="20"/>
              </w:rPr>
            </w:pPr>
            <w:r w:rsidRPr="00E83432">
              <w:rPr>
                <w:i/>
                <w:sz w:val="20"/>
                <w:szCs w:val="20"/>
              </w:rPr>
              <w:t>160.2</w:t>
            </w:r>
          </w:p>
        </w:tc>
        <w:tc>
          <w:tcPr>
            <w:tcW w:w="429" w:type="pct"/>
            <w:noWrap/>
            <w:vAlign w:val="bottom"/>
            <w:hideMark/>
          </w:tcPr>
          <w:p w14:paraId="6E5FC261" w14:textId="77777777" w:rsidR="00824371" w:rsidRPr="00E83432" w:rsidRDefault="00824371" w:rsidP="00824371">
            <w:pPr>
              <w:jc w:val="center"/>
              <w:rPr>
                <w:i/>
                <w:sz w:val="20"/>
                <w:szCs w:val="20"/>
              </w:rPr>
            </w:pPr>
            <w:r w:rsidRPr="00E83432">
              <w:rPr>
                <w:i/>
                <w:sz w:val="20"/>
                <w:szCs w:val="20"/>
              </w:rPr>
              <w:t>176.3</w:t>
            </w:r>
          </w:p>
        </w:tc>
        <w:tc>
          <w:tcPr>
            <w:tcW w:w="430" w:type="pct"/>
            <w:noWrap/>
            <w:vAlign w:val="bottom"/>
            <w:hideMark/>
          </w:tcPr>
          <w:p w14:paraId="6AB0F414" w14:textId="77777777" w:rsidR="00824371" w:rsidRPr="00E83432" w:rsidRDefault="00824371" w:rsidP="00824371">
            <w:pPr>
              <w:jc w:val="center"/>
              <w:rPr>
                <w:i/>
                <w:sz w:val="20"/>
                <w:szCs w:val="20"/>
              </w:rPr>
            </w:pPr>
            <w:r w:rsidRPr="00E83432">
              <w:rPr>
                <w:i/>
                <w:sz w:val="20"/>
                <w:szCs w:val="20"/>
              </w:rPr>
              <w:t>264.5</w:t>
            </w:r>
          </w:p>
        </w:tc>
        <w:tc>
          <w:tcPr>
            <w:tcW w:w="430" w:type="pct"/>
            <w:noWrap/>
            <w:vAlign w:val="bottom"/>
            <w:hideMark/>
          </w:tcPr>
          <w:p w14:paraId="21909263" w14:textId="77777777" w:rsidR="00824371" w:rsidRPr="00E83432" w:rsidRDefault="00824371" w:rsidP="00824371">
            <w:pPr>
              <w:jc w:val="center"/>
              <w:rPr>
                <w:i/>
                <w:sz w:val="20"/>
                <w:szCs w:val="20"/>
              </w:rPr>
            </w:pPr>
            <w:r w:rsidRPr="00E83432">
              <w:rPr>
                <w:i/>
                <w:sz w:val="20"/>
                <w:szCs w:val="20"/>
              </w:rPr>
              <w:t>115.3</w:t>
            </w:r>
          </w:p>
        </w:tc>
        <w:tc>
          <w:tcPr>
            <w:tcW w:w="430" w:type="pct"/>
            <w:noWrap/>
            <w:vAlign w:val="bottom"/>
            <w:hideMark/>
          </w:tcPr>
          <w:p w14:paraId="424CA1C1" w14:textId="77777777" w:rsidR="00824371" w:rsidRPr="00E83432" w:rsidRDefault="00824371" w:rsidP="00824371">
            <w:pPr>
              <w:jc w:val="center"/>
              <w:rPr>
                <w:i/>
                <w:sz w:val="20"/>
                <w:szCs w:val="20"/>
              </w:rPr>
            </w:pPr>
            <w:r w:rsidRPr="00E83432">
              <w:rPr>
                <w:i/>
                <w:sz w:val="20"/>
                <w:szCs w:val="20"/>
              </w:rPr>
              <w:t>90.7</w:t>
            </w:r>
          </w:p>
        </w:tc>
        <w:tc>
          <w:tcPr>
            <w:tcW w:w="430" w:type="pct"/>
            <w:noWrap/>
            <w:vAlign w:val="bottom"/>
            <w:hideMark/>
          </w:tcPr>
          <w:p w14:paraId="10E62F06" w14:textId="77777777" w:rsidR="00824371" w:rsidRPr="00E83432" w:rsidRDefault="00824371" w:rsidP="00824371">
            <w:pPr>
              <w:jc w:val="center"/>
              <w:rPr>
                <w:i/>
                <w:sz w:val="20"/>
                <w:szCs w:val="20"/>
              </w:rPr>
            </w:pPr>
            <w:r w:rsidRPr="00E83432">
              <w:rPr>
                <w:i/>
                <w:sz w:val="20"/>
                <w:szCs w:val="20"/>
              </w:rPr>
              <w:t>100.8</w:t>
            </w:r>
          </w:p>
        </w:tc>
        <w:tc>
          <w:tcPr>
            <w:tcW w:w="430" w:type="pct"/>
            <w:noWrap/>
            <w:vAlign w:val="bottom"/>
            <w:hideMark/>
          </w:tcPr>
          <w:p w14:paraId="69A6BEB6" w14:textId="77777777" w:rsidR="00824371" w:rsidRPr="00E83432" w:rsidRDefault="00824371" w:rsidP="00824371">
            <w:pPr>
              <w:jc w:val="center"/>
              <w:rPr>
                <w:i/>
                <w:sz w:val="20"/>
                <w:szCs w:val="20"/>
              </w:rPr>
            </w:pPr>
            <w:r w:rsidRPr="00E83432">
              <w:rPr>
                <w:i/>
                <w:sz w:val="20"/>
                <w:szCs w:val="20"/>
              </w:rPr>
              <w:t>82.7</w:t>
            </w:r>
          </w:p>
        </w:tc>
        <w:tc>
          <w:tcPr>
            <w:tcW w:w="430" w:type="pct"/>
            <w:noWrap/>
            <w:vAlign w:val="bottom"/>
            <w:hideMark/>
          </w:tcPr>
          <w:p w14:paraId="3CEF3B89" w14:textId="77777777" w:rsidR="00824371" w:rsidRPr="00E83432" w:rsidRDefault="00824371" w:rsidP="00824371">
            <w:pPr>
              <w:jc w:val="center"/>
              <w:rPr>
                <w:i/>
                <w:sz w:val="20"/>
                <w:szCs w:val="20"/>
              </w:rPr>
            </w:pPr>
            <w:r w:rsidRPr="00E83432">
              <w:rPr>
                <w:i/>
                <w:sz w:val="20"/>
                <w:szCs w:val="20"/>
              </w:rPr>
              <w:t>54.5</w:t>
            </w:r>
          </w:p>
        </w:tc>
        <w:tc>
          <w:tcPr>
            <w:tcW w:w="430" w:type="pct"/>
            <w:noWrap/>
            <w:vAlign w:val="bottom"/>
            <w:hideMark/>
          </w:tcPr>
          <w:p w14:paraId="40CBD46E" w14:textId="77777777" w:rsidR="00824371" w:rsidRPr="00E83432" w:rsidRDefault="00824371" w:rsidP="00824371">
            <w:pPr>
              <w:jc w:val="center"/>
              <w:rPr>
                <w:b/>
                <w:bCs/>
                <w:i/>
                <w:sz w:val="20"/>
                <w:szCs w:val="20"/>
              </w:rPr>
            </w:pPr>
            <w:r w:rsidRPr="00E83432">
              <w:rPr>
                <w:b/>
                <w:bCs/>
                <w:i/>
                <w:sz w:val="20"/>
                <w:szCs w:val="20"/>
              </w:rPr>
              <w:t>161.4</w:t>
            </w:r>
          </w:p>
        </w:tc>
        <w:tc>
          <w:tcPr>
            <w:tcW w:w="427" w:type="pct"/>
            <w:vAlign w:val="bottom"/>
          </w:tcPr>
          <w:p w14:paraId="66A15BBF" w14:textId="77777777" w:rsidR="00824371" w:rsidRPr="00E83432" w:rsidRDefault="00824371" w:rsidP="00824371">
            <w:pPr>
              <w:jc w:val="center"/>
              <w:rPr>
                <w:b/>
                <w:bCs/>
                <w:i/>
                <w:sz w:val="20"/>
                <w:szCs w:val="20"/>
              </w:rPr>
            </w:pPr>
            <w:r w:rsidRPr="00E83432">
              <w:rPr>
                <w:b/>
                <w:bCs/>
                <w:i/>
                <w:sz w:val="20"/>
                <w:szCs w:val="20"/>
              </w:rPr>
              <w:t>79.4</w:t>
            </w:r>
          </w:p>
        </w:tc>
      </w:tr>
      <w:tr w:rsidR="00824371" w:rsidRPr="00E83432" w14:paraId="6234A2AC" w14:textId="77777777" w:rsidTr="00F21073">
        <w:trPr>
          <w:trHeight w:val="315"/>
        </w:trPr>
        <w:tc>
          <w:tcPr>
            <w:tcW w:w="704" w:type="pct"/>
            <w:vAlign w:val="bottom"/>
            <w:hideMark/>
          </w:tcPr>
          <w:p w14:paraId="3DEA28FD" w14:textId="77777777" w:rsidR="00824371" w:rsidRPr="00E83432" w:rsidRDefault="00824371" w:rsidP="001D33B6">
            <w:pPr>
              <w:jc w:val="right"/>
              <w:rPr>
                <w:i/>
                <w:sz w:val="20"/>
                <w:szCs w:val="20"/>
              </w:rPr>
            </w:pPr>
            <w:r w:rsidRPr="00E83432">
              <w:rPr>
                <w:i/>
                <w:sz w:val="20"/>
                <w:szCs w:val="20"/>
              </w:rPr>
              <w:t>HIPC assistance</w:t>
            </w:r>
          </w:p>
        </w:tc>
        <w:tc>
          <w:tcPr>
            <w:tcW w:w="430" w:type="pct"/>
            <w:noWrap/>
            <w:vAlign w:val="bottom"/>
            <w:hideMark/>
          </w:tcPr>
          <w:p w14:paraId="5B3349E0" w14:textId="77777777" w:rsidR="00824371" w:rsidRPr="00E83432" w:rsidRDefault="00824371" w:rsidP="00824371">
            <w:pPr>
              <w:jc w:val="center"/>
              <w:rPr>
                <w:i/>
                <w:sz w:val="20"/>
                <w:szCs w:val="20"/>
              </w:rPr>
            </w:pPr>
            <w:r w:rsidRPr="00E83432">
              <w:rPr>
                <w:i/>
                <w:sz w:val="20"/>
                <w:szCs w:val="20"/>
              </w:rPr>
              <w:t>53.2</w:t>
            </w:r>
          </w:p>
        </w:tc>
        <w:tc>
          <w:tcPr>
            <w:tcW w:w="429" w:type="pct"/>
            <w:noWrap/>
            <w:vAlign w:val="bottom"/>
            <w:hideMark/>
          </w:tcPr>
          <w:p w14:paraId="59A5F9A7" w14:textId="77777777" w:rsidR="00824371" w:rsidRPr="00E83432" w:rsidRDefault="00824371" w:rsidP="00824371">
            <w:pPr>
              <w:jc w:val="center"/>
              <w:rPr>
                <w:i/>
                <w:sz w:val="20"/>
                <w:szCs w:val="20"/>
              </w:rPr>
            </w:pPr>
            <w:r w:rsidRPr="00E83432">
              <w:rPr>
                <w:i/>
                <w:sz w:val="20"/>
                <w:szCs w:val="20"/>
              </w:rPr>
              <w:t>49.7</w:t>
            </w:r>
          </w:p>
        </w:tc>
        <w:tc>
          <w:tcPr>
            <w:tcW w:w="430" w:type="pct"/>
            <w:noWrap/>
            <w:vAlign w:val="bottom"/>
            <w:hideMark/>
          </w:tcPr>
          <w:p w14:paraId="4F676F5B" w14:textId="77777777" w:rsidR="00824371" w:rsidRPr="00E83432" w:rsidRDefault="00824371" w:rsidP="00824371">
            <w:pPr>
              <w:jc w:val="center"/>
              <w:rPr>
                <w:i/>
                <w:sz w:val="20"/>
                <w:szCs w:val="20"/>
              </w:rPr>
            </w:pPr>
            <w:r w:rsidRPr="00E83432">
              <w:rPr>
                <w:i/>
                <w:sz w:val="20"/>
                <w:szCs w:val="20"/>
              </w:rPr>
              <w:t>45.5</w:t>
            </w:r>
          </w:p>
        </w:tc>
        <w:tc>
          <w:tcPr>
            <w:tcW w:w="430" w:type="pct"/>
            <w:noWrap/>
            <w:vAlign w:val="bottom"/>
            <w:hideMark/>
          </w:tcPr>
          <w:p w14:paraId="4E27E148" w14:textId="77777777" w:rsidR="00824371" w:rsidRPr="00E83432" w:rsidRDefault="00824371" w:rsidP="00824371">
            <w:pPr>
              <w:jc w:val="center"/>
              <w:rPr>
                <w:i/>
                <w:sz w:val="20"/>
                <w:szCs w:val="20"/>
              </w:rPr>
            </w:pPr>
            <w:r w:rsidRPr="00E83432">
              <w:rPr>
                <w:i/>
                <w:sz w:val="20"/>
                <w:szCs w:val="20"/>
              </w:rPr>
              <w:t>52.9</w:t>
            </w:r>
          </w:p>
        </w:tc>
        <w:tc>
          <w:tcPr>
            <w:tcW w:w="430" w:type="pct"/>
            <w:noWrap/>
            <w:vAlign w:val="bottom"/>
            <w:hideMark/>
          </w:tcPr>
          <w:p w14:paraId="6AFA5E38" w14:textId="77777777" w:rsidR="00824371" w:rsidRPr="00E83432" w:rsidRDefault="00824371" w:rsidP="00824371">
            <w:pPr>
              <w:jc w:val="center"/>
              <w:rPr>
                <w:i/>
                <w:sz w:val="20"/>
                <w:szCs w:val="20"/>
              </w:rPr>
            </w:pPr>
            <w:r w:rsidRPr="00E83432">
              <w:rPr>
                <w:i/>
                <w:sz w:val="20"/>
                <w:szCs w:val="20"/>
              </w:rPr>
              <w:t>59.5</w:t>
            </w:r>
          </w:p>
        </w:tc>
        <w:tc>
          <w:tcPr>
            <w:tcW w:w="430" w:type="pct"/>
            <w:noWrap/>
            <w:vAlign w:val="bottom"/>
            <w:hideMark/>
          </w:tcPr>
          <w:p w14:paraId="21FD8D19" w14:textId="77777777" w:rsidR="00824371" w:rsidRPr="00E83432" w:rsidRDefault="00824371" w:rsidP="00824371">
            <w:pPr>
              <w:jc w:val="center"/>
              <w:rPr>
                <w:i/>
                <w:sz w:val="20"/>
                <w:szCs w:val="20"/>
              </w:rPr>
            </w:pPr>
            <w:r w:rsidRPr="00E83432">
              <w:rPr>
                <w:i/>
                <w:sz w:val="20"/>
                <w:szCs w:val="20"/>
              </w:rPr>
              <w:t>52.0</w:t>
            </w:r>
          </w:p>
        </w:tc>
        <w:tc>
          <w:tcPr>
            <w:tcW w:w="430" w:type="pct"/>
            <w:noWrap/>
            <w:vAlign w:val="bottom"/>
            <w:hideMark/>
          </w:tcPr>
          <w:p w14:paraId="171AAA36" w14:textId="77777777" w:rsidR="00824371" w:rsidRPr="00E83432" w:rsidRDefault="00824371" w:rsidP="00824371">
            <w:pPr>
              <w:jc w:val="center"/>
              <w:rPr>
                <w:i/>
                <w:sz w:val="20"/>
                <w:szCs w:val="20"/>
              </w:rPr>
            </w:pPr>
            <w:r w:rsidRPr="00E83432">
              <w:rPr>
                <w:i/>
                <w:sz w:val="20"/>
                <w:szCs w:val="20"/>
              </w:rPr>
              <w:t>48.9</w:t>
            </w:r>
          </w:p>
        </w:tc>
        <w:tc>
          <w:tcPr>
            <w:tcW w:w="430" w:type="pct"/>
            <w:noWrap/>
            <w:vAlign w:val="bottom"/>
            <w:hideMark/>
          </w:tcPr>
          <w:p w14:paraId="7500A0F2" w14:textId="77777777" w:rsidR="00824371" w:rsidRPr="00E83432" w:rsidRDefault="00824371" w:rsidP="00824371">
            <w:pPr>
              <w:jc w:val="center"/>
              <w:rPr>
                <w:i/>
                <w:sz w:val="20"/>
                <w:szCs w:val="20"/>
              </w:rPr>
            </w:pPr>
            <w:r w:rsidRPr="00E83432">
              <w:rPr>
                <w:i/>
                <w:sz w:val="20"/>
                <w:szCs w:val="20"/>
              </w:rPr>
              <w:t>53.4</w:t>
            </w:r>
          </w:p>
        </w:tc>
        <w:tc>
          <w:tcPr>
            <w:tcW w:w="430" w:type="pct"/>
            <w:noWrap/>
            <w:vAlign w:val="bottom"/>
            <w:hideMark/>
          </w:tcPr>
          <w:p w14:paraId="342B611F" w14:textId="77777777" w:rsidR="00824371" w:rsidRPr="00E83432" w:rsidRDefault="00824371" w:rsidP="00824371">
            <w:pPr>
              <w:jc w:val="center"/>
              <w:rPr>
                <w:b/>
                <w:bCs/>
                <w:i/>
                <w:sz w:val="20"/>
                <w:szCs w:val="20"/>
              </w:rPr>
            </w:pPr>
            <w:r w:rsidRPr="00E83432">
              <w:rPr>
                <w:b/>
                <w:bCs/>
                <w:i/>
                <w:sz w:val="20"/>
                <w:szCs w:val="20"/>
              </w:rPr>
              <w:t>52.2</w:t>
            </w:r>
          </w:p>
        </w:tc>
        <w:tc>
          <w:tcPr>
            <w:tcW w:w="427" w:type="pct"/>
            <w:vAlign w:val="bottom"/>
          </w:tcPr>
          <w:p w14:paraId="7F39A9D1" w14:textId="77777777" w:rsidR="00824371" w:rsidRPr="00E83432" w:rsidRDefault="00824371" w:rsidP="00824371">
            <w:pPr>
              <w:jc w:val="center"/>
              <w:rPr>
                <w:b/>
                <w:bCs/>
                <w:i/>
                <w:sz w:val="20"/>
                <w:szCs w:val="20"/>
              </w:rPr>
            </w:pPr>
            <w:r w:rsidRPr="00E83432">
              <w:rPr>
                <w:b/>
                <w:bCs/>
                <w:i/>
                <w:sz w:val="20"/>
                <w:szCs w:val="20"/>
              </w:rPr>
              <w:t>51.4</w:t>
            </w:r>
          </w:p>
        </w:tc>
      </w:tr>
      <w:tr w:rsidR="00824371" w:rsidRPr="00E83432" w14:paraId="3FB2CD2E" w14:textId="77777777" w:rsidTr="00F21073">
        <w:trPr>
          <w:trHeight w:val="315"/>
        </w:trPr>
        <w:tc>
          <w:tcPr>
            <w:tcW w:w="704" w:type="pct"/>
            <w:vAlign w:val="bottom"/>
            <w:hideMark/>
          </w:tcPr>
          <w:p w14:paraId="1851821E" w14:textId="77777777" w:rsidR="00824371" w:rsidRPr="00E83432" w:rsidRDefault="00824371" w:rsidP="001D33B6">
            <w:pPr>
              <w:jc w:val="right"/>
              <w:rPr>
                <w:i/>
                <w:sz w:val="20"/>
                <w:szCs w:val="20"/>
              </w:rPr>
            </w:pPr>
            <w:r w:rsidRPr="00E83432">
              <w:rPr>
                <w:i/>
                <w:sz w:val="20"/>
                <w:szCs w:val="20"/>
              </w:rPr>
              <w:t>Other transfers</w:t>
            </w:r>
          </w:p>
        </w:tc>
        <w:tc>
          <w:tcPr>
            <w:tcW w:w="430" w:type="pct"/>
            <w:noWrap/>
            <w:vAlign w:val="bottom"/>
            <w:hideMark/>
          </w:tcPr>
          <w:p w14:paraId="09F98661" w14:textId="77777777" w:rsidR="00824371" w:rsidRPr="00E83432" w:rsidRDefault="00824371" w:rsidP="00824371">
            <w:pPr>
              <w:jc w:val="center"/>
              <w:rPr>
                <w:i/>
                <w:sz w:val="20"/>
                <w:szCs w:val="20"/>
              </w:rPr>
            </w:pPr>
            <w:r w:rsidRPr="00E83432">
              <w:rPr>
                <w:i/>
                <w:sz w:val="20"/>
                <w:szCs w:val="20"/>
              </w:rPr>
              <w:t>449.4</w:t>
            </w:r>
          </w:p>
        </w:tc>
        <w:tc>
          <w:tcPr>
            <w:tcW w:w="429" w:type="pct"/>
            <w:noWrap/>
            <w:vAlign w:val="bottom"/>
            <w:hideMark/>
          </w:tcPr>
          <w:p w14:paraId="44A4E3AC" w14:textId="77777777" w:rsidR="00824371" w:rsidRPr="00E83432" w:rsidRDefault="00824371" w:rsidP="00824371">
            <w:pPr>
              <w:jc w:val="center"/>
              <w:rPr>
                <w:i/>
                <w:sz w:val="20"/>
                <w:szCs w:val="20"/>
              </w:rPr>
            </w:pPr>
            <w:r w:rsidRPr="00E83432">
              <w:rPr>
                <w:i/>
                <w:sz w:val="20"/>
                <w:szCs w:val="20"/>
              </w:rPr>
              <w:t>175.5</w:t>
            </w:r>
          </w:p>
        </w:tc>
        <w:tc>
          <w:tcPr>
            <w:tcW w:w="430" w:type="pct"/>
            <w:noWrap/>
            <w:vAlign w:val="bottom"/>
            <w:hideMark/>
          </w:tcPr>
          <w:p w14:paraId="04BF0C50" w14:textId="77777777" w:rsidR="00824371" w:rsidRPr="00E83432" w:rsidRDefault="00824371" w:rsidP="00824371">
            <w:pPr>
              <w:jc w:val="center"/>
              <w:rPr>
                <w:i/>
                <w:sz w:val="20"/>
                <w:szCs w:val="20"/>
              </w:rPr>
            </w:pPr>
            <w:r w:rsidRPr="00E83432">
              <w:rPr>
                <w:i/>
                <w:sz w:val="20"/>
                <w:szCs w:val="20"/>
              </w:rPr>
              <w:t>7.3</w:t>
            </w:r>
          </w:p>
        </w:tc>
        <w:tc>
          <w:tcPr>
            <w:tcW w:w="430" w:type="pct"/>
            <w:noWrap/>
            <w:vAlign w:val="bottom"/>
            <w:hideMark/>
          </w:tcPr>
          <w:p w14:paraId="30480FD6" w14:textId="77777777" w:rsidR="00824371" w:rsidRPr="00E83432" w:rsidRDefault="00824371" w:rsidP="00824371">
            <w:pPr>
              <w:jc w:val="center"/>
              <w:rPr>
                <w:i/>
                <w:sz w:val="20"/>
                <w:szCs w:val="20"/>
              </w:rPr>
            </w:pPr>
            <w:r w:rsidRPr="00E83432">
              <w:rPr>
                <w:i/>
                <w:sz w:val="20"/>
                <w:szCs w:val="20"/>
              </w:rPr>
              <w:t>7.0</w:t>
            </w:r>
          </w:p>
        </w:tc>
        <w:tc>
          <w:tcPr>
            <w:tcW w:w="430" w:type="pct"/>
            <w:noWrap/>
            <w:vAlign w:val="bottom"/>
            <w:hideMark/>
          </w:tcPr>
          <w:p w14:paraId="5794561D" w14:textId="77777777" w:rsidR="00824371" w:rsidRPr="00E83432" w:rsidRDefault="00824371" w:rsidP="00824371">
            <w:pPr>
              <w:jc w:val="center"/>
              <w:rPr>
                <w:i/>
                <w:sz w:val="20"/>
                <w:szCs w:val="20"/>
              </w:rPr>
            </w:pPr>
            <w:r w:rsidRPr="00E83432">
              <w:rPr>
                <w:i/>
                <w:sz w:val="20"/>
                <w:szCs w:val="20"/>
              </w:rPr>
              <w:t>44.5</w:t>
            </w:r>
          </w:p>
        </w:tc>
        <w:tc>
          <w:tcPr>
            <w:tcW w:w="430" w:type="pct"/>
            <w:noWrap/>
            <w:vAlign w:val="bottom"/>
            <w:hideMark/>
          </w:tcPr>
          <w:p w14:paraId="70B87A69" w14:textId="77777777" w:rsidR="00824371" w:rsidRPr="00E83432" w:rsidRDefault="00824371" w:rsidP="00824371">
            <w:pPr>
              <w:jc w:val="center"/>
              <w:rPr>
                <w:i/>
                <w:sz w:val="20"/>
                <w:szCs w:val="20"/>
              </w:rPr>
            </w:pPr>
            <w:r w:rsidRPr="00E83432">
              <w:rPr>
                <w:i/>
                <w:sz w:val="20"/>
                <w:szCs w:val="20"/>
              </w:rPr>
              <w:t>42.4</w:t>
            </w:r>
          </w:p>
        </w:tc>
        <w:tc>
          <w:tcPr>
            <w:tcW w:w="430" w:type="pct"/>
            <w:noWrap/>
            <w:vAlign w:val="bottom"/>
            <w:hideMark/>
          </w:tcPr>
          <w:p w14:paraId="703D1337" w14:textId="77777777" w:rsidR="00824371" w:rsidRPr="00E83432" w:rsidRDefault="00824371" w:rsidP="00824371">
            <w:pPr>
              <w:jc w:val="center"/>
              <w:rPr>
                <w:i/>
                <w:sz w:val="20"/>
                <w:szCs w:val="20"/>
              </w:rPr>
            </w:pPr>
            <w:r w:rsidRPr="00E83432">
              <w:rPr>
                <w:i/>
                <w:sz w:val="20"/>
                <w:szCs w:val="20"/>
              </w:rPr>
              <w:t>45.5</w:t>
            </w:r>
          </w:p>
        </w:tc>
        <w:tc>
          <w:tcPr>
            <w:tcW w:w="430" w:type="pct"/>
            <w:noWrap/>
            <w:vAlign w:val="bottom"/>
            <w:hideMark/>
          </w:tcPr>
          <w:p w14:paraId="72171598" w14:textId="77777777" w:rsidR="00824371" w:rsidRPr="00E83432" w:rsidRDefault="00824371" w:rsidP="00824371">
            <w:pPr>
              <w:jc w:val="center"/>
              <w:rPr>
                <w:i/>
                <w:sz w:val="20"/>
                <w:szCs w:val="20"/>
              </w:rPr>
            </w:pPr>
            <w:r w:rsidRPr="00E83432">
              <w:rPr>
                <w:i/>
                <w:sz w:val="20"/>
                <w:szCs w:val="20"/>
              </w:rPr>
              <w:t>23.5</w:t>
            </w:r>
          </w:p>
        </w:tc>
        <w:tc>
          <w:tcPr>
            <w:tcW w:w="430" w:type="pct"/>
            <w:noWrap/>
            <w:vAlign w:val="bottom"/>
            <w:hideMark/>
          </w:tcPr>
          <w:p w14:paraId="7AA468B8" w14:textId="77777777" w:rsidR="00824371" w:rsidRPr="00E83432" w:rsidRDefault="00824371" w:rsidP="00824371">
            <w:pPr>
              <w:jc w:val="center"/>
              <w:rPr>
                <w:b/>
                <w:bCs/>
                <w:i/>
                <w:sz w:val="20"/>
                <w:szCs w:val="20"/>
              </w:rPr>
            </w:pPr>
            <w:r w:rsidRPr="00E83432">
              <w:rPr>
                <w:b/>
                <w:bCs/>
                <w:i/>
                <w:sz w:val="20"/>
                <w:szCs w:val="20"/>
              </w:rPr>
              <w:t>136.7</w:t>
            </w:r>
          </w:p>
        </w:tc>
        <w:tc>
          <w:tcPr>
            <w:tcW w:w="427" w:type="pct"/>
            <w:vAlign w:val="bottom"/>
          </w:tcPr>
          <w:p w14:paraId="10524878" w14:textId="77777777" w:rsidR="00824371" w:rsidRPr="00E83432" w:rsidRDefault="00824371" w:rsidP="00824371">
            <w:pPr>
              <w:jc w:val="center"/>
              <w:rPr>
                <w:b/>
                <w:bCs/>
                <w:i/>
                <w:sz w:val="20"/>
                <w:szCs w:val="20"/>
              </w:rPr>
            </w:pPr>
            <w:r w:rsidRPr="00E83432">
              <w:rPr>
                <w:b/>
                <w:bCs/>
                <w:i/>
                <w:sz w:val="20"/>
                <w:szCs w:val="20"/>
              </w:rPr>
              <w:t>37.1</w:t>
            </w:r>
          </w:p>
        </w:tc>
      </w:tr>
      <w:tr w:rsidR="00824371" w:rsidRPr="00E83432" w14:paraId="2199C229" w14:textId="77777777" w:rsidTr="00F21073">
        <w:trPr>
          <w:trHeight w:val="315"/>
        </w:trPr>
        <w:tc>
          <w:tcPr>
            <w:tcW w:w="704" w:type="pct"/>
            <w:hideMark/>
          </w:tcPr>
          <w:p w14:paraId="49763048" w14:textId="77777777" w:rsidR="00824371" w:rsidRPr="00E83432" w:rsidRDefault="00824371" w:rsidP="001D33B6">
            <w:pPr>
              <w:rPr>
                <w:sz w:val="20"/>
                <w:szCs w:val="20"/>
              </w:rPr>
            </w:pPr>
            <w:r w:rsidRPr="00E83432">
              <w:rPr>
                <w:sz w:val="20"/>
                <w:szCs w:val="20"/>
              </w:rPr>
              <w:t>Financial corporations</w:t>
            </w:r>
          </w:p>
        </w:tc>
        <w:tc>
          <w:tcPr>
            <w:tcW w:w="430" w:type="pct"/>
            <w:noWrap/>
            <w:vAlign w:val="bottom"/>
            <w:hideMark/>
          </w:tcPr>
          <w:p w14:paraId="56271A70" w14:textId="77777777" w:rsidR="00824371" w:rsidRPr="00E83432" w:rsidRDefault="00824371" w:rsidP="00824371">
            <w:pPr>
              <w:jc w:val="center"/>
              <w:rPr>
                <w:sz w:val="20"/>
                <w:szCs w:val="20"/>
              </w:rPr>
            </w:pPr>
            <w:r w:rsidRPr="00E83432">
              <w:rPr>
                <w:sz w:val="20"/>
                <w:szCs w:val="20"/>
              </w:rPr>
              <w:t>755.5</w:t>
            </w:r>
          </w:p>
        </w:tc>
        <w:tc>
          <w:tcPr>
            <w:tcW w:w="429" w:type="pct"/>
            <w:noWrap/>
            <w:vAlign w:val="bottom"/>
            <w:hideMark/>
          </w:tcPr>
          <w:p w14:paraId="352E2430" w14:textId="77777777" w:rsidR="00824371" w:rsidRPr="00E83432" w:rsidRDefault="00824371" w:rsidP="00824371">
            <w:pPr>
              <w:jc w:val="center"/>
              <w:rPr>
                <w:sz w:val="20"/>
                <w:szCs w:val="20"/>
              </w:rPr>
            </w:pPr>
            <w:r w:rsidRPr="00E83432">
              <w:rPr>
                <w:sz w:val="20"/>
                <w:szCs w:val="20"/>
              </w:rPr>
              <w:t>838.2</w:t>
            </w:r>
          </w:p>
        </w:tc>
        <w:tc>
          <w:tcPr>
            <w:tcW w:w="430" w:type="pct"/>
            <w:noWrap/>
            <w:vAlign w:val="bottom"/>
            <w:hideMark/>
          </w:tcPr>
          <w:p w14:paraId="462F15B0" w14:textId="77777777" w:rsidR="00824371" w:rsidRPr="00E83432" w:rsidRDefault="00824371" w:rsidP="00824371">
            <w:pPr>
              <w:jc w:val="center"/>
              <w:rPr>
                <w:sz w:val="20"/>
                <w:szCs w:val="20"/>
              </w:rPr>
            </w:pPr>
            <w:r w:rsidRPr="00E83432">
              <w:rPr>
                <w:sz w:val="20"/>
                <w:szCs w:val="20"/>
              </w:rPr>
              <w:t>1,129.9</w:t>
            </w:r>
          </w:p>
        </w:tc>
        <w:tc>
          <w:tcPr>
            <w:tcW w:w="430" w:type="pct"/>
            <w:noWrap/>
            <w:vAlign w:val="bottom"/>
            <w:hideMark/>
          </w:tcPr>
          <w:p w14:paraId="175FC905" w14:textId="77777777" w:rsidR="00824371" w:rsidRPr="00E83432" w:rsidRDefault="00824371" w:rsidP="00824371">
            <w:pPr>
              <w:jc w:val="center"/>
              <w:rPr>
                <w:sz w:val="20"/>
                <w:szCs w:val="20"/>
              </w:rPr>
            </w:pPr>
            <w:r w:rsidRPr="00E83432">
              <w:rPr>
                <w:sz w:val="20"/>
                <w:szCs w:val="20"/>
              </w:rPr>
              <w:t>998.9</w:t>
            </w:r>
          </w:p>
        </w:tc>
        <w:tc>
          <w:tcPr>
            <w:tcW w:w="430" w:type="pct"/>
            <w:noWrap/>
            <w:vAlign w:val="bottom"/>
            <w:hideMark/>
          </w:tcPr>
          <w:p w14:paraId="50AF949D" w14:textId="77777777" w:rsidR="00824371" w:rsidRPr="00E83432" w:rsidRDefault="00824371" w:rsidP="00824371">
            <w:pPr>
              <w:jc w:val="center"/>
              <w:rPr>
                <w:sz w:val="20"/>
                <w:szCs w:val="20"/>
              </w:rPr>
            </w:pPr>
            <w:r w:rsidRPr="00E83432">
              <w:rPr>
                <w:sz w:val="20"/>
                <w:szCs w:val="20"/>
              </w:rPr>
              <w:t>1,110.8</w:t>
            </w:r>
          </w:p>
        </w:tc>
        <w:tc>
          <w:tcPr>
            <w:tcW w:w="430" w:type="pct"/>
            <w:noWrap/>
            <w:vAlign w:val="bottom"/>
            <w:hideMark/>
          </w:tcPr>
          <w:p w14:paraId="7AE53608" w14:textId="77777777" w:rsidR="00824371" w:rsidRPr="00E83432" w:rsidRDefault="00824371" w:rsidP="00824371">
            <w:pPr>
              <w:jc w:val="center"/>
              <w:rPr>
                <w:sz w:val="20"/>
                <w:szCs w:val="20"/>
              </w:rPr>
            </w:pPr>
            <w:r w:rsidRPr="00E83432">
              <w:rPr>
                <w:sz w:val="20"/>
                <w:szCs w:val="20"/>
              </w:rPr>
              <w:t>1,176.1</w:t>
            </w:r>
          </w:p>
        </w:tc>
        <w:tc>
          <w:tcPr>
            <w:tcW w:w="430" w:type="pct"/>
            <w:noWrap/>
            <w:vAlign w:val="bottom"/>
            <w:hideMark/>
          </w:tcPr>
          <w:p w14:paraId="4656B96E" w14:textId="77777777" w:rsidR="00824371" w:rsidRPr="00E83432" w:rsidRDefault="00824371" w:rsidP="00824371">
            <w:pPr>
              <w:jc w:val="center"/>
              <w:rPr>
                <w:sz w:val="20"/>
                <w:szCs w:val="20"/>
              </w:rPr>
            </w:pPr>
            <w:r w:rsidRPr="00E83432">
              <w:rPr>
                <w:sz w:val="20"/>
                <w:szCs w:val="20"/>
              </w:rPr>
              <w:t>1,276.7</w:t>
            </w:r>
          </w:p>
        </w:tc>
        <w:tc>
          <w:tcPr>
            <w:tcW w:w="430" w:type="pct"/>
            <w:noWrap/>
            <w:vAlign w:val="bottom"/>
            <w:hideMark/>
          </w:tcPr>
          <w:p w14:paraId="081499CA" w14:textId="77777777" w:rsidR="00824371" w:rsidRPr="00E83432" w:rsidRDefault="00824371" w:rsidP="00824371">
            <w:pPr>
              <w:jc w:val="center"/>
              <w:rPr>
                <w:sz w:val="20"/>
                <w:szCs w:val="20"/>
              </w:rPr>
            </w:pPr>
            <w:r w:rsidRPr="00E83432">
              <w:rPr>
                <w:sz w:val="20"/>
                <w:szCs w:val="20"/>
              </w:rPr>
              <w:t>1,438.6</w:t>
            </w:r>
          </w:p>
        </w:tc>
        <w:tc>
          <w:tcPr>
            <w:tcW w:w="430" w:type="pct"/>
            <w:noWrap/>
            <w:vAlign w:val="bottom"/>
            <w:hideMark/>
          </w:tcPr>
          <w:p w14:paraId="195C9248" w14:textId="77777777" w:rsidR="00824371" w:rsidRPr="00E83432" w:rsidRDefault="00824371" w:rsidP="00824371">
            <w:pPr>
              <w:jc w:val="center"/>
              <w:rPr>
                <w:b/>
                <w:bCs/>
                <w:sz w:val="20"/>
                <w:szCs w:val="20"/>
              </w:rPr>
            </w:pPr>
            <w:r w:rsidRPr="00E83432">
              <w:rPr>
                <w:b/>
                <w:bCs/>
                <w:sz w:val="20"/>
                <w:szCs w:val="20"/>
              </w:rPr>
              <w:t>966.7</w:t>
            </w:r>
          </w:p>
        </w:tc>
        <w:tc>
          <w:tcPr>
            <w:tcW w:w="427" w:type="pct"/>
            <w:vAlign w:val="bottom"/>
          </w:tcPr>
          <w:p w14:paraId="0F649AF7" w14:textId="77777777" w:rsidR="00824371" w:rsidRPr="00E83432" w:rsidRDefault="00824371" w:rsidP="00824371">
            <w:pPr>
              <w:jc w:val="center"/>
              <w:rPr>
                <w:b/>
                <w:bCs/>
                <w:sz w:val="20"/>
                <w:szCs w:val="20"/>
              </w:rPr>
            </w:pPr>
            <w:r w:rsidRPr="00E83432">
              <w:rPr>
                <w:b/>
                <w:bCs/>
                <w:sz w:val="20"/>
                <w:szCs w:val="20"/>
              </w:rPr>
              <w:t>1,297.1</w:t>
            </w:r>
          </w:p>
        </w:tc>
      </w:tr>
      <w:tr w:rsidR="00824371" w:rsidRPr="00E83432" w14:paraId="2D65D650" w14:textId="77777777" w:rsidTr="00F21073">
        <w:trPr>
          <w:trHeight w:val="315"/>
        </w:trPr>
        <w:tc>
          <w:tcPr>
            <w:tcW w:w="704" w:type="pct"/>
            <w:hideMark/>
          </w:tcPr>
          <w:p w14:paraId="22BA5CDD" w14:textId="77777777" w:rsidR="00824371" w:rsidRPr="00E83432" w:rsidRDefault="00824371" w:rsidP="00824371">
            <w:pPr>
              <w:rPr>
                <w:i/>
                <w:sz w:val="20"/>
                <w:szCs w:val="20"/>
              </w:rPr>
            </w:pPr>
            <w:r w:rsidRPr="00E83432">
              <w:rPr>
                <w:i/>
                <w:sz w:val="20"/>
                <w:szCs w:val="20"/>
              </w:rPr>
              <w:t>Personal transfers</w:t>
            </w:r>
          </w:p>
        </w:tc>
        <w:tc>
          <w:tcPr>
            <w:tcW w:w="430" w:type="pct"/>
            <w:noWrap/>
            <w:vAlign w:val="bottom"/>
            <w:hideMark/>
          </w:tcPr>
          <w:p w14:paraId="62894613" w14:textId="77777777" w:rsidR="00824371" w:rsidRPr="00E83432" w:rsidRDefault="00824371" w:rsidP="00824371">
            <w:pPr>
              <w:jc w:val="center"/>
              <w:rPr>
                <w:i/>
                <w:sz w:val="20"/>
                <w:szCs w:val="20"/>
              </w:rPr>
            </w:pPr>
            <w:r w:rsidRPr="00E83432">
              <w:rPr>
                <w:i/>
                <w:sz w:val="20"/>
                <w:szCs w:val="20"/>
              </w:rPr>
              <w:t>751.4</w:t>
            </w:r>
          </w:p>
        </w:tc>
        <w:tc>
          <w:tcPr>
            <w:tcW w:w="429" w:type="pct"/>
            <w:noWrap/>
            <w:vAlign w:val="bottom"/>
            <w:hideMark/>
          </w:tcPr>
          <w:p w14:paraId="47524528" w14:textId="77777777" w:rsidR="00824371" w:rsidRPr="00E83432" w:rsidRDefault="00824371" w:rsidP="00824371">
            <w:pPr>
              <w:jc w:val="center"/>
              <w:rPr>
                <w:i/>
                <w:sz w:val="20"/>
                <w:szCs w:val="20"/>
              </w:rPr>
            </w:pPr>
            <w:r w:rsidRPr="00E83432">
              <w:rPr>
                <w:i/>
                <w:sz w:val="20"/>
                <w:szCs w:val="20"/>
              </w:rPr>
              <w:t>792.0</w:t>
            </w:r>
          </w:p>
        </w:tc>
        <w:tc>
          <w:tcPr>
            <w:tcW w:w="430" w:type="pct"/>
            <w:noWrap/>
            <w:vAlign w:val="bottom"/>
            <w:hideMark/>
          </w:tcPr>
          <w:p w14:paraId="3A33EBD8" w14:textId="77777777" w:rsidR="00824371" w:rsidRPr="00E83432" w:rsidRDefault="00824371" w:rsidP="00824371">
            <w:pPr>
              <w:jc w:val="center"/>
              <w:rPr>
                <w:i/>
                <w:sz w:val="20"/>
                <w:szCs w:val="20"/>
              </w:rPr>
            </w:pPr>
            <w:r w:rsidRPr="00E83432">
              <w:rPr>
                <w:i/>
                <w:sz w:val="20"/>
                <w:szCs w:val="20"/>
              </w:rPr>
              <w:t>976.0</w:t>
            </w:r>
          </w:p>
        </w:tc>
        <w:tc>
          <w:tcPr>
            <w:tcW w:w="430" w:type="pct"/>
            <w:noWrap/>
            <w:vAlign w:val="bottom"/>
            <w:hideMark/>
          </w:tcPr>
          <w:p w14:paraId="74EB8EEA" w14:textId="77777777" w:rsidR="00824371" w:rsidRPr="00E83432" w:rsidRDefault="00824371" w:rsidP="00824371">
            <w:pPr>
              <w:jc w:val="center"/>
              <w:rPr>
                <w:i/>
                <w:sz w:val="20"/>
                <w:szCs w:val="20"/>
              </w:rPr>
            </w:pPr>
            <w:r w:rsidRPr="00E83432">
              <w:rPr>
                <w:i/>
                <w:sz w:val="20"/>
                <w:szCs w:val="20"/>
              </w:rPr>
              <w:t>889.7</w:t>
            </w:r>
          </w:p>
        </w:tc>
        <w:tc>
          <w:tcPr>
            <w:tcW w:w="430" w:type="pct"/>
            <w:noWrap/>
            <w:vAlign w:val="bottom"/>
            <w:hideMark/>
          </w:tcPr>
          <w:p w14:paraId="0BD691DC" w14:textId="77777777" w:rsidR="00824371" w:rsidRPr="00E83432" w:rsidRDefault="00824371" w:rsidP="00824371">
            <w:pPr>
              <w:jc w:val="center"/>
              <w:rPr>
                <w:i/>
                <w:sz w:val="20"/>
                <w:szCs w:val="20"/>
              </w:rPr>
            </w:pPr>
            <w:r w:rsidRPr="00E83432">
              <w:rPr>
                <w:i/>
                <w:sz w:val="20"/>
                <w:szCs w:val="20"/>
              </w:rPr>
              <w:t>916.5</w:t>
            </w:r>
          </w:p>
        </w:tc>
        <w:tc>
          <w:tcPr>
            <w:tcW w:w="430" w:type="pct"/>
            <w:noWrap/>
            <w:vAlign w:val="bottom"/>
            <w:hideMark/>
          </w:tcPr>
          <w:p w14:paraId="41A6594C" w14:textId="77777777" w:rsidR="00824371" w:rsidRPr="00E83432" w:rsidRDefault="00824371" w:rsidP="00824371">
            <w:pPr>
              <w:jc w:val="center"/>
              <w:rPr>
                <w:i/>
                <w:sz w:val="20"/>
                <w:szCs w:val="20"/>
              </w:rPr>
            </w:pPr>
            <w:r w:rsidRPr="00E83432">
              <w:rPr>
                <w:i/>
                <w:sz w:val="20"/>
                <w:szCs w:val="20"/>
              </w:rPr>
              <w:t>953.6</w:t>
            </w:r>
          </w:p>
        </w:tc>
        <w:tc>
          <w:tcPr>
            <w:tcW w:w="430" w:type="pct"/>
            <w:noWrap/>
            <w:vAlign w:val="bottom"/>
            <w:hideMark/>
          </w:tcPr>
          <w:p w14:paraId="25BC912D" w14:textId="77777777" w:rsidR="00824371" w:rsidRPr="00E83432" w:rsidRDefault="00824371" w:rsidP="00824371">
            <w:pPr>
              <w:jc w:val="center"/>
              <w:rPr>
                <w:i/>
                <w:sz w:val="20"/>
                <w:szCs w:val="20"/>
              </w:rPr>
            </w:pPr>
            <w:r w:rsidRPr="00E83432">
              <w:rPr>
                <w:i/>
                <w:sz w:val="20"/>
                <w:szCs w:val="20"/>
              </w:rPr>
              <w:t>1,163.9</w:t>
            </w:r>
          </w:p>
        </w:tc>
        <w:tc>
          <w:tcPr>
            <w:tcW w:w="430" w:type="pct"/>
            <w:noWrap/>
            <w:vAlign w:val="bottom"/>
            <w:hideMark/>
          </w:tcPr>
          <w:p w14:paraId="4E1A39A6" w14:textId="77777777" w:rsidR="00824371" w:rsidRPr="00E83432" w:rsidRDefault="00824371" w:rsidP="00824371">
            <w:pPr>
              <w:jc w:val="center"/>
              <w:rPr>
                <w:i/>
                <w:sz w:val="20"/>
                <w:szCs w:val="20"/>
              </w:rPr>
            </w:pPr>
            <w:r w:rsidRPr="00E83432">
              <w:rPr>
                <w:i/>
                <w:sz w:val="20"/>
                <w:szCs w:val="20"/>
              </w:rPr>
              <w:t>1,244.7</w:t>
            </w:r>
          </w:p>
        </w:tc>
        <w:tc>
          <w:tcPr>
            <w:tcW w:w="430" w:type="pct"/>
            <w:noWrap/>
            <w:vAlign w:val="bottom"/>
            <w:hideMark/>
          </w:tcPr>
          <w:p w14:paraId="5F226806" w14:textId="77777777" w:rsidR="00824371" w:rsidRPr="00E83432" w:rsidRDefault="00824371" w:rsidP="00824371">
            <w:pPr>
              <w:jc w:val="center"/>
              <w:rPr>
                <w:b/>
                <w:bCs/>
                <w:i/>
                <w:sz w:val="20"/>
                <w:szCs w:val="20"/>
              </w:rPr>
            </w:pPr>
            <w:r w:rsidRPr="00E83432">
              <w:rPr>
                <w:b/>
                <w:bCs/>
                <w:i/>
                <w:sz w:val="20"/>
                <w:szCs w:val="20"/>
              </w:rPr>
              <w:t>865.1</w:t>
            </w:r>
          </w:p>
        </w:tc>
        <w:tc>
          <w:tcPr>
            <w:tcW w:w="427" w:type="pct"/>
            <w:vAlign w:val="bottom"/>
          </w:tcPr>
          <w:p w14:paraId="45FD9C66" w14:textId="77777777" w:rsidR="00824371" w:rsidRPr="00E83432" w:rsidRDefault="00824371" w:rsidP="00824371">
            <w:pPr>
              <w:jc w:val="center"/>
              <w:rPr>
                <w:b/>
                <w:bCs/>
                <w:i/>
                <w:sz w:val="20"/>
                <w:szCs w:val="20"/>
              </w:rPr>
            </w:pPr>
            <w:r w:rsidRPr="00E83432">
              <w:rPr>
                <w:b/>
                <w:bCs/>
                <w:i/>
                <w:sz w:val="20"/>
                <w:szCs w:val="20"/>
              </w:rPr>
              <w:t>1,120.7</w:t>
            </w:r>
          </w:p>
        </w:tc>
      </w:tr>
      <w:tr w:rsidR="00824371" w:rsidRPr="00E83432" w14:paraId="07EE155D" w14:textId="77777777" w:rsidTr="00F21073">
        <w:trPr>
          <w:trHeight w:val="315"/>
        </w:trPr>
        <w:tc>
          <w:tcPr>
            <w:tcW w:w="704" w:type="pct"/>
            <w:hideMark/>
          </w:tcPr>
          <w:p w14:paraId="36DB8C10" w14:textId="77777777" w:rsidR="00824371" w:rsidRPr="00E83432" w:rsidRDefault="00824371" w:rsidP="00824371">
            <w:pPr>
              <w:rPr>
                <w:i/>
                <w:sz w:val="20"/>
                <w:szCs w:val="20"/>
              </w:rPr>
            </w:pPr>
            <w:r w:rsidRPr="00E83432">
              <w:rPr>
                <w:i/>
                <w:sz w:val="20"/>
                <w:szCs w:val="20"/>
              </w:rPr>
              <w:t>NGO's</w:t>
            </w:r>
          </w:p>
        </w:tc>
        <w:tc>
          <w:tcPr>
            <w:tcW w:w="430" w:type="pct"/>
            <w:noWrap/>
            <w:vAlign w:val="bottom"/>
            <w:hideMark/>
          </w:tcPr>
          <w:p w14:paraId="1F9902DA" w14:textId="77777777" w:rsidR="00824371" w:rsidRPr="00E83432" w:rsidRDefault="00824371" w:rsidP="00824371">
            <w:pPr>
              <w:jc w:val="center"/>
              <w:rPr>
                <w:i/>
                <w:sz w:val="20"/>
                <w:szCs w:val="20"/>
              </w:rPr>
            </w:pPr>
            <w:r w:rsidRPr="00E83432">
              <w:rPr>
                <w:i/>
                <w:sz w:val="20"/>
                <w:szCs w:val="20"/>
              </w:rPr>
              <w:t>262.1</w:t>
            </w:r>
          </w:p>
        </w:tc>
        <w:tc>
          <w:tcPr>
            <w:tcW w:w="429" w:type="pct"/>
            <w:noWrap/>
            <w:vAlign w:val="bottom"/>
            <w:hideMark/>
          </w:tcPr>
          <w:p w14:paraId="4C0F3225" w14:textId="77777777" w:rsidR="00824371" w:rsidRPr="00E83432" w:rsidRDefault="00824371" w:rsidP="00824371">
            <w:pPr>
              <w:jc w:val="center"/>
              <w:rPr>
                <w:i/>
                <w:sz w:val="20"/>
                <w:szCs w:val="20"/>
              </w:rPr>
            </w:pPr>
            <w:r w:rsidRPr="00E83432">
              <w:rPr>
                <w:i/>
                <w:sz w:val="20"/>
                <w:szCs w:val="20"/>
              </w:rPr>
              <w:t>254.2</w:t>
            </w:r>
          </w:p>
        </w:tc>
        <w:tc>
          <w:tcPr>
            <w:tcW w:w="430" w:type="pct"/>
            <w:noWrap/>
            <w:vAlign w:val="bottom"/>
            <w:hideMark/>
          </w:tcPr>
          <w:p w14:paraId="7E03A42F" w14:textId="77777777" w:rsidR="00824371" w:rsidRPr="00E83432" w:rsidRDefault="00824371" w:rsidP="00824371">
            <w:pPr>
              <w:jc w:val="center"/>
              <w:rPr>
                <w:i/>
                <w:sz w:val="20"/>
                <w:szCs w:val="20"/>
              </w:rPr>
            </w:pPr>
            <w:r w:rsidRPr="00E83432">
              <w:rPr>
                <w:i/>
                <w:sz w:val="20"/>
                <w:szCs w:val="20"/>
              </w:rPr>
              <w:t>313.2</w:t>
            </w:r>
          </w:p>
        </w:tc>
        <w:tc>
          <w:tcPr>
            <w:tcW w:w="430" w:type="pct"/>
            <w:noWrap/>
            <w:vAlign w:val="bottom"/>
            <w:hideMark/>
          </w:tcPr>
          <w:p w14:paraId="6CBE8ABE" w14:textId="77777777" w:rsidR="00824371" w:rsidRPr="00E83432" w:rsidRDefault="00824371" w:rsidP="00824371">
            <w:pPr>
              <w:jc w:val="center"/>
              <w:rPr>
                <w:i/>
                <w:sz w:val="20"/>
                <w:szCs w:val="20"/>
              </w:rPr>
            </w:pPr>
            <w:r w:rsidRPr="00E83432">
              <w:rPr>
                <w:i/>
                <w:sz w:val="20"/>
                <w:szCs w:val="20"/>
              </w:rPr>
              <w:t>303.4</w:t>
            </w:r>
          </w:p>
        </w:tc>
        <w:tc>
          <w:tcPr>
            <w:tcW w:w="430" w:type="pct"/>
            <w:noWrap/>
            <w:vAlign w:val="bottom"/>
            <w:hideMark/>
          </w:tcPr>
          <w:p w14:paraId="64DD9BF9" w14:textId="77777777" w:rsidR="00824371" w:rsidRPr="00E83432" w:rsidRDefault="00824371" w:rsidP="00824371">
            <w:pPr>
              <w:jc w:val="center"/>
              <w:rPr>
                <w:i/>
                <w:sz w:val="20"/>
                <w:szCs w:val="20"/>
              </w:rPr>
            </w:pPr>
            <w:r w:rsidRPr="00E83432">
              <w:rPr>
                <w:i/>
                <w:sz w:val="20"/>
                <w:szCs w:val="20"/>
              </w:rPr>
              <w:t>380.5</w:t>
            </w:r>
          </w:p>
        </w:tc>
        <w:tc>
          <w:tcPr>
            <w:tcW w:w="430" w:type="pct"/>
            <w:noWrap/>
            <w:vAlign w:val="bottom"/>
            <w:hideMark/>
          </w:tcPr>
          <w:p w14:paraId="24B59087" w14:textId="77777777" w:rsidR="00824371" w:rsidRPr="00E83432" w:rsidRDefault="00824371" w:rsidP="00824371">
            <w:pPr>
              <w:jc w:val="center"/>
              <w:rPr>
                <w:i/>
                <w:sz w:val="20"/>
                <w:szCs w:val="20"/>
              </w:rPr>
            </w:pPr>
            <w:r w:rsidRPr="00E83432">
              <w:rPr>
                <w:i/>
                <w:sz w:val="20"/>
                <w:szCs w:val="20"/>
              </w:rPr>
              <w:t>370.1</w:t>
            </w:r>
          </w:p>
        </w:tc>
        <w:tc>
          <w:tcPr>
            <w:tcW w:w="430" w:type="pct"/>
            <w:noWrap/>
            <w:vAlign w:val="bottom"/>
            <w:hideMark/>
          </w:tcPr>
          <w:p w14:paraId="64764230" w14:textId="77777777" w:rsidR="00824371" w:rsidRPr="00E83432" w:rsidRDefault="00824371" w:rsidP="00824371">
            <w:pPr>
              <w:jc w:val="center"/>
              <w:rPr>
                <w:i/>
                <w:sz w:val="20"/>
                <w:szCs w:val="20"/>
              </w:rPr>
            </w:pPr>
            <w:r w:rsidRPr="00E83432">
              <w:rPr>
                <w:i/>
                <w:sz w:val="20"/>
                <w:szCs w:val="20"/>
              </w:rPr>
              <w:t>304.1</w:t>
            </w:r>
          </w:p>
        </w:tc>
        <w:tc>
          <w:tcPr>
            <w:tcW w:w="430" w:type="pct"/>
            <w:noWrap/>
            <w:vAlign w:val="bottom"/>
            <w:hideMark/>
          </w:tcPr>
          <w:p w14:paraId="27D61FA7" w14:textId="77777777" w:rsidR="00824371" w:rsidRPr="00E83432" w:rsidRDefault="00824371" w:rsidP="00824371">
            <w:pPr>
              <w:jc w:val="center"/>
              <w:rPr>
                <w:i/>
                <w:sz w:val="20"/>
                <w:szCs w:val="20"/>
              </w:rPr>
            </w:pPr>
            <w:r w:rsidRPr="00E83432">
              <w:rPr>
                <w:i/>
                <w:sz w:val="20"/>
                <w:szCs w:val="20"/>
              </w:rPr>
              <w:t>386.6</w:t>
            </w:r>
          </w:p>
        </w:tc>
        <w:tc>
          <w:tcPr>
            <w:tcW w:w="430" w:type="pct"/>
            <w:noWrap/>
            <w:vAlign w:val="bottom"/>
            <w:hideMark/>
          </w:tcPr>
          <w:p w14:paraId="5C8918F1" w14:textId="77777777" w:rsidR="00824371" w:rsidRPr="00E83432" w:rsidRDefault="00824371" w:rsidP="00824371">
            <w:pPr>
              <w:jc w:val="center"/>
              <w:rPr>
                <w:b/>
                <w:bCs/>
                <w:i/>
                <w:sz w:val="20"/>
                <w:szCs w:val="20"/>
              </w:rPr>
            </w:pPr>
            <w:r w:rsidRPr="00E83432">
              <w:rPr>
                <w:b/>
                <w:bCs/>
                <w:i/>
                <w:sz w:val="20"/>
                <w:szCs w:val="20"/>
              </w:rPr>
              <w:t>302.7</w:t>
            </w:r>
          </w:p>
        </w:tc>
        <w:tc>
          <w:tcPr>
            <w:tcW w:w="427" w:type="pct"/>
            <w:vAlign w:val="bottom"/>
          </w:tcPr>
          <w:p w14:paraId="128EB623" w14:textId="77777777" w:rsidR="00824371" w:rsidRPr="00E83432" w:rsidRDefault="00824371" w:rsidP="00824371">
            <w:pPr>
              <w:jc w:val="center"/>
              <w:rPr>
                <w:b/>
                <w:bCs/>
                <w:i/>
                <w:sz w:val="20"/>
                <w:szCs w:val="20"/>
              </w:rPr>
            </w:pPr>
            <w:r w:rsidRPr="00E83432">
              <w:rPr>
                <w:b/>
                <w:bCs/>
                <w:i/>
                <w:sz w:val="20"/>
                <w:szCs w:val="20"/>
              </w:rPr>
              <w:t>353.6</w:t>
            </w:r>
          </w:p>
        </w:tc>
      </w:tr>
    </w:tbl>
    <w:p w14:paraId="53B6508C" w14:textId="77777777" w:rsidR="00824371" w:rsidRPr="000E1B7E" w:rsidRDefault="001D33B6" w:rsidP="005959B5">
      <w:pPr>
        <w:jc w:val="both"/>
      </w:pPr>
      <w:r w:rsidRPr="000E1B7E">
        <w:t>Source: Bank of Uganda</w:t>
      </w:r>
    </w:p>
    <w:p w14:paraId="143CFACE" w14:textId="77777777" w:rsidR="00824371" w:rsidRPr="000E1B7E" w:rsidRDefault="00824371" w:rsidP="005959B5">
      <w:pPr>
        <w:jc w:val="both"/>
      </w:pPr>
    </w:p>
    <w:p w14:paraId="026E728D" w14:textId="77777777" w:rsidR="00824371" w:rsidRPr="000E1B7E" w:rsidRDefault="00824371" w:rsidP="005959B5">
      <w:pPr>
        <w:jc w:val="both"/>
      </w:pPr>
    </w:p>
    <w:p w14:paraId="622D4A29" w14:textId="77777777" w:rsidR="009D604E" w:rsidRPr="000E1B7E" w:rsidRDefault="009D604E" w:rsidP="005959B5">
      <w:pPr>
        <w:jc w:val="both"/>
      </w:pPr>
    </w:p>
    <w:p w14:paraId="7E82F6E9" w14:textId="77777777" w:rsidR="004E64B1" w:rsidRPr="000E1B7E" w:rsidRDefault="002B072B" w:rsidP="00C11847">
      <w:pPr>
        <w:pStyle w:val="DeltaSeched2"/>
      </w:pPr>
      <w:bookmarkStart w:id="148" w:name="_Toc3478398"/>
      <w:bookmarkStart w:id="149" w:name="_Toc11956278"/>
      <w:r w:rsidRPr="000E1B7E">
        <w:lastRenderedPageBreak/>
        <w:t>Balance of Payments</w:t>
      </w:r>
      <w:bookmarkEnd w:id="148"/>
      <w:bookmarkEnd w:id="149"/>
    </w:p>
    <w:p w14:paraId="01474EB2" w14:textId="77777777" w:rsidR="00061159" w:rsidRPr="000E1B7E" w:rsidRDefault="006933A0" w:rsidP="008624B5">
      <w:pPr>
        <w:pStyle w:val="DeltaBodytext"/>
        <w:numPr>
          <w:ilvl w:val="0"/>
          <w:numId w:val="26"/>
        </w:numPr>
        <w:autoSpaceDE w:val="0"/>
        <w:autoSpaceDN w:val="0"/>
        <w:adjustRightInd w:val="0"/>
        <w:spacing w:before="240" w:line="360" w:lineRule="auto"/>
        <w:ind w:left="567" w:hanging="567"/>
        <w:rPr>
          <w:rFonts w:ascii="Times New Roman" w:hAnsi="Times New Roman"/>
          <w:b/>
        </w:rPr>
      </w:pPr>
      <w:r w:rsidRPr="000E1B7E">
        <w:rPr>
          <w:rFonts w:ascii="Times New Roman" w:hAnsi="Times New Roman"/>
          <w:sz w:val="24"/>
          <w:szCs w:val="24"/>
        </w:rPr>
        <w:t xml:space="preserve">The current account </w:t>
      </w:r>
      <w:r w:rsidR="00A72842" w:rsidRPr="000E1B7E">
        <w:rPr>
          <w:rFonts w:ascii="Times New Roman" w:hAnsi="Times New Roman"/>
          <w:sz w:val="24"/>
          <w:szCs w:val="24"/>
        </w:rPr>
        <w:t>balance</w:t>
      </w:r>
      <w:r w:rsidR="008624B5" w:rsidRPr="000E1B7E">
        <w:rPr>
          <w:rFonts w:ascii="Times New Roman" w:hAnsi="Times New Roman"/>
          <w:sz w:val="24"/>
          <w:szCs w:val="24"/>
        </w:rPr>
        <w:t xml:space="preserve"> </w:t>
      </w:r>
      <w:r w:rsidR="0004103F" w:rsidRPr="000E1B7E">
        <w:rPr>
          <w:rFonts w:ascii="Times New Roman" w:hAnsi="Times New Roman"/>
          <w:sz w:val="24"/>
          <w:szCs w:val="24"/>
        </w:rPr>
        <w:t>has remained in defi</w:t>
      </w:r>
      <w:r w:rsidR="00A85EA6" w:rsidRPr="000E1B7E">
        <w:rPr>
          <w:rFonts w:ascii="Times New Roman" w:hAnsi="Times New Roman"/>
          <w:sz w:val="24"/>
          <w:szCs w:val="24"/>
        </w:rPr>
        <w:t xml:space="preserve">cit </w:t>
      </w:r>
      <w:r w:rsidR="0004103F" w:rsidRPr="000E1B7E">
        <w:rPr>
          <w:rFonts w:ascii="Times New Roman" w:hAnsi="Times New Roman"/>
          <w:sz w:val="24"/>
          <w:szCs w:val="24"/>
        </w:rPr>
        <w:t xml:space="preserve">due to the high and increasing </w:t>
      </w:r>
      <w:r w:rsidR="00A85EA6" w:rsidRPr="000E1B7E">
        <w:rPr>
          <w:rFonts w:ascii="Times New Roman" w:hAnsi="Times New Roman"/>
          <w:sz w:val="24"/>
          <w:szCs w:val="24"/>
        </w:rPr>
        <w:t xml:space="preserve">import </w:t>
      </w:r>
      <w:r w:rsidR="0004103F" w:rsidRPr="000E1B7E">
        <w:rPr>
          <w:rFonts w:ascii="Times New Roman" w:hAnsi="Times New Roman"/>
          <w:sz w:val="24"/>
          <w:szCs w:val="24"/>
        </w:rPr>
        <w:t>bill despite the growth in exports.</w:t>
      </w:r>
      <w:r w:rsidR="00A85EA6" w:rsidRPr="000E1B7E">
        <w:rPr>
          <w:rFonts w:ascii="Times New Roman" w:hAnsi="Times New Roman"/>
          <w:sz w:val="24"/>
          <w:szCs w:val="24"/>
        </w:rPr>
        <w:t xml:space="preserve"> </w:t>
      </w:r>
      <w:r w:rsidR="00A72842" w:rsidRPr="000E1B7E">
        <w:rPr>
          <w:rFonts w:ascii="Times New Roman" w:hAnsi="Times New Roman"/>
          <w:sz w:val="24"/>
          <w:szCs w:val="24"/>
        </w:rPr>
        <w:t>The current account balance improved from a deficit of $2,</w:t>
      </w:r>
      <w:r w:rsidR="0004103F" w:rsidRPr="000E1B7E">
        <w:rPr>
          <w:rFonts w:ascii="Times New Roman" w:hAnsi="Times New Roman"/>
          <w:sz w:val="24"/>
          <w:szCs w:val="24"/>
        </w:rPr>
        <w:t>038.9</w:t>
      </w:r>
      <w:r w:rsidR="00A72842" w:rsidRPr="000E1B7E">
        <w:rPr>
          <w:rFonts w:ascii="Times New Roman" w:hAnsi="Times New Roman"/>
          <w:sz w:val="24"/>
          <w:szCs w:val="24"/>
        </w:rPr>
        <w:t xml:space="preserve"> million</w:t>
      </w:r>
      <w:r w:rsidR="0004103F" w:rsidRPr="000E1B7E">
        <w:rPr>
          <w:rFonts w:ascii="Times New Roman" w:hAnsi="Times New Roman"/>
          <w:sz w:val="24"/>
          <w:szCs w:val="24"/>
        </w:rPr>
        <w:t xml:space="preserve"> in 2013/14</w:t>
      </w:r>
      <w:r w:rsidR="00A72842" w:rsidRPr="000E1B7E">
        <w:rPr>
          <w:rFonts w:ascii="Times New Roman" w:hAnsi="Times New Roman"/>
          <w:sz w:val="24"/>
          <w:szCs w:val="24"/>
        </w:rPr>
        <w:t>, reaching $</w:t>
      </w:r>
      <w:r w:rsidR="0004103F" w:rsidRPr="000E1B7E">
        <w:rPr>
          <w:rFonts w:ascii="Times New Roman" w:hAnsi="Times New Roman"/>
          <w:sz w:val="24"/>
          <w:szCs w:val="24"/>
        </w:rPr>
        <w:t>1,019.9m</w:t>
      </w:r>
      <w:r w:rsidR="00A72842" w:rsidRPr="000E1B7E">
        <w:rPr>
          <w:rFonts w:ascii="Times New Roman" w:hAnsi="Times New Roman"/>
          <w:sz w:val="24"/>
          <w:szCs w:val="24"/>
        </w:rPr>
        <w:t xml:space="preserve"> million in 2016/17 before deteriorating to $.</w:t>
      </w:r>
      <w:r w:rsidR="0004103F" w:rsidRPr="000E1B7E">
        <w:rPr>
          <w:rFonts w:ascii="Times New Roman" w:hAnsi="Times New Roman"/>
          <w:sz w:val="24"/>
          <w:szCs w:val="24"/>
        </w:rPr>
        <w:t>1,805.9</w:t>
      </w:r>
      <w:r w:rsidR="00A72842" w:rsidRPr="000E1B7E">
        <w:rPr>
          <w:rFonts w:ascii="Times New Roman" w:hAnsi="Times New Roman"/>
          <w:sz w:val="24"/>
          <w:szCs w:val="24"/>
        </w:rPr>
        <w:t xml:space="preserve"> in 2017/18</w:t>
      </w:r>
      <w:r w:rsidR="00623514" w:rsidRPr="000E1B7E">
        <w:rPr>
          <w:rFonts w:ascii="Times New Roman" w:hAnsi="Times New Roman"/>
          <w:sz w:val="24"/>
          <w:szCs w:val="24"/>
        </w:rPr>
        <w:t xml:space="preserve">. The capital account has registered positive and improving balances albeit from a low base as summarised in table </w:t>
      </w:r>
      <w:r w:rsidR="0004103F" w:rsidRPr="000E1B7E">
        <w:rPr>
          <w:rFonts w:ascii="Times New Roman" w:hAnsi="Times New Roman"/>
          <w:sz w:val="24"/>
          <w:szCs w:val="24"/>
        </w:rPr>
        <w:t>23</w:t>
      </w:r>
      <w:r w:rsidR="00577A3C" w:rsidRPr="000E1B7E">
        <w:rPr>
          <w:rFonts w:ascii="Times New Roman" w:hAnsi="Times New Roman"/>
          <w:sz w:val="24"/>
          <w:szCs w:val="24"/>
        </w:rPr>
        <w:t>.</w:t>
      </w:r>
    </w:p>
    <w:p w14:paraId="27A2B47E" w14:textId="77777777" w:rsidR="00F402C3" w:rsidRPr="000E1B7E" w:rsidRDefault="00061159" w:rsidP="00061159">
      <w:pPr>
        <w:pStyle w:val="Caption"/>
        <w:rPr>
          <w:rFonts w:ascii="Times New Roman" w:eastAsia="Calibri" w:hAnsi="Times New Roman" w:cs="Times New Roman"/>
          <w:b/>
          <w:i w:val="0"/>
          <w:iCs w:val="0"/>
          <w:color w:val="auto"/>
          <w:sz w:val="24"/>
          <w:szCs w:val="24"/>
          <w:lang w:val="en-GB"/>
        </w:rPr>
      </w:pPr>
      <w:bookmarkStart w:id="150" w:name="_Toc3483129"/>
      <w:r w:rsidRPr="000E1B7E">
        <w:rPr>
          <w:rFonts w:ascii="Times New Roman" w:eastAsia="Calibri" w:hAnsi="Times New Roman" w:cs="Times New Roman"/>
          <w:b/>
          <w:i w:val="0"/>
          <w:iCs w:val="0"/>
          <w:color w:val="auto"/>
          <w:sz w:val="24"/>
          <w:szCs w:val="24"/>
          <w:lang w:val="en-GB"/>
        </w:rPr>
        <w:t xml:space="preserve">Table </w:t>
      </w:r>
      <w:r w:rsidR="0004103F" w:rsidRPr="000E1B7E">
        <w:rPr>
          <w:rFonts w:ascii="Times New Roman" w:eastAsia="Calibri" w:hAnsi="Times New Roman" w:cs="Times New Roman"/>
          <w:b/>
          <w:i w:val="0"/>
          <w:iCs w:val="0"/>
          <w:color w:val="auto"/>
          <w:sz w:val="24"/>
          <w:szCs w:val="24"/>
          <w:lang w:val="en-GB"/>
        </w:rPr>
        <w:t>23</w:t>
      </w:r>
      <w:r w:rsidR="002C5308" w:rsidRPr="000E1B7E">
        <w:rPr>
          <w:rFonts w:ascii="Times New Roman" w:eastAsia="Calibri" w:hAnsi="Times New Roman" w:cs="Times New Roman"/>
          <w:b/>
          <w:i w:val="0"/>
          <w:iCs w:val="0"/>
          <w:color w:val="auto"/>
          <w:sz w:val="24"/>
          <w:szCs w:val="24"/>
          <w:lang w:val="en-GB"/>
        </w:rPr>
        <w:t>: Balance of payments (USD million)</w:t>
      </w:r>
      <w:bookmarkEnd w:id="150"/>
    </w:p>
    <w:tbl>
      <w:tblPr>
        <w:tblW w:w="9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901"/>
        <w:gridCol w:w="945"/>
        <w:gridCol w:w="928"/>
        <w:gridCol w:w="928"/>
        <w:gridCol w:w="918"/>
        <w:gridCol w:w="928"/>
        <w:gridCol w:w="918"/>
        <w:gridCol w:w="1008"/>
      </w:tblGrid>
      <w:tr w:rsidR="00A85EA6" w:rsidRPr="000B7A9D" w14:paraId="45B42AFB" w14:textId="77777777" w:rsidTr="00A85EA6">
        <w:trPr>
          <w:trHeight w:val="315"/>
        </w:trPr>
        <w:tc>
          <w:tcPr>
            <w:tcW w:w="2085" w:type="dxa"/>
            <w:shd w:val="clear" w:color="000000" w:fill="BFBFBF"/>
            <w:noWrap/>
            <w:vAlign w:val="bottom"/>
            <w:hideMark/>
          </w:tcPr>
          <w:p w14:paraId="27F31799" w14:textId="77777777" w:rsidR="00A85EA6" w:rsidRPr="000B7A9D" w:rsidRDefault="00A85EA6" w:rsidP="00A85EA6">
            <w:pPr>
              <w:rPr>
                <w:b/>
                <w:bCs/>
                <w:sz w:val="20"/>
                <w:szCs w:val="20"/>
                <w:lang w:val="en-US"/>
              </w:rPr>
            </w:pPr>
            <w:r w:rsidRPr="000B7A9D">
              <w:rPr>
                <w:b/>
                <w:bCs/>
                <w:sz w:val="20"/>
                <w:szCs w:val="20"/>
                <w:lang w:val="en-US"/>
              </w:rPr>
              <w:t> </w:t>
            </w:r>
          </w:p>
        </w:tc>
        <w:tc>
          <w:tcPr>
            <w:tcW w:w="901" w:type="dxa"/>
            <w:shd w:val="clear" w:color="000000" w:fill="BFBFBF"/>
            <w:noWrap/>
            <w:vAlign w:val="bottom"/>
            <w:hideMark/>
          </w:tcPr>
          <w:p w14:paraId="33DD150C"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c>
          <w:tcPr>
            <w:tcW w:w="945" w:type="dxa"/>
            <w:shd w:val="clear" w:color="000000" w:fill="BFBFBF"/>
            <w:noWrap/>
            <w:vAlign w:val="bottom"/>
            <w:hideMark/>
          </w:tcPr>
          <w:p w14:paraId="437D41FE"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c>
          <w:tcPr>
            <w:tcW w:w="928" w:type="dxa"/>
            <w:shd w:val="clear" w:color="000000" w:fill="BFBFBF"/>
            <w:noWrap/>
            <w:vAlign w:val="bottom"/>
            <w:hideMark/>
          </w:tcPr>
          <w:p w14:paraId="37597A30"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c>
          <w:tcPr>
            <w:tcW w:w="928" w:type="dxa"/>
            <w:shd w:val="clear" w:color="000000" w:fill="BFBFBF"/>
            <w:noWrap/>
            <w:vAlign w:val="bottom"/>
            <w:hideMark/>
          </w:tcPr>
          <w:p w14:paraId="7EB15B8D"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c>
          <w:tcPr>
            <w:tcW w:w="918" w:type="dxa"/>
            <w:shd w:val="clear" w:color="000000" w:fill="BFBFBF"/>
            <w:noWrap/>
            <w:vAlign w:val="bottom"/>
            <w:hideMark/>
          </w:tcPr>
          <w:p w14:paraId="75122170"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c>
          <w:tcPr>
            <w:tcW w:w="928" w:type="dxa"/>
            <w:shd w:val="clear" w:color="000000" w:fill="BFBFBF"/>
            <w:noWrap/>
            <w:vAlign w:val="bottom"/>
            <w:hideMark/>
          </w:tcPr>
          <w:p w14:paraId="5399B135"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c>
          <w:tcPr>
            <w:tcW w:w="918" w:type="dxa"/>
            <w:shd w:val="clear" w:color="000000" w:fill="BFBFBF"/>
            <w:noWrap/>
            <w:vAlign w:val="bottom"/>
            <w:hideMark/>
          </w:tcPr>
          <w:p w14:paraId="4A303145"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c>
          <w:tcPr>
            <w:tcW w:w="1008" w:type="dxa"/>
            <w:shd w:val="clear" w:color="000000" w:fill="BFBFBF"/>
            <w:noWrap/>
            <w:vAlign w:val="bottom"/>
            <w:hideMark/>
          </w:tcPr>
          <w:p w14:paraId="35DEF6F0" w14:textId="77777777" w:rsidR="00A85EA6" w:rsidRPr="000B7A9D" w:rsidRDefault="00A85EA6" w:rsidP="00A85EA6">
            <w:pPr>
              <w:ind w:left="-108" w:right="-128"/>
              <w:jc w:val="center"/>
              <w:rPr>
                <w:b/>
                <w:bCs/>
                <w:sz w:val="20"/>
                <w:szCs w:val="20"/>
                <w:lang w:val="en-US"/>
              </w:rPr>
            </w:pPr>
            <w:r w:rsidRPr="000B7A9D">
              <w:rPr>
                <w:b/>
                <w:bCs/>
                <w:sz w:val="20"/>
                <w:szCs w:val="20"/>
                <w:lang w:val="en-US"/>
              </w:rPr>
              <w:t>FY</w:t>
            </w:r>
          </w:p>
        </w:tc>
      </w:tr>
      <w:tr w:rsidR="00A85EA6" w:rsidRPr="000B7A9D" w14:paraId="01112708" w14:textId="77777777" w:rsidTr="00A85EA6">
        <w:trPr>
          <w:trHeight w:val="315"/>
        </w:trPr>
        <w:tc>
          <w:tcPr>
            <w:tcW w:w="2085" w:type="dxa"/>
            <w:shd w:val="clear" w:color="000000" w:fill="BFBFBF"/>
            <w:noWrap/>
            <w:vAlign w:val="bottom"/>
            <w:hideMark/>
          </w:tcPr>
          <w:p w14:paraId="2BE1B833" w14:textId="77777777" w:rsidR="00A85EA6" w:rsidRPr="000B7A9D" w:rsidRDefault="00A85EA6" w:rsidP="00A85EA6">
            <w:pPr>
              <w:rPr>
                <w:b/>
                <w:bCs/>
                <w:sz w:val="20"/>
                <w:szCs w:val="20"/>
                <w:lang w:val="en-US"/>
              </w:rPr>
            </w:pPr>
            <w:r w:rsidRPr="000B7A9D">
              <w:rPr>
                <w:b/>
                <w:bCs/>
                <w:sz w:val="20"/>
                <w:szCs w:val="20"/>
                <w:lang w:val="en-US"/>
              </w:rPr>
              <w:t> </w:t>
            </w:r>
          </w:p>
        </w:tc>
        <w:tc>
          <w:tcPr>
            <w:tcW w:w="901" w:type="dxa"/>
            <w:shd w:val="clear" w:color="000000" w:fill="BFBFBF"/>
            <w:noWrap/>
            <w:vAlign w:val="bottom"/>
            <w:hideMark/>
          </w:tcPr>
          <w:p w14:paraId="0D644E47" w14:textId="77777777" w:rsidR="00A85EA6" w:rsidRPr="000B7A9D" w:rsidRDefault="00A85EA6" w:rsidP="00A85EA6">
            <w:pPr>
              <w:ind w:left="-108" w:right="-128"/>
              <w:jc w:val="center"/>
              <w:rPr>
                <w:b/>
                <w:bCs/>
                <w:sz w:val="20"/>
                <w:szCs w:val="20"/>
                <w:lang w:val="en-US"/>
              </w:rPr>
            </w:pPr>
            <w:r w:rsidRPr="000B7A9D">
              <w:rPr>
                <w:b/>
                <w:bCs/>
                <w:sz w:val="20"/>
                <w:szCs w:val="20"/>
                <w:lang w:val="en-US"/>
              </w:rPr>
              <w:t>2010/11</w:t>
            </w:r>
          </w:p>
        </w:tc>
        <w:tc>
          <w:tcPr>
            <w:tcW w:w="945" w:type="dxa"/>
            <w:shd w:val="clear" w:color="000000" w:fill="BFBFBF"/>
            <w:noWrap/>
            <w:vAlign w:val="bottom"/>
            <w:hideMark/>
          </w:tcPr>
          <w:p w14:paraId="5C1BB3C9" w14:textId="77777777" w:rsidR="00A85EA6" w:rsidRPr="000B7A9D" w:rsidRDefault="00A85EA6" w:rsidP="00A85EA6">
            <w:pPr>
              <w:ind w:left="-108" w:right="-128"/>
              <w:jc w:val="center"/>
              <w:rPr>
                <w:b/>
                <w:bCs/>
                <w:sz w:val="20"/>
                <w:szCs w:val="20"/>
                <w:lang w:val="en-US"/>
              </w:rPr>
            </w:pPr>
            <w:r w:rsidRPr="000B7A9D">
              <w:rPr>
                <w:b/>
                <w:bCs/>
                <w:sz w:val="20"/>
                <w:szCs w:val="20"/>
                <w:lang w:val="en-US"/>
              </w:rPr>
              <w:t>2011/12</w:t>
            </w:r>
          </w:p>
        </w:tc>
        <w:tc>
          <w:tcPr>
            <w:tcW w:w="928" w:type="dxa"/>
            <w:shd w:val="clear" w:color="000000" w:fill="BFBFBF"/>
            <w:noWrap/>
            <w:vAlign w:val="bottom"/>
            <w:hideMark/>
          </w:tcPr>
          <w:p w14:paraId="2DCD167D" w14:textId="77777777" w:rsidR="00A85EA6" w:rsidRPr="000B7A9D" w:rsidRDefault="00A85EA6" w:rsidP="00A85EA6">
            <w:pPr>
              <w:ind w:left="-108" w:right="-128"/>
              <w:jc w:val="center"/>
              <w:rPr>
                <w:b/>
                <w:bCs/>
                <w:sz w:val="20"/>
                <w:szCs w:val="20"/>
                <w:lang w:val="en-US"/>
              </w:rPr>
            </w:pPr>
            <w:r w:rsidRPr="000B7A9D">
              <w:rPr>
                <w:b/>
                <w:bCs/>
                <w:sz w:val="20"/>
                <w:szCs w:val="20"/>
                <w:lang w:val="en-US"/>
              </w:rPr>
              <w:t>2012/13</w:t>
            </w:r>
          </w:p>
        </w:tc>
        <w:tc>
          <w:tcPr>
            <w:tcW w:w="928" w:type="dxa"/>
            <w:shd w:val="clear" w:color="000000" w:fill="BFBFBF"/>
            <w:noWrap/>
            <w:vAlign w:val="bottom"/>
            <w:hideMark/>
          </w:tcPr>
          <w:p w14:paraId="2FE4858A" w14:textId="77777777" w:rsidR="00A85EA6" w:rsidRPr="000B7A9D" w:rsidRDefault="00A85EA6" w:rsidP="00A85EA6">
            <w:pPr>
              <w:ind w:left="-108" w:right="-128"/>
              <w:jc w:val="center"/>
              <w:rPr>
                <w:b/>
                <w:bCs/>
                <w:sz w:val="20"/>
                <w:szCs w:val="20"/>
                <w:lang w:val="en-US"/>
              </w:rPr>
            </w:pPr>
            <w:r w:rsidRPr="000B7A9D">
              <w:rPr>
                <w:b/>
                <w:bCs/>
                <w:sz w:val="20"/>
                <w:szCs w:val="20"/>
                <w:lang w:val="en-US"/>
              </w:rPr>
              <w:t>2013/14</w:t>
            </w:r>
          </w:p>
        </w:tc>
        <w:tc>
          <w:tcPr>
            <w:tcW w:w="918" w:type="dxa"/>
            <w:shd w:val="clear" w:color="000000" w:fill="BFBFBF"/>
            <w:noWrap/>
            <w:vAlign w:val="bottom"/>
            <w:hideMark/>
          </w:tcPr>
          <w:p w14:paraId="6CE3C796" w14:textId="77777777" w:rsidR="00A85EA6" w:rsidRPr="000B7A9D" w:rsidRDefault="00A85EA6" w:rsidP="00A85EA6">
            <w:pPr>
              <w:ind w:left="-108" w:right="-128"/>
              <w:jc w:val="center"/>
              <w:rPr>
                <w:b/>
                <w:bCs/>
                <w:sz w:val="20"/>
                <w:szCs w:val="20"/>
                <w:lang w:val="en-US"/>
              </w:rPr>
            </w:pPr>
            <w:r w:rsidRPr="000B7A9D">
              <w:rPr>
                <w:b/>
                <w:bCs/>
                <w:sz w:val="20"/>
                <w:szCs w:val="20"/>
                <w:lang w:val="en-US"/>
              </w:rPr>
              <w:t>2014/15</w:t>
            </w:r>
          </w:p>
        </w:tc>
        <w:tc>
          <w:tcPr>
            <w:tcW w:w="928" w:type="dxa"/>
            <w:shd w:val="clear" w:color="000000" w:fill="BFBFBF"/>
            <w:noWrap/>
            <w:vAlign w:val="bottom"/>
            <w:hideMark/>
          </w:tcPr>
          <w:p w14:paraId="796CB821" w14:textId="77777777" w:rsidR="00A85EA6" w:rsidRPr="000B7A9D" w:rsidRDefault="00A85EA6" w:rsidP="00A85EA6">
            <w:pPr>
              <w:ind w:left="-108" w:right="-128"/>
              <w:jc w:val="center"/>
              <w:rPr>
                <w:b/>
                <w:bCs/>
                <w:sz w:val="20"/>
                <w:szCs w:val="20"/>
                <w:lang w:val="en-US"/>
              </w:rPr>
            </w:pPr>
            <w:r w:rsidRPr="000B7A9D">
              <w:rPr>
                <w:b/>
                <w:bCs/>
                <w:sz w:val="20"/>
                <w:szCs w:val="20"/>
                <w:lang w:val="en-US"/>
              </w:rPr>
              <w:t>2015/16</w:t>
            </w:r>
          </w:p>
        </w:tc>
        <w:tc>
          <w:tcPr>
            <w:tcW w:w="918" w:type="dxa"/>
            <w:shd w:val="clear" w:color="000000" w:fill="BFBFBF"/>
            <w:noWrap/>
            <w:vAlign w:val="bottom"/>
            <w:hideMark/>
          </w:tcPr>
          <w:p w14:paraId="5AE0C6E4" w14:textId="77777777" w:rsidR="00A85EA6" w:rsidRPr="000B7A9D" w:rsidRDefault="00A85EA6" w:rsidP="00A85EA6">
            <w:pPr>
              <w:ind w:left="-108" w:right="-128"/>
              <w:jc w:val="center"/>
              <w:rPr>
                <w:b/>
                <w:bCs/>
                <w:sz w:val="20"/>
                <w:szCs w:val="20"/>
                <w:lang w:val="en-US"/>
              </w:rPr>
            </w:pPr>
            <w:r w:rsidRPr="000B7A9D">
              <w:rPr>
                <w:b/>
                <w:bCs/>
                <w:sz w:val="20"/>
                <w:szCs w:val="20"/>
                <w:lang w:val="en-US"/>
              </w:rPr>
              <w:t>2016/17</w:t>
            </w:r>
          </w:p>
        </w:tc>
        <w:tc>
          <w:tcPr>
            <w:tcW w:w="1008" w:type="dxa"/>
            <w:shd w:val="clear" w:color="000000" w:fill="BFBFBF"/>
            <w:noWrap/>
            <w:vAlign w:val="bottom"/>
            <w:hideMark/>
          </w:tcPr>
          <w:p w14:paraId="7C3B113C" w14:textId="77777777" w:rsidR="00A85EA6" w:rsidRPr="000B7A9D" w:rsidRDefault="00A85EA6" w:rsidP="00A85EA6">
            <w:pPr>
              <w:ind w:left="-108" w:right="-128"/>
              <w:jc w:val="center"/>
              <w:rPr>
                <w:b/>
                <w:bCs/>
                <w:sz w:val="20"/>
                <w:szCs w:val="20"/>
                <w:lang w:val="en-US"/>
              </w:rPr>
            </w:pPr>
            <w:r w:rsidRPr="000B7A9D">
              <w:rPr>
                <w:b/>
                <w:bCs/>
                <w:sz w:val="20"/>
                <w:szCs w:val="20"/>
                <w:lang w:val="en-US"/>
              </w:rPr>
              <w:t>2017/18</w:t>
            </w:r>
          </w:p>
        </w:tc>
      </w:tr>
      <w:tr w:rsidR="00A85EA6" w:rsidRPr="000B7A9D" w14:paraId="684B0793" w14:textId="77777777" w:rsidTr="00A85EA6">
        <w:trPr>
          <w:trHeight w:val="315"/>
        </w:trPr>
        <w:tc>
          <w:tcPr>
            <w:tcW w:w="2085" w:type="dxa"/>
            <w:shd w:val="clear" w:color="auto" w:fill="auto"/>
            <w:vAlign w:val="bottom"/>
            <w:hideMark/>
          </w:tcPr>
          <w:p w14:paraId="0A1317AE" w14:textId="77777777" w:rsidR="00A85EA6" w:rsidRPr="000B7A9D" w:rsidRDefault="00A85EA6" w:rsidP="00A85EA6">
            <w:pPr>
              <w:jc w:val="right"/>
              <w:rPr>
                <w:b/>
                <w:bCs/>
                <w:sz w:val="20"/>
                <w:szCs w:val="20"/>
                <w:lang w:val="en-US"/>
              </w:rPr>
            </w:pPr>
            <w:r w:rsidRPr="000B7A9D">
              <w:rPr>
                <w:b/>
                <w:bCs/>
                <w:sz w:val="20"/>
                <w:szCs w:val="20"/>
                <w:lang w:val="en-US"/>
              </w:rPr>
              <w:t>Current account</w:t>
            </w:r>
          </w:p>
        </w:tc>
        <w:tc>
          <w:tcPr>
            <w:tcW w:w="901" w:type="dxa"/>
            <w:shd w:val="clear" w:color="auto" w:fill="auto"/>
            <w:noWrap/>
            <w:vAlign w:val="bottom"/>
            <w:hideMark/>
          </w:tcPr>
          <w:p w14:paraId="1980236A" w14:textId="77777777" w:rsidR="00A85EA6" w:rsidRPr="000B7A9D" w:rsidRDefault="00A85EA6" w:rsidP="00A85EA6">
            <w:pPr>
              <w:ind w:left="-108" w:right="-128"/>
              <w:jc w:val="center"/>
              <w:rPr>
                <w:b/>
                <w:bCs/>
                <w:sz w:val="20"/>
                <w:szCs w:val="20"/>
                <w:lang w:val="en-US"/>
              </w:rPr>
            </w:pPr>
            <w:r w:rsidRPr="000B7A9D">
              <w:rPr>
                <w:b/>
                <w:bCs/>
                <w:sz w:val="20"/>
                <w:szCs w:val="20"/>
                <w:lang w:val="en-US"/>
              </w:rPr>
              <w:t>-1,732.5</w:t>
            </w:r>
          </w:p>
        </w:tc>
        <w:tc>
          <w:tcPr>
            <w:tcW w:w="945" w:type="dxa"/>
            <w:shd w:val="clear" w:color="auto" w:fill="auto"/>
            <w:noWrap/>
            <w:vAlign w:val="bottom"/>
            <w:hideMark/>
          </w:tcPr>
          <w:p w14:paraId="63DB5722" w14:textId="77777777" w:rsidR="00A85EA6" w:rsidRPr="000B7A9D" w:rsidRDefault="00A85EA6" w:rsidP="00A85EA6">
            <w:pPr>
              <w:ind w:left="-108" w:right="-128"/>
              <w:jc w:val="center"/>
              <w:rPr>
                <w:b/>
                <w:bCs/>
                <w:sz w:val="20"/>
                <w:szCs w:val="20"/>
                <w:lang w:val="en-US"/>
              </w:rPr>
            </w:pPr>
            <w:r w:rsidRPr="000B7A9D">
              <w:rPr>
                <w:b/>
                <w:bCs/>
                <w:sz w:val="20"/>
                <w:szCs w:val="20"/>
                <w:lang w:val="en-US"/>
              </w:rPr>
              <w:t>-2,030.9</w:t>
            </w:r>
          </w:p>
        </w:tc>
        <w:tc>
          <w:tcPr>
            <w:tcW w:w="928" w:type="dxa"/>
            <w:shd w:val="clear" w:color="auto" w:fill="auto"/>
            <w:noWrap/>
            <w:vAlign w:val="bottom"/>
            <w:hideMark/>
          </w:tcPr>
          <w:p w14:paraId="70AAAFB1" w14:textId="77777777" w:rsidR="00A85EA6" w:rsidRPr="000B7A9D" w:rsidRDefault="00A85EA6" w:rsidP="00A85EA6">
            <w:pPr>
              <w:ind w:left="-108" w:right="-128"/>
              <w:jc w:val="center"/>
              <w:rPr>
                <w:b/>
                <w:bCs/>
                <w:sz w:val="20"/>
                <w:szCs w:val="20"/>
                <w:lang w:val="en-US"/>
              </w:rPr>
            </w:pPr>
            <w:r w:rsidRPr="000B7A9D">
              <w:rPr>
                <w:b/>
                <w:bCs/>
                <w:sz w:val="20"/>
                <w:szCs w:val="20"/>
                <w:lang w:val="en-US"/>
              </w:rPr>
              <w:t>-1,510.4</w:t>
            </w:r>
          </w:p>
        </w:tc>
        <w:tc>
          <w:tcPr>
            <w:tcW w:w="928" w:type="dxa"/>
            <w:shd w:val="clear" w:color="auto" w:fill="auto"/>
            <w:noWrap/>
            <w:vAlign w:val="bottom"/>
            <w:hideMark/>
          </w:tcPr>
          <w:p w14:paraId="5F2316E1" w14:textId="77777777" w:rsidR="00A85EA6" w:rsidRPr="000B7A9D" w:rsidRDefault="00A85EA6" w:rsidP="00A85EA6">
            <w:pPr>
              <w:ind w:left="-108" w:right="-128"/>
              <w:jc w:val="center"/>
              <w:rPr>
                <w:b/>
                <w:bCs/>
                <w:sz w:val="20"/>
                <w:szCs w:val="20"/>
                <w:lang w:val="en-US"/>
              </w:rPr>
            </w:pPr>
            <w:r w:rsidRPr="000B7A9D">
              <w:rPr>
                <w:b/>
                <w:bCs/>
                <w:sz w:val="20"/>
                <w:szCs w:val="20"/>
                <w:lang w:val="en-US"/>
              </w:rPr>
              <w:t>-2,038.9</w:t>
            </w:r>
          </w:p>
        </w:tc>
        <w:tc>
          <w:tcPr>
            <w:tcW w:w="918" w:type="dxa"/>
            <w:shd w:val="clear" w:color="auto" w:fill="auto"/>
            <w:noWrap/>
            <w:vAlign w:val="bottom"/>
            <w:hideMark/>
          </w:tcPr>
          <w:p w14:paraId="6031A00F" w14:textId="77777777" w:rsidR="00A85EA6" w:rsidRPr="000B7A9D" w:rsidRDefault="00A85EA6" w:rsidP="00A85EA6">
            <w:pPr>
              <w:ind w:left="-108" w:right="-128"/>
              <w:jc w:val="center"/>
              <w:rPr>
                <w:b/>
                <w:bCs/>
                <w:sz w:val="20"/>
                <w:szCs w:val="20"/>
                <w:lang w:val="en-US"/>
              </w:rPr>
            </w:pPr>
            <w:r w:rsidRPr="000B7A9D">
              <w:rPr>
                <w:b/>
                <w:bCs/>
                <w:sz w:val="20"/>
                <w:szCs w:val="20"/>
                <w:lang w:val="en-US"/>
              </w:rPr>
              <w:t>-1,860.6</w:t>
            </w:r>
          </w:p>
        </w:tc>
        <w:tc>
          <w:tcPr>
            <w:tcW w:w="928" w:type="dxa"/>
            <w:shd w:val="clear" w:color="auto" w:fill="auto"/>
            <w:noWrap/>
            <w:vAlign w:val="bottom"/>
            <w:hideMark/>
          </w:tcPr>
          <w:p w14:paraId="6AD655FC" w14:textId="77777777" w:rsidR="00A85EA6" w:rsidRPr="000B7A9D" w:rsidRDefault="00A85EA6" w:rsidP="00A85EA6">
            <w:pPr>
              <w:ind w:left="-108" w:right="-128"/>
              <w:jc w:val="center"/>
              <w:rPr>
                <w:b/>
                <w:bCs/>
                <w:sz w:val="20"/>
                <w:szCs w:val="20"/>
                <w:lang w:val="en-US"/>
              </w:rPr>
            </w:pPr>
            <w:r w:rsidRPr="000B7A9D">
              <w:rPr>
                <w:b/>
                <w:bCs/>
                <w:sz w:val="20"/>
                <w:szCs w:val="20"/>
                <w:lang w:val="en-US"/>
              </w:rPr>
              <w:t>-1,356.8</w:t>
            </w:r>
          </w:p>
        </w:tc>
        <w:tc>
          <w:tcPr>
            <w:tcW w:w="918" w:type="dxa"/>
            <w:shd w:val="clear" w:color="auto" w:fill="auto"/>
            <w:noWrap/>
            <w:vAlign w:val="bottom"/>
            <w:hideMark/>
          </w:tcPr>
          <w:p w14:paraId="3BAD8C06" w14:textId="77777777" w:rsidR="00A85EA6" w:rsidRPr="000B7A9D" w:rsidRDefault="00A85EA6" w:rsidP="00A85EA6">
            <w:pPr>
              <w:ind w:left="-108" w:right="-128"/>
              <w:jc w:val="center"/>
              <w:rPr>
                <w:b/>
                <w:bCs/>
                <w:sz w:val="20"/>
                <w:szCs w:val="20"/>
                <w:lang w:val="en-US"/>
              </w:rPr>
            </w:pPr>
            <w:r w:rsidRPr="000B7A9D">
              <w:rPr>
                <w:b/>
                <w:bCs/>
                <w:sz w:val="20"/>
                <w:szCs w:val="20"/>
                <w:lang w:val="en-US"/>
              </w:rPr>
              <w:t>-1,019.9</w:t>
            </w:r>
          </w:p>
        </w:tc>
        <w:tc>
          <w:tcPr>
            <w:tcW w:w="1008" w:type="dxa"/>
            <w:shd w:val="clear" w:color="auto" w:fill="auto"/>
            <w:noWrap/>
            <w:vAlign w:val="bottom"/>
            <w:hideMark/>
          </w:tcPr>
          <w:p w14:paraId="0BE1962E" w14:textId="77777777" w:rsidR="00A85EA6" w:rsidRPr="000B7A9D" w:rsidRDefault="00A85EA6" w:rsidP="0004103F">
            <w:pPr>
              <w:ind w:left="-108" w:right="-128"/>
              <w:jc w:val="center"/>
              <w:rPr>
                <w:b/>
                <w:bCs/>
                <w:sz w:val="20"/>
                <w:szCs w:val="20"/>
                <w:lang w:val="en-US"/>
              </w:rPr>
            </w:pPr>
            <w:r w:rsidRPr="000B7A9D">
              <w:rPr>
                <w:b/>
                <w:bCs/>
                <w:sz w:val="20"/>
                <w:szCs w:val="20"/>
                <w:lang w:val="en-US"/>
              </w:rPr>
              <w:t>-1,805.9</w:t>
            </w:r>
          </w:p>
        </w:tc>
      </w:tr>
      <w:tr w:rsidR="00A85EA6" w:rsidRPr="000B7A9D" w14:paraId="09E22854" w14:textId="77777777" w:rsidTr="00A85EA6">
        <w:trPr>
          <w:trHeight w:val="315"/>
        </w:trPr>
        <w:tc>
          <w:tcPr>
            <w:tcW w:w="2085" w:type="dxa"/>
            <w:shd w:val="clear" w:color="auto" w:fill="auto"/>
            <w:hideMark/>
          </w:tcPr>
          <w:p w14:paraId="216E7A54" w14:textId="77777777" w:rsidR="00A85EA6" w:rsidRPr="000B7A9D" w:rsidRDefault="00A85EA6" w:rsidP="00A85EA6">
            <w:pPr>
              <w:jc w:val="right"/>
              <w:rPr>
                <w:b/>
                <w:bCs/>
                <w:sz w:val="20"/>
                <w:szCs w:val="20"/>
                <w:lang w:val="en-US"/>
              </w:rPr>
            </w:pPr>
            <w:r w:rsidRPr="000B7A9D">
              <w:rPr>
                <w:b/>
                <w:bCs/>
                <w:sz w:val="20"/>
                <w:szCs w:val="20"/>
                <w:lang w:val="en-US"/>
              </w:rPr>
              <w:t>Capital account</w:t>
            </w:r>
          </w:p>
        </w:tc>
        <w:tc>
          <w:tcPr>
            <w:tcW w:w="901" w:type="dxa"/>
            <w:shd w:val="clear" w:color="auto" w:fill="auto"/>
            <w:noWrap/>
            <w:vAlign w:val="bottom"/>
            <w:hideMark/>
          </w:tcPr>
          <w:p w14:paraId="2657BFE2" w14:textId="77777777" w:rsidR="00A85EA6" w:rsidRPr="000B7A9D" w:rsidRDefault="00A85EA6" w:rsidP="00A85EA6">
            <w:pPr>
              <w:ind w:left="-108" w:right="-128"/>
              <w:jc w:val="center"/>
              <w:rPr>
                <w:b/>
                <w:bCs/>
                <w:sz w:val="20"/>
                <w:szCs w:val="20"/>
                <w:lang w:val="en-US"/>
              </w:rPr>
            </w:pPr>
            <w:r w:rsidRPr="000B7A9D">
              <w:rPr>
                <w:b/>
                <w:bCs/>
                <w:sz w:val="20"/>
                <w:szCs w:val="20"/>
                <w:lang w:val="en-US"/>
              </w:rPr>
              <w:t>0.00</w:t>
            </w:r>
          </w:p>
        </w:tc>
        <w:tc>
          <w:tcPr>
            <w:tcW w:w="945" w:type="dxa"/>
            <w:shd w:val="clear" w:color="auto" w:fill="auto"/>
            <w:noWrap/>
            <w:vAlign w:val="bottom"/>
            <w:hideMark/>
          </w:tcPr>
          <w:p w14:paraId="0F691300" w14:textId="77777777" w:rsidR="00A85EA6" w:rsidRPr="000B7A9D" w:rsidRDefault="00A85EA6" w:rsidP="00A85EA6">
            <w:pPr>
              <w:ind w:left="-108" w:right="-128"/>
              <w:jc w:val="center"/>
              <w:rPr>
                <w:b/>
                <w:bCs/>
                <w:sz w:val="20"/>
                <w:szCs w:val="20"/>
                <w:lang w:val="en-US"/>
              </w:rPr>
            </w:pPr>
            <w:r w:rsidRPr="000B7A9D">
              <w:rPr>
                <w:b/>
                <w:bCs/>
                <w:sz w:val="20"/>
                <w:szCs w:val="20"/>
                <w:lang w:val="en-US"/>
              </w:rPr>
              <w:t>17.60</w:t>
            </w:r>
          </w:p>
        </w:tc>
        <w:tc>
          <w:tcPr>
            <w:tcW w:w="928" w:type="dxa"/>
            <w:shd w:val="clear" w:color="auto" w:fill="auto"/>
            <w:noWrap/>
            <w:vAlign w:val="bottom"/>
            <w:hideMark/>
          </w:tcPr>
          <w:p w14:paraId="4D0AAEEE" w14:textId="77777777" w:rsidR="00A85EA6" w:rsidRPr="000B7A9D" w:rsidRDefault="00A85EA6" w:rsidP="00A85EA6">
            <w:pPr>
              <w:ind w:left="-108" w:right="-128"/>
              <w:jc w:val="center"/>
              <w:rPr>
                <w:b/>
                <w:bCs/>
                <w:sz w:val="20"/>
                <w:szCs w:val="20"/>
                <w:lang w:val="en-US"/>
              </w:rPr>
            </w:pPr>
            <w:r w:rsidRPr="000B7A9D">
              <w:rPr>
                <w:b/>
                <w:bCs/>
                <w:sz w:val="20"/>
                <w:szCs w:val="20"/>
                <w:lang w:val="en-US"/>
              </w:rPr>
              <w:t>32.74</w:t>
            </w:r>
          </w:p>
        </w:tc>
        <w:tc>
          <w:tcPr>
            <w:tcW w:w="928" w:type="dxa"/>
            <w:shd w:val="clear" w:color="auto" w:fill="auto"/>
            <w:noWrap/>
            <w:vAlign w:val="bottom"/>
            <w:hideMark/>
          </w:tcPr>
          <w:p w14:paraId="2DE5C8B0" w14:textId="77777777" w:rsidR="00A85EA6" w:rsidRPr="000B7A9D" w:rsidRDefault="00A85EA6" w:rsidP="00A85EA6">
            <w:pPr>
              <w:ind w:left="-108" w:right="-128"/>
              <w:jc w:val="center"/>
              <w:rPr>
                <w:b/>
                <w:bCs/>
                <w:sz w:val="20"/>
                <w:szCs w:val="20"/>
                <w:lang w:val="en-US"/>
              </w:rPr>
            </w:pPr>
            <w:r w:rsidRPr="000B7A9D">
              <w:rPr>
                <w:b/>
                <w:bCs/>
                <w:sz w:val="20"/>
                <w:szCs w:val="20"/>
                <w:lang w:val="en-US"/>
              </w:rPr>
              <w:t>91.05</w:t>
            </w:r>
          </w:p>
        </w:tc>
        <w:tc>
          <w:tcPr>
            <w:tcW w:w="918" w:type="dxa"/>
            <w:shd w:val="clear" w:color="auto" w:fill="auto"/>
            <w:noWrap/>
            <w:vAlign w:val="bottom"/>
            <w:hideMark/>
          </w:tcPr>
          <w:p w14:paraId="6350D4D0" w14:textId="77777777" w:rsidR="00A85EA6" w:rsidRPr="000B7A9D" w:rsidRDefault="00A85EA6" w:rsidP="00A85EA6">
            <w:pPr>
              <w:ind w:left="-108" w:right="-128"/>
              <w:jc w:val="center"/>
              <w:rPr>
                <w:b/>
                <w:bCs/>
                <w:sz w:val="20"/>
                <w:szCs w:val="20"/>
                <w:lang w:val="en-US"/>
              </w:rPr>
            </w:pPr>
            <w:r w:rsidRPr="000B7A9D">
              <w:rPr>
                <w:b/>
                <w:bCs/>
                <w:sz w:val="20"/>
                <w:szCs w:val="20"/>
                <w:lang w:val="en-US"/>
              </w:rPr>
              <w:t>99.08</w:t>
            </w:r>
          </w:p>
        </w:tc>
        <w:tc>
          <w:tcPr>
            <w:tcW w:w="928" w:type="dxa"/>
            <w:shd w:val="clear" w:color="auto" w:fill="auto"/>
            <w:noWrap/>
            <w:vAlign w:val="bottom"/>
            <w:hideMark/>
          </w:tcPr>
          <w:p w14:paraId="2F011757" w14:textId="77777777" w:rsidR="00A85EA6" w:rsidRPr="000B7A9D" w:rsidRDefault="00A85EA6" w:rsidP="00A85EA6">
            <w:pPr>
              <w:ind w:left="-108" w:right="-128"/>
              <w:jc w:val="center"/>
              <w:rPr>
                <w:b/>
                <w:bCs/>
                <w:sz w:val="20"/>
                <w:szCs w:val="20"/>
                <w:lang w:val="en-US"/>
              </w:rPr>
            </w:pPr>
            <w:r w:rsidRPr="000B7A9D">
              <w:rPr>
                <w:b/>
                <w:bCs/>
                <w:sz w:val="20"/>
                <w:szCs w:val="20"/>
                <w:lang w:val="en-US"/>
              </w:rPr>
              <w:t>119.81</w:t>
            </w:r>
          </w:p>
        </w:tc>
        <w:tc>
          <w:tcPr>
            <w:tcW w:w="918" w:type="dxa"/>
            <w:shd w:val="clear" w:color="auto" w:fill="auto"/>
            <w:noWrap/>
            <w:vAlign w:val="bottom"/>
            <w:hideMark/>
          </w:tcPr>
          <w:p w14:paraId="57E92E09" w14:textId="77777777" w:rsidR="00A85EA6" w:rsidRPr="000B7A9D" w:rsidRDefault="00A85EA6" w:rsidP="00A85EA6">
            <w:pPr>
              <w:ind w:left="-108" w:right="-128"/>
              <w:jc w:val="center"/>
              <w:rPr>
                <w:b/>
                <w:bCs/>
                <w:sz w:val="20"/>
                <w:szCs w:val="20"/>
                <w:lang w:val="en-US"/>
              </w:rPr>
            </w:pPr>
            <w:r w:rsidRPr="000B7A9D">
              <w:rPr>
                <w:b/>
                <w:bCs/>
                <w:sz w:val="20"/>
                <w:szCs w:val="20"/>
                <w:lang w:val="en-US"/>
              </w:rPr>
              <w:t>150.53</w:t>
            </w:r>
          </w:p>
        </w:tc>
        <w:tc>
          <w:tcPr>
            <w:tcW w:w="1008" w:type="dxa"/>
            <w:shd w:val="clear" w:color="auto" w:fill="auto"/>
            <w:noWrap/>
            <w:vAlign w:val="bottom"/>
            <w:hideMark/>
          </w:tcPr>
          <w:p w14:paraId="2797E969" w14:textId="77777777" w:rsidR="00A85EA6" w:rsidRPr="000B7A9D" w:rsidRDefault="00A85EA6" w:rsidP="00A85EA6">
            <w:pPr>
              <w:ind w:left="-108" w:right="-128"/>
              <w:jc w:val="center"/>
              <w:rPr>
                <w:b/>
                <w:bCs/>
                <w:sz w:val="20"/>
                <w:szCs w:val="20"/>
                <w:lang w:val="en-US"/>
              </w:rPr>
            </w:pPr>
            <w:r w:rsidRPr="000B7A9D">
              <w:rPr>
                <w:b/>
                <w:bCs/>
                <w:sz w:val="20"/>
                <w:szCs w:val="20"/>
                <w:lang w:val="en-US"/>
              </w:rPr>
              <w:t>105.38</w:t>
            </w:r>
          </w:p>
        </w:tc>
      </w:tr>
      <w:tr w:rsidR="00A85EA6" w:rsidRPr="000B7A9D" w14:paraId="41E5A37B" w14:textId="77777777" w:rsidTr="00A85EA6">
        <w:trPr>
          <w:trHeight w:val="315"/>
        </w:trPr>
        <w:tc>
          <w:tcPr>
            <w:tcW w:w="2085" w:type="dxa"/>
            <w:shd w:val="clear" w:color="auto" w:fill="auto"/>
            <w:hideMark/>
          </w:tcPr>
          <w:p w14:paraId="4431E76C" w14:textId="77777777" w:rsidR="00A85EA6" w:rsidRPr="000B7A9D" w:rsidRDefault="00A85EA6" w:rsidP="00A85EA6">
            <w:pPr>
              <w:rPr>
                <w:b/>
                <w:bCs/>
                <w:sz w:val="20"/>
                <w:szCs w:val="20"/>
                <w:lang w:val="en-US"/>
              </w:rPr>
            </w:pPr>
            <w:r w:rsidRPr="000B7A9D">
              <w:rPr>
                <w:b/>
                <w:bCs/>
                <w:sz w:val="20"/>
                <w:szCs w:val="20"/>
                <w:lang w:val="en-US"/>
              </w:rPr>
              <w:t>Financial account</w:t>
            </w:r>
          </w:p>
        </w:tc>
        <w:tc>
          <w:tcPr>
            <w:tcW w:w="901" w:type="dxa"/>
            <w:shd w:val="clear" w:color="auto" w:fill="auto"/>
            <w:noWrap/>
            <w:vAlign w:val="bottom"/>
            <w:hideMark/>
          </w:tcPr>
          <w:p w14:paraId="4987E9F5" w14:textId="77777777" w:rsidR="00A85EA6" w:rsidRPr="000B7A9D" w:rsidRDefault="00A85EA6" w:rsidP="00A85EA6">
            <w:pPr>
              <w:ind w:left="-108" w:right="-128"/>
              <w:jc w:val="center"/>
              <w:rPr>
                <w:b/>
                <w:bCs/>
                <w:sz w:val="20"/>
                <w:szCs w:val="20"/>
                <w:lang w:val="en-US"/>
              </w:rPr>
            </w:pPr>
            <w:r w:rsidRPr="000B7A9D">
              <w:rPr>
                <w:b/>
                <w:bCs/>
                <w:sz w:val="20"/>
                <w:szCs w:val="20"/>
                <w:lang w:val="en-US"/>
              </w:rPr>
              <w:t>801.04</w:t>
            </w:r>
          </w:p>
        </w:tc>
        <w:tc>
          <w:tcPr>
            <w:tcW w:w="945" w:type="dxa"/>
            <w:shd w:val="clear" w:color="auto" w:fill="auto"/>
            <w:noWrap/>
            <w:vAlign w:val="bottom"/>
            <w:hideMark/>
          </w:tcPr>
          <w:p w14:paraId="7E274008" w14:textId="77777777" w:rsidR="00A85EA6" w:rsidRPr="000B7A9D" w:rsidRDefault="00A85EA6" w:rsidP="00A85EA6">
            <w:pPr>
              <w:ind w:left="-108" w:right="-128"/>
              <w:jc w:val="center"/>
              <w:rPr>
                <w:b/>
                <w:bCs/>
                <w:sz w:val="20"/>
                <w:szCs w:val="20"/>
                <w:lang w:val="en-US"/>
              </w:rPr>
            </w:pPr>
            <w:r w:rsidRPr="000B7A9D">
              <w:rPr>
                <w:b/>
                <w:bCs/>
                <w:sz w:val="20"/>
                <w:szCs w:val="20"/>
                <w:lang w:val="en-US"/>
              </w:rPr>
              <w:t>2,098.36</w:t>
            </w:r>
          </w:p>
        </w:tc>
        <w:tc>
          <w:tcPr>
            <w:tcW w:w="928" w:type="dxa"/>
            <w:shd w:val="clear" w:color="auto" w:fill="auto"/>
            <w:noWrap/>
            <w:vAlign w:val="bottom"/>
            <w:hideMark/>
          </w:tcPr>
          <w:p w14:paraId="42D05F8D" w14:textId="77777777" w:rsidR="00A85EA6" w:rsidRPr="000B7A9D" w:rsidRDefault="00A85EA6" w:rsidP="00A85EA6">
            <w:pPr>
              <w:ind w:left="-108" w:right="-128"/>
              <w:jc w:val="center"/>
              <w:rPr>
                <w:b/>
                <w:bCs/>
                <w:sz w:val="20"/>
                <w:szCs w:val="20"/>
                <w:lang w:val="en-US"/>
              </w:rPr>
            </w:pPr>
            <w:r w:rsidRPr="000B7A9D">
              <w:rPr>
                <w:b/>
                <w:bCs/>
                <w:sz w:val="20"/>
                <w:szCs w:val="20"/>
                <w:lang w:val="en-US"/>
              </w:rPr>
              <w:t>1,486.09</w:t>
            </w:r>
          </w:p>
        </w:tc>
        <w:tc>
          <w:tcPr>
            <w:tcW w:w="928" w:type="dxa"/>
            <w:shd w:val="clear" w:color="auto" w:fill="auto"/>
            <w:noWrap/>
            <w:vAlign w:val="bottom"/>
            <w:hideMark/>
          </w:tcPr>
          <w:p w14:paraId="4EEE8CBF" w14:textId="77777777" w:rsidR="00A85EA6" w:rsidRPr="000B7A9D" w:rsidRDefault="00A85EA6" w:rsidP="00A85EA6">
            <w:pPr>
              <w:ind w:left="-108" w:right="-128"/>
              <w:jc w:val="center"/>
              <w:rPr>
                <w:b/>
                <w:bCs/>
                <w:sz w:val="20"/>
                <w:szCs w:val="20"/>
                <w:lang w:val="en-US"/>
              </w:rPr>
            </w:pPr>
            <w:r w:rsidRPr="000B7A9D">
              <w:rPr>
                <w:b/>
                <w:bCs/>
                <w:sz w:val="20"/>
                <w:szCs w:val="20"/>
                <w:lang w:val="en-US"/>
              </w:rPr>
              <w:t>1,725.00</w:t>
            </w:r>
          </w:p>
        </w:tc>
        <w:tc>
          <w:tcPr>
            <w:tcW w:w="918" w:type="dxa"/>
            <w:shd w:val="clear" w:color="auto" w:fill="auto"/>
            <w:noWrap/>
            <w:vAlign w:val="bottom"/>
            <w:hideMark/>
          </w:tcPr>
          <w:p w14:paraId="309A6423" w14:textId="77777777" w:rsidR="00A85EA6" w:rsidRPr="000B7A9D" w:rsidRDefault="00A85EA6" w:rsidP="00A85EA6">
            <w:pPr>
              <w:ind w:left="-108" w:right="-128"/>
              <w:jc w:val="center"/>
              <w:rPr>
                <w:b/>
                <w:bCs/>
                <w:sz w:val="20"/>
                <w:szCs w:val="20"/>
                <w:lang w:val="en-US"/>
              </w:rPr>
            </w:pPr>
            <w:r w:rsidRPr="000B7A9D">
              <w:rPr>
                <w:b/>
                <w:bCs/>
                <w:sz w:val="20"/>
                <w:szCs w:val="20"/>
                <w:lang w:val="en-US"/>
              </w:rPr>
              <w:t>946.83</w:t>
            </w:r>
          </w:p>
        </w:tc>
        <w:tc>
          <w:tcPr>
            <w:tcW w:w="928" w:type="dxa"/>
            <w:shd w:val="clear" w:color="auto" w:fill="auto"/>
            <w:noWrap/>
            <w:vAlign w:val="bottom"/>
            <w:hideMark/>
          </w:tcPr>
          <w:p w14:paraId="2E006A02" w14:textId="77777777" w:rsidR="00A85EA6" w:rsidRPr="000B7A9D" w:rsidRDefault="00A85EA6" w:rsidP="00A85EA6">
            <w:pPr>
              <w:ind w:left="-108" w:right="-128"/>
              <w:jc w:val="center"/>
              <w:rPr>
                <w:b/>
                <w:bCs/>
                <w:sz w:val="20"/>
                <w:szCs w:val="20"/>
                <w:lang w:val="en-US"/>
              </w:rPr>
            </w:pPr>
            <w:r w:rsidRPr="000B7A9D">
              <w:rPr>
                <w:b/>
                <w:bCs/>
                <w:sz w:val="20"/>
                <w:szCs w:val="20"/>
                <w:lang w:val="en-US"/>
              </w:rPr>
              <w:t>1,243.33</w:t>
            </w:r>
          </w:p>
        </w:tc>
        <w:tc>
          <w:tcPr>
            <w:tcW w:w="918" w:type="dxa"/>
            <w:shd w:val="clear" w:color="auto" w:fill="auto"/>
            <w:noWrap/>
            <w:vAlign w:val="bottom"/>
            <w:hideMark/>
          </w:tcPr>
          <w:p w14:paraId="60EF99A7" w14:textId="77777777" w:rsidR="00A85EA6" w:rsidRPr="000B7A9D" w:rsidRDefault="00A85EA6" w:rsidP="00A85EA6">
            <w:pPr>
              <w:ind w:left="-108" w:right="-128"/>
              <w:jc w:val="center"/>
              <w:rPr>
                <w:b/>
                <w:bCs/>
                <w:sz w:val="20"/>
                <w:szCs w:val="20"/>
                <w:lang w:val="en-US"/>
              </w:rPr>
            </w:pPr>
            <w:r w:rsidRPr="000B7A9D">
              <w:rPr>
                <w:b/>
                <w:bCs/>
                <w:sz w:val="20"/>
                <w:szCs w:val="20"/>
                <w:lang w:val="en-US"/>
              </w:rPr>
              <w:t>1,133.20</w:t>
            </w:r>
          </w:p>
        </w:tc>
        <w:tc>
          <w:tcPr>
            <w:tcW w:w="1008" w:type="dxa"/>
            <w:shd w:val="clear" w:color="auto" w:fill="auto"/>
            <w:noWrap/>
            <w:vAlign w:val="bottom"/>
            <w:hideMark/>
          </w:tcPr>
          <w:p w14:paraId="62E68E15" w14:textId="77777777" w:rsidR="00A85EA6" w:rsidRPr="000B7A9D" w:rsidRDefault="00A85EA6" w:rsidP="00A85EA6">
            <w:pPr>
              <w:ind w:left="-108" w:right="-128"/>
              <w:jc w:val="center"/>
              <w:rPr>
                <w:b/>
                <w:bCs/>
                <w:sz w:val="20"/>
                <w:szCs w:val="20"/>
                <w:lang w:val="en-US"/>
              </w:rPr>
            </w:pPr>
            <w:r w:rsidRPr="000B7A9D">
              <w:rPr>
                <w:b/>
                <w:bCs/>
                <w:sz w:val="20"/>
                <w:szCs w:val="20"/>
                <w:lang w:val="en-US"/>
              </w:rPr>
              <w:t>1,089.51</w:t>
            </w:r>
          </w:p>
        </w:tc>
      </w:tr>
      <w:tr w:rsidR="00A85EA6" w:rsidRPr="000B7A9D" w14:paraId="78D1958F" w14:textId="77777777" w:rsidTr="00A85EA6">
        <w:trPr>
          <w:trHeight w:val="315"/>
        </w:trPr>
        <w:tc>
          <w:tcPr>
            <w:tcW w:w="2085" w:type="dxa"/>
            <w:shd w:val="clear" w:color="auto" w:fill="auto"/>
            <w:hideMark/>
          </w:tcPr>
          <w:p w14:paraId="21BD7615" w14:textId="77777777" w:rsidR="00A85EA6" w:rsidRPr="000B7A9D" w:rsidRDefault="00A85EA6" w:rsidP="00A85EA6">
            <w:pPr>
              <w:rPr>
                <w:b/>
                <w:bCs/>
                <w:sz w:val="20"/>
                <w:szCs w:val="20"/>
                <w:lang w:val="en-US"/>
              </w:rPr>
            </w:pPr>
            <w:r w:rsidRPr="000B7A9D">
              <w:rPr>
                <w:b/>
                <w:bCs/>
                <w:sz w:val="20"/>
                <w:szCs w:val="20"/>
                <w:lang w:val="en-US"/>
              </w:rPr>
              <w:t>Net errors and omissions</w:t>
            </w:r>
          </w:p>
        </w:tc>
        <w:tc>
          <w:tcPr>
            <w:tcW w:w="901" w:type="dxa"/>
            <w:shd w:val="clear" w:color="auto" w:fill="auto"/>
            <w:noWrap/>
            <w:vAlign w:val="bottom"/>
            <w:hideMark/>
          </w:tcPr>
          <w:p w14:paraId="7C67D9A5" w14:textId="77777777" w:rsidR="00A85EA6" w:rsidRPr="000B7A9D" w:rsidRDefault="00A85EA6" w:rsidP="00A85EA6">
            <w:pPr>
              <w:ind w:left="-108" w:right="-128"/>
              <w:jc w:val="center"/>
              <w:rPr>
                <w:b/>
                <w:bCs/>
                <w:sz w:val="20"/>
                <w:szCs w:val="20"/>
                <w:lang w:val="en-US"/>
              </w:rPr>
            </w:pPr>
            <w:r w:rsidRPr="000B7A9D">
              <w:rPr>
                <w:b/>
                <w:bCs/>
                <w:sz w:val="20"/>
                <w:szCs w:val="20"/>
                <w:lang w:val="en-US"/>
              </w:rPr>
              <w:t>325.58</w:t>
            </w:r>
          </w:p>
        </w:tc>
        <w:tc>
          <w:tcPr>
            <w:tcW w:w="945" w:type="dxa"/>
            <w:shd w:val="clear" w:color="auto" w:fill="auto"/>
            <w:noWrap/>
            <w:vAlign w:val="bottom"/>
            <w:hideMark/>
          </w:tcPr>
          <w:p w14:paraId="37157CDD" w14:textId="77777777" w:rsidR="00A85EA6" w:rsidRPr="000B7A9D" w:rsidRDefault="00A85EA6" w:rsidP="00A85EA6">
            <w:pPr>
              <w:ind w:left="-108" w:right="-128"/>
              <w:jc w:val="center"/>
              <w:rPr>
                <w:b/>
                <w:bCs/>
                <w:sz w:val="20"/>
                <w:szCs w:val="20"/>
                <w:lang w:val="en-US"/>
              </w:rPr>
            </w:pPr>
            <w:r w:rsidRPr="000B7A9D">
              <w:rPr>
                <w:b/>
                <w:bCs/>
                <w:sz w:val="20"/>
                <w:szCs w:val="20"/>
                <w:lang w:val="en-US"/>
              </w:rPr>
              <w:t>661.52</w:t>
            </w:r>
          </w:p>
        </w:tc>
        <w:tc>
          <w:tcPr>
            <w:tcW w:w="928" w:type="dxa"/>
            <w:shd w:val="clear" w:color="auto" w:fill="auto"/>
            <w:noWrap/>
            <w:vAlign w:val="bottom"/>
            <w:hideMark/>
          </w:tcPr>
          <w:p w14:paraId="4E63EFBE" w14:textId="77777777" w:rsidR="00A85EA6" w:rsidRPr="000B7A9D" w:rsidRDefault="00A85EA6" w:rsidP="00A85EA6">
            <w:pPr>
              <w:ind w:left="-108" w:right="-128"/>
              <w:jc w:val="center"/>
              <w:rPr>
                <w:b/>
                <w:bCs/>
                <w:sz w:val="20"/>
                <w:szCs w:val="20"/>
                <w:lang w:val="en-US"/>
              </w:rPr>
            </w:pPr>
            <w:r w:rsidRPr="000B7A9D">
              <w:rPr>
                <w:b/>
                <w:bCs/>
                <w:sz w:val="20"/>
                <w:szCs w:val="20"/>
                <w:lang w:val="en-US"/>
              </w:rPr>
              <w:t>329.70</w:t>
            </w:r>
          </w:p>
        </w:tc>
        <w:tc>
          <w:tcPr>
            <w:tcW w:w="928" w:type="dxa"/>
            <w:shd w:val="clear" w:color="auto" w:fill="auto"/>
            <w:noWrap/>
            <w:vAlign w:val="bottom"/>
            <w:hideMark/>
          </w:tcPr>
          <w:p w14:paraId="6AF13479" w14:textId="77777777" w:rsidR="00A85EA6" w:rsidRPr="000B7A9D" w:rsidRDefault="00A85EA6" w:rsidP="00A85EA6">
            <w:pPr>
              <w:ind w:left="-108" w:right="-128"/>
              <w:jc w:val="center"/>
              <w:rPr>
                <w:b/>
                <w:bCs/>
                <w:sz w:val="20"/>
                <w:szCs w:val="20"/>
                <w:lang w:val="en-US"/>
              </w:rPr>
            </w:pPr>
            <w:r w:rsidRPr="000B7A9D">
              <w:rPr>
                <w:b/>
                <w:bCs/>
                <w:sz w:val="20"/>
                <w:szCs w:val="20"/>
                <w:lang w:val="en-US"/>
              </w:rPr>
              <w:t>601.43</w:t>
            </w:r>
          </w:p>
        </w:tc>
        <w:tc>
          <w:tcPr>
            <w:tcW w:w="918" w:type="dxa"/>
            <w:shd w:val="clear" w:color="auto" w:fill="auto"/>
            <w:noWrap/>
            <w:vAlign w:val="bottom"/>
            <w:hideMark/>
          </w:tcPr>
          <w:p w14:paraId="4276E7BD" w14:textId="77777777" w:rsidR="00A85EA6" w:rsidRPr="000B7A9D" w:rsidRDefault="00A85EA6" w:rsidP="00A85EA6">
            <w:pPr>
              <w:ind w:left="-108" w:right="-128"/>
              <w:jc w:val="center"/>
              <w:rPr>
                <w:b/>
                <w:bCs/>
                <w:sz w:val="20"/>
                <w:szCs w:val="20"/>
                <w:lang w:val="en-US"/>
              </w:rPr>
            </w:pPr>
            <w:r w:rsidRPr="000B7A9D">
              <w:rPr>
                <w:b/>
                <w:bCs/>
                <w:sz w:val="20"/>
                <w:szCs w:val="20"/>
                <w:lang w:val="en-US"/>
              </w:rPr>
              <w:t>465.08</w:t>
            </w:r>
          </w:p>
        </w:tc>
        <w:tc>
          <w:tcPr>
            <w:tcW w:w="928" w:type="dxa"/>
            <w:shd w:val="clear" w:color="auto" w:fill="auto"/>
            <w:noWrap/>
            <w:vAlign w:val="bottom"/>
            <w:hideMark/>
          </w:tcPr>
          <w:p w14:paraId="66A51925" w14:textId="77777777" w:rsidR="00A85EA6" w:rsidRPr="000B7A9D" w:rsidRDefault="00A85EA6" w:rsidP="00A85EA6">
            <w:pPr>
              <w:ind w:left="-108" w:right="-128"/>
              <w:jc w:val="center"/>
              <w:rPr>
                <w:b/>
                <w:bCs/>
                <w:sz w:val="20"/>
                <w:szCs w:val="20"/>
                <w:lang w:val="en-US"/>
              </w:rPr>
            </w:pPr>
            <w:r w:rsidRPr="000B7A9D">
              <w:rPr>
                <w:b/>
                <w:bCs/>
                <w:sz w:val="20"/>
                <w:szCs w:val="20"/>
                <w:lang w:val="en-US"/>
              </w:rPr>
              <w:t>95.12</w:t>
            </w:r>
          </w:p>
        </w:tc>
        <w:tc>
          <w:tcPr>
            <w:tcW w:w="918" w:type="dxa"/>
            <w:shd w:val="clear" w:color="auto" w:fill="auto"/>
            <w:noWrap/>
            <w:vAlign w:val="bottom"/>
            <w:hideMark/>
          </w:tcPr>
          <w:p w14:paraId="66C29853" w14:textId="77777777" w:rsidR="00A85EA6" w:rsidRPr="000B7A9D" w:rsidRDefault="00A85EA6" w:rsidP="00A85EA6">
            <w:pPr>
              <w:ind w:left="-108" w:right="-128"/>
              <w:jc w:val="center"/>
              <w:rPr>
                <w:b/>
                <w:bCs/>
                <w:sz w:val="20"/>
                <w:szCs w:val="20"/>
                <w:lang w:val="en-US"/>
              </w:rPr>
            </w:pPr>
            <w:r w:rsidRPr="000B7A9D">
              <w:rPr>
                <w:b/>
                <w:bCs/>
                <w:sz w:val="20"/>
                <w:szCs w:val="20"/>
                <w:lang w:val="en-US"/>
              </w:rPr>
              <w:t>157.46</w:t>
            </w:r>
          </w:p>
        </w:tc>
        <w:tc>
          <w:tcPr>
            <w:tcW w:w="1008" w:type="dxa"/>
            <w:shd w:val="clear" w:color="auto" w:fill="auto"/>
            <w:noWrap/>
            <w:vAlign w:val="bottom"/>
            <w:hideMark/>
          </w:tcPr>
          <w:p w14:paraId="525A99F8" w14:textId="77777777" w:rsidR="00A85EA6" w:rsidRPr="000B7A9D" w:rsidRDefault="00A85EA6" w:rsidP="00A85EA6">
            <w:pPr>
              <w:ind w:left="-108" w:right="-128"/>
              <w:jc w:val="center"/>
              <w:rPr>
                <w:b/>
                <w:bCs/>
                <w:sz w:val="20"/>
                <w:szCs w:val="20"/>
                <w:lang w:val="en-US"/>
              </w:rPr>
            </w:pPr>
            <w:r w:rsidRPr="000B7A9D">
              <w:rPr>
                <w:b/>
                <w:bCs/>
                <w:sz w:val="20"/>
                <w:szCs w:val="20"/>
                <w:lang w:val="en-US"/>
              </w:rPr>
              <w:t>416.35</w:t>
            </w:r>
          </w:p>
        </w:tc>
      </w:tr>
      <w:tr w:rsidR="00A85EA6" w:rsidRPr="000B7A9D" w14:paraId="3A042263" w14:textId="77777777" w:rsidTr="00A85EA6">
        <w:trPr>
          <w:trHeight w:val="330"/>
        </w:trPr>
        <w:tc>
          <w:tcPr>
            <w:tcW w:w="2085" w:type="dxa"/>
            <w:shd w:val="clear" w:color="auto" w:fill="auto"/>
            <w:hideMark/>
          </w:tcPr>
          <w:p w14:paraId="1B638051" w14:textId="77777777" w:rsidR="00A85EA6" w:rsidRPr="000B7A9D" w:rsidRDefault="00A85EA6" w:rsidP="00A85EA6">
            <w:pPr>
              <w:rPr>
                <w:b/>
                <w:bCs/>
                <w:sz w:val="20"/>
                <w:szCs w:val="20"/>
                <w:lang w:val="en-US"/>
              </w:rPr>
            </w:pPr>
            <w:r w:rsidRPr="000B7A9D">
              <w:rPr>
                <w:b/>
                <w:bCs/>
                <w:sz w:val="20"/>
                <w:szCs w:val="20"/>
                <w:lang w:val="en-US"/>
              </w:rPr>
              <w:t>Overall Balance</w:t>
            </w:r>
          </w:p>
        </w:tc>
        <w:tc>
          <w:tcPr>
            <w:tcW w:w="901" w:type="dxa"/>
            <w:shd w:val="clear" w:color="auto" w:fill="auto"/>
            <w:noWrap/>
            <w:vAlign w:val="bottom"/>
            <w:hideMark/>
          </w:tcPr>
          <w:p w14:paraId="533E7685" w14:textId="77777777" w:rsidR="00A85EA6" w:rsidRPr="000B7A9D" w:rsidRDefault="00A85EA6" w:rsidP="00A85EA6">
            <w:pPr>
              <w:ind w:left="-108" w:right="-128"/>
              <w:jc w:val="center"/>
              <w:rPr>
                <w:b/>
                <w:bCs/>
                <w:sz w:val="20"/>
                <w:szCs w:val="20"/>
                <w:lang w:val="en-US"/>
              </w:rPr>
            </w:pPr>
            <w:r w:rsidRPr="000B7A9D">
              <w:rPr>
                <w:b/>
                <w:bCs/>
                <w:sz w:val="20"/>
                <w:szCs w:val="20"/>
                <w:lang w:val="en-US"/>
              </w:rPr>
              <w:t>605.96</w:t>
            </w:r>
          </w:p>
        </w:tc>
        <w:tc>
          <w:tcPr>
            <w:tcW w:w="945" w:type="dxa"/>
            <w:shd w:val="clear" w:color="auto" w:fill="auto"/>
            <w:noWrap/>
            <w:vAlign w:val="bottom"/>
            <w:hideMark/>
          </w:tcPr>
          <w:p w14:paraId="1E55B704" w14:textId="77777777" w:rsidR="00A85EA6" w:rsidRPr="000B7A9D" w:rsidRDefault="00A85EA6" w:rsidP="00A85EA6">
            <w:pPr>
              <w:ind w:left="-108" w:right="-128"/>
              <w:jc w:val="center"/>
              <w:rPr>
                <w:b/>
                <w:bCs/>
                <w:sz w:val="20"/>
                <w:szCs w:val="20"/>
                <w:lang w:val="en-US"/>
              </w:rPr>
            </w:pPr>
            <w:r w:rsidRPr="000B7A9D">
              <w:rPr>
                <w:b/>
                <w:bCs/>
                <w:sz w:val="20"/>
                <w:szCs w:val="20"/>
                <w:lang w:val="en-US"/>
              </w:rPr>
              <w:t>-746.55</w:t>
            </w:r>
          </w:p>
        </w:tc>
        <w:tc>
          <w:tcPr>
            <w:tcW w:w="928" w:type="dxa"/>
            <w:shd w:val="clear" w:color="auto" w:fill="auto"/>
            <w:noWrap/>
            <w:vAlign w:val="bottom"/>
            <w:hideMark/>
          </w:tcPr>
          <w:p w14:paraId="595AE11B" w14:textId="77777777" w:rsidR="00A85EA6" w:rsidRPr="000B7A9D" w:rsidRDefault="00A85EA6" w:rsidP="00A85EA6">
            <w:pPr>
              <w:ind w:left="-108" w:right="-128"/>
              <w:jc w:val="center"/>
              <w:rPr>
                <w:b/>
                <w:bCs/>
                <w:sz w:val="20"/>
                <w:szCs w:val="20"/>
                <w:lang w:val="en-US"/>
              </w:rPr>
            </w:pPr>
            <w:r w:rsidRPr="000B7A9D">
              <w:rPr>
                <w:b/>
                <w:bCs/>
                <w:sz w:val="20"/>
                <w:szCs w:val="20"/>
                <w:lang w:val="en-US"/>
              </w:rPr>
              <w:t>-338.05</w:t>
            </w:r>
          </w:p>
        </w:tc>
        <w:tc>
          <w:tcPr>
            <w:tcW w:w="928" w:type="dxa"/>
            <w:shd w:val="clear" w:color="auto" w:fill="auto"/>
            <w:noWrap/>
            <w:vAlign w:val="bottom"/>
            <w:hideMark/>
          </w:tcPr>
          <w:p w14:paraId="0E7A9BAF" w14:textId="77777777" w:rsidR="00A85EA6" w:rsidRPr="000B7A9D" w:rsidRDefault="00A85EA6" w:rsidP="00A85EA6">
            <w:pPr>
              <w:ind w:left="-108" w:right="-128"/>
              <w:jc w:val="center"/>
              <w:rPr>
                <w:b/>
                <w:bCs/>
                <w:sz w:val="20"/>
                <w:szCs w:val="20"/>
                <w:lang w:val="en-US"/>
              </w:rPr>
            </w:pPr>
            <w:r w:rsidRPr="000B7A9D">
              <w:rPr>
                <w:b/>
                <w:bCs/>
                <w:sz w:val="20"/>
                <w:szCs w:val="20"/>
                <w:lang w:val="en-US"/>
              </w:rPr>
              <w:t>-378.49</w:t>
            </w:r>
          </w:p>
        </w:tc>
        <w:tc>
          <w:tcPr>
            <w:tcW w:w="918" w:type="dxa"/>
            <w:shd w:val="clear" w:color="auto" w:fill="auto"/>
            <w:noWrap/>
            <w:vAlign w:val="bottom"/>
            <w:hideMark/>
          </w:tcPr>
          <w:p w14:paraId="10B33802" w14:textId="77777777" w:rsidR="00A85EA6" w:rsidRPr="000B7A9D" w:rsidRDefault="00A85EA6" w:rsidP="00A85EA6">
            <w:pPr>
              <w:ind w:left="-108" w:right="-128"/>
              <w:jc w:val="center"/>
              <w:rPr>
                <w:b/>
                <w:bCs/>
                <w:sz w:val="20"/>
                <w:szCs w:val="20"/>
                <w:lang w:val="en-US"/>
              </w:rPr>
            </w:pPr>
            <w:r w:rsidRPr="000B7A9D">
              <w:rPr>
                <w:b/>
                <w:bCs/>
                <w:sz w:val="20"/>
                <w:szCs w:val="20"/>
                <w:lang w:val="en-US"/>
              </w:rPr>
              <w:t>349.63</w:t>
            </w:r>
          </w:p>
        </w:tc>
        <w:tc>
          <w:tcPr>
            <w:tcW w:w="928" w:type="dxa"/>
            <w:shd w:val="clear" w:color="auto" w:fill="auto"/>
            <w:noWrap/>
            <w:vAlign w:val="bottom"/>
            <w:hideMark/>
          </w:tcPr>
          <w:p w14:paraId="46785761" w14:textId="77777777" w:rsidR="00A85EA6" w:rsidRPr="000B7A9D" w:rsidRDefault="00A85EA6" w:rsidP="00A85EA6">
            <w:pPr>
              <w:ind w:left="-108" w:right="-128"/>
              <w:jc w:val="center"/>
              <w:rPr>
                <w:b/>
                <w:bCs/>
                <w:sz w:val="20"/>
                <w:szCs w:val="20"/>
                <w:lang w:val="en-US"/>
              </w:rPr>
            </w:pPr>
            <w:r w:rsidRPr="000B7A9D">
              <w:rPr>
                <w:b/>
                <w:bCs/>
                <w:sz w:val="20"/>
                <w:szCs w:val="20"/>
                <w:lang w:val="en-US"/>
              </w:rPr>
              <w:t>-101.45</w:t>
            </w:r>
          </w:p>
        </w:tc>
        <w:tc>
          <w:tcPr>
            <w:tcW w:w="918" w:type="dxa"/>
            <w:shd w:val="clear" w:color="auto" w:fill="auto"/>
            <w:noWrap/>
            <w:vAlign w:val="bottom"/>
            <w:hideMark/>
          </w:tcPr>
          <w:p w14:paraId="11BCF5FD" w14:textId="77777777" w:rsidR="00A85EA6" w:rsidRPr="000B7A9D" w:rsidRDefault="00A85EA6" w:rsidP="00A85EA6">
            <w:pPr>
              <w:ind w:left="-108" w:right="-128"/>
              <w:jc w:val="center"/>
              <w:rPr>
                <w:b/>
                <w:bCs/>
                <w:sz w:val="20"/>
                <w:szCs w:val="20"/>
                <w:lang w:val="en-US"/>
              </w:rPr>
            </w:pPr>
            <w:r w:rsidRPr="000B7A9D">
              <w:rPr>
                <w:b/>
                <w:bCs/>
                <w:sz w:val="20"/>
                <w:szCs w:val="20"/>
                <w:lang w:val="en-US"/>
              </w:rPr>
              <w:t>-421.25</w:t>
            </w:r>
          </w:p>
        </w:tc>
        <w:tc>
          <w:tcPr>
            <w:tcW w:w="1008" w:type="dxa"/>
            <w:shd w:val="clear" w:color="auto" w:fill="auto"/>
            <w:noWrap/>
            <w:vAlign w:val="bottom"/>
            <w:hideMark/>
          </w:tcPr>
          <w:p w14:paraId="1935A4E8" w14:textId="77777777" w:rsidR="00A85EA6" w:rsidRPr="000B7A9D" w:rsidRDefault="00A85EA6" w:rsidP="00A85EA6">
            <w:pPr>
              <w:ind w:left="-108" w:right="-128"/>
              <w:jc w:val="center"/>
              <w:rPr>
                <w:b/>
                <w:bCs/>
                <w:sz w:val="20"/>
                <w:szCs w:val="20"/>
                <w:lang w:val="en-US"/>
              </w:rPr>
            </w:pPr>
            <w:r w:rsidRPr="000B7A9D">
              <w:rPr>
                <w:b/>
                <w:bCs/>
                <w:sz w:val="20"/>
                <w:szCs w:val="20"/>
                <w:lang w:val="en-US"/>
              </w:rPr>
              <w:t>194.74</w:t>
            </w:r>
          </w:p>
        </w:tc>
      </w:tr>
    </w:tbl>
    <w:p w14:paraId="4BA7FC17" w14:textId="77777777" w:rsidR="00577A3C" w:rsidRPr="000E1B7E" w:rsidRDefault="002075C8" w:rsidP="005959B5">
      <w:pPr>
        <w:jc w:val="both"/>
      </w:pPr>
      <w:r w:rsidRPr="000E1B7E">
        <w:t>Source: Bank of Uganda</w:t>
      </w:r>
    </w:p>
    <w:p w14:paraId="067EED2E" w14:textId="77777777" w:rsidR="00F402C3" w:rsidRPr="000E1B7E" w:rsidRDefault="0080754F" w:rsidP="00F85D24">
      <w:pPr>
        <w:pStyle w:val="DeltaBodytext"/>
        <w:numPr>
          <w:ilvl w:val="0"/>
          <w:numId w:val="26"/>
        </w:numPr>
        <w:autoSpaceDE w:val="0"/>
        <w:autoSpaceDN w:val="0"/>
        <w:adjustRightInd w:val="0"/>
        <w:spacing w:before="240" w:line="360" w:lineRule="auto"/>
        <w:ind w:left="567" w:hanging="567"/>
        <w:rPr>
          <w:rFonts w:ascii="Times New Roman" w:hAnsi="Times New Roman"/>
        </w:rPr>
      </w:pPr>
      <w:r w:rsidRPr="000E1B7E">
        <w:rPr>
          <w:rFonts w:ascii="Times New Roman" w:hAnsi="Times New Roman"/>
          <w:sz w:val="24"/>
          <w:szCs w:val="24"/>
        </w:rPr>
        <w:t>The outturn for the current account balance is substantially better (smaller) than the projected current account deficit in NDP II.</w:t>
      </w:r>
    </w:p>
    <w:p w14:paraId="4E5DA3A0" w14:textId="77777777" w:rsidR="00F402C3" w:rsidRPr="000E1B7E" w:rsidRDefault="00061159" w:rsidP="00061159">
      <w:pPr>
        <w:pStyle w:val="Caption"/>
        <w:rPr>
          <w:rFonts w:ascii="Times New Roman" w:eastAsia="Calibri" w:hAnsi="Times New Roman" w:cs="Times New Roman"/>
          <w:b/>
          <w:i w:val="0"/>
          <w:iCs w:val="0"/>
          <w:color w:val="auto"/>
          <w:sz w:val="24"/>
          <w:szCs w:val="24"/>
          <w:lang w:val="en-GB"/>
        </w:rPr>
      </w:pPr>
      <w:bookmarkStart w:id="151" w:name="_Toc3483130"/>
      <w:r w:rsidRPr="000E1B7E">
        <w:rPr>
          <w:rFonts w:ascii="Times New Roman" w:eastAsia="Calibri" w:hAnsi="Times New Roman" w:cs="Times New Roman"/>
          <w:b/>
          <w:i w:val="0"/>
          <w:iCs w:val="0"/>
          <w:color w:val="auto"/>
          <w:sz w:val="24"/>
          <w:szCs w:val="24"/>
          <w:lang w:val="en-GB"/>
        </w:rPr>
        <w:t xml:space="preserve">Table </w:t>
      </w:r>
      <w:r w:rsidR="001232BF" w:rsidRPr="000E1B7E">
        <w:rPr>
          <w:rFonts w:ascii="Times New Roman" w:eastAsia="Calibri" w:hAnsi="Times New Roman" w:cs="Times New Roman"/>
          <w:b/>
          <w:i w:val="0"/>
          <w:iCs w:val="0"/>
          <w:color w:val="auto"/>
          <w:sz w:val="24"/>
          <w:szCs w:val="24"/>
          <w:lang w:val="en-GB"/>
        </w:rPr>
        <w:fldChar w:fldCharType="begin"/>
      </w:r>
      <w:r w:rsidRPr="000E1B7E">
        <w:rPr>
          <w:rFonts w:ascii="Times New Roman" w:eastAsia="Calibri" w:hAnsi="Times New Roman" w:cs="Times New Roman"/>
          <w:b/>
          <w:i w:val="0"/>
          <w:iCs w:val="0"/>
          <w:color w:val="auto"/>
          <w:sz w:val="24"/>
          <w:szCs w:val="24"/>
          <w:lang w:val="en-GB"/>
        </w:rPr>
        <w:instrText xml:space="preserve"> SEQ Table \* ARABIC </w:instrText>
      </w:r>
      <w:r w:rsidR="001232BF" w:rsidRPr="000E1B7E">
        <w:rPr>
          <w:rFonts w:ascii="Times New Roman" w:eastAsia="Calibri" w:hAnsi="Times New Roman" w:cs="Times New Roman"/>
          <w:b/>
          <w:i w:val="0"/>
          <w:iCs w:val="0"/>
          <w:color w:val="auto"/>
          <w:sz w:val="24"/>
          <w:szCs w:val="24"/>
          <w:lang w:val="en-GB"/>
        </w:rPr>
        <w:fldChar w:fldCharType="separate"/>
      </w:r>
      <w:r w:rsidR="006461AC" w:rsidRPr="000E1B7E">
        <w:rPr>
          <w:rFonts w:ascii="Times New Roman" w:eastAsia="Calibri" w:hAnsi="Times New Roman" w:cs="Times New Roman"/>
          <w:b/>
          <w:i w:val="0"/>
          <w:iCs w:val="0"/>
          <w:noProof/>
          <w:color w:val="auto"/>
          <w:sz w:val="24"/>
          <w:szCs w:val="24"/>
          <w:lang w:val="en-GB"/>
        </w:rPr>
        <w:t>2</w:t>
      </w:r>
      <w:r w:rsidR="00E83432">
        <w:rPr>
          <w:rFonts w:ascii="Times New Roman" w:eastAsia="Calibri" w:hAnsi="Times New Roman" w:cs="Times New Roman"/>
          <w:b/>
          <w:i w:val="0"/>
          <w:iCs w:val="0"/>
          <w:noProof/>
          <w:color w:val="auto"/>
          <w:sz w:val="24"/>
          <w:szCs w:val="24"/>
          <w:lang w:val="en-GB"/>
        </w:rPr>
        <w:t>4</w:t>
      </w:r>
      <w:r w:rsidR="001232BF" w:rsidRPr="000E1B7E">
        <w:rPr>
          <w:rFonts w:ascii="Times New Roman" w:eastAsia="Calibri" w:hAnsi="Times New Roman" w:cs="Times New Roman"/>
          <w:b/>
          <w:i w:val="0"/>
          <w:iCs w:val="0"/>
          <w:color w:val="auto"/>
          <w:sz w:val="24"/>
          <w:szCs w:val="24"/>
          <w:lang w:val="en-GB"/>
        </w:rPr>
        <w:fldChar w:fldCharType="end"/>
      </w:r>
      <w:r w:rsidR="002C5308" w:rsidRPr="000E1B7E">
        <w:rPr>
          <w:rFonts w:ascii="Times New Roman" w:eastAsia="Calibri" w:hAnsi="Times New Roman" w:cs="Times New Roman"/>
          <w:b/>
          <w:i w:val="0"/>
          <w:iCs w:val="0"/>
          <w:color w:val="auto"/>
          <w:sz w:val="24"/>
          <w:szCs w:val="24"/>
          <w:lang w:val="en-GB"/>
        </w:rPr>
        <w:t>: Current account – NDP II targets and Outturns (percent of GDP)</w:t>
      </w:r>
      <w:bookmarkEnd w:id="151"/>
    </w:p>
    <w:tbl>
      <w:tblPr>
        <w:tblStyle w:val="TableGrid"/>
        <w:tblW w:w="9072" w:type="dxa"/>
        <w:tblLook w:val="04A0" w:firstRow="1" w:lastRow="0" w:firstColumn="1" w:lastColumn="0" w:noHBand="0" w:noVBand="1"/>
      </w:tblPr>
      <w:tblGrid>
        <w:gridCol w:w="5670"/>
        <w:gridCol w:w="1134"/>
        <w:gridCol w:w="1134"/>
        <w:gridCol w:w="1134"/>
      </w:tblGrid>
      <w:tr w:rsidR="0080754F" w:rsidRPr="000B7A9D" w14:paraId="268AF061" w14:textId="77777777" w:rsidTr="0080754F">
        <w:tc>
          <w:tcPr>
            <w:tcW w:w="5670" w:type="dxa"/>
          </w:tcPr>
          <w:p w14:paraId="795B0784" w14:textId="77777777" w:rsidR="0080754F" w:rsidRPr="000B7A9D" w:rsidRDefault="0080754F" w:rsidP="005959B5">
            <w:pPr>
              <w:jc w:val="both"/>
              <w:rPr>
                <w:b/>
                <w:sz w:val="20"/>
              </w:rPr>
            </w:pPr>
          </w:p>
        </w:tc>
        <w:tc>
          <w:tcPr>
            <w:tcW w:w="1134" w:type="dxa"/>
          </w:tcPr>
          <w:p w14:paraId="343C3D5A" w14:textId="77777777" w:rsidR="0092255B" w:rsidRPr="000B7A9D" w:rsidRDefault="002C5308" w:rsidP="006813D3">
            <w:pPr>
              <w:jc w:val="center"/>
              <w:rPr>
                <w:b/>
                <w:sz w:val="20"/>
              </w:rPr>
            </w:pPr>
            <w:r w:rsidRPr="000B7A9D">
              <w:rPr>
                <w:b/>
                <w:sz w:val="20"/>
                <w:lang w:val="en-US"/>
              </w:rPr>
              <w:t>2015/16</w:t>
            </w:r>
          </w:p>
        </w:tc>
        <w:tc>
          <w:tcPr>
            <w:tcW w:w="1134" w:type="dxa"/>
          </w:tcPr>
          <w:p w14:paraId="060A7CD7" w14:textId="77777777" w:rsidR="0092255B" w:rsidRPr="000B7A9D" w:rsidRDefault="002C5308" w:rsidP="006813D3">
            <w:pPr>
              <w:jc w:val="center"/>
              <w:rPr>
                <w:b/>
                <w:sz w:val="20"/>
              </w:rPr>
            </w:pPr>
            <w:r w:rsidRPr="000B7A9D">
              <w:rPr>
                <w:b/>
                <w:sz w:val="20"/>
                <w:lang w:val="en-US"/>
              </w:rPr>
              <w:t>2016/17</w:t>
            </w:r>
          </w:p>
        </w:tc>
        <w:tc>
          <w:tcPr>
            <w:tcW w:w="1134" w:type="dxa"/>
          </w:tcPr>
          <w:p w14:paraId="5B640119" w14:textId="77777777" w:rsidR="0092255B" w:rsidRPr="000B7A9D" w:rsidRDefault="002C5308" w:rsidP="006813D3">
            <w:pPr>
              <w:jc w:val="center"/>
              <w:rPr>
                <w:b/>
                <w:sz w:val="20"/>
              </w:rPr>
            </w:pPr>
            <w:r w:rsidRPr="000B7A9D">
              <w:rPr>
                <w:b/>
                <w:sz w:val="20"/>
                <w:lang w:val="en-US"/>
              </w:rPr>
              <w:t>2017/18</w:t>
            </w:r>
          </w:p>
        </w:tc>
      </w:tr>
      <w:tr w:rsidR="0080754F" w:rsidRPr="000B7A9D" w14:paraId="3D73997D" w14:textId="77777777" w:rsidTr="0080754F">
        <w:tc>
          <w:tcPr>
            <w:tcW w:w="5670" w:type="dxa"/>
          </w:tcPr>
          <w:p w14:paraId="3B3479FA" w14:textId="77777777" w:rsidR="0080754F" w:rsidRPr="000B7A9D" w:rsidRDefault="001E2DE3" w:rsidP="001E2DE3">
            <w:pPr>
              <w:jc w:val="both"/>
              <w:rPr>
                <w:sz w:val="20"/>
              </w:rPr>
            </w:pPr>
            <w:r w:rsidRPr="000B7A9D">
              <w:rPr>
                <w:sz w:val="20"/>
              </w:rPr>
              <w:t>Current Account Balance as a percentage of GDP Current Account Balance as a percentage of GDP-</w:t>
            </w:r>
            <w:r w:rsidR="0080754F" w:rsidRPr="000B7A9D">
              <w:rPr>
                <w:sz w:val="20"/>
              </w:rPr>
              <w:t xml:space="preserve">NDP II target </w:t>
            </w:r>
          </w:p>
        </w:tc>
        <w:tc>
          <w:tcPr>
            <w:tcW w:w="1134" w:type="dxa"/>
          </w:tcPr>
          <w:p w14:paraId="67384342" w14:textId="77777777" w:rsidR="0092255B" w:rsidRPr="000B7A9D" w:rsidRDefault="0080754F" w:rsidP="006813D3">
            <w:pPr>
              <w:jc w:val="center"/>
              <w:rPr>
                <w:sz w:val="20"/>
              </w:rPr>
            </w:pPr>
            <w:r w:rsidRPr="000B7A9D">
              <w:rPr>
                <w:sz w:val="20"/>
              </w:rPr>
              <w:t>-10.0</w:t>
            </w:r>
          </w:p>
        </w:tc>
        <w:tc>
          <w:tcPr>
            <w:tcW w:w="1134" w:type="dxa"/>
          </w:tcPr>
          <w:p w14:paraId="74793A34" w14:textId="77777777" w:rsidR="0092255B" w:rsidRPr="000B7A9D" w:rsidRDefault="0080754F" w:rsidP="006813D3">
            <w:pPr>
              <w:jc w:val="center"/>
              <w:rPr>
                <w:sz w:val="20"/>
              </w:rPr>
            </w:pPr>
            <w:r w:rsidRPr="000B7A9D">
              <w:rPr>
                <w:sz w:val="20"/>
              </w:rPr>
              <w:t>-10.3</w:t>
            </w:r>
          </w:p>
        </w:tc>
        <w:tc>
          <w:tcPr>
            <w:tcW w:w="1134" w:type="dxa"/>
          </w:tcPr>
          <w:p w14:paraId="69BAC710" w14:textId="77777777" w:rsidR="0092255B" w:rsidRPr="000B7A9D" w:rsidRDefault="0080754F" w:rsidP="006813D3">
            <w:pPr>
              <w:jc w:val="center"/>
              <w:rPr>
                <w:sz w:val="20"/>
              </w:rPr>
            </w:pPr>
            <w:r w:rsidRPr="000B7A9D">
              <w:rPr>
                <w:sz w:val="20"/>
              </w:rPr>
              <w:t>-8.9</w:t>
            </w:r>
          </w:p>
        </w:tc>
      </w:tr>
      <w:tr w:rsidR="0080754F" w:rsidRPr="000B7A9D" w14:paraId="3EBFB529" w14:textId="77777777" w:rsidTr="0080754F">
        <w:tc>
          <w:tcPr>
            <w:tcW w:w="5670" w:type="dxa"/>
          </w:tcPr>
          <w:p w14:paraId="16D420BC" w14:textId="77777777" w:rsidR="0080754F" w:rsidRPr="000B7A9D" w:rsidRDefault="001E2DE3" w:rsidP="001E2DE3">
            <w:pPr>
              <w:jc w:val="both"/>
              <w:rPr>
                <w:sz w:val="20"/>
              </w:rPr>
            </w:pPr>
            <w:r w:rsidRPr="000B7A9D">
              <w:rPr>
                <w:sz w:val="20"/>
              </w:rPr>
              <w:t>Current Account Balance (Excl. Grants) as a %age of GDP -</w:t>
            </w:r>
            <w:r w:rsidR="004D3DE3" w:rsidRPr="000B7A9D">
              <w:rPr>
                <w:sz w:val="20"/>
              </w:rPr>
              <w:t xml:space="preserve">NDP II target </w:t>
            </w:r>
          </w:p>
        </w:tc>
        <w:tc>
          <w:tcPr>
            <w:tcW w:w="1134" w:type="dxa"/>
          </w:tcPr>
          <w:p w14:paraId="62F89B58" w14:textId="77777777" w:rsidR="0092255B" w:rsidRPr="000B7A9D" w:rsidRDefault="004D3DE3" w:rsidP="006813D3">
            <w:pPr>
              <w:jc w:val="center"/>
              <w:rPr>
                <w:sz w:val="20"/>
              </w:rPr>
            </w:pPr>
            <w:r w:rsidRPr="000B7A9D">
              <w:rPr>
                <w:sz w:val="20"/>
              </w:rPr>
              <w:t>-10.3</w:t>
            </w:r>
          </w:p>
        </w:tc>
        <w:tc>
          <w:tcPr>
            <w:tcW w:w="1134" w:type="dxa"/>
          </w:tcPr>
          <w:p w14:paraId="766C7102" w14:textId="77777777" w:rsidR="0092255B" w:rsidRPr="000B7A9D" w:rsidRDefault="004D3DE3" w:rsidP="006813D3">
            <w:pPr>
              <w:jc w:val="center"/>
              <w:rPr>
                <w:sz w:val="20"/>
              </w:rPr>
            </w:pPr>
            <w:r w:rsidRPr="000B7A9D">
              <w:rPr>
                <w:sz w:val="20"/>
              </w:rPr>
              <w:t>-10.5</w:t>
            </w:r>
          </w:p>
        </w:tc>
        <w:tc>
          <w:tcPr>
            <w:tcW w:w="1134" w:type="dxa"/>
          </w:tcPr>
          <w:p w14:paraId="39384519" w14:textId="77777777" w:rsidR="0092255B" w:rsidRPr="000B7A9D" w:rsidRDefault="004D3DE3" w:rsidP="006813D3">
            <w:pPr>
              <w:jc w:val="center"/>
              <w:rPr>
                <w:sz w:val="20"/>
              </w:rPr>
            </w:pPr>
            <w:r w:rsidRPr="000B7A9D">
              <w:rPr>
                <w:sz w:val="20"/>
              </w:rPr>
              <w:t>-9.1</w:t>
            </w:r>
          </w:p>
        </w:tc>
      </w:tr>
      <w:tr w:rsidR="0080754F" w:rsidRPr="000B7A9D" w14:paraId="0BE8C875" w14:textId="77777777" w:rsidTr="0080754F">
        <w:tc>
          <w:tcPr>
            <w:tcW w:w="5670" w:type="dxa"/>
          </w:tcPr>
          <w:p w14:paraId="5B95C102" w14:textId="77777777" w:rsidR="0080754F" w:rsidRPr="000B7A9D" w:rsidRDefault="002C5308" w:rsidP="005959B5">
            <w:pPr>
              <w:jc w:val="both"/>
              <w:rPr>
                <w:sz w:val="20"/>
              </w:rPr>
            </w:pPr>
            <w:r w:rsidRPr="000B7A9D">
              <w:rPr>
                <w:sz w:val="20"/>
              </w:rPr>
              <w:t>Outturn</w:t>
            </w:r>
          </w:p>
        </w:tc>
        <w:tc>
          <w:tcPr>
            <w:tcW w:w="1134" w:type="dxa"/>
          </w:tcPr>
          <w:p w14:paraId="1B1A3EC6" w14:textId="77777777" w:rsidR="0092255B" w:rsidRPr="000B7A9D" w:rsidRDefault="0092255B" w:rsidP="006813D3">
            <w:pPr>
              <w:jc w:val="center"/>
              <w:rPr>
                <w:sz w:val="20"/>
              </w:rPr>
            </w:pPr>
          </w:p>
        </w:tc>
        <w:tc>
          <w:tcPr>
            <w:tcW w:w="1134" w:type="dxa"/>
          </w:tcPr>
          <w:p w14:paraId="58E6EBA0" w14:textId="77777777" w:rsidR="0092255B" w:rsidRPr="000B7A9D" w:rsidRDefault="0092255B" w:rsidP="006813D3">
            <w:pPr>
              <w:jc w:val="center"/>
              <w:rPr>
                <w:sz w:val="20"/>
              </w:rPr>
            </w:pPr>
          </w:p>
        </w:tc>
        <w:tc>
          <w:tcPr>
            <w:tcW w:w="1134" w:type="dxa"/>
          </w:tcPr>
          <w:p w14:paraId="2DEA2DB8" w14:textId="77777777" w:rsidR="0092255B" w:rsidRPr="000B7A9D" w:rsidRDefault="0092255B" w:rsidP="006813D3">
            <w:pPr>
              <w:jc w:val="center"/>
              <w:rPr>
                <w:sz w:val="20"/>
              </w:rPr>
            </w:pPr>
          </w:p>
        </w:tc>
      </w:tr>
      <w:tr w:rsidR="006813D3" w:rsidRPr="000B7A9D" w14:paraId="744DFB55" w14:textId="77777777" w:rsidTr="0040762E">
        <w:tc>
          <w:tcPr>
            <w:tcW w:w="5670" w:type="dxa"/>
            <w:vAlign w:val="bottom"/>
          </w:tcPr>
          <w:p w14:paraId="7C5EF775" w14:textId="77777777" w:rsidR="006813D3" w:rsidRPr="000B7A9D" w:rsidRDefault="006813D3">
            <w:pPr>
              <w:rPr>
                <w:sz w:val="20"/>
              </w:rPr>
            </w:pPr>
            <w:r w:rsidRPr="000B7A9D">
              <w:rPr>
                <w:sz w:val="20"/>
              </w:rPr>
              <w:t>Current Account Balance as a percentage of GDP</w:t>
            </w:r>
          </w:p>
        </w:tc>
        <w:tc>
          <w:tcPr>
            <w:tcW w:w="1134" w:type="dxa"/>
            <w:vAlign w:val="bottom"/>
          </w:tcPr>
          <w:p w14:paraId="6248443B" w14:textId="77777777" w:rsidR="006813D3" w:rsidRPr="000B7A9D" w:rsidRDefault="006813D3" w:rsidP="006813D3">
            <w:pPr>
              <w:jc w:val="center"/>
              <w:rPr>
                <w:sz w:val="20"/>
              </w:rPr>
            </w:pPr>
            <w:r w:rsidRPr="000B7A9D">
              <w:rPr>
                <w:sz w:val="20"/>
              </w:rPr>
              <w:t>-5.50</w:t>
            </w:r>
          </w:p>
        </w:tc>
        <w:tc>
          <w:tcPr>
            <w:tcW w:w="1134" w:type="dxa"/>
            <w:vAlign w:val="bottom"/>
          </w:tcPr>
          <w:p w14:paraId="096E67AD" w14:textId="77777777" w:rsidR="006813D3" w:rsidRPr="000B7A9D" w:rsidRDefault="006813D3" w:rsidP="006813D3">
            <w:pPr>
              <w:jc w:val="center"/>
              <w:rPr>
                <w:sz w:val="20"/>
              </w:rPr>
            </w:pPr>
            <w:r w:rsidRPr="000B7A9D">
              <w:rPr>
                <w:sz w:val="20"/>
              </w:rPr>
              <w:t>-3.94</w:t>
            </w:r>
          </w:p>
        </w:tc>
        <w:tc>
          <w:tcPr>
            <w:tcW w:w="1134" w:type="dxa"/>
            <w:vAlign w:val="bottom"/>
          </w:tcPr>
          <w:p w14:paraId="6B8BFBF6" w14:textId="77777777" w:rsidR="006813D3" w:rsidRPr="000B7A9D" w:rsidRDefault="006813D3" w:rsidP="006813D3">
            <w:pPr>
              <w:jc w:val="center"/>
              <w:rPr>
                <w:sz w:val="20"/>
              </w:rPr>
            </w:pPr>
            <w:r w:rsidRPr="000B7A9D">
              <w:rPr>
                <w:sz w:val="20"/>
              </w:rPr>
              <w:t>-6.60</w:t>
            </w:r>
          </w:p>
        </w:tc>
      </w:tr>
      <w:tr w:rsidR="006813D3" w:rsidRPr="000B7A9D" w14:paraId="646B2505" w14:textId="77777777" w:rsidTr="0040762E">
        <w:tc>
          <w:tcPr>
            <w:tcW w:w="5670" w:type="dxa"/>
            <w:vAlign w:val="bottom"/>
          </w:tcPr>
          <w:p w14:paraId="6EAFEC87" w14:textId="77777777" w:rsidR="006813D3" w:rsidRPr="000B7A9D" w:rsidRDefault="006813D3">
            <w:pPr>
              <w:rPr>
                <w:sz w:val="20"/>
              </w:rPr>
            </w:pPr>
            <w:r w:rsidRPr="000B7A9D">
              <w:rPr>
                <w:sz w:val="20"/>
              </w:rPr>
              <w:t>Current Account Balance (Excl. Grants) as a %age of GDP</w:t>
            </w:r>
          </w:p>
        </w:tc>
        <w:tc>
          <w:tcPr>
            <w:tcW w:w="1134" w:type="dxa"/>
            <w:vAlign w:val="bottom"/>
          </w:tcPr>
          <w:p w14:paraId="6E11F299" w14:textId="77777777" w:rsidR="006813D3" w:rsidRPr="000B7A9D" w:rsidRDefault="006813D3" w:rsidP="006813D3">
            <w:pPr>
              <w:jc w:val="center"/>
              <w:rPr>
                <w:sz w:val="20"/>
              </w:rPr>
            </w:pPr>
            <w:r w:rsidRPr="000B7A9D">
              <w:rPr>
                <w:sz w:val="20"/>
              </w:rPr>
              <w:t>-6.30</w:t>
            </w:r>
          </w:p>
        </w:tc>
        <w:tc>
          <w:tcPr>
            <w:tcW w:w="1134" w:type="dxa"/>
            <w:vAlign w:val="bottom"/>
          </w:tcPr>
          <w:p w14:paraId="4194C5A7" w14:textId="77777777" w:rsidR="006813D3" w:rsidRPr="000B7A9D" w:rsidRDefault="006813D3" w:rsidP="006813D3">
            <w:pPr>
              <w:jc w:val="center"/>
              <w:rPr>
                <w:sz w:val="20"/>
              </w:rPr>
            </w:pPr>
            <w:r w:rsidRPr="000B7A9D">
              <w:rPr>
                <w:sz w:val="20"/>
              </w:rPr>
              <w:t>-4.47</w:t>
            </w:r>
          </w:p>
        </w:tc>
        <w:tc>
          <w:tcPr>
            <w:tcW w:w="1134" w:type="dxa"/>
            <w:vAlign w:val="bottom"/>
          </w:tcPr>
          <w:p w14:paraId="036F6B11" w14:textId="77777777" w:rsidR="006813D3" w:rsidRPr="000B7A9D" w:rsidRDefault="006813D3" w:rsidP="006813D3">
            <w:pPr>
              <w:jc w:val="center"/>
              <w:rPr>
                <w:sz w:val="20"/>
              </w:rPr>
            </w:pPr>
            <w:r w:rsidRPr="000B7A9D">
              <w:rPr>
                <w:sz w:val="20"/>
              </w:rPr>
              <w:t>-7.00</w:t>
            </w:r>
          </w:p>
        </w:tc>
      </w:tr>
    </w:tbl>
    <w:p w14:paraId="7D781358" w14:textId="77777777" w:rsidR="00C24F75" w:rsidRPr="000E1B7E" w:rsidRDefault="00C24F75" w:rsidP="005959B5">
      <w:pPr>
        <w:jc w:val="both"/>
      </w:pPr>
      <w:r w:rsidRPr="000E1B7E">
        <w:t>Source: Bank of Uganda; NDP II</w:t>
      </w:r>
    </w:p>
    <w:p w14:paraId="028B11B5" w14:textId="77777777" w:rsidR="006933A0" w:rsidRPr="000E1B7E" w:rsidRDefault="006933A0" w:rsidP="005959B5">
      <w:pPr>
        <w:jc w:val="both"/>
      </w:pPr>
    </w:p>
    <w:p w14:paraId="2C32EE40" w14:textId="77777777" w:rsidR="0080754F" w:rsidRPr="000E1B7E" w:rsidRDefault="002C5308" w:rsidP="005959B5">
      <w:pPr>
        <w:jc w:val="both"/>
        <w:rPr>
          <w:b/>
        </w:rPr>
      </w:pPr>
      <w:r w:rsidRPr="000E1B7E">
        <w:rPr>
          <w:b/>
        </w:rPr>
        <w:t>International Reserves</w:t>
      </w:r>
    </w:p>
    <w:p w14:paraId="38EAC826" w14:textId="77777777" w:rsidR="0080754F" w:rsidRPr="000E1B7E" w:rsidRDefault="0080754F" w:rsidP="005959B5">
      <w:pPr>
        <w:jc w:val="both"/>
      </w:pPr>
    </w:p>
    <w:p w14:paraId="220D1B72" w14:textId="77777777" w:rsidR="0080754F" w:rsidRPr="000E1B7E" w:rsidRDefault="00061159" w:rsidP="00061159">
      <w:pPr>
        <w:pStyle w:val="Caption"/>
        <w:rPr>
          <w:rFonts w:ascii="Times New Roman" w:hAnsi="Times New Roman" w:cs="Times New Roman"/>
        </w:rPr>
      </w:pPr>
      <w:bookmarkStart w:id="152" w:name="_Toc3483131"/>
      <w:r w:rsidRPr="000E1B7E">
        <w:rPr>
          <w:rFonts w:ascii="Times New Roman" w:eastAsia="Times New Roman" w:hAnsi="Times New Roman" w:cs="Times New Roman"/>
          <w:b/>
          <w:i w:val="0"/>
          <w:iCs w:val="0"/>
          <w:color w:val="auto"/>
          <w:sz w:val="24"/>
          <w:szCs w:val="24"/>
          <w:lang w:val="en-GB"/>
        </w:rPr>
        <w:t xml:space="preserve">Table </w:t>
      </w:r>
      <w:r w:rsidR="001232BF" w:rsidRPr="000E1B7E">
        <w:rPr>
          <w:rFonts w:ascii="Times New Roman" w:eastAsia="Times New Roman" w:hAnsi="Times New Roman" w:cs="Times New Roman"/>
          <w:b/>
          <w:i w:val="0"/>
          <w:iCs w:val="0"/>
          <w:color w:val="auto"/>
          <w:sz w:val="24"/>
          <w:szCs w:val="24"/>
          <w:lang w:val="en-GB"/>
        </w:rPr>
        <w:fldChar w:fldCharType="begin"/>
      </w:r>
      <w:r w:rsidRPr="000E1B7E">
        <w:rPr>
          <w:rFonts w:ascii="Times New Roman" w:eastAsia="Times New Roman" w:hAnsi="Times New Roman" w:cs="Times New Roman"/>
          <w:b/>
          <w:i w:val="0"/>
          <w:iCs w:val="0"/>
          <w:color w:val="auto"/>
          <w:sz w:val="24"/>
          <w:szCs w:val="24"/>
          <w:lang w:val="en-GB"/>
        </w:rPr>
        <w:instrText xml:space="preserve"> SEQ Table \* ARABIC </w:instrText>
      </w:r>
      <w:r w:rsidR="001232BF" w:rsidRPr="000E1B7E">
        <w:rPr>
          <w:rFonts w:ascii="Times New Roman" w:eastAsia="Times New Roman" w:hAnsi="Times New Roman" w:cs="Times New Roman"/>
          <w:b/>
          <w:i w:val="0"/>
          <w:iCs w:val="0"/>
          <w:color w:val="auto"/>
          <w:sz w:val="24"/>
          <w:szCs w:val="24"/>
          <w:lang w:val="en-GB"/>
        </w:rPr>
        <w:fldChar w:fldCharType="separate"/>
      </w:r>
      <w:r w:rsidR="006461AC" w:rsidRPr="000E1B7E">
        <w:rPr>
          <w:rFonts w:ascii="Times New Roman" w:eastAsia="Times New Roman" w:hAnsi="Times New Roman" w:cs="Times New Roman"/>
          <w:b/>
          <w:i w:val="0"/>
          <w:iCs w:val="0"/>
          <w:noProof/>
          <w:color w:val="auto"/>
          <w:sz w:val="24"/>
          <w:szCs w:val="24"/>
          <w:lang w:val="en-GB"/>
        </w:rPr>
        <w:t>2</w:t>
      </w:r>
      <w:r w:rsidR="00E83432">
        <w:rPr>
          <w:rFonts w:ascii="Times New Roman" w:eastAsia="Times New Roman" w:hAnsi="Times New Roman" w:cs="Times New Roman"/>
          <w:b/>
          <w:i w:val="0"/>
          <w:iCs w:val="0"/>
          <w:noProof/>
          <w:color w:val="auto"/>
          <w:sz w:val="24"/>
          <w:szCs w:val="24"/>
          <w:lang w:val="en-GB"/>
        </w:rPr>
        <w:t>5</w:t>
      </w:r>
      <w:r w:rsidR="001232BF" w:rsidRPr="000E1B7E">
        <w:rPr>
          <w:rFonts w:ascii="Times New Roman" w:eastAsia="Times New Roman" w:hAnsi="Times New Roman" w:cs="Times New Roman"/>
          <w:b/>
          <w:i w:val="0"/>
          <w:iCs w:val="0"/>
          <w:color w:val="auto"/>
          <w:sz w:val="24"/>
          <w:szCs w:val="24"/>
          <w:lang w:val="en-GB"/>
        </w:rPr>
        <w:fldChar w:fldCharType="end"/>
      </w:r>
      <w:r w:rsidR="002C5308" w:rsidRPr="000E1B7E">
        <w:rPr>
          <w:rFonts w:ascii="Times New Roman" w:eastAsia="Times New Roman" w:hAnsi="Times New Roman" w:cs="Times New Roman"/>
          <w:b/>
          <w:i w:val="0"/>
          <w:iCs w:val="0"/>
          <w:color w:val="auto"/>
          <w:sz w:val="24"/>
          <w:szCs w:val="24"/>
          <w:lang w:val="en-GB"/>
        </w:rPr>
        <w:t>: Gross International Reserves – NDP II targets and Outturns</w:t>
      </w:r>
      <w:bookmarkEnd w:id="152"/>
    </w:p>
    <w:tbl>
      <w:tblPr>
        <w:tblStyle w:val="TableGrid"/>
        <w:tblW w:w="9072" w:type="dxa"/>
        <w:tblLook w:val="04A0" w:firstRow="1" w:lastRow="0" w:firstColumn="1" w:lastColumn="0" w:noHBand="0" w:noVBand="1"/>
      </w:tblPr>
      <w:tblGrid>
        <w:gridCol w:w="5670"/>
        <w:gridCol w:w="1134"/>
        <w:gridCol w:w="1134"/>
        <w:gridCol w:w="1134"/>
      </w:tblGrid>
      <w:tr w:rsidR="0080754F" w:rsidRPr="000B7A9D" w14:paraId="183139B5" w14:textId="77777777" w:rsidTr="00404C96">
        <w:tc>
          <w:tcPr>
            <w:tcW w:w="5670" w:type="dxa"/>
          </w:tcPr>
          <w:p w14:paraId="6BE29C62" w14:textId="77777777" w:rsidR="0080754F" w:rsidRPr="000B7A9D" w:rsidRDefault="0080754F" w:rsidP="005959B5">
            <w:pPr>
              <w:jc w:val="both"/>
              <w:rPr>
                <w:b/>
                <w:sz w:val="20"/>
              </w:rPr>
            </w:pPr>
          </w:p>
        </w:tc>
        <w:tc>
          <w:tcPr>
            <w:tcW w:w="1134" w:type="dxa"/>
          </w:tcPr>
          <w:p w14:paraId="6F964FBD" w14:textId="77777777" w:rsidR="0080754F" w:rsidRPr="000B7A9D" w:rsidRDefault="0080754F" w:rsidP="005959B5">
            <w:pPr>
              <w:jc w:val="both"/>
              <w:rPr>
                <w:b/>
                <w:sz w:val="20"/>
              </w:rPr>
            </w:pPr>
            <w:r w:rsidRPr="000B7A9D">
              <w:rPr>
                <w:b/>
                <w:sz w:val="20"/>
                <w:lang w:val="en-US"/>
              </w:rPr>
              <w:t>2015/16</w:t>
            </w:r>
          </w:p>
        </w:tc>
        <w:tc>
          <w:tcPr>
            <w:tcW w:w="1134" w:type="dxa"/>
          </w:tcPr>
          <w:p w14:paraId="747DF47A" w14:textId="77777777" w:rsidR="0080754F" w:rsidRPr="000B7A9D" w:rsidRDefault="0080754F" w:rsidP="005959B5">
            <w:pPr>
              <w:jc w:val="both"/>
              <w:rPr>
                <w:b/>
                <w:sz w:val="20"/>
              </w:rPr>
            </w:pPr>
            <w:r w:rsidRPr="000B7A9D">
              <w:rPr>
                <w:b/>
                <w:sz w:val="20"/>
                <w:lang w:val="en-US"/>
              </w:rPr>
              <w:t>2016/17</w:t>
            </w:r>
          </w:p>
        </w:tc>
        <w:tc>
          <w:tcPr>
            <w:tcW w:w="1134" w:type="dxa"/>
          </w:tcPr>
          <w:p w14:paraId="1F18DF0A" w14:textId="77777777" w:rsidR="0080754F" w:rsidRPr="000B7A9D" w:rsidRDefault="0080754F" w:rsidP="005959B5">
            <w:pPr>
              <w:jc w:val="both"/>
              <w:rPr>
                <w:b/>
                <w:sz w:val="20"/>
              </w:rPr>
            </w:pPr>
            <w:r w:rsidRPr="000B7A9D">
              <w:rPr>
                <w:b/>
                <w:sz w:val="20"/>
                <w:lang w:val="en-US"/>
              </w:rPr>
              <w:t>2017/18</w:t>
            </w:r>
          </w:p>
        </w:tc>
      </w:tr>
      <w:tr w:rsidR="004332F8" w:rsidRPr="000B7A9D" w14:paraId="5CDC286F" w14:textId="77777777" w:rsidTr="00404C96">
        <w:tc>
          <w:tcPr>
            <w:tcW w:w="5670" w:type="dxa"/>
          </w:tcPr>
          <w:p w14:paraId="337F9BA3" w14:textId="77777777" w:rsidR="004332F8" w:rsidRPr="000B7A9D" w:rsidRDefault="002C5308" w:rsidP="005959B5">
            <w:pPr>
              <w:jc w:val="both"/>
              <w:rPr>
                <w:i/>
                <w:sz w:val="20"/>
              </w:rPr>
            </w:pPr>
            <w:r w:rsidRPr="000B7A9D">
              <w:rPr>
                <w:i/>
                <w:sz w:val="20"/>
              </w:rPr>
              <w:t>NDP II projections</w:t>
            </w:r>
          </w:p>
        </w:tc>
        <w:tc>
          <w:tcPr>
            <w:tcW w:w="1134" w:type="dxa"/>
          </w:tcPr>
          <w:p w14:paraId="41828F9C" w14:textId="77777777" w:rsidR="004332F8" w:rsidRPr="000B7A9D" w:rsidRDefault="004332F8" w:rsidP="005959B5">
            <w:pPr>
              <w:jc w:val="both"/>
              <w:rPr>
                <w:i/>
                <w:sz w:val="20"/>
              </w:rPr>
            </w:pPr>
          </w:p>
        </w:tc>
        <w:tc>
          <w:tcPr>
            <w:tcW w:w="1134" w:type="dxa"/>
          </w:tcPr>
          <w:p w14:paraId="48CC33E1" w14:textId="77777777" w:rsidR="004332F8" w:rsidRPr="000B7A9D" w:rsidRDefault="004332F8" w:rsidP="005959B5">
            <w:pPr>
              <w:jc w:val="both"/>
              <w:rPr>
                <w:i/>
                <w:sz w:val="20"/>
              </w:rPr>
            </w:pPr>
          </w:p>
        </w:tc>
        <w:tc>
          <w:tcPr>
            <w:tcW w:w="1134" w:type="dxa"/>
          </w:tcPr>
          <w:p w14:paraId="5CEF2144" w14:textId="77777777" w:rsidR="004332F8" w:rsidRPr="000B7A9D" w:rsidRDefault="004332F8" w:rsidP="005959B5">
            <w:pPr>
              <w:jc w:val="both"/>
              <w:rPr>
                <w:i/>
                <w:sz w:val="20"/>
              </w:rPr>
            </w:pPr>
          </w:p>
        </w:tc>
      </w:tr>
      <w:tr w:rsidR="0080754F" w:rsidRPr="000B7A9D" w14:paraId="7D6FC0C3" w14:textId="77777777" w:rsidTr="00404C96">
        <w:tc>
          <w:tcPr>
            <w:tcW w:w="5670" w:type="dxa"/>
          </w:tcPr>
          <w:p w14:paraId="05081866" w14:textId="77777777" w:rsidR="0080754F" w:rsidRPr="000B7A9D" w:rsidRDefault="0080754F" w:rsidP="005959B5">
            <w:pPr>
              <w:jc w:val="both"/>
              <w:rPr>
                <w:sz w:val="20"/>
              </w:rPr>
            </w:pPr>
            <w:r w:rsidRPr="000B7A9D">
              <w:rPr>
                <w:sz w:val="20"/>
              </w:rPr>
              <w:t>In billions of USD</w:t>
            </w:r>
          </w:p>
        </w:tc>
        <w:tc>
          <w:tcPr>
            <w:tcW w:w="1134" w:type="dxa"/>
          </w:tcPr>
          <w:p w14:paraId="229CAE04" w14:textId="77777777" w:rsidR="0080754F" w:rsidRPr="000B7A9D" w:rsidRDefault="004332F8" w:rsidP="005959B5">
            <w:pPr>
              <w:jc w:val="both"/>
              <w:rPr>
                <w:sz w:val="20"/>
              </w:rPr>
            </w:pPr>
            <w:r w:rsidRPr="000B7A9D">
              <w:rPr>
                <w:sz w:val="20"/>
              </w:rPr>
              <w:t>4.1</w:t>
            </w:r>
          </w:p>
        </w:tc>
        <w:tc>
          <w:tcPr>
            <w:tcW w:w="1134" w:type="dxa"/>
          </w:tcPr>
          <w:p w14:paraId="6FCC8254" w14:textId="77777777" w:rsidR="0080754F" w:rsidRPr="000B7A9D" w:rsidRDefault="004332F8" w:rsidP="005959B5">
            <w:pPr>
              <w:jc w:val="both"/>
              <w:rPr>
                <w:sz w:val="20"/>
              </w:rPr>
            </w:pPr>
            <w:r w:rsidRPr="000B7A9D">
              <w:rPr>
                <w:sz w:val="20"/>
              </w:rPr>
              <w:t>4.2</w:t>
            </w:r>
          </w:p>
        </w:tc>
        <w:tc>
          <w:tcPr>
            <w:tcW w:w="1134" w:type="dxa"/>
          </w:tcPr>
          <w:p w14:paraId="13B0B72C" w14:textId="77777777" w:rsidR="0080754F" w:rsidRPr="000B7A9D" w:rsidRDefault="004332F8" w:rsidP="005959B5">
            <w:pPr>
              <w:jc w:val="both"/>
              <w:rPr>
                <w:sz w:val="20"/>
              </w:rPr>
            </w:pPr>
            <w:r w:rsidRPr="000B7A9D">
              <w:rPr>
                <w:sz w:val="20"/>
              </w:rPr>
              <w:t>4.6</w:t>
            </w:r>
          </w:p>
        </w:tc>
      </w:tr>
      <w:tr w:rsidR="0080754F" w:rsidRPr="000B7A9D" w14:paraId="760BDB80" w14:textId="77777777" w:rsidTr="00404C96">
        <w:tc>
          <w:tcPr>
            <w:tcW w:w="5670" w:type="dxa"/>
          </w:tcPr>
          <w:p w14:paraId="4342F85E" w14:textId="77777777" w:rsidR="0080754F" w:rsidRPr="000B7A9D" w:rsidRDefault="0080754F" w:rsidP="005959B5">
            <w:pPr>
              <w:jc w:val="both"/>
              <w:rPr>
                <w:sz w:val="20"/>
              </w:rPr>
            </w:pPr>
            <w:r w:rsidRPr="000B7A9D">
              <w:rPr>
                <w:sz w:val="20"/>
              </w:rPr>
              <w:t>Import cover (in months of next year’s imports)</w:t>
            </w:r>
          </w:p>
        </w:tc>
        <w:tc>
          <w:tcPr>
            <w:tcW w:w="1134" w:type="dxa"/>
          </w:tcPr>
          <w:p w14:paraId="7B3F0DFA" w14:textId="77777777" w:rsidR="0080754F" w:rsidRPr="000B7A9D" w:rsidRDefault="004332F8" w:rsidP="005959B5">
            <w:pPr>
              <w:jc w:val="both"/>
              <w:rPr>
                <w:sz w:val="20"/>
              </w:rPr>
            </w:pPr>
            <w:r w:rsidRPr="000B7A9D">
              <w:rPr>
                <w:sz w:val="20"/>
              </w:rPr>
              <w:t>3.9</w:t>
            </w:r>
          </w:p>
        </w:tc>
        <w:tc>
          <w:tcPr>
            <w:tcW w:w="1134" w:type="dxa"/>
          </w:tcPr>
          <w:p w14:paraId="3D083C3D" w14:textId="77777777" w:rsidR="0080754F" w:rsidRPr="000B7A9D" w:rsidRDefault="004332F8" w:rsidP="005959B5">
            <w:pPr>
              <w:jc w:val="both"/>
              <w:rPr>
                <w:sz w:val="20"/>
              </w:rPr>
            </w:pPr>
            <w:r w:rsidRPr="000B7A9D">
              <w:rPr>
                <w:sz w:val="20"/>
              </w:rPr>
              <w:t>3.8</w:t>
            </w:r>
          </w:p>
        </w:tc>
        <w:tc>
          <w:tcPr>
            <w:tcW w:w="1134" w:type="dxa"/>
          </w:tcPr>
          <w:p w14:paraId="7FFBB2EB" w14:textId="77777777" w:rsidR="0080754F" w:rsidRPr="000B7A9D" w:rsidRDefault="004332F8" w:rsidP="005959B5">
            <w:pPr>
              <w:jc w:val="both"/>
              <w:rPr>
                <w:sz w:val="20"/>
              </w:rPr>
            </w:pPr>
            <w:r w:rsidRPr="000B7A9D">
              <w:rPr>
                <w:sz w:val="20"/>
              </w:rPr>
              <w:t>4.0</w:t>
            </w:r>
          </w:p>
        </w:tc>
      </w:tr>
      <w:tr w:rsidR="004332F8" w:rsidRPr="000B7A9D" w14:paraId="2D20919D" w14:textId="77777777" w:rsidTr="00404C96">
        <w:tc>
          <w:tcPr>
            <w:tcW w:w="5670" w:type="dxa"/>
          </w:tcPr>
          <w:p w14:paraId="3FF0C0B3" w14:textId="77777777" w:rsidR="004332F8" w:rsidRPr="000B7A9D" w:rsidRDefault="002C5308" w:rsidP="005959B5">
            <w:pPr>
              <w:jc w:val="both"/>
              <w:rPr>
                <w:i/>
                <w:sz w:val="20"/>
              </w:rPr>
            </w:pPr>
            <w:r w:rsidRPr="000B7A9D">
              <w:rPr>
                <w:i/>
                <w:sz w:val="20"/>
              </w:rPr>
              <w:t>Outturn</w:t>
            </w:r>
          </w:p>
        </w:tc>
        <w:tc>
          <w:tcPr>
            <w:tcW w:w="1134" w:type="dxa"/>
          </w:tcPr>
          <w:p w14:paraId="121D6EF8" w14:textId="77777777" w:rsidR="004332F8" w:rsidRPr="000B7A9D" w:rsidRDefault="004332F8" w:rsidP="005959B5">
            <w:pPr>
              <w:jc w:val="both"/>
              <w:rPr>
                <w:i/>
                <w:sz w:val="20"/>
              </w:rPr>
            </w:pPr>
          </w:p>
        </w:tc>
        <w:tc>
          <w:tcPr>
            <w:tcW w:w="1134" w:type="dxa"/>
          </w:tcPr>
          <w:p w14:paraId="0E36CEB4" w14:textId="77777777" w:rsidR="004332F8" w:rsidRPr="000B7A9D" w:rsidRDefault="004332F8" w:rsidP="005959B5">
            <w:pPr>
              <w:jc w:val="both"/>
              <w:rPr>
                <w:i/>
                <w:sz w:val="20"/>
              </w:rPr>
            </w:pPr>
          </w:p>
        </w:tc>
        <w:tc>
          <w:tcPr>
            <w:tcW w:w="1134" w:type="dxa"/>
          </w:tcPr>
          <w:p w14:paraId="67A4821D" w14:textId="77777777" w:rsidR="004332F8" w:rsidRPr="000B7A9D" w:rsidRDefault="004332F8" w:rsidP="005959B5">
            <w:pPr>
              <w:jc w:val="both"/>
              <w:rPr>
                <w:i/>
                <w:sz w:val="20"/>
              </w:rPr>
            </w:pPr>
          </w:p>
        </w:tc>
      </w:tr>
      <w:tr w:rsidR="004332F8" w:rsidRPr="000B7A9D" w14:paraId="0BBEAE62" w14:textId="77777777" w:rsidTr="00404C96">
        <w:tc>
          <w:tcPr>
            <w:tcW w:w="5670" w:type="dxa"/>
          </w:tcPr>
          <w:p w14:paraId="557F1045" w14:textId="77777777" w:rsidR="004332F8" w:rsidRPr="000B7A9D" w:rsidRDefault="004332F8" w:rsidP="005959B5">
            <w:pPr>
              <w:jc w:val="both"/>
              <w:rPr>
                <w:sz w:val="20"/>
              </w:rPr>
            </w:pPr>
            <w:r w:rsidRPr="000B7A9D">
              <w:rPr>
                <w:sz w:val="20"/>
              </w:rPr>
              <w:t>In billions of USD</w:t>
            </w:r>
          </w:p>
        </w:tc>
        <w:tc>
          <w:tcPr>
            <w:tcW w:w="1134" w:type="dxa"/>
          </w:tcPr>
          <w:p w14:paraId="06A017EA" w14:textId="77777777" w:rsidR="004332F8" w:rsidRPr="000B7A9D" w:rsidRDefault="003F53BA" w:rsidP="005959B5">
            <w:pPr>
              <w:jc w:val="both"/>
              <w:rPr>
                <w:sz w:val="20"/>
              </w:rPr>
            </w:pPr>
            <w:r w:rsidRPr="000B7A9D">
              <w:rPr>
                <w:sz w:val="20"/>
              </w:rPr>
              <w:t>3.0</w:t>
            </w:r>
          </w:p>
        </w:tc>
        <w:tc>
          <w:tcPr>
            <w:tcW w:w="1134" w:type="dxa"/>
          </w:tcPr>
          <w:p w14:paraId="46C20E40" w14:textId="77777777" w:rsidR="004332F8" w:rsidRPr="000B7A9D" w:rsidRDefault="00C24F75" w:rsidP="005959B5">
            <w:pPr>
              <w:jc w:val="both"/>
              <w:rPr>
                <w:sz w:val="20"/>
              </w:rPr>
            </w:pPr>
            <w:r w:rsidRPr="000B7A9D">
              <w:rPr>
                <w:sz w:val="20"/>
              </w:rPr>
              <w:t>3.4</w:t>
            </w:r>
          </w:p>
        </w:tc>
        <w:tc>
          <w:tcPr>
            <w:tcW w:w="1134" w:type="dxa"/>
          </w:tcPr>
          <w:p w14:paraId="1DA98777" w14:textId="77777777" w:rsidR="004332F8" w:rsidRPr="000B7A9D" w:rsidRDefault="00C24F75" w:rsidP="005959B5">
            <w:pPr>
              <w:jc w:val="both"/>
              <w:rPr>
                <w:sz w:val="20"/>
              </w:rPr>
            </w:pPr>
            <w:r w:rsidRPr="000B7A9D">
              <w:rPr>
                <w:sz w:val="20"/>
              </w:rPr>
              <w:t>3.2</w:t>
            </w:r>
          </w:p>
        </w:tc>
      </w:tr>
      <w:tr w:rsidR="004332F8" w:rsidRPr="000B7A9D" w14:paraId="397EAA44" w14:textId="77777777" w:rsidTr="00404C96">
        <w:tc>
          <w:tcPr>
            <w:tcW w:w="5670" w:type="dxa"/>
          </w:tcPr>
          <w:p w14:paraId="2D34AA63" w14:textId="77777777" w:rsidR="004332F8" w:rsidRPr="000B7A9D" w:rsidRDefault="004332F8" w:rsidP="005959B5">
            <w:pPr>
              <w:jc w:val="both"/>
              <w:rPr>
                <w:sz w:val="20"/>
              </w:rPr>
            </w:pPr>
            <w:r w:rsidRPr="000B7A9D">
              <w:rPr>
                <w:sz w:val="20"/>
              </w:rPr>
              <w:t>Import cover (in months of next year’s imports)</w:t>
            </w:r>
          </w:p>
        </w:tc>
        <w:tc>
          <w:tcPr>
            <w:tcW w:w="1134" w:type="dxa"/>
          </w:tcPr>
          <w:p w14:paraId="58796810" w14:textId="77777777" w:rsidR="004332F8" w:rsidRPr="000B7A9D" w:rsidRDefault="00C24F75" w:rsidP="005959B5">
            <w:pPr>
              <w:jc w:val="both"/>
              <w:rPr>
                <w:sz w:val="20"/>
              </w:rPr>
            </w:pPr>
            <w:r w:rsidRPr="000B7A9D">
              <w:rPr>
                <w:sz w:val="20"/>
              </w:rPr>
              <w:t>5.4</w:t>
            </w:r>
          </w:p>
        </w:tc>
        <w:tc>
          <w:tcPr>
            <w:tcW w:w="1134" w:type="dxa"/>
          </w:tcPr>
          <w:p w14:paraId="449A0E52" w14:textId="77777777" w:rsidR="004332F8" w:rsidRPr="000B7A9D" w:rsidRDefault="00C24F75" w:rsidP="005959B5">
            <w:pPr>
              <w:jc w:val="both"/>
              <w:rPr>
                <w:sz w:val="20"/>
              </w:rPr>
            </w:pPr>
            <w:r w:rsidRPr="000B7A9D">
              <w:rPr>
                <w:sz w:val="20"/>
              </w:rPr>
              <w:t>5.6</w:t>
            </w:r>
          </w:p>
        </w:tc>
        <w:tc>
          <w:tcPr>
            <w:tcW w:w="1134" w:type="dxa"/>
          </w:tcPr>
          <w:p w14:paraId="652437D4" w14:textId="77777777" w:rsidR="004332F8" w:rsidRPr="000B7A9D" w:rsidRDefault="00C24F75" w:rsidP="005959B5">
            <w:pPr>
              <w:jc w:val="both"/>
              <w:rPr>
                <w:sz w:val="20"/>
              </w:rPr>
            </w:pPr>
            <w:r w:rsidRPr="000B7A9D">
              <w:rPr>
                <w:sz w:val="20"/>
              </w:rPr>
              <w:t>4.4</w:t>
            </w:r>
          </w:p>
        </w:tc>
      </w:tr>
    </w:tbl>
    <w:p w14:paraId="4B56BBE8" w14:textId="77777777" w:rsidR="0080754F" w:rsidRPr="000E1B7E" w:rsidRDefault="00C24F75" w:rsidP="005959B5">
      <w:pPr>
        <w:jc w:val="both"/>
      </w:pPr>
      <w:r w:rsidRPr="000E1B7E">
        <w:t>Source: Bank of Uganda; NDP II</w:t>
      </w:r>
    </w:p>
    <w:p w14:paraId="59739EE1" w14:textId="77777777" w:rsidR="0080754F" w:rsidRPr="000E1B7E" w:rsidRDefault="00C24F75" w:rsidP="00F85D24">
      <w:pPr>
        <w:pStyle w:val="DeltaBodytext"/>
        <w:numPr>
          <w:ilvl w:val="0"/>
          <w:numId w:val="26"/>
        </w:numPr>
        <w:autoSpaceDE w:val="0"/>
        <w:autoSpaceDN w:val="0"/>
        <w:adjustRightInd w:val="0"/>
        <w:spacing w:before="240" w:line="360" w:lineRule="auto"/>
        <w:ind w:left="567" w:hanging="567"/>
        <w:rPr>
          <w:rFonts w:ascii="Times New Roman" w:hAnsi="Times New Roman"/>
        </w:rPr>
      </w:pPr>
      <w:r w:rsidRPr="000E1B7E">
        <w:rPr>
          <w:rFonts w:ascii="Times New Roman" w:hAnsi="Times New Roman"/>
          <w:sz w:val="24"/>
          <w:szCs w:val="24"/>
        </w:rPr>
        <w:lastRenderedPageBreak/>
        <w:t xml:space="preserve">The level of gross international reserves has </w:t>
      </w:r>
      <w:r w:rsidR="00425E64" w:rsidRPr="000E1B7E">
        <w:rPr>
          <w:rFonts w:ascii="Times New Roman" w:hAnsi="Times New Roman"/>
          <w:sz w:val="24"/>
          <w:szCs w:val="24"/>
        </w:rPr>
        <w:t>turned out to be lower in absolute terms than projected in NDP II, but higher in terms of import cover. This may reflect that the actual level of imports is lower than projected in NDP II, which is most likely related to the slower than anticipated progress in implementing major infrastructure projects</w:t>
      </w:r>
      <w:r w:rsidR="00425E64" w:rsidRPr="000E1B7E">
        <w:rPr>
          <w:rStyle w:val="FootnoteReference"/>
          <w:rFonts w:ascii="Times New Roman" w:hAnsi="Times New Roman"/>
        </w:rPr>
        <w:footnoteReference w:id="10"/>
      </w:r>
      <w:r w:rsidR="00425E64" w:rsidRPr="000E1B7E">
        <w:rPr>
          <w:rFonts w:ascii="Times New Roman" w:hAnsi="Times New Roman"/>
        </w:rPr>
        <w:t>.</w:t>
      </w:r>
    </w:p>
    <w:p w14:paraId="43A2F149" w14:textId="77777777" w:rsidR="006933A0" w:rsidRPr="000E1B7E" w:rsidRDefault="002C5308" w:rsidP="005959B5">
      <w:pPr>
        <w:jc w:val="both"/>
        <w:rPr>
          <w:b/>
        </w:rPr>
      </w:pPr>
      <w:r w:rsidRPr="000E1B7E">
        <w:rPr>
          <w:b/>
        </w:rPr>
        <w:t>Conclusion</w:t>
      </w:r>
    </w:p>
    <w:p w14:paraId="5D0F454D" w14:textId="77777777" w:rsidR="0092255B" w:rsidRPr="000E1B7E" w:rsidRDefault="006933A0"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External sector performance has been generally positive during the first half of NDP II. There have been growing exports</w:t>
      </w:r>
      <w:r w:rsidR="009B3BA7" w:rsidRPr="000E1B7E">
        <w:rPr>
          <w:rFonts w:ascii="Times New Roman" w:hAnsi="Times New Roman"/>
          <w:sz w:val="24"/>
          <w:szCs w:val="24"/>
        </w:rPr>
        <w:t xml:space="preserve"> and</w:t>
      </w:r>
      <w:r w:rsidRPr="000E1B7E">
        <w:rPr>
          <w:rFonts w:ascii="Times New Roman" w:hAnsi="Times New Roman"/>
          <w:sz w:val="24"/>
          <w:szCs w:val="24"/>
        </w:rPr>
        <w:t xml:space="preserve"> imports </w:t>
      </w:r>
      <w:r w:rsidR="009B3BA7" w:rsidRPr="000E1B7E">
        <w:rPr>
          <w:rFonts w:ascii="Times New Roman" w:hAnsi="Times New Roman"/>
          <w:sz w:val="24"/>
          <w:szCs w:val="24"/>
        </w:rPr>
        <w:t>with exports growing faster than imports, resulting into</w:t>
      </w:r>
      <w:r w:rsidRPr="000E1B7E">
        <w:rPr>
          <w:rFonts w:ascii="Times New Roman" w:hAnsi="Times New Roman"/>
          <w:sz w:val="24"/>
          <w:szCs w:val="24"/>
        </w:rPr>
        <w:t xml:space="preserve"> a declining trade deficit</w:t>
      </w:r>
      <w:r w:rsidR="009B3BA7" w:rsidRPr="000E1B7E">
        <w:rPr>
          <w:rFonts w:ascii="Times New Roman" w:hAnsi="Times New Roman"/>
          <w:sz w:val="24"/>
          <w:szCs w:val="24"/>
        </w:rPr>
        <w:t xml:space="preserve"> except in the 2017/18 financial year</w:t>
      </w:r>
      <w:r w:rsidRPr="000E1B7E">
        <w:rPr>
          <w:rFonts w:ascii="Times New Roman" w:hAnsi="Times New Roman"/>
          <w:sz w:val="24"/>
          <w:szCs w:val="24"/>
        </w:rPr>
        <w:t xml:space="preserve">.  This suggests that the external account has responded positively to the depreciation of the UGX in the latter years of NDP I. However, assessment of </w:t>
      </w:r>
      <w:r w:rsidR="00DD0E4A" w:rsidRPr="000E1B7E">
        <w:rPr>
          <w:rFonts w:ascii="Times New Roman" w:hAnsi="Times New Roman"/>
          <w:sz w:val="24"/>
          <w:szCs w:val="24"/>
        </w:rPr>
        <w:t xml:space="preserve">the success of the export-driven growth strategy is made difficult by inconsistencies in NDP II, which does not provide a clear set of export targets. The positive assessment of external sector performance is supported by the smaller than projected current account deficit, and higher than anticipated international reserves (measured in terms of import cover). Nevertheless there are some future external account risks, given that imports are expected to rise sharply as major infrastructure projects are implemented, </w:t>
      </w:r>
      <w:r w:rsidR="009B3BA7" w:rsidRPr="000E1B7E">
        <w:rPr>
          <w:rFonts w:ascii="Times New Roman" w:hAnsi="Times New Roman"/>
          <w:sz w:val="24"/>
          <w:szCs w:val="24"/>
        </w:rPr>
        <w:t xml:space="preserve">as already envidenced in the 2017/18 financial year, </w:t>
      </w:r>
      <w:r w:rsidR="00DD0E4A" w:rsidRPr="000E1B7E">
        <w:rPr>
          <w:rFonts w:ascii="Times New Roman" w:hAnsi="Times New Roman"/>
          <w:sz w:val="24"/>
          <w:szCs w:val="24"/>
        </w:rPr>
        <w:t xml:space="preserve">and this could lead to larger current account deficits, </w:t>
      </w:r>
      <w:r w:rsidR="008C5329" w:rsidRPr="000E1B7E">
        <w:rPr>
          <w:rFonts w:ascii="Times New Roman" w:hAnsi="Times New Roman"/>
          <w:sz w:val="24"/>
          <w:szCs w:val="24"/>
        </w:rPr>
        <w:t xml:space="preserve">hence </w:t>
      </w:r>
      <w:r w:rsidR="00DD0E4A" w:rsidRPr="000E1B7E">
        <w:rPr>
          <w:rFonts w:ascii="Times New Roman" w:hAnsi="Times New Roman"/>
          <w:sz w:val="24"/>
          <w:szCs w:val="24"/>
        </w:rPr>
        <w:t>grea</w:t>
      </w:r>
      <w:r w:rsidR="008C5329" w:rsidRPr="000E1B7E">
        <w:rPr>
          <w:rFonts w:ascii="Times New Roman" w:hAnsi="Times New Roman"/>
          <w:sz w:val="24"/>
          <w:szCs w:val="24"/>
        </w:rPr>
        <w:t>ter reliance on capital inflows, and potential pressure on the exchange rate and international reserves</w:t>
      </w:r>
      <w:r w:rsidR="00DD0E4A" w:rsidRPr="000E1B7E">
        <w:rPr>
          <w:rFonts w:ascii="Times New Roman" w:hAnsi="Times New Roman"/>
          <w:sz w:val="24"/>
          <w:szCs w:val="24"/>
        </w:rPr>
        <w:t xml:space="preserve">. </w:t>
      </w:r>
    </w:p>
    <w:p w14:paraId="2DE27543" w14:textId="77777777" w:rsidR="00A16A2A" w:rsidRPr="000E1B7E" w:rsidRDefault="00A16A2A" w:rsidP="005959B5">
      <w:pPr>
        <w:jc w:val="both"/>
        <w:sectPr w:rsidR="00A16A2A" w:rsidRPr="000E1B7E" w:rsidSect="00B20AC0">
          <w:pgSz w:w="11906" w:h="16838" w:code="9"/>
          <w:pgMar w:top="1440" w:right="1440" w:bottom="1440" w:left="1440" w:header="706" w:footer="14" w:gutter="0"/>
          <w:cols w:space="708"/>
          <w:docGrid w:linePitch="360"/>
        </w:sectPr>
      </w:pPr>
    </w:p>
    <w:p w14:paraId="63B96075" w14:textId="77777777" w:rsidR="00577A3C" w:rsidRPr="000E1B7E" w:rsidRDefault="00A16A2A" w:rsidP="00F85D24">
      <w:pPr>
        <w:pStyle w:val="Heading1"/>
        <w:numPr>
          <w:ilvl w:val="0"/>
          <w:numId w:val="22"/>
        </w:numPr>
        <w:ind w:left="709" w:hanging="709"/>
      </w:pPr>
      <w:bookmarkStart w:id="153" w:name="_Toc3478399"/>
      <w:bookmarkStart w:id="154" w:name="_Toc11956279"/>
      <w:r w:rsidRPr="000E1B7E">
        <w:lastRenderedPageBreak/>
        <w:t>Recommendations</w:t>
      </w:r>
      <w:bookmarkEnd w:id="153"/>
      <w:bookmarkEnd w:id="154"/>
    </w:p>
    <w:p w14:paraId="59B64F87" w14:textId="77777777" w:rsidR="000A7280" w:rsidRPr="000E1B7E" w:rsidRDefault="000A7280" w:rsidP="00C11847">
      <w:pPr>
        <w:pStyle w:val="DeltaSeched2"/>
      </w:pPr>
      <w:bookmarkStart w:id="155" w:name="_Toc3478400"/>
      <w:bookmarkStart w:id="156" w:name="_Toc11956280"/>
      <w:bookmarkStart w:id="157" w:name="_Toc530355682"/>
      <w:r w:rsidRPr="000E1B7E">
        <w:t>Performance of the Real Economy</w:t>
      </w:r>
      <w:bookmarkEnd w:id="155"/>
      <w:bookmarkEnd w:id="156"/>
    </w:p>
    <w:p w14:paraId="4215E4E1" w14:textId="77777777" w:rsidR="000A7280" w:rsidRPr="000E1B7E" w:rsidRDefault="000A7280"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Over the first three years of NDP II, Uganda has registered annual real GDP growth rates of 4.9%, which is lower than the NDP II targeted average annual growth of real GDP of 6.3%. To attain the NDP II target average GDP growth rate of 6.3% by end of NDP II (2019/2020), Uganda will need to register an 8.</w:t>
      </w:r>
      <w:r w:rsidR="009B3BA7" w:rsidRPr="000E1B7E">
        <w:rPr>
          <w:rFonts w:ascii="Times New Roman" w:hAnsi="Times New Roman"/>
          <w:sz w:val="24"/>
          <w:szCs w:val="24"/>
        </w:rPr>
        <w:t>3</w:t>
      </w:r>
      <w:r w:rsidRPr="000E1B7E">
        <w:rPr>
          <w:rFonts w:ascii="Times New Roman" w:hAnsi="Times New Roman"/>
          <w:sz w:val="24"/>
          <w:szCs w:val="24"/>
        </w:rPr>
        <w:t>5% annual GDP growth rates over the remaining two years, which is ambitious given that a number of prioritised infrastructure projects to drive growth have progressed at a very slow rate while productivity of the agricultural sector and the industrial sector have not gained traction to deliver the anticipated growth. The following proposes are recommended to revitalise economic growth of the economy.</w:t>
      </w:r>
    </w:p>
    <w:p w14:paraId="5CFA68B9" w14:textId="77777777" w:rsidR="000A7280" w:rsidRPr="000E1B7E" w:rsidRDefault="000A7280" w:rsidP="00F85D24">
      <w:pPr>
        <w:pStyle w:val="ListParagraph"/>
        <w:numPr>
          <w:ilvl w:val="0"/>
          <w:numId w:val="14"/>
        </w:numPr>
        <w:autoSpaceDE w:val="0"/>
        <w:autoSpaceDN w:val="0"/>
        <w:adjustRightInd w:val="0"/>
        <w:spacing w:after="240" w:line="360" w:lineRule="auto"/>
        <w:rPr>
          <w:rFonts w:ascii="Times New Roman" w:hAnsi="Times New Roman"/>
          <w:sz w:val="24"/>
          <w:szCs w:val="24"/>
        </w:rPr>
      </w:pPr>
      <w:r w:rsidRPr="000E1B7E">
        <w:rPr>
          <w:rFonts w:ascii="Times New Roman" w:hAnsi="Times New Roman"/>
          <w:b/>
          <w:i/>
          <w:sz w:val="24"/>
          <w:szCs w:val="24"/>
        </w:rPr>
        <w:t xml:space="preserve">Strengthen delivery of Infrastructure projects: </w:t>
      </w:r>
      <w:r w:rsidRPr="000E1B7E">
        <w:rPr>
          <w:rFonts w:ascii="Times New Roman" w:hAnsi="Times New Roman"/>
          <w:sz w:val="24"/>
          <w:szCs w:val="24"/>
        </w:rPr>
        <w:t xml:space="preserve">the NDP II growth strategy relies heavily on frontloading public investment in infrastructure projects. However, there has been slow implementation of a number of infrastructure projects including the oil refinery, oil pipeline, standard gauge railway and key roads identified under NDPII, which has constrained growth due to reduced public investment. Most of the projects were included in NDP II before completing the preparatory phases of project appraisal to confirm </w:t>
      </w:r>
      <w:r w:rsidR="00F43B51" w:rsidRPr="000E1B7E">
        <w:rPr>
          <w:rFonts w:ascii="Times New Roman" w:hAnsi="Times New Roman"/>
          <w:sz w:val="24"/>
          <w:szCs w:val="24"/>
        </w:rPr>
        <w:t xml:space="preserve">the socio-economic or </w:t>
      </w:r>
      <w:r w:rsidRPr="000E1B7E">
        <w:rPr>
          <w:rFonts w:ascii="Times New Roman" w:hAnsi="Times New Roman"/>
          <w:sz w:val="24"/>
          <w:szCs w:val="24"/>
        </w:rPr>
        <w:t>commercial viability of the projects. Slow project implementation is attributed to: 1) slow procurement process</w:t>
      </w:r>
      <w:r w:rsidR="00F43B51" w:rsidRPr="000E1B7E">
        <w:rPr>
          <w:rFonts w:ascii="Times New Roman" w:hAnsi="Times New Roman"/>
          <w:sz w:val="24"/>
          <w:szCs w:val="24"/>
        </w:rPr>
        <w:t>es;</w:t>
      </w:r>
      <w:r w:rsidRPr="000E1B7E">
        <w:rPr>
          <w:rFonts w:ascii="Times New Roman" w:hAnsi="Times New Roman"/>
          <w:sz w:val="24"/>
          <w:szCs w:val="24"/>
        </w:rPr>
        <w:t xml:space="preserve"> 2) Inability to plan for government counter</w:t>
      </w:r>
      <w:r w:rsidR="00F43B51" w:rsidRPr="000E1B7E">
        <w:rPr>
          <w:rFonts w:ascii="Times New Roman" w:hAnsi="Times New Roman"/>
          <w:sz w:val="24"/>
          <w:szCs w:val="24"/>
        </w:rPr>
        <w:t xml:space="preserve">part </w:t>
      </w:r>
      <w:r w:rsidRPr="000E1B7E">
        <w:rPr>
          <w:rFonts w:ascii="Times New Roman" w:hAnsi="Times New Roman"/>
          <w:sz w:val="24"/>
          <w:szCs w:val="24"/>
        </w:rPr>
        <w:t>funding</w:t>
      </w:r>
      <w:r w:rsidR="00F43B51" w:rsidRPr="000E1B7E">
        <w:rPr>
          <w:rFonts w:ascii="Times New Roman" w:hAnsi="Times New Roman"/>
          <w:sz w:val="24"/>
          <w:szCs w:val="24"/>
        </w:rPr>
        <w:t>;</w:t>
      </w:r>
      <w:r w:rsidRPr="000E1B7E">
        <w:rPr>
          <w:rFonts w:ascii="Times New Roman" w:hAnsi="Times New Roman"/>
          <w:sz w:val="24"/>
          <w:szCs w:val="24"/>
        </w:rPr>
        <w:t xml:space="preserve"> and 3) weak institutional capacity to manage and supervise the projects.  To improve project implementation, the MTR recommends that: </w:t>
      </w:r>
    </w:p>
    <w:p w14:paraId="0D906B02" w14:textId="77777777" w:rsidR="000A7280" w:rsidRPr="000E1B7E" w:rsidRDefault="000A7280" w:rsidP="00F85D24">
      <w:pPr>
        <w:pStyle w:val="ListParagraph"/>
        <w:widowControl w:val="0"/>
        <w:numPr>
          <w:ilvl w:val="1"/>
          <w:numId w:val="26"/>
        </w:numPr>
        <w:autoSpaceDE w:val="0"/>
        <w:autoSpaceDN w:val="0"/>
        <w:adjustRightInd w:val="0"/>
        <w:spacing w:after="240" w:line="360" w:lineRule="auto"/>
        <w:ind w:left="1418" w:hanging="709"/>
        <w:rPr>
          <w:rFonts w:ascii="Times New Roman" w:hAnsi="Times New Roman"/>
          <w:color w:val="000000"/>
          <w:sz w:val="24"/>
          <w:szCs w:val="24"/>
        </w:rPr>
      </w:pPr>
      <w:r w:rsidRPr="000E1B7E">
        <w:rPr>
          <w:rFonts w:ascii="Times New Roman" w:hAnsi="Times New Roman"/>
          <w:sz w:val="24"/>
          <w:szCs w:val="24"/>
        </w:rPr>
        <w:t xml:space="preserve">NDP adopts a streamlined project implementation framework with </w:t>
      </w:r>
      <w:r w:rsidR="00AB35E3" w:rsidRPr="000E1B7E">
        <w:rPr>
          <w:rFonts w:ascii="Times New Roman" w:hAnsi="Times New Roman"/>
          <w:sz w:val="24"/>
          <w:szCs w:val="24"/>
        </w:rPr>
        <w:t>three</w:t>
      </w:r>
      <w:r w:rsidRPr="000E1B7E">
        <w:rPr>
          <w:rFonts w:ascii="Times New Roman" w:hAnsi="Times New Roman"/>
          <w:sz w:val="24"/>
          <w:szCs w:val="24"/>
        </w:rPr>
        <w:t xml:space="preserve"> gates; </w:t>
      </w:r>
      <w:r w:rsidR="003F1BDE" w:rsidRPr="000E1B7E">
        <w:rPr>
          <w:rFonts w:ascii="Times New Roman" w:hAnsi="Times New Roman"/>
          <w:sz w:val="24"/>
          <w:szCs w:val="24"/>
        </w:rPr>
        <w:t>1)</w:t>
      </w:r>
      <w:r w:rsidR="00AB35E3" w:rsidRPr="000E1B7E">
        <w:rPr>
          <w:rFonts w:ascii="Times New Roman" w:hAnsi="Times New Roman"/>
          <w:sz w:val="24"/>
          <w:szCs w:val="24"/>
        </w:rPr>
        <w:t xml:space="preserve"> Project concept and profile</w:t>
      </w:r>
      <w:r w:rsidR="003F1BDE" w:rsidRPr="000E1B7E">
        <w:rPr>
          <w:rFonts w:ascii="Times New Roman" w:hAnsi="Times New Roman"/>
          <w:sz w:val="24"/>
          <w:szCs w:val="24"/>
        </w:rPr>
        <w:t>, 2)</w:t>
      </w:r>
      <w:r w:rsidR="00AB35E3" w:rsidRPr="000E1B7E">
        <w:rPr>
          <w:rFonts w:ascii="Times New Roman" w:hAnsi="Times New Roman"/>
          <w:sz w:val="24"/>
          <w:szCs w:val="24"/>
        </w:rPr>
        <w:t xml:space="preserve"> Pre-feasibility, including preliminary costing, cost-benefit analysis, and determination o</w:t>
      </w:r>
      <w:r w:rsidR="003F1BDE" w:rsidRPr="000E1B7E">
        <w:rPr>
          <w:rFonts w:ascii="Times New Roman" w:hAnsi="Times New Roman"/>
          <w:sz w:val="24"/>
          <w:szCs w:val="24"/>
        </w:rPr>
        <w:t>f socio-economic rate of return, and 3)</w:t>
      </w:r>
      <w:r w:rsidR="00AB35E3" w:rsidRPr="000E1B7E">
        <w:rPr>
          <w:rFonts w:ascii="Times New Roman" w:hAnsi="Times New Roman"/>
          <w:sz w:val="24"/>
          <w:szCs w:val="24"/>
        </w:rPr>
        <w:t xml:space="preserve"> Full feasibility study (including sufficiently detailed design). </w:t>
      </w:r>
      <w:r w:rsidRPr="000E1B7E">
        <w:rPr>
          <w:rFonts w:ascii="Times New Roman" w:hAnsi="Times New Roman"/>
          <w:color w:val="000000"/>
          <w:sz w:val="24"/>
          <w:szCs w:val="24"/>
        </w:rPr>
        <w:t xml:space="preserve">As the next NDP is developed it is worth exploring how to improve investment planning and links between critical NDP projects, </w:t>
      </w:r>
      <w:r w:rsidR="003F1BDE" w:rsidRPr="000E1B7E">
        <w:rPr>
          <w:rFonts w:ascii="Times New Roman" w:hAnsi="Times New Roman"/>
          <w:color w:val="000000"/>
          <w:sz w:val="24"/>
          <w:szCs w:val="24"/>
        </w:rPr>
        <w:t>sector investment plans (</w:t>
      </w:r>
      <w:r w:rsidRPr="000E1B7E">
        <w:rPr>
          <w:rFonts w:ascii="Times New Roman" w:hAnsi="Times New Roman"/>
          <w:color w:val="000000"/>
          <w:sz w:val="24"/>
          <w:szCs w:val="24"/>
        </w:rPr>
        <w:t>SIPs</w:t>
      </w:r>
      <w:r w:rsidR="003F1BDE" w:rsidRPr="000E1B7E">
        <w:rPr>
          <w:rFonts w:ascii="Times New Roman" w:hAnsi="Times New Roman"/>
          <w:color w:val="000000"/>
          <w:sz w:val="24"/>
          <w:szCs w:val="24"/>
        </w:rPr>
        <w:t>)</w:t>
      </w:r>
      <w:r w:rsidRPr="000E1B7E">
        <w:rPr>
          <w:rFonts w:ascii="Times New Roman" w:hAnsi="Times New Roman"/>
          <w:color w:val="000000"/>
          <w:sz w:val="24"/>
          <w:szCs w:val="24"/>
        </w:rPr>
        <w:t xml:space="preserve"> and the </w:t>
      </w:r>
      <w:r w:rsidR="003F1BDE" w:rsidRPr="000E1B7E">
        <w:rPr>
          <w:rFonts w:ascii="Times New Roman" w:hAnsi="Times New Roman"/>
          <w:color w:val="000000"/>
          <w:sz w:val="24"/>
          <w:szCs w:val="24"/>
        </w:rPr>
        <w:t>Public Investment plan projects (</w:t>
      </w:r>
      <w:r w:rsidRPr="000E1B7E">
        <w:rPr>
          <w:rFonts w:ascii="Times New Roman" w:hAnsi="Times New Roman"/>
          <w:color w:val="000000"/>
          <w:sz w:val="24"/>
          <w:szCs w:val="24"/>
        </w:rPr>
        <w:t>PIP</w:t>
      </w:r>
      <w:r w:rsidR="003F1BDE" w:rsidRPr="000E1B7E">
        <w:rPr>
          <w:rFonts w:ascii="Times New Roman" w:hAnsi="Times New Roman"/>
          <w:color w:val="000000"/>
          <w:sz w:val="24"/>
          <w:szCs w:val="24"/>
        </w:rPr>
        <w:t>)</w:t>
      </w:r>
      <w:r w:rsidRPr="000E1B7E">
        <w:rPr>
          <w:rFonts w:ascii="Times New Roman" w:hAnsi="Times New Roman"/>
          <w:color w:val="000000"/>
          <w:sz w:val="24"/>
          <w:szCs w:val="24"/>
        </w:rPr>
        <w:t>. This could draw on other countries experiences in driving forward flagship projects as part of their national planning process. One possible model would be to split projects into three categories:</w:t>
      </w:r>
    </w:p>
    <w:p w14:paraId="7865F17B" w14:textId="77777777" w:rsidR="000A7280" w:rsidRPr="000E1B7E" w:rsidRDefault="000A7280" w:rsidP="00F85D24">
      <w:pPr>
        <w:pStyle w:val="ListParagraph"/>
        <w:widowControl w:val="0"/>
        <w:numPr>
          <w:ilvl w:val="0"/>
          <w:numId w:val="32"/>
        </w:numPr>
        <w:autoSpaceDE w:val="0"/>
        <w:autoSpaceDN w:val="0"/>
        <w:adjustRightInd w:val="0"/>
        <w:spacing w:line="360" w:lineRule="auto"/>
        <w:rPr>
          <w:rFonts w:ascii="Times New Roman" w:hAnsi="Times New Roman"/>
          <w:color w:val="000000"/>
          <w:sz w:val="24"/>
          <w:szCs w:val="24"/>
        </w:rPr>
      </w:pPr>
      <w:r w:rsidRPr="000E1B7E">
        <w:rPr>
          <w:rFonts w:ascii="Times New Roman" w:hAnsi="Times New Roman"/>
          <w:b/>
          <w:bCs/>
          <w:color w:val="000000"/>
          <w:sz w:val="24"/>
          <w:szCs w:val="24"/>
        </w:rPr>
        <w:lastRenderedPageBreak/>
        <w:t>Tier 1: On-going priority projects</w:t>
      </w:r>
      <w:r w:rsidRPr="000E1B7E">
        <w:rPr>
          <w:rFonts w:ascii="Times New Roman" w:hAnsi="Times New Roman"/>
          <w:color w:val="000000"/>
          <w:sz w:val="24"/>
          <w:szCs w:val="24"/>
        </w:rPr>
        <w:t xml:space="preserve"> (</w:t>
      </w:r>
      <w:r w:rsidR="00F43B51" w:rsidRPr="000E1B7E">
        <w:rPr>
          <w:rFonts w:ascii="Times New Roman" w:hAnsi="Times New Roman"/>
          <w:color w:val="000000"/>
          <w:sz w:val="24"/>
          <w:szCs w:val="24"/>
        </w:rPr>
        <w:t xml:space="preserve">projects where implementation has started, </w:t>
      </w:r>
      <w:r w:rsidRPr="000E1B7E">
        <w:rPr>
          <w:rFonts w:ascii="Times New Roman" w:hAnsi="Times New Roman"/>
          <w:color w:val="000000"/>
          <w:sz w:val="24"/>
          <w:szCs w:val="24"/>
        </w:rPr>
        <w:t>brought across from earlier NDPs).</w:t>
      </w:r>
    </w:p>
    <w:p w14:paraId="79EE0001" w14:textId="77777777" w:rsidR="000A7280" w:rsidRPr="000E1B7E" w:rsidRDefault="000A7280" w:rsidP="00F85D24">
      <w:pPr>
        <w:pStyle w:val="ListParagraph"/>
        <w:widowControl w:val="0"/>
        <w:numPr>
          <w:ilvl w:val="0"/>
          <w:numId w:val="32"/>
        </w:numPr>
        <w:autoSpaceDE w:val="0"/>
        <w:autoSpaceDN w:val="0"/>
        <w:adjustRightInd w:val="0"/>
        <w:spacing w:line="360" w:lineRule="auto"/>
        <w:rPr>
          <w:rFonts w:ascii="Times New Roman" w:hAnsi="Times New Roman"/>
          <w:color w:val="000000"/>
          <w:sz w:val="24"/>
          <w:szCs w:val="24"/>
        </w:rPr>
      </w:pPr>
      <w:r w:rsidRPr="000E1B7E">
        <w:rPr>
          <w:rFonts w:ascii="Times New Roman" w:hAnsi="Times New Roman"/>
          <w:b/>
          <w:bCs/>
          <w:color w:val="000000"/>
          <w:sz w:val="24"/>
          <w:szCs w:val="24"/>
        </w:rPr>
        <w:t>Tier 2: Investment ready</w:t>
      </w:r>
      <w:r w:rsidRPr="000E1B7E">
        <w:rPr>
          <w:rFonts w:ascii="Times New Roman" w:hAnsi="Times New Roman"/>
          <w:color w:val="000000"/>
          <w:sz w:val="24"/>
          <w:szCs w:val="24"/>
        </w:rPr>
        <w:t xml:space="preserve"> projects that have been fully appraised and </w:t>
      </w:r>
      <w:r w:rsidR="00F43B51" w:rsidRPr="000E1B7E">
        <w:rPr>
          <w:rFonts w:ascii="Times New Roman" w:hAnsi="Times New Roman"/>
          <w:color w:val="000000"/>
          <w:sz w:val="24"/>
          <w:szCs w:val="24"/>
        </w:rPr>
        <w:t>have met the necessary cost-benefit analysis criteria, and</w:t>
      </w:r>
      <w:r w:rsidRPr="000E1B7E">
        <w:rPr>
          <w:rFonts w:ascii="Times New Roman" w:hAnsi="Times New Roman"/>
          <w:color w:val="000000"/>
          <w:sz w:val="24"/>
          <w:szCs w:val="24"/>
        </w:rPr>
        <w:t>will start up during the early years of the NDP. This would imply that no project would get into the NDP without an evaluation of its viability technically, financially, socially and economically.</w:t>
      </w:r>
    </w:p>
    <w:p w14:paraId="3A831E2D" w14:textId="77777777" w:rsidR="000A7280" w:rsidRPr="000E1B7E" w:rsidRDefault="000A7280" w:rsidP="00F85D24">
      <w:pPr>
        <w:pStyle w:val="ListParagraph"/>
        <w:widowControl w:val="0"/>
        <w:numPr>
          <w:ilvl w:val="0"/>
          <w:numId w:val="32"/>
        </w:numPr>
        <w:autoSpaceDE w:val="0"/>
        <w:autoSpaceDN w:val="0"/>
        <w:adjustRightInd w:val="0"/>
        <w:spacing w:line="360" w:lineRule="auto"/>
        <w:rPr>
          <w:rFonts w:ascii="Times New Roman" w:hAnsi="Times New Roman"/>
          <w:color w:val="000000"/>
          <w:sz w:val="24"/>
          <w:szCs w:val="24"/>
        </w:rPr>
      </w:pPr>
      <w:r w:rsidRPr="000E1B7E">
        <w:rPr>
          <w:rFonts w:ascii="Times New Roman" w:hAnsi="Times New Roman"/>
          <w:b/>
          <w:bCs/>
          <w:color w:val="000000"/>
          <w:sz w:val="24"/>
          <w:szCs w:val="24"/>
        </w:rPr>
        <w:t>Tier 3: Priority pipeline projects</w:t>
      </w:r>
      <w:r w:rsidRPr="000E1B7E">
        <w:rPr>
          <w:rFonts w:ascii="Times New Roman" w:hAnsi="Times New Roman"/>
          <w:color w:val="000000"/>
          <w:sz w:val="24"/>
          <w:szCs w:val="24"/>
        </w:rPr>
        <w:t>. These would have gone through the pre-feasibility assessment stage</w:t>
      </w:r>
      <w:r w:rsidR="00F43B51" w:rsidRPr="000E1B7E">
        <w:rPr>
          <w:rFonts w:ascii="Times New Roman" w:hAnsi="Times New Roman"/>
          <w:color w:val="000000"/>
          <w:sz w:val="24"/>
          <w:szCs w:val="24"/>
        </w:rPr>
        <w:t>, but only have conditional approval for inclusion in the NDP</w:t>
      </w:r>
      <w:r w:rsidRPr="000E1B7E">
        <w:rPr>
          <w:rFonts w:ascii="Times New Roman" w:hAnsi="Times New Roman"/>
          <w:color w:val="000000"/>
          <w:sz w:val="24"/>
          <w:szCs w:val="24"/>
        </w:rPr>
        <w:t>. They would have been assessed as high impact and high priority</w:t>
      </w:r>
      <w:r w:rsidR="00F43B51" w:rsidRPr="000E1B7E">
        <w:rPr>
          <w:rFonts w:ascii="Times New Roman" w:hAnsi="Times New Roman"/>
          <w:color w:val="000000"/>
          <w:sz w:val="24"/>
          <w:szCs w:val="24"/>
        </w:rPr>
        <w:t>, andwould have a preliminary costing</w:t>
      </w:r>
      <w:r w:rsidRPr="000E1B7E">
        <w:rPr>
          <w:rFonts w:ascii="Times New Roman" w:hAnsi="Times New Roman"/>
          <w:color w:val="000000"/>
          <w:sz w:val="24"/>
          <w:szCs w:val="24"/>
        </w:rPr>
        <w:t>. In the course of the NDP these projects would be fully appraised and</w:t>
      </w:r>
      <w:r w:rsidR="00F43B51" w:rsidRPr="000E1B7E">
        <w:rPr>
          <w:rFonts w:ascii="Times New Roman" w:hAnsi="Times New Roman"/>
          <w:color w:val="000000"/>
          <w:sz w:val="24"/>
          <w:szCs w:val="24"/>
        </w:rPr>
        <w:t>, depending on the results of the appraisal,</w:t>
      </w:r>
      <w:r w:rsidRPr="000E1B7E">
        <w:rPr>
          <w:rFonts w:ascii="Times New Roman" w:hAnsi="Times New Roman"/>
          <w:color w:val="000000"/>
          <w:sz w:val="24"/>
          <w:szCs w:val="24"/>
        </w:rPr>
        <w:t xml:space="preserve"> then allocated funding as appropriate through the PIP process. </w:t>
      </w:r>
    </w:p>
    <w:p w14:paraId="532968E8" w14:textId="77777777" w:rsidR="000A7280" w:rsidRPr="000E1B7E" w:rsidRDefault="000A7280" w:rsidP="00F85D24">
      <w:pPr>
        <w:pStyle w:val="ListParagraph"/>
        <w:widowControl w:val="0"/>
        <w:numPr>
          <w:ilvl w:val="1"/>
          <w:numId w:val="26"/>
        </w:numPr>
        <w:autoSpaceDE w:val="0"/>
        <w:autoSpaceDN w:val="0"/>
        <w:adjustRightInd w:val="0"/>
        <w:spacing w:after="240" w:line="360" w:lineRule="auto"/>
        <w:ind w:left="1418" w:hanging="709"/>
        <w:rPr>
          <w:rFonts w:ascii="Times New Roman" w:hAnsi="Times New Roman"/>
          <w:color w:val="000000"/>
          <w:sz w:val="24"/>
          <w:szCs w:val="24"/>
        </w:rPr>
      </w:pPr>
      <w:r w:rsidRPr="000E1B7E">
        <w:rPr>
          <w:rFonts w:ascii="Times New Roman" w:hAnsi="Times New Roman"/>
          <w:b/>
          <w:bCs/>
          <w:color w:val="000000"/>
          <w:sz w:val="24"/>
          <w:szCs w:val="24"/>
        </w:rPr>
        <w:t>Criteria for funding priority projects</w:t>
      </w:r>
      <w:r w:rsidRPr="000E1B7E">
        <w:rPr>
          <w:rFonts w:ascii="Times New Roman" w:hAnsi="Times New Roman"/>
          <w:color w:val="000000"/>
          <w:sz w:val="24"/>
          <w:szCs w:val="24"/>
        </w:rPr>
        <w:t xml:space="preserve"> would need to be agreed during the design of the NDP and should be updated periodically. These criteria should also be mainstreamed into PIP and sector planning processes. Economic rate of return is clearly important for all projects but the expected returns may vary according to whether projects are focused on economic or social transformation. For example roads projects would be scored highly if they enhance connectivity to new regional markets or link lagging and leading regions. Social sector projects might be scored more highly where they enhance access to education in lagging regions (e.g. Northern Uganda).</w:t>
      </w:r>
    </w:p>
    <w:p w14:paraId="76AA6DD6" w14:textId="77777777" w:rsidR="000A7280" w:rsidRPr="000E1B7E" w:rsidRDefault="000A7280" w:rsidP="00F85D24">
      <w:pPr>
        <w:pStyle w:val="ListParagraph"/>
        <w:widowControl w:val="0"/>
        <w:numPr>
          <w:ilvl w:val="1"/>
          <w:numId w:val="26"/>
        </w:numPr>
        <w:autoSpaceDE w:val="0"/>
        <w:autoSpaceDN w:val="0"/>
        <w:adjustRightInd w:val="0"/>
        <w:spacing w:after="240" w:line="360" w:lineRule="auto"/>
        <w:ind w:left="1418" w:hanging="709"/>
        <w:rPr>
          <w:rFonts w:ascii="Times New Roman" w:hAnsi="Times New Roman"/>
          <w:color w:val="000000"/>
          <w:sz w:val="24"/>
          <w:szCs w:val="24"/>
        </w:rPr>
      </w:pPr>
      <w:r w:rsidRPr="000E1B7E">
        <w:rPr>
          <w:rFonts w:ascii="Times New Roman" w:hAnsi="Times New Roman"/>
          <w:b/>
          <w:bCs/>
          <w:color w:val="000000"/>
          <w:sz w:val="24"/>
          <w:szCs w:val="24"/>
        </w:rPr>
        <w:t>To qualify for Tier 1 or Tier 2 status projects would require sequenced time bound implementation plans that are fully costed and include annual milestones</w:t>
      </w:r>
      <w:r w:rsidRPr="000E1B7E">
        <w:rPr>
          <w:rFonts w:ascii="Times New Roman" w:hAnsi="Times New Roman"/>
          <w:color w:val="000000"/>
          <w:sz w:val="24"/>
          <w:szCs w:val="24"/>
        </w:rPr>
        <w:t>. Tier 3 projects would require costed plans and milestones for appraisal. These would need to be finalised and scrutinised as part of the PIP process before they can be incorporated into the new NDP</w:t>
      </w:r>
      <w:r w:rsidR="00FD7804" w:rsidRPr="000E1B7E">
        <w:rPr>
          <w:rFonts w:ascii="Times New Roman" w:hAnsi="Times New Roman"/>
          <w:color w:val="000000"/>
          <w:sz w:val="24"/>
          <w:szCs w:val="24"/>
        </w:rPr>
        <w:t>, and moved to Tier 2</w:t>
      </w:r>
      <w:r w:rsidRPr="000E1B7E">
        <w:rPr>
          <w:rFonts w:ascii="Times New Roman" w:hAnsi="Times New Roman"/>
          <w:color w:val="000000"/>
          <w:sz w:val="24"/>
          <w:szCs w:val="24"/>
        </w:rPr>
        <w:t xml:space="preserve">. The NPA would need to be closely involved in this process. </w:t>
      </w:r>
    </w:p>
    <w:p w14:paraId="0344979E" w14:textId="77777777" w:rsidR="000A7280" w:rsidRPr="000E1B7E" w:rsidRDefault="000A7280" w:rsidP="00F85D24">
      <w:pPr>
        <w:pStyle w:val="ListParagraph"/>
        <w:widowControl w:val="0"/>
        <w:numPr>
          <w:ilvl w:val="1"/>
          <w:numId w:val="26"/>
        </w:numPr>
        <w:autoSpaceDE w:val="0"/>
        <w:autoSpaceDN w:val="0"/>
        <w:adjustRightInd w:val="0"/>
        <w:spacing w:after="240" w:line="360" w:lineRule="auto"/>
        <w:ind w:left="1418" w:hanging="709"/>
        <w:rPr>
          <w:rFonts w:ascii="Times New Roman" w:hAnsi="Times New Roman"/>
          <w:color w:val="000000"/>
          <w:sz w:val="24"/>
          <w:szCs w:val="24"/>
        </w:rPr>
      </w:pPr>
      <w:r w:rsidRPr="000E1B7E">
        <w:rPr>
          <w:rFonts w:ascii="Times New Roman" w:hAnsi="Times New Roman"/>
          <w:b/>
          <w:bCs/>
          <w:color w:val="000000"/>
          <w:sz w:val="24"/>
          <w:szCs w:val="24"/>
        </w:rPr>
        <w:lastRenderedPageBreak/>
        <w:t>All projects falling in Tier 1</w:t>
      </w:r>
      <w:r w:rsidR="00FD7804" w:rsidRPr="000E1B7E">
        <w:rPr>
          <w:rFonts w:ascii="Times New Roman" w:hAnsi="Times New Roman"/>
          <w:b/>
          <w:bCs/>
          <w:color w:val="000000"/>
          <w:sz w:val="24"/>
          <w:szCs w:val="24"/>
        </w:rPr>
        <w:t xml:space="preserve"> and </w:t>
      </w:r>
      <w:r w:rsidRPr="000E1B7E">
        <w:rPr>
          <w:rFonts w:ascii="Times New Roman" w:hAnsi="Times New Roman"/>
          <w:b/>
          <w:bCs/>
          <w:color w:val="000000"/>
          <w:sz w:val="24"/>
          <w:szCs w:val="24"/>
        </w:rPr>
        <w:t xml:space="preserve">2 </w:t>
      </w:r>
      <w:r w:rsidR="003F1BDE" w:rsidRPr="000E1B7E">
        <w:rPr>
          <w:rStyle w:val="FootnoteReference"/>
          <w:rFonts w:ascii="Times New Roman" w:hAnsi="Times New Roman"/>
          <w:b/>
          <w:bCs/>
          <w:color w:val="000000"/>
          <w:sz w:val="24"/>
          <w:szCs w:val="24"/>
        </w:rPr>
        <w:footnoteReference w:id="11"/>
      </w:r>
      <w:r w:rsidRPr="000E1B7E">
        <w:rPr>
          <w:rFonts w:ascii="Times New Roman" w:hAnsi="Times New Roman"/>
          <w:b/>
          <w:bCs/>
          <w:color w:val="000000"/>
          <w:sz w:val="24"/>
          <w:szCs w:val="24"/>
        </w:rPr>
        <w:t>would be accorded the highest priority in SIPs and the annual PIP</w:t>
      </w:r>
      <w:r w:rsidRPr="000E1B7E">
        <w:rPr>
          <w:rFonts w:ascii="Times New Roman" w:hAnsi="Times New Roman"/>
          <w:color w:val="000000"/>
          <w:sz w:val="24"/>
          <w:szCs w:val="24"/>
        </w:rPr>
        <w:t xml:space="preserve">. These would be regarded as Uganda’s flagship projects. They would be rigorously tracked at the highest level. Sector MDAs would be held fully to account for ensuring they are accorded priority for implementation. The MOFPED would be held to account for ensuring funding is available to support design and implementation of these projects. </w:t>
      </w:r>
    </w:p>
    <w:p w14:paraId="79793906" w14:textId="77777777" w:rsidR="000A7280" w:rsidRPr="000E1B7E" w:rsidRDefault="000A7280" w:rsidP="00F85D24">
      <w:pPr>
        <w:pStyle w:val="ListParagraph"/>
        <w:widowControl w:val="0"/>
        <w:numPr>
          <w:ilvl w:val="1"/>
          <w:numId w:val="26"/>
        </w:numPr>
        <w:autoSpaceDE w:val="0"/>
        <w:autoSpaceDN w:val="0"/>
        <w:adjustRightInd w:val="0"/>
        <w:spacing w:after="240" w:line="360" w:lineRule="auto"/>
        <w:ind w:left="1418" w:hanging="709"/>
        <w:rPr>
          <w:rFonts w:ascii="Times New Roman" w:hAnsi="Times New Roman"/>
          <w:color w:val="000000"/>
          <w:sz w:val="24"/>
          <w:szCs w:val="24"/>
        </w:rPr>
      </w:pPr>
      <w:r w:rsidRPr="000E1B7E">
        <w:rPr>
          <w:rFonts w:ascii="Times New Roman" w:hAnsi="Times New Roman"/>
          <w:b/>
          <w:bCs/>
          <w:color w:val="000000"/>
          <w:sz w:val="24"/>
          <w:szCs w:val="24"/>
        </w:rPr>
        <w:t xml:space="preserve">The investment planning horizon for projects may need to be extended </w:t>
      </w:r>
      <w:r w:rsidRPr="000E1B7E">
        <w:rPr>
          <w:rFonts w:ascii="Times New Roman" w:hAnsi="Times New Roman"/>
          <w:color w:val="000000"/>
          <w:sz w:val="24"/>
          <w:szCs w:val="24"/>
        </w:rPr>
        <w:t xml:space="preserve">so a pipeline of projects is always being worked on in readiness for the next NDP. This requires a good understanding of the required sequencing of investments which should be informed by Vision 2040 and a clear theory of change to achieve socio-economic transformation in Uganda.    </w:t>
      </w:r>
    </w:p>
    <w:p w14:paraId="3A8D96F7" w14:textId="77777777" w:rsidR="003F1BDE" w:rsidRPr="000E1B7E" w:rsidRDefault="000A7280" w:rsidP="00F85D24">
      <w:pPr>
        <w:pStyle w:val="ListParagraph"/>
        <w:widowControl w:val="0"/>
        <w:numPr>
          <w:ilvl w:val="1"/>
          <w:numId w:val="26"/>
        </w:numPr>
        <w:autoSpaceDE w:val="0"/>
        <w:autoSpaceDN w:val="0"/>
        <w:adjustRightInd w:val="0"/>
        <w:spacing w:after="240" w:line="360" w:lineRule="auto"/>
        <w:ind w:left="1418" w:hanging="709"/>
        <w:rPr>
          <w:rFonts w:ascii="Times New Roman" w:hAnsi="Times New Roman"/>
          <w:sz w:val="24"/>
          <w:szCs w:val="24"/>
        </w:rPr>
      </w:pPr>
      <w:r w:rsidRPr="000E1B7E">
        <w:rPr>
          <w:rFonts w:ascii="Times New Roman" w:hAnsi="Times New Roman"/>
          <w:sz w:val="24"/>
          <w:szCs w:val="24"/>
        </w:rPr>
        <w:t>Build capacity of sector agencies to manage and supervise large Government projects</w:t>
      </w:r>
      <w:r w:rsidR="003F1BDE" w:rsidRPr="000E1B7E">
        <w:rPr>
          <w:rFonts w:ascii="Times New Roman" w:hAnsi="Times New Roman"/>
          <w:sz w:val="24"/>
          <w:szCs w:val="24"/>
        </w:rPr>
        <w:t>. Alternatively, the Government should consider establishing a major projects authority to handle the largest projecs regardless of the sector.</w:t>
      </w:r>
    </w:p>
    <w:p w14:paraId="64E54EFB" w14:textId="77777777" w:rsidR="000A7280" w:rsidRPr="000E1B7E" w:rsidRDefault="000A7280" w:rsidP="00F85D24">
      <w:pPr>
        <w:pStyle w:val="ListParagraph"/>
        <w:numPr>
          <w:ilvl w:val="0"/>
          <w:numId w:val="14"/>
        </w:numPr>
        <w:spacing w:after="0" w:line="360" w:lineRule="auto"/>
        <w:rPr>
          <w:rFonts w:ascii="Times New Roman" w:hAnsi="Times New Roman"/>
          <w:sz w:val="24"/>
          <w:szCs w:val="24"/>
        </w:rPr>
      </w:pPr>
      <w:r w:rsidRPr="000E1B7E">
        <w:rPr>
          <w:rFonts w:ascii="Times New Roman" w:hAnsi="Times New Roman"/>
          <w:b/>
          <w:i/>
          <w:sz w:val="24"/>
          <w:szCs w:val="24"/>
        </w:rPr>
        <w:t>Strengthen Alignment of NDP II, MTEF and the National Budget</w:t>
      </w:r>
      <w:r w:rsidRPr="000E1B7E">
        <w:rPr>
          <w:rFonts w:ascii="Times New Roman" w:hAnsi="Times New Roman"/>
          <w:sz w:val="24"/>
          <w:szCs w:val="24"/>
        </w:rPr>
        <w:t xml:space="preserve">. Whereas </w:t>
      </w:r>
      <w:r w:rsidR="00285B17" w:rsidRPr="000E1B7E">
        <w:rPr>
          <w:rFonts w:ascii="Times New Roman" w:hAnsi="Times New Roman"/>
          <w:sz w:val="24"/>
          <w:szCs w:val="24"/>
        </w:rPr>
        <w:t xml:space="preserve">NPA </w:t>
      </w:r>
      <w:r w:rsidRPr="000E1B7E">
        <w:rPr>
          <w:rFonts w:ascii="Times New Roman" w:hAnsi="Times New Roman"/>
          <w:sz w:val="24"/>
          <w:szCs w:val="24"/>
        </w:rPr>
        <w:t xml:space="preserve">was mandated to issue certificate of compliance of the national budget to NDP II, the implementation of NPA recommendations have not been effective because the annual budget and MTEF are flexible instruments and have to respond to changes in the political </w:t>
      </w:r>
      <w:r w:rsidR="00285B17" w:rsidRPr="000E1B7E">
        <w:rPr>
          <w:rFonts w:ascii="Times New Roman" w:hAnsi="Times New Roman"/>
          <w:sz w:val="24"/>
          <w:szCs w:val="24"/>
        </w:rPr>
        <w:t xml:space="preserve">and economic </w:t>
      </w:r>
      <w:r w:rsidRPr="000E1B7E">
        <w:rPr>
          <w:rFonts w:ascii="Times New Roman" w:hAnsi="Times New Roman"/>
          <w:sz w:val="24"/>
          <w:szCs w:val="24"/>
        </w:rPr>
        <w:t xml:space="preserve">environment, while the NDP is rigid. For example, whereas the budget can respond to the CCTV camera project, the same would not have been foreseen in the NDP. </w:t>
      </w:r>
      <w:r w:rsidR="00285B17" w:rsidRPr="000E1B7E">
        <w:rPr>
          <w:rFonts w:ascii="Times New Roman" w:hAnsi="Times New Roman"/>
          <w:sz w:val="24"/>
          <w:szCs w:val="24"/>
        </w:rPr>
        <w:t>Futhermore, including additional projects</w:t>
      </w:r>
      <w:r w:rsidR="009B3BA7" w:rsidRPr="000E1B7E">
        <w:rPr>
          <w:rFonts w:ascii="Times New Roman" w:hAnsi="Times New Roman"/>
          <w:sz w:val="24"/>
          <w:szCs w:val="24"/>
        </w:rPr>
        <w:t xml:space="preserve"> </w:t>
      </w:r>
      <w:r w:rsidR="00285B17" w:rsidRPr="000E1B7E">
        <w:rPr>
          <w:rFonts w:ascii="Times New Roman" w:hAnsi="Times New Roman"/>
          <w:sz w:val="24"/>
          <w:szCs w:val="24"/>
        </w:rPr>
        <w:t xml:space="preserve">necessarily means that some projets that have been included in the NDP have to be dropped. </w:t>
      </w:r>
      <w:r w:rsidRPr="000E1B7E">
        <w:rPr>
          <w:rFonts w:ascii="Times New Roman" w:hAnsi="Times New Roman"/>
          <w:sz w:val="24"/>
          <w:szCs w:val="24"/>
        </w:rPr>
        <w:t>To strengthen alignment:</w:t>
      </w:r>
    </w:p>
    <w:p w14:paraId="4C13D770" w14:textId="77777777" w:rsidR="000A7280" w:rsidRPr="000E1B7E" w:rsidRDefault="000A7280" w:rsidP="00F85D24">
      <w:pPr>
        <w:pStyle w:val="ListParagraph"/>
        <w:numPr>
          <w:ilvl w:val="0"/>
          <w:numId w:val="20"/>
        </w:numPr>
        <w:spacing w:line="360" w:lineRule="auto"/>
        <w:ind w:left="1418" w:hanging="698"/>
        <w:rPr>
          <w:rFonts w:ascii="Times New Roman" w:hAnsi="Times New Roman"/>
          <w:sz w:val="24"/>
          <w:szCs w:val="24"/>
        </w:rPr>
      </w:pPr>
      <w:r w:rsidRPr="000E1B7E">
        <w:rPr>
          <w:rFonts w:ascii="Times New Roman" w:hAnsi="Times New Roman"/>
          <w:sz w:val="24"/>
          <w:szCs w:val="24"/>
        </w:rPr>
        <w:t xml:space="preserve">The certificate of compliance issuance framework should be reviewed to set minimum deviations </w:t>
      </w:r>
      <w:r w:rsidR="00DC7AC5" w:rsidRPr="000E1B7E">
        <w:rPr>
          <w:rFonts w:ascii="Times New Roman" w:hAnsi="Times New Roman"/>
          <w:sz w:val="24"/>
          <w:szCs w:val="24"/>
        </w:rPr>
        <w:t xml:space="preserve">(flexibility) </w:t>
      </w:r>
      <w:r w:rsidRPr="000E1B7E">
        <w:rPr>
          <w:rFonts w:ascii="Times New Roman" w:hAnsi="Times New Roman"/>
          <w:sz w:val="24"/>
          <w:szCs w:val="24"/>
        </w:rPr>
        <w:t>that can be allowed on both recurrent and development budgets and releases for the different sectors.</w:t>
      </w:r>
      <w:r w:rsidR="00DC7AC5" w:rsidRPr="000E1B7E">
        <w:rPr>
          <w:rFonts w:ascii="Times New Roman" w:hAnsi="Times New Roman"/>
          <w:sz w:val="24"/>
          <w:szCs w:val="24"/>
        </w:rPr>
        <w:t xml:space="preserve">  </w:t>
      </w:r>
    </w:p>
    <w:p w14:paraId="303CBEE0" w14:textId="77777777" w:rsidR="00DC7AC5" w:rsidRPr="000E1B7E" w:rsidRDefault="00DC7AC5" w:rsidP="00F85D24">
      <w:pPr>
        <w:pStyle w:val="ListParagraph"/>
        <w:numPr>
          <w:ilvl w:val="0"/>
          <w:numId w:val="20"/>
        </w:numPr>
        <w:spacing w:line="360" w:lineRule="auto"/>
        <w:ind w:left="1418" w:hanging="698"/>
        <w:rPr>
          <w:rFonts w:ascii="Times New Roman" w:hAnsi="Times New Roman"/>
          <w:sz w:val="24"/>
          <w:szCs w:val="24"/>
        </w:rPr>
      </w:pPr>
      <w:r w:rsidRPr="000E1B7E">
        <w:rPr>
          <w:rFonts w:ascii="Times New Roman" w:hAnsi="Times New Roman"/>
          <w:sz w:val="24"/>
          <w:szCs w:val="24"/>
        </w:rPr>
        <w:t xml:space="preserve">NDP MTR should be adopted as a tool to revise the NDP, including its projected outcomes and costs, as well as adding/dropping/rescheduling projects, although this would require lengthening of the NDP period for it to be meaningful. </w:t>
      </w:r>
    </w:p>
    <w:p w14:paraId="25737364" w14:textId="77777777" w:rsidR="000A7280" w:rsidRPr="000E1B7E" w:rsidRDefault="000A7280" w:rsidP="00F85D24">
      <w:pPr>
        <w:pStyle w:val="ListParagraph"/>
        <w:numPr>
          <w:ilvl w:val="0"/>
          <w:numId w:val="20"/>
        </w:numPr>
        <w:spacing w:line="360" w:lineRule="auto"/>
        <w:ind w:left="1418" w:hanging="698"/>
        <w:rPr>
          <w:rFonts w:ascii="Times New Roman" w:hAnsi="Times New Roman"/>
          <w:sz w:val="24"/>
          <w:szCs w:val="24"/>
        </w:rPr>
      </w:pPr>
      <w:r w:rsidRPr="000E1B7E">
        <w:rPr>
          <w:rFonts w:ascii="Times New Roman" w:hAnsi="Times New Roman"/>
          <w:sz w:val="24"/>
          <w:szCs w:val="24"/>
        </w:rPr>
        <w:lastRenderedPageBreak/>
        <w:t xml:space="preserve">The NDP </w:t>
      </w:r>
      <w:r w:rsidR="00285B17" w:rsidRPr="000E1B7E">
        <w:rPr>
          <w:rFonts w:ascii="Times New Roman" w:hAnsi="Times New Roman"/>
          <w:sz w:val="24"/>
          <w:szCs w:val="24"/>
        </w:rPr>
        <w:t xml:space="preserve">can propose </w:t>
      </w:r>
      <w:r w:rsidRPr="000E1B7E">
        <w:rPr>
          <w:rFonts w:ascii="Times New Roman" w:hAnsi="Times New Roman"/>
          <w:sz w:val="24"/>
          <w:szCs w:val="24"/>
        </w:rPr>
        <w:t>policy reforms that should be undertaken to achieve the NDP development objectives by the respective sectors/agencies of Government.</w:t>
      </w:r>
    </w:p>
    <w:p w14:paraId="591E78E7" w14:textId="77777777" w:rsidR="000A7280" w:rsidRPr="000E1B7E" w:rsidRDefault="000A7280" w:rsidP="00F85D24">
      <w:pPr>
        <w:pStyle w:val="ListParagraph"/>
        <w:numPr>
          <w:ilvl w:val="0"/>
          <w:numId w:val="20"/>
        </w:numPr>
        <w:spacing w:line="360" w:lineRule="auto"/>
        <w:ind w:left="1418" w:hanging="698"/>
        <w:rPr>
          <w:rFonts w:ascii="Times New Roman" w:hAnsi="Times New Roman"/>
          <w:sz w:val="24"/>
          <w:szCs w:val="24"/>
        </w:rPr>
      </w:pPr>
      <w:r w:rsidRPr="000E1B7E">
        <w:rPr>
          <w:rFonts w:ascii="Times New Roman" w:hAnsi="Times New Roman"/>
          <w:sz w:val="24"/>
          <w:szCs w:val="24"/>
        </w:rPr>
        <w:t xml:space="preserve">The PFM Act specifies the budget calendar, the main contents of budget documents, and the roles of the legislature and the executive in the budget process. The calendar is followed and adhered to. However, </w:t>
      </w:r>
      <w:r w:rsidR="00C83A92" w:rsidRPr="000E1B7E">
        <w:rPr>
          <w:rFonts w:ascii="Times New Roman" w:hAnsi="Times New Roman"/>
          <w:sz w:val="24"/>
          <w:szCs w:val="24"/>
        </w:rPr>
        <w:t xml:space="preserve">it </w:t>
      </w:r>
      <w:r w:rsidRPr="000E1B7E">
        <w:rPr>
          <w:rFonts w:ascii="Times New Roman" w:hAnsi="Times New Roman"/>
          <w:sz w:val="24"/>
          <w:szCs w:val="24"/>
        </w:rPr>
        <w:t xml:space="preserve">would benefit to specify project prioritisation and appraisal processes, as well as any key processes of NDP. Stronger linkages and specification of key NDP processes in the Budget Calendar is recommended. </w:t>
      </w:r>
    </w:p>
    <w:p w14:paraId="01110AE4" w14:textId="77777777" w:rsidR="000A7280" w:rsidRPr="000E1B7E" w:rsidRDefault="000A7280" w:rsidP="00C11847">
      <w:pPr>
        <w:pStyle w:val="DeltaSeched2"/>
      </w:pPr>
      <w:bookmarkStart w:id="158" w:name="_Toc3478401"/>
      <w:bookmarkStart w:id="159" w:name="_Toc11956281"/>
      <w:r w:rsidRPr="000E1B7E">
        <w:t>Fiscal Performance</w:t>
      </w:r>
      <w:bookmarkEnd w:id="158"/>
      <w:bookmarkEnd w:id="159"/>
    </w:p>
    <w:p w14:paraId="05DB7F8F" w14:textId="77777777" w:rsidR="000A7280" w:rsidRPr="000E1B7E" w:rsidRDefault="000A7280"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The low tax to GDP ratio is attributed to a number of challenges in the tax administration process. A number of reforms have been initiated that continue to improve tax administration but more effort is still needed. The MTR proposes a number of recommendations and these include:</w:t>
      </w:r>
    </w:p>
    <w:p w14:paraId="50B9434D" w14:textId="77777777" w:rsidR="000A7280" w:rsidRPr="000E1B7E" w:rsidRDefault="00C83A92" w:rsidP="00F85D24">
      <w:pPr>
        <w:pStyle w:val="ListParagraph"/>
        <w:numPr>
          <w:ilvl w:val="0"/>
          <w:numId w:val="19"/>
        </w:numPr>
        <w:spacing w:after="240" w:line="360" w:lineRule="auto"/>
        <w:ind w:left="1418" w:hanging="851"/>
        <w:rPr>
          <w:rFonts w:ascii="Times New Roman" w:hAnsi="Times New Roman"/>
          <w:sz w:val="24"/>
          <w:szCs w:val="24"/>
        </w:rPr>
      </w:pPr>
      <w:r w:rsidRPr="000E1B7E">
        <w:rPr>
          <w:rFonts w:ascii="Times New Roman" w:hAnsi="Times New Roman"/>
          <w:sz w:val="24"/>
          <w:szCs w:val="24"/>
        </w:rPr>
        <w:t xml:space="preserve">Remove the </w:t>
      </w:r>
      <w:r w:rsidR="000A7280" w:rsidRPr="000E1B7E">
        <w:rPr>
          <w:rFonts w:ascii="Times New Roman" w:hAnsi="Times New Roman"/>
          <w:sz w:val="24"/>
          <w:szCs w:val="24"/>
        </w:rPr>
        <w:t xml:space="preserve">zero VAT rate for firms involved oil related investments, which is </w:t>
      </w:r>
      <w:r w:rsidRPr="000E1B7E">
        <w:rPr>
          <w:rFonts w:ascii="Times New Roman" w:hAnsi="Times New Roman"/>
          <w:sz w:val="24"/>
          <w:szCs w:val="24"/>
        </w:rPr>
        <w:t xml:space="preserve">undermining </w:t>
      </w:r>
      <w:r w:rsidR="000A7280" w:rsidRPr="000E1B7E">
        <w:rPr>
          <w:rFonts w:ascii="Times New Roman" w:hAnsi="Times New Roman"/>
          <w:sz w:val="24"/>
          <w:szCs w:val="24"/>
        </w:rPr>
        <w:t xml:space="preserve">tax collection. This has resulted in government paying high </w:t>
      </w:r>
      <w:r w:rsidRPr="000E1B7E">
        <w:rPr>
          <w:rFonts w:ascii="Times New Roman" w:hAnsi="Times New Roman"/>
          <w:sz w:val="24"/>
          <w:szCs w:val="24"/>
        </w:rPr>
        <w:t xml:space="preserve">refunds (negative VAT receipts from these firms), because their outputs are </w:t>
      </w:r>
      <w:r w:rsidR="000A7280" w:rsidRPr="000E1B7E">
        <w:rPr>
          <w:rFonts w:ascii="Times New Roman" w:hAnsi="Times New Roman"/>
          <w:sz w:val="24"/>
          <w:szCs w:val="24"/>
        </w:rPr>
        <w:t>VAT zero rated</w:t>
      </w:r>
      <w:r w:rsidRPr="000E1B7E">
        <w:rPr>
          <w:rFonts w:ascii="Times New Roman" w:hAnsi="Times New Roman"/>
          <w:sz w:val="24"/>
          <w:szCs w:val="24"/>
        </w:rPr>
        <w:t xml:space="preserve"> and yet they can </w:t>
      </w:r>
      <w:r w:rsidR="000A7280" w:rsidRPr="000E1B7E">
        <w:rPr>
          <w:rFonts w:ascii="Times New Roman" w:hAnsi="Times New Roman"/>
          <w:sz w:val="24"/>
          <w:szCs w:val="24"/>
        </w:rPr>
        <w:t xml:space="preserve">claim refunds on inputs. </w:t>
      </w:r>
    </w:p>
    <w:p w14:paraId="6E57C8B4" w14:textId="77777777" w:rsidR="009A7DB7" w:rsidRPr="000E1B7E" w:rsidRDefault="000A7280" w:rsidP="00F85D24">
      <w:pPr>
        <w:pStyle w:val="ListParagraph"/>
        <w:numPr>
          <w:ilvl w:val="0"/>
          <w:numId w:val="19"/>
        </w:numPr>
        <w:spacing w:after="240" w:line="360" w:lineRule="auto"/>
        <w:ind w:left="1418" w:hanging="851"/>
        <w:rPr>
          <w:rFonts w:ascii="Times New Roman" w:hAnsi="Times New Roman"/>
          <w:sz w:val="24"/>
          <w:szCs w:val="24"/>
        </w:rPr>
      </w:pPr>
      <w:r w:rsidRPr="000E1B7E">
        <w:rPr>
          <w:rFonts w:ascii="Times New Roman" w:hAnsi="Times New Roman"/>
          <w:sz w:val="24"/>
          <w:szCs w:val="24"/>
        </w:rPr>
        <w:t xml:space="preserve">Strengthen the tax administration to achieve higher efficiency in tax collection. The tax administration is </w:t>
      </w:r>
      <w:r w:rsidR="00C83A92" w:rsidRPr="000E1B7E">
        <w:rPr>
          <w:rFonts w:ascii="Times New Roman" w:hAnsi="Times New Roman"/>
          <w:sz w:val="24"/>
          <w:szCs w:val="24"/>
        </w:rPr>
        <w:t xml:space="preserve">considered </w:t>
      </w:r>
      <w:r w:rsidRPr="000E1B7E">
        <w:rPr>
          <w:rFonts w:ascii="Times New Roman" w:hAnsi="Times New Roman"/>
          <w:sz w:val="24"/>
          <w:szCs w:val="24"/>
        </w:rPr>
        <w:t xml:space="preserve">inefficient as it has persistently failed to </w:t>
      </w:r>
      <w:r w:rsidR="00D374EB" w:rsidRPr="000E1B7E">
        <w:rPr>
          <w:rFonts w:ascii="Times New Roman" w:hAnsi="Times New Roman"/>
          <w:sz w:val="24"/>
          <w:szCs w:val="24"/>
        </w:rPr>
        <w:t xml:space="preserve">tax the </w:t>
      </w:r>
      <w:r w:rsidRPr="000E1B7E">
        <w:rPr>
          <w:rFonts w:ascii="Times New Roman" w:hAnsi="Times New Roman"/>
          <w:sz w:val="24"/>
          <w:szCs w:val="24"/>
        </w:rPr>
        <w:t xml:space="preserve">informal sector and professional service providers </w:t>
      </w:r>
      <w:r w:rsidR="00D374EB" w:rsidRPr="000E1B7E">
        <w:rPr>
          <w:rFonts w:ascii="Times New Roman" w:hAnsi="Times New Roman"/>
          <w:sz w:val="24"/>
          <w:szCs w:val="24"/>
        </w:rPr>
        <w:t xml:space="preserve">effectively, due to weak </w:t>
      </w:r>
      <w:r w:rsidRPr="000E1B7E">
        <w:rPr>
          <w:rFonts w:ascii="Times New Roman" w:hAnsi="Times New Roman"/>
          <w:sz w:val="24"/>
          <w:szCs w:val="24"/>
        </w:rPr>
        <w:t>enforcement and penalties. This partly explain</w:t>
      </w:r>
      <w:r w:rsidR="00D374EB" w:rsidRPr="000E1B7E">
        <w:rPr>
          <w:rFonts w:ascii="Times New Roman" w:hAnsi="Times New Roman"/>
          <w:sz w:val="24"/>
          <w:szCs w:val="24"/>
        </w:rPr>
        <w:t>s</w:t>
      </w:r>
      <w:r w:rsidRPr="000E1B7E">
        <w:rPr>
          <w:rFonts w:ascii="Times New Roman" w:hAnsi="Times New Roman"/>
          <w:sz w:val="24"/>
          <w:szCs w:val="24"/>
        </w:rPr>
        <w:t xml:space="preserve"> why</w:t>
      </w:r>
      <w:r w:rsidR="00D374EB" w:rsidRPr="000E1B7E">
        <w:rPr>
          <w:rFonts w:ascii="Times New Roman" w:hAnsi="Times New Roman"/>
          <w:sz w:val="24"/>
          <w:szCs w:val="24"/>
        </w:rPr>
        <w:t>,</w:t>
      </w:r>
      <w:r w:rsidRPr="000E1B7E">
        <w:rPr>
          <w:rFonts w:ascii="Times New Roman" w:hAnsi="Times New Roman"/>
          <w:sz w:val="24"/>
          <w:szCs w:val="24"/>
        </w:rPr>
        <w:t xml:space="preserve"> while the registration rate is high, the filing rate is low. Furthermore, compliance to custom duties is high compared to domestic taxes yet the </w:t>
      </w:r>
      <w:r w:rsidR="00D374EB" w:rsidRPr="000E1B7E">
        <w:rPr>
          <w:rFonts w:ascii="Times New Roman" w:hAnsi="Times New Roman"/>
          <w:sz w:val="24"/>
          <w:szCs w:val="24"/>
        </w:rPr>
        <w:t>Asycuda</w:t>
      </w:r>
      <w:r w:rsidRPr="000E1B7E">
        <w:rPr>
          <w:rFonts w:ascii="Times New Roman" w:hAnsi="Times New Roman"/>
          <w:sz w:val="24"/>
          <w:szCs w:val="24"/>
        </w:rPr>
        <w:t xml:space="preserve">system allows for following a firm from importation to domestic business activities. </w:t>
      </w:r>
    </w:p>
    <w:p w14:paraId="38BB9947" w14:textId="77777777" w:rsidR="000A7280" w:rsidRPr="000E1B7E" w:rsidRDefault="000A7280" w:rsidP="00F85D24">
      <w:pPr>
        <w:pStyle w:val="ListParagraph"/>
        <w:numPr>
          <w:ilvl w:val="0"/>
          <w:numId w:val="19"/>
        </w:numPr>
        <w:spacing w:after="240" w:line="360" w:lineRule="auto"/>
        <w:ind w:left="1418" w:hanging="851"/>
        <w:rPr>
          <w:rFonts w:ascii="Times New Roman" w:hAnsi="Times New Roman"/>
          <w:sz w:val="24"/>
          <w:szCs w:val="24"/>
        </w:rPr>
      </w:pPr>
      <w:r w:rsidRPr="000E1B7E">
        <w:rPr>
          <w:rFonts w:ascii="Times New Roman" w:hAnsi="Times New Roman"/>
          <w:sz w:val="24"/>
          <w:szCs w:val="24"/>
        </w:rPr>
        <w:t xml:space="preserve">Inadequate analysis of policy proposals leading to inherent incompleteness in development of tax regimes. Stakeholders indicated </w:t>
      </w:r>
      <w:r w:rsidR="00D374EB" w:rsidRPr="000E1B7E">
        <w:rPr>
          <w:rFonts w:ascii="Times New Roman" w:hAnsi="Times New Roman"/>
          <w:sz w:val="24"/>
          <w:szCs w:val="24"/>
        </w:rPr>
        <w:t xml:space="preserve">the </w:t>
      </w:r>
      <w:r w:rsidRPr="000E1B7E">
        <w:rPr>
          <w:rFonts w:ascii="Times New Roman" w:hAnsi="Times New Roman"/>
          <w:sz w:val="24"/>
          <w:szCs w:val="24"/>
        </w:rPr>
        <w:t xml:space="preserve">absence of clear guidelines on policy processes to understand tax implementation implications and impact of new tax proposals on business growth, economic growth, employment and income before new tax measures are implemented. The ad hoc processes perhaps explains the increasing uncertainty characterising today’s tax </w:t>
      </w:r>
      <w:r w:rsidRPr="000E1B7E">
        <w:rPr>
          <w:rFonts w:ascii="Times New Roman" w:hAnsi="Times New Roman"/>
          <w:sz w:val="24"/>
          <w:szCs w:val="24"/>
        </w:rPr>
        <w:lastRenderedPageBreak/>
        <w:t>regime</w:t>
      </w:r>
      <w:r w:rsidR="008839E2" w:rsidRPr="000E1B7E">
        <w:rPr>
          <w:rFonts w:ascii="Times New Roman" w:hAnsi="Times New Roman"/>
          <w:sz w:val="24"/>
          <w:szCs w:val="24"/>
        </w:rPr>
        <w:t>, for instance</w:t>
      </w:r>
      <w:r w:rsidRPr="000E1B7E">
        <w:rPr>
          <w:rFonts w:ascii="Times New Roman" w:hAnsi="Times New Roman"/>
          <w:sz w:val="24"/>
          <w:szCs w:val="24"/>
        </w:rPr>
        <w:t xml:space="preserve">with the </w:t>
      </w:r>
      <w:r w:rsidR="00D374EB" w:rsidRPr="000E1B7E">
        <w:rPr>
          <w:rFonts w:ascii="Times New Roman" w:hAnsi="Times New Roman"/>
          <w:sz w:val="24"/>
          <w:szCs w:val="24"/>
        </w:rPr>
        <w:t xml:space="preserve">introduction </w:t>
      </w:r>
      <w:r w:rsidRPr="000E1B7E">
        <w:rPr>
          <w:rFonts w:ascii="Times New Roman" w:hAnsi="Times New Roman"/>
          <w:sz w:val="24"/>
          <w:szCs w:val="24"/>
        </w:rPr>
        <w:t>of the mobile money tax</w:t>
      </w:r>
      <w:r w:rsidR="00D374EB" w:rsidRPr="000E1B7E">
        <w:rPr>
          <w:rFonts w:ascii="Times New Roman" w:hAnsi="Times New Roman"/>
          <w:sz w:val="24"/>
          <w:szCs w:val="24"/>
        </w:rPr>
        <w:t>,</w:t>
      </w:r>
      <w:r w:rsidRPr="000E1B7E">
        <w:rPr>
          <w:rFonts w:ascii="Times New Roman" w:hAnsi="Times New Roman"/>
          <w:sz w:val="24"/>
          <w:szCs w:val="24"/>
        </w:rPr>
        <w:t xml:space="preserve"> which will increase </w:t>
      </w:r>
      <w:r w:rsidR="00D374EB" w:rsidRPr="000E1B7E">
        <w:rPr>
          <w:rFonts w:ascii="Times New Roman" w:hAnsi="Times New Roman"/>
          <w:sz w:val="24"/>
          <w:szCs w:val="24"/>
        </w:rPr>
        <w:t xml:space="preserve">the </w:t>
      </w:r>
      <w:r w:rsidRPr="000E1B7E">
        <w:rPr>
          <w:rFonts w:ascii="Times New Roman" w:hAnsi="Times New Roman"/>
          <w:sz w:val="24"/>
          <w:szCs w:val="24"/>
        </w:rPr>
        <w:t xml:space="preserve">tax base but </w:t>
      </w:r>
      <w:r w:rsidR="00D374EB" w:rsidRPr="000E1B7E">
        <w:rPr>
          <w:rFonts w:ascii="Times New Roman" w:hAnsi="Times New Roman"/>
          <w:sz w:val="24"/>
          <w:szCs w:val="24"/>
        </w:rPr>
        <w:t xml:space="preserve">at the same time </w:t>
      </w:r>
      <w:r w:rsidRPr="000E1B7E">
        <w:rPr>
          <w:rFonts w:ascii="Times New Roman" w:hAnsi="Times New Roman"/>
          <w:sz w:val="24"/>
          <w:szCs w:val="24"/>
        </w:rPr>
        <w:t>undermin</w:t>
      </w:r>
      <w:r w:rsidR="00D374EB" w:rsidRPr="000E1B7E">
        <w:rPr>
          <w:rFonts w:ascii="Times New Roman" w:hAnsi="Times New Roman"/>
          <w:sz w:val="24"/>
          <w:szCs w:val="24"/>
        </w:rPr>
        <w:t>e</w:t>
      </w:r>
      <w:r w:rsidRPr="000E1B7E">
        <w:rPr>
          <w:rFonts w:ascii="Times New Roman" w:hAnsi="Times New Roman"/>
          <w:sz w:val="24"/>
          <w:szCs w:val="24"/>
        </w:rPr>
        <w:t xml:space="preserve"> financial inclusion</w:t>
      </w:r>
      <w:r w:rsidR="00D374EB" w:rsidRPr="000E1B7E">
        <w:rPr>
          <w:rFonts w:ascii="Times New Roman" w:hAnsi="Times New Roman"/>
          <w:sz w:val="24"/>
          <w:szCs w:val="24"/>
        </w:rPr>
        <w:t xml:space="preserve"> and encourage reliance on cash rather than digital transactions</w:t>
      </w:r>
      <w:r w:rsidRPr="000E1B7E">
        <w:rPr>
          <w:rFonts w:ascii="Times New Roman" w:hAnsi="Times New Roman"/>
          <w:sz w:val="24"/>
          <w:szCs w:val="24"/>
        </w:rPr>
        <w:t xml:space="preserve">. This is partly because tax proposals </w:t>
      </w:r>
      <w:r w:rsidR="00D374EB" w:rsidRPr="000E1B7E">
        <w:rPr>
          <w:rFonts w:ascii="Times New Roman" w:hAnsi="Times New Roman"/>
          <w:sz w:val="24"/>
          <w:szCs w:val="24"/>
        </w:rPr>
        <w:t xml:space="preserve">that originate from different parts of government </w:t>
      </w:r>
      <w:r w:rsidRPr="000E1B7E">
        <w:rPr>
          <w:rFonts w:ascii="Times New Roman" w:hAnsi="Times New Roman"/>
          <w:sz w:val="24"/>
          <w:szCs w:val="24"/>
        </w:rPr>
        <w:t xml:space="preserve">are not </w:t>
      </w:r>
      <w:r w:rsidR="008839E2" w:rsidRPr="000E1B7E">
        <w:rPr>
          <w:rFonts w:ascii="Times New Roman" w:hAnsi="Times New Roman"/>
          <w:sz w:val="24"/>
          <w:szCs w:val="24"/>
        </w:rPr>
        <w:t xml:space="preserve">always </w:t>
      </w:r>
      <w:r w:rsidR="00D374EB" w:rsidRPr="000E1B7E">
        <w:rPr>
          <w:rFonts w:ascii="Times New Roman" w:hAnsi="Times New Roman"/>
          <w:sz w:val="24"/>
          <w:szCs w:val="24"/>
        </w:rPr>
        <w:t xml:space="preserve">submitted to the Tax Policy Department </w:t>
      </w:r>
      <w:r w:rsidRPr="000E1B7E">
        <w:rPr>
          <w:rFonts w:ascii="Times New Roman" w:hAnsi="Times New Roman"/>
          <w:sz w:val="24"/>
          <w:szCs w:val="24"/>
        </w:rPr>
        <w:t xml:space="preserve">at the </w:t>
      </w:r>
      <w:r w:rsidR="00D374EB" w:rsidRPr="000E1B7E">
        <w:rPr>
          <w:rFonts w:ascii="Times New Roman" w:hAnsi="Times New Roman"/>
          <w:sz w:val="24"/>
          <w:szCs w:val="24"/>
        </w:rPr>
        <w:t xml:space="preserve">Ministry </w:t>
      </w:r>
      <w:r w:rsidRPr="000E1B7E">
        <w:rPr>
          <w:rFonts w:ascii="Times New Roman" w:hAnsi="Times New Roman"/>
          <w:sz w:val="24"/>
          <w:szCs w:val="24"/>
        </w:rPr>
        <w:t xml:space="preserve">of </w:t>
      </w:r>
      <w:r w:rsidR="00D374EB" w:rsidRPr="000E1B7E">
        <w:rPr>
          <w:rFonts w:ascii="Times New Roman" w:hAnsi="Times New Roman"/>
          <w:sz w:val="24"/>
          <w:szCs w:val="24"/>
        </w:rPr>
        <w:t xml:space="preserve">Finance </w:t>
      </w:r>
      <w:r w:rsidRPr="000E1B7E">
        <w:rPr>
          <w:rFonts w:ascii="Times New Roman" w:hAnsi="Times New Roman"/>
          <w:sz w:val="24"/>
          <w:szCs w:val="24"/>
        </w:rPr>
        <w:t>for analysis of their implications</w:t>
      </w:r>
      <w:r w:rsidR="00D374EB" w:rsidRPr="000E1B7E">
        <w:rPr>
          <w:rFonts w:ascii="Times New Roman" w:hAnsi="Times New Roman"/>
          <w:sz w:val="24"/>
          <w:szCs w:val="24"/>
        </w:rPr>
        <w:t xml:space="preserve"> prior to consideration by Parliament</w:t>
      </w:r>
      <w:r w:rsidRPr="000E1B7E">
        <w:rPr>
          <w:rFonts w:ascii="Times New Roman" w:hAnsi="Times New Roman"/>
          <w:sz w:val="24"/>
          <w:szCs w:val="24"/>
        </w:rPr>
        <w:t>.</w:t>
      </w:r>
    </w:p>
    <w:p w14:paraId="0FF40440" w14:textId="77777777" w:rsidR="000A7280" w:rsidRPr="000E1B7E" w:rsidRDefault="000A7280" w:rsidP="00F85D24">
      <w:pPr>
        <w:pStyle w:val="ListParagraph"/>
        <w:numPr>
          <w:ilvl w:val="0"/>
          <w:numId w:val="19"/>
        </w:numPr>
        <w:spacing w:after="240" w:line="360" w:lineRule="auto"/>
        <w:ind w:left="1418" w:hanging="851"/>
        <w:rPr>
          <w:rFonts w:ascii="Times New Roman" w:hAnsi="Times New Roman"/>
          <w:sz w:val="24"/>
          <w:szCs w:val="24"/>
        </w:rPr>
      </w:pPr>
      <w:r w:rsidRPr="000E1B7E">
        <w:rPr>
          <w:rFonts w:ascii="Times New Roman" w:hAnsi="Times New Roman"/>
          <w:sz w:val="24"/>
          <w:szCs w:val="24"/>
        </w:rPr>
        <w:t>Improving tax morale</w:t>
      </w:r>
      <w:r w:rsidR="00404C96" w:rsidRPr="000E1B7E">
        <w:rPr>
          <w:rFonts w:ascii="Times New Roman" w:hAnsi="Times New Roman"/>
          <w:sz w:val="24"/>
          <w:szCs w:val="24"/>
        </w:rPr>
        <w:t>, to increase tax compliance and the social cost of tax evasion or avoidance. This has several elements</w:t>
      </w:r>
      <w:r w:rsidR="004046B4" w:rsidRPr="000E1B7E">
        <w:rPr>
          <w:rFonts w:ascii="Times New Roman" w:hAnsi="Times New Roman"/>
          <w:sz w:val="24"/>
          <w:szCs w:val="24"/>
        </w:rPr>
        <w:t xml:space="preserve">. </w:t>
      </w:r>
      <w:r w:rsidRPr="000E1B7E">
        <w:rPr>
          <w:rFonts w:ascii="Times New Roman" w:hAnsi="Times New Roman"/>
          <w:sz w:val="24"/>
          <w:szCs w:val="24"/>
        </w:rPr>
        <w:t>On tax administration side, the quest for revenues should ensure that at all times the tax payer is comforted by the fact that their tax obligation is fairly determined. On the expenditure side, tax payers ought to see that their contribution to the national resource envelope results in improved quality and stock of public services</w:t>
      </w:r>
      <w:r w:rsidR="00404C96" w:rsidRPr="000E1B7E">
        <w:rPr>
          <w:rFonts w:ascii="Times New Roman" w:hAnsi="Times New Roman"/>
          <w:sz w:val="24"/>
          <w:szCs w:val="24"/>
        </w:rPr>
        <w:t xml:space="preserve"> and infrastructure</w:t>
      </w:r>
      <w:r w:rsidRPr="000E1B7E">
        <w:rPr>
          <w:rFonts w:ascii="Times New Roman" w:hAnsi="Times New Roman"/>
          <w:sz w:val="24"/>
          <w:szCs w:val="24"/>
        </w:rPr>
        <w:t>. This would result in an increase in the social cost of evading tax payment.</w:t>
      </w:r>
      <w:r w:rsidR="00404C96" w:rsidRPr="000E1B7E">
        <w:rPr>
          <w:rFonts w:ascii="Times New Roman" w:hAnsi="Times New Roman"/>
          <w:sz w:val="24"/>
          <w:szCs w:val="24"/>
        </w:rPr>
        <w:t xml:space="preserve"> Examples of corruption or the wastage of public funds undermines the social commitment to contribute tax revenues.</w:t>
      </w:r>
    </w:p>
    <w:p w14:paraId="1F53BB5B" w14:textId="77777777" w:rsidR="006C0200" w:rsidRPr="000E1B7E" w:rsidRDefault="006C0200" w:rsidP="00F85D24">
      <w:pPr>
        <w:pStyle w:val="ListParagraph"/>
        <w:numPr>
          <w:ilvl w:val="0"/>
          <w:numId w:val="19"/>
        </w:numPr>
        <w:spacing w:after="240" w:line="360" w:lineRule="auto"/>
        <w:ind w:left="1418" w:hanging="851"/>
        <w:rPr>
          <w:rFonts w:ascii="Times New Roman" w:hAnsi="Times New Roman"/>
          <w:sz w:val="24"/>
          <w:szCs w:val="24"/>
        </w:rPr>
      </w:pPr>
      <w:r w:rsidRPr="000E1B7E">
        <w:rPr>
          <w:rFonts w:ascii="Times New Roman" w:hAnsi="Times New Roman"/>
          <w:sz w:val="24"/>
          <w:szCs w:val="24"/>
        </w:rPr>
        <w:t>Government should, in particular, reduce its borrowing from domestic markets. The high interest rates on Treasury Bonds and Bills have contributed to high bank lending rates, due to the high interest rates that banks can obtain from risk-free holdings of government paper. This has in turn crowded out credit to the private sector and had a negative impact on investment and growth. Government should manage its domestic borrowing requirements better, and avoid going to the capital market with large funding requirements towards the end of each fiscal year, when it is easy for the banks and institutions to demand high rates. To achieve this, government needs to avoid adding unfunded spending commitments to the budget.</w:t>
      </w:r>
    </w:p>
    <w:p w14:paraId="6A475D0F" w14:textId="77777777" w:rsidR="006C173C" w:rsidRPr="000E1B7E" w:rsidRDefault="006C173C"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Given the large financing requirements of projects that are being carried over from NDP2 to NDP3 and the limitations of borrowing as the country hits the debt ceiling-- it is unlikely that Uganda will be able to raise these resources only from concessional borrowing and tax revenue efforts. It is imperative that Government also starts exploring other options especially to finance large infrastructure projects whose economic returns may not be viable in the short run but with enormous social benefits.  The MTR recommends that the Government considers alternative financing models, including:</w:t>
      </w:r>
    </w:p>
    <w:p w14:paraId="4ECA01D5" w14:textId="77777777" w:rsidR="006C173C" w:rsidRPr="000E1B7E" w:rsidRDefault="006C173C" w:rsidP="00F85D24">
      <w:pPr>
        <w:pStyle w:val="ListParagraph"/>
        <w:numPr>
          <w:ilvl w:val="0"/>
          <w:numId w:val="21"/>
        </w:numPr>
        <w:spacing w:after="240" w:line="360" w:lineRule="auto"/>
        <w:ind w:left="1418" w:hanging="851"/>
        <w:rPr>
          <w:rFonts w:ascii="Times New Roman" w:hAnsi="Times New Roman"/>
          <w:sz w:val="24"/>
          <w:szCs w:val="24"/>
        </w:rPr>
      </w:pPr>
      <w:r w:rsidRPr="000E1B7E">
        <w:rPr>
          <w:rFonts w:ascii="Times New Roman" w:hAnsi="Times New Roman"/>
          <w:b/>
          <w:sz w:val="24"/>
          <w:szCs w:val="24"/>
        </w:rPr>
        <w:lastRenderedPageBreak/>
        <w:t xml:space="preserve">Issuance of Infrastructure Bonds: </w:t>
      </w:r>
      <w:r w:rsidRPr="000E1B7E">
        <w:rPr>
          <w:rFonts w:ascii="Times New Roman" w:hAnsi="Times New Roman"/>
          <w:sz w:val="24"/>
          <w:szCs w:val="24"/>
          <w:lang w:val="en-US"/>
        </w:rPr>
        <w:t xml:space="preserve">Bonds provide an alternative to traditional funding, making infrastructure debt more accessible to a wide array of institutions. </w:t>
      </w:r>
      <w:r w:rsidRPr="000E1B7E">
        <w:rPr>
          <w:rFonts w:ascii="Times New Roman" w:hAnsi="Times New Roman"/>
          <w:sz w:val="24"/>
          <w:szCs w:val="24"/>
        </w:rPr>
        <w:t>Government should consider issuance of a Euro bond in international markets. The size of this bond will depend on the financing needs that are not fully covered under by concessional or semi-concessional borrowing, the costs and risks associated with such financing instruments. With an estimated financing gap of about US$1.4 billion a year for infrastructure investment, the Government can initially issue a bond of US 7 billion dollars for infrastructure development over a five year NDP III period.</w:t>
      </w:r>
      <w:r w:rsidRPr="000E1B7E">
        <w:rPr>
          <w:rFonts w:ascii="Times New Roman" w:hAnsi="Times New Roman"/>
          <w:sz w:val="24"/>
          <w:szCs w:val="24"/>
          <w:lang w:val="en-US"/>
        </w:rPr>
        <w:t xml:space="preserve"> Government can also initiate project specific infrastructure bonds to finance infrastructure projects and municipal infrastructure bonds to finance municipal and city infrastructure needs.</w:t>
      </w:r>
    </w:p>
    <w:p w14:paraId="36B52C1C" w14:textId="77777777" w:rsidR="006C173C" w:rsidRPr="000E1B7E" w:rsidRDefault="006C173C" w:rsidP="00F85D24">
      <w:pPr>
        <w:pStyle w:val="ListParagraph"/>
        <w:numPr>
          <w:ilvl w:val="0"/>
          <w:numId w:val="21"/>
        </w:numPr>
        <w:spacing w:after="240" w:line="360" w:lineRule="auto"/>
        <w:ind w:left="1418" w:hanging="851"/>
        <w:rPr>
          <w:rFonts w:ascii="Times New Roman" w:hAnsi="Times New Roman"/>
          <w:b/>
          <w:sz w:val="24"/>
          <w:szCs w:val="24"/>
        </w:rPr>
      </w:pPr>
      <w:r w:rsidRPr="000E1B7E">
        <w:rPr>
          <w:rFonts w:ascii="Times New Roman" w:hAnsi="Times New Roman"/>
          <w:b/>
          <w:sz w:val="24"/>
          <w:szCs w:val="24"/>
        </w:rPr>
        <w:t>Uganda should also consider establishing a Fund of Funds</w:t>
      </w:r>
      <w:r w:rsidRPr="000E1B7E">
        <w:rPr>
          <w:rFonts w:ascii="Times New Roman" w:hAnsi="Times New Roman"/>
          <w:sz w:val="24"/>
          <w:szCs w:val="24"/>
        </w:rPr>
        <w:t xml:space="preserve">. The Fund of Funds enables the government to have a stable and unified source of venture investment which can be targeted to priority sectors expected to grow at a high rate and generate employment. Over time the fund of funds can be gradually opened to the private sector, allowing for its efficiency and additional funding to be exploited. To improve governance and management of fund of funds, it is proposed that, although the Fund of Funds would be financed partly by government, management of this fund would require being autonomous in its decision making and not influenced by government.  This would enable the managers to make decisions based on the viability of the </w:t>
      </w:r>
      <w:r w:rsidRPr="000E1B7E">
        <w:rPr>
          <w:rFonts w:ascii="Times New Roman" w:hAnsi="Times New Roman"/>
          <w:b/>
          <w:sz w:val="24"/>
          <w:szCs w:val="24"/>
        </w:rPr>
        <w:t>projects</w:t>
      </w:r>
      <w:r w:rsidRPr="000E1B7E">
        <w:rPr>
          <w:rFonts w:ascii="Times New Roman" w:hAnsi="Times New Roman"/>
          <w:sz w:val="24"/>
          <w:szCs w:val="24"/>
        </w:rPr>
        <w:t xml:space="preserve"> in question. Notwithstanding the above proposal, the Fund would also have to be regulated by the Capital Markets Authority to ensure that it meets the generally acceptable standards and practices of capital markets and does not out-compete private venture capital initiatives. </w:t>
      </w:r>
    </w:p>
    <w:p w14:paraId="5F69FEF1" w14:textId="77777777" w:rsidR="006C173C" w:rsidRPr="000E1B7E" w:rsidRDefault="006C173C" w:rsidP="00F85D24">
      <w:pPr>
        <w:pStyle w:val="ListParagraph"/>
        <w:numPr>
          <w:ilvl w:val="0"/>
          <w:numId w:val="21"/>
        </w:numPr>
        <w:spacing w:after="240" w:line="360" w:lineRule="auto"/>
        <w:ind w:left="1418" w:hanging="851"/>
        <w:rPr>
          <w:rFonts w:ascii="Times New Roman" w:hAnsi="Times New Roman"/>
          <w:sz w:val="24"/>
          <w:szCs w:val="24"/>
        </w:rPr>
      </w:pPr>
      <w:r w:rsidRPr="000E1B7E">
        <w:rPr>
          <w:rFonts w:ascii="Times New Roman" w:hAnsi="Times New Roman"/>
          <w:b/>
          <w:sz w:val="24"/>
          <w:szCs w:val="24"/>
        </w:rPr>
        <w:t>Use</w:t>
      </w:r>
      <w:r w:rsidRPr="000E1B7E">
        <w:rPr>
          <w:rFonts w:ascii="Times New Roman" w:hAnsi="Times New Roman"/>
          <w:b/>
          <w:sz w:val="24"/>
          <w:szCs w:val="24"/>
          <w:lang w:val="en-US"/>
        </w:rPr>
        <w:t xml:space="preserve"> of Pension Funds</w:t>
      </w:r>
      <w:r w:rsidRPr="000E1B7E">
        <w:rPr>
          <w:rFonts w:ascii="Times New Roman" w:hAnsi="Times New Roman"/>
          <w:sz w:val="24"/>
          <w:szCs w:val="24"/>
          <w:lang w:val="en-US"/>
        </w:rPr>
        <w:t xml:space="preserve">. Pension funds have not made progressive investments in infrastructure – especially in those sectors with the potential for high returns and stable and long-term cash flow and inflation-protection possibilities. </w:t>
      </w:r>
      <w:r w:rsidRPr="000E1B7E">
        <w:rPr>
          <w:rFonts w:ascii="Times New Roman" w:hAnsi="Times New Roman"/>
          <w:sz w:val="24"/>
          <w:szCs w:val="24"/>
        </w:rPr>
        <w:t xml:space="preserve">While the government is expediting the development of the pension sector and implementing the Capital Markets Master Plan, it should also mobilize domestic currency financing by establishing syndicates of commercial banks and large </w:t>
      </w:r>
      <w:r w:rsidRPr="000E1B7E">
        <w:rPr>
          <w:rFonts w:ascii="Times New Roman" w:hAnsi="Times New Roman"/>
          <w:sz w:val="24"/>
          <w:szCs w:val="24"/>
        </w:rPr>
        <w:lastRenderedPageBreak/>
        <w:t xml:space="preserve">surplus institutions to finance infrastructure projects, such as pension funds, particularly the National Social Security Fund (NSSF). </w:t>
      </w:r>
    </w:p>
    <w:p w14:paraId="00665C6A" w14:textId="77777777" w:rsidR="006C173C" w:rsidRPr="000E1B7E" w:rsidRDefault="006C173C" w:rsidP="00F85D24">
      <w:pPr>
        <w:pStyle w:val="ListParagraph"/>
        <w:numPr>
          <w:ilvl w:val="0"/>
          <w:numId w:val="21"/>
        </w:numPr>
        <w:spacing w:after="240" w:line="360" w:lineRule="auto"/>
        <w:ind w:left="1418" w:hanging="851"/>
        <w:rPr>
          <w:rFonts w:ascii="Times New Roman" w:hAnsi="Times New Roman"/>
          <w:sz w:val="24"/>
          <w:szCs w:val="24"/>
        </w:rPr>
      </w:pPr>
      <w:r w:rsidRPr="000E1B7E">
        <w:rPr>
          <w:rFonts w:ascii="Times New Roman" w:hAnsi="Times New Roman"/>
          <w:b/>
          <w:sz w:val="24"/>
          <w:szCs w:val="24"/>
          <w:lang w:val="en-US"/>
        </w:rPr>
        <w:t>Sovereign Wealth Funds (SWFs)</w:t>
      </w:r>
      <w:r w:rsidRPr="000E1B7E">
        <w:rPr>
          <w:rFonts w:ascii="Times New Roman" w:hAnsi="Times New Roman"/>
          <w:sz w:val="24"/>
          <w:szCs w:val="24"/>
          <w:lang w:val="en-US"/>
        </w:rPr>
        <w:t xml:space="preserve"> provide alternative financing role in developing much-needed infrastructure across the world, provided that their investment strategies and underlying mandates support countries’ macroeconomic policies and development plans. Infrastructure projects provide long-term investment returns that are protected against inflation and bear little to no correlation with other financial assets, making them less vulnerable to economic shocks.</w:t>
      </w:r>
    </w:p>
    <w:p w14:paraId="71F40175" w14:textId="77777777" w:rsidR="000A7280" w:rsidRPr="000E1B7E" w:rsidRDefault="000A7280" w:rsidP="00C11847">
      <w:pPr>
        <w:pStyle w:val="DeltaSeched2"/>
      </w:pPr>
      <w:bookmarkStart w:id="160" w:name="_Toc3478402"/>
      <w:bookmarkStart w:id="161" w:name="_Toc11956282"/>
      <w:r w:rsidRPr="000E1B7E">
        <w:t>Price and Monetary Developments</w:t>
      </w:r>
      <w:bookmarkEnd w:id="160"/>
      <w:bookmarkEnd w:id="161"/>
    </w:p>
    <w:p w14:paraId="38E8D320" w14:textId="77777777" w:rsidR="00281C07" w:rsidRPr="000E1B7E" w:rsidRDefault="00C65BA0" w:rsidP="00F85D24">
      <w:pPr>
        <w:pStyle w:val="DeltaBodytext"/>
        <w:numPr>
          <w:ilvl w:val="0"/>
          <w:numId w:val="26"/>
        </w:numPr>
        <w:autoSpaceDE w:val="0"/>
        <w:autoSpaceDN w:val="0"/>
        <w:adjustRightInd w:val="0"/>
        <w:spacing w:before="240" w:line="360" w:lineRule="auto"/>
        <w:ind w:left="567" w:hanging="567"/>
        <w:rPr>
          <w:rFonts w:ascii="Times New Roman" w:hAnsi="Times New Roman"/>
          <w:sz w:val="24"/>
          <w:szCs w:val="24"/>
        </w:rPr>
      </w:pPr>
      <w:r w:rsidRPr="000E1B7E">
        <w:rPr>
          <w:rFonts w:ascii="Times New Roman" w:hAnsi="Times New Roman"/>
          <w:sz w:val="24"/>
          <w:szCs w:val="24"/>
        </w:rPr>
        <w:t>The monetary policy has largely been effective in controlling inflation and maintaining stability of the economy as envidenced by low and stable inflation and the relatively stable exchange rate. The whole structure of interest rates in Uganda is high, in real terms, due to a combination of factors, including high policy rates (CBR), crowding out through higher government borrowing (bond rates), and structural factors in the banking system (high NPLs, over-capitalisation, and high operating costs).</w:t>
      </w:r>
      <w:r w:rsidR="000A7280" w:rsidRPr="000E1B7E">
        <w:rPr>
          <w:rFonts w:ascii="Times New Roman" w:hAnsi="Times New Roman"/>
          <w:sz w:val="24"/>
          <w:szCs w:val="24"/>
        </w:rPr>
        <w:t xml:space="preserve">  The MTR </w:t>
      </w:r>
      <w:r w:rsidR="00E6624A" w:rsidRPr="000E1B7E">
        <w:rPr>
          <w:rFonts w:ascii="Times New Roman" w:hAnsi="Times New Roman"/>
          <w:sz w:val="24"/>
          <w:szCs w:val="24"/>
        </w:rPr>
        <w:t>recommends that BoU investigates how to improve the monetary policy transmission mechanism so that the changes in CBR are transferred to changes in the interest rates. The current monetary policy effort to reduce the CBR has not greatly impacted the interest rates which always remain sticky upwards.</w:t>
      </w:r>
      <w:r w:rsidRPr="000E1B7E">
        <w:rPr>
          <w:rFonts w:ascii="Times New Roman" w:hAnsi="Times New Roman"/>
          <w:sz w:val="24"/>
          <w:szCs w:val="24"/>
        </w:rPr>
        <w:t xml:space="preserve"> </w:t>
      </w:r>
      <w:bookmarkEnd w:id="157"/>
    </w:p>
    <w:p w14:paraId="56F850F5" w14:textId="77777777" w:rsidR="00281C07" w:rsidRPr="000E1B7E" w:rsidRDefault="00281C07" w:rsidP="005959B5">
      <w:pPr>
        <w:jc w:val="both"/>
        <w:rPr>
          <w:sz w:val="18"/>
          <w:szCs w:val="18"/>
        </w:rPr>
        <w:sectPr w:rsidR="00281C07" w:rsidRPr="000E1B7E" w:rsidSect="00B20AC0">
          <w:pgSz w:w="11906" w:h="16838" w:code="9"/>
          <w:pgMar w:top="1440" w:right="1440" w:bottom="1440" w:left="1440" w:header="706" w:footer="14" w:gutter="0"/>
          <w:cols w:space="708"/>
          <w:docGrid w:linePitch="360"/>
        </w:sectPr>
      </w:pPr>
    </w:p>
    <w:p w14:paraId="0F46BB25" w14:textId="77777777" w:rsidR="002075C8" w:rsidRPr="000E1B7E" w:rsidRDefault="002075C8" w:rsidP="00582844">
      <w:pPr>
        <w:pStyle w:val="Heading1"/>
      </w:pPr>
      <w:bookmarkStart w:id="162" w:name="_Toc3478403"/>
      <w:bookmarkStart w:id="163" w:name="_Toc11956283"/>
      <w:r w:rsidRPr="000E1B7E">
        <w:lastRenderedPageBreak/>
        <w:t>Appendix</w:t>
      </w:r>
      <w:bookmarkEnd w:id="162"/>
      <w:bookmarkEnd w:id="163"/>
    </w:p>
    <w:p w14:paraId="278642C0" w14:textId="77777777" w:rsidR="001E7E47" w:rsidRPr="000E1B7E" w:rsidRDefault="002075C8" w:rsidP="002A6CCF">
      <w:pPr>
        <w:pStyle w:val="Heading2"/>
        <w:spacing w:after="0"/>
      </w:pPr>
      <w:bookmarkStart w:id="164" w:name="_Toc3478404"/>
      <w:bookmarkStart w:id="165" w:name="_Toc11956284"/>
      <w:r w:rsidRPr="000E1B7E">
        <w:t xml:space="preserve">Appendix 1: </w:t>
      </w:r>
      <w:r w:rsidR="00E1448F" w:rsidRPr="000E1B7E">
        <w:t>Selected BoP memorandum indicators</w:t>
      </w:r>
      <w:bookmarkEnd w:id="164"/>
      <w:bookmarkEnd w:id="165"/>
    </w:p>
    <w:tbl>
      <w:tblPr>
        <w:tblStyle w:val="LightGrid1"/>
        <w:tblW w:w="4630" w:type="pct"/>
        <w:tblLayout w:type="fixed"/>
        <w:tblLook w:val="04A0" w:firstRow="1" w:lastRow="0" w:firstColumn="1" w:lastColumn="0" w:noHBand="0" w:noVBand="1"/>
      </w:tblPr>
      <w:tblGrid>
        <w:gridCol w:w="5773"/>
        <w:gridCol w:w="881"/>
        <w:gridCol w:w="881"/>
        <w:gridCol w:w="881"/>
        <w:gridCol w:w="880"/>
        <w:gridCol w:w="880"/>
        <w:gridCol w:w="880"/>
        <w:gridCol w:w="880"/>
        <w:gridCol w:w="971"/>
      </w:tblGrid>
      <w:tr w:rsidR="001E7E47" w:rsidRPr="000E1B7E" w14:paraId="45D92922" w14:textId="77777777" w:rsidTr="009243B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64BB7E17"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 </w:t>
            </w:r>
          </w:p>
        </w:tc>
        <w:tc>
          <w:tcPr>
            <w:tcW w:w="341" w:type="pct"/>
            <w:noWrap/>
            <w:hideMark/>
          </w:tcPr>
          <w:p w14:paraId="07E116FE"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2010/11</w:t>
            </w:r>
          </w:p>
        </w:tc>
        <w:tc>
          <w:tcPr>
            <w:tcW w:w="341" w:type="pct"/>
            <w:noWrap/>
            <w:hideMark/>
          </w:tcPr>
          <w:p w14:paraId="613BD18F"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2011/12</w:t>
            </w:r>
          </w:p>
        </w:tc>
        <w:tc>
          <w:tcPr>
            <w:tcW w:w="341" w:type="pct"/>
            <w:noWrap/>
            <w:hideMark/>
          </w:tcPr>
          <w:p w14:paraId="4EE33922"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2012/13</w:t>
            </w:r>
          </w:p>
        </w:tc>
        <w:tc>
          <w:tcPr>
            <w:tcW w:w="341" w:type="pct"/>
            <w:noWrap/>
            <w:hideMark/>
          </w:tcPr>
          <w:p w14:paraId="7E13B38D"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2013/14</w:t>
            </w:r>
          </w:p>
        </w:tc>
        <w:tc>
          <w:tcPr>
            <w:tcW w:w="341" w:type="pct"/>
            <w:noWrap/>
            <w:hideMark/>
          </w:tcPr>
          <w:p w14:paraId="54DC1F22"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2014/15</w:t>
            </w:r>
          </w:p>
        </w:tc>
        <w:tc>
          <w:tcPr>
            <w:tcW w:w="341" w:type="pct"/>
            <w:noWrap/>
            <w:hideMark/>
          </w:tcPr>
          <w:p w14:paraId="1BA33F62"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2015/16</w:t>
            </w:r>
          </w:p>
        </w:tc>
        <w:tc>
          <w:tcPr>
            <w:tcW w:w="341" w:type="pct"/>
            <w:noWrap/>
            <w:hideMark/>
          </w:tcPr>
          <w:p w14:paraId="60C358E2"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2016/17</w:t>
            </w:r>
          </w:p>
        </w:tc>
        <w:tc>
          <w:tcPr>
            <w:tcW w:w="376" w:type="pct"/>
            <w:noWrap/>
            <w:hideMark/>
          </w:tcPr>
          <w:p w14:paraId="4135BE7A" w14:textId="77777777" w:rsidR="001E7E47" w:rsidRPr="000E1B7E" w:rsidRDefault="001E7E47" w:rsidP="005959B5">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2017/18</w:t>
            </w:r>
          </w:p>
        </w:tc>
      </w:tr>
      <w:tr w:rsidR="001E7E47" w:rsidRPr="000E1B7E" w14:paraId="48C733BC"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370BDCE3"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Nominal GDP at Market prices (Ug.Shs billion)</w:t>
            </w:r>
          </w:p>
        </w:tc>
        <w:tc>
          <w:tcPr>
            <w:tcW w:w="341" w:type="pct"/>
            <w:noWrap/>
            <w:hideMark/>
          </w:tcPr>
          <w:p w14:paraId="5D25BAA4"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47,078.0</w:t>
            </w:r>
          </w:p>
        </w:tc>
        <w:tc>
          <w:tcPr>
            <w:tcW w:w="341" w:type="pct"/>
            <w:noWrap/>
            <w:hideMark/>
          </w:tcPr>
          <w:p w14:paraId="0B761F0A"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59,420.0</w:t>
            </w:r>
          </w:p>
        </w:tc>
        <w:tc>
          <w:tcPr>
            <w:tcW w:w="341" w:type="pct"/>
            <w:noWrap/>
            <w:hideMark/>
          </w:tcPr>
          <w:p w14:paraId="4D9186F8"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63,905.0</w:t>
            </w:r>
          </w:p>
        </w:tc>
        <w:tc>
          <w:tcPr>
            <w:tcW w:w="341" w:type="pct"/>
            <w:noWrap/>
            <w:hideMark/>
          </w:tcPr>
          <w:p w14:paraId="62F3A4B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70,457.7</w:t>
            </w:r>
          </w:p>
        </w:tc>
        <w:tc>
          <w:tcPr>
            <w:tcW w:w="341" w:type="pct"/>
            <w:noWrap/>
            <w:hideMark/>
          </w:tcPr>
          <w:p w14:paraId="38040642"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77,845.2</w:t>
            </w:r>
          </w:p>
        </w:tc>
        <w:tc>
          <w:tcPr>
            <w:tcW w:w="341" w:type="pct"/>
            <w:noWrap/>
            <w:hideMark/>
          </w:tcPr>
          <w:p w14:paraId="0D70E7C6"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84,907.0</w:t>
            </w:r>
          </w:p>
        </w:tc>
        <w:tc>
          <w:tcPr>
            <w:tcW w:w="341" w:type="pct"/>
            <w:noWrap/>
            <w:hideMark/>
          </w:tcPr>
          <w:p w14:paraId="3F784995"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91,351.4</w:t>
            </w:r>
          </w:p>
        </w:tc>
        <w:tc>
          <w:tcPr>
            <w:tcW w:w="376" w:type="pct"/>
            <w:noWrap/>
            <w:hideMark/>
          </w:tcPr>
          <w:p w14:paraId="04ABAAE1"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100,091.9</w:t>
            </w:r>
          </w:p>
        </w:tc>
      </w:tr>
      <w:tr w:rsidR="001E7E47" w:rsidRPr="000E1B7E" w14:paraId="425B4AEE"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1D187D67"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GDP at Market prices (US$ million)</w:t>
            </w:r>
          </w:p>
        </w:tc>
        <w:tc>
          <w:tcPr>
            <w:tcW w:w="341" w:type="pct"/>
            <w:noWrap/>
            <w:hideMark/>
          </w:tcPr>
          <w:p w14:paraId="4F8FA48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20,262.3</w:t>
            </w:r>
          </w:p>
        </w:tc>
        <w:tc>
          <w:tcPr>
            <w:tcW w:w="341" w:type="pct"/>
            <w:noWrap/>
            <w:hideMark/>
          </w:tcPr>
          <w:p w14:paraId="54A85750"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23,218.9</w:t>
            </w:r>
          </w:p>
        </w:tc>
        <w:tc>
          <w:tcPr>
            <w:tcW w:w="341" w:type="pct"/>
            <w:noWrap/>
            <w:hideMark/>
          </w:tcPr>
          <w:p w14:paraId="592A8AB4"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24,663.1</w:t>
            </w:r>
          </w:p>
        </w:tc>
        <w:tc>
          <w:tcPr>
            <w:tcW w:w="341" w:type="pct"/>
            <w:noWrap/>
            <w:hideMark/>
          </w:tcPr>
          <w:p w14:paraId="5017F1C8"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27,757.4</w:t>
            </w:r>
          </w:p>
        </w:tc>
        <w:tc>
          <w:tcPr>
            <w:tcW w:w="341" w:type="pct"/>
            <w:noWrap/>
            <w:hideMark/>
          </w:tcPr>
          <w:p w14:paraId="41A3700E"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27,573.2</w:t>
            </w:r>
          </w:p>
        </w:tc>
        <w:tc>
          <w:tcPr>
            <w:tcW w:w="341" w:type="pct"/>
            <w:noWrap/>
            <w:hideMark/>
          </w:tcPr>
          <w:p w14:paraId="360EA03A"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24,661.1</w:t>
            </w:r>
          </w:p>
        </w:tc>
        <w:tc>
          <w:tcPr>
            <w:tcW w:w="341" w:type="pct"/>
            <w:noWrap/>
            <w:hideMark/>
          </w:tcPr>
          <w:p w14:paraId="6A25B46C"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25,891.1</w:t>
            </w:r>
          </w:p>
        </w:tc>
        <w:tc>
          <w:tcPr>
            <w:tcW w:w="376" w:type="pct"/>
            <w:noWrap/>
            <w:hideMark/>
          </w:tcPr>
          <w:p w14:paraId="43878DE4"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27,357.1</w:t>
            </w:r>
          </w:p>
        </w:tc>
      </w:tr>
      <w:tr w:rsidR="001E7E47" w:rsidRPr="000E1B7E" w14:paraId="24A17110"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435663E7"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 xml:space="preserve">Exports as a % of GDP </w:t>
            </w:r>
          </w:p>
        </w:tc>
        <w:tc>
          <w:tcPr>
            <w:tcW w:w="341" w:type="pct"/>
            <w:noWrap/>
            <w:hideMark/>
          </w:tcPr>
          <w:p w14:paraId="64436DC8"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11.34</w:t>
            </w:r>
          </w:p>
        </w:tc>
        <w:tc>
          <w:tcPr>
            <w:tcW w:w="341" w:type="pct"/>
            <w:noWrap/>
            <w:hideMark/>
          </w:tcPr>
          <w:p w14:paraId="09D77BD5"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11.49</w:t>
            </w:r>
          </w:p>
        </w:tc>
        <w:tc>
          <w:tcPr>
            <w:tcW w:w="341" w:type="pct"/>
            <w:noWrap/>
            <w:hideMark/>
          </w:tcPr>
          <w:p w14:paraId="2AB65C9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11.81</w:t>
            </w:r>
          </w:p>
        </w:tc>
        <w:tc>
          <w:tcPr>
            <w:tcW w:w="341" w:type="pct"/>
            <w:noWrap/>
            <w:hideMark/>
          </w:tcPr>
          <w:p w14:paraId="310BE2C1"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9.75</w:t>
            </w:r>
          </w:p>
        </w:tc>
        <w:tc>
          <w:tcPr>
            <w:tcW w:w="341" w:type="pct"/>
            <w:noWrap/>
            <w:hideMark/>
          </w:tcPr>
          <w:p w14:paraId="3006D949"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9.93</w:t>
            </w:r>
          </w:p>
        </w:tc>
        <w:tc>
          <w:tcPr>
            <w:tcW w:w="341" w:type="pct"/>
            <w:noWrap/>
            <w:hideMark/>
          </w:tcPr>
          <w:p w14:paraId="11CA90D3"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10.90</w:t>
            </w:r>
          </w:p>
        </w:tc>
        <w:tc>
          <w:tcPr>
            <w:tcW w:w="341" w:type="pct"/>
            <w:noWrap/>
            <w:hideMark/>
          </w:tcPr>
          <w:p w14:paraId="2322B72F"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12.28</w:t>
            </w:r>
          </w:p>
        </w:tc>
        <w:tc>
          <w:tcPr>
            <w:tcW w:w="376" w:type="pct"/>
            <w:noWrap/>
            <w:hideMark/>
          </w:tcPr>
          <w:p w14:paraId="05DA5953"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12.72</w:t>
            </w:r>
          </w:p>
        </w:tc>
      </w:tr>
      <w:tr w:rsidR="001E7E47" w:rsidRPr="000E1B7E" w14:paraId="62C93A67"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607B3738"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 xml:space="preserve">Imports as a % of GDP </w:t>
            </w:r>
          </w:p>
        </w:tc>
        <w:tc>
          <w:tcPr>
            <w:tcW w:w="341" w:type="pct"/>
            <w:noWrap/>
            <w:hideMark/>
          </w:tcPr>
          <w:p w14:paraId="72025953"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23.05</w:t>
            </w:r>
          </w:p>
        </w:tc>
        <w:tc>
          <w:tcPr>
            <w:tcW w:w="341" w:type="pct"/>
            <w:noWrap/>
            <w:hideMark/>
          </w:tcPr>
          <w:p w14:paraId="5F29BA44"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22.57</w:t>
            </w:r>
          </w:p>
        </w:tc>
        <w:tc>
          <w:tcPr>
            <w:tcW w:w="341" w:type="pct"/>
            <w:noWrap/>
            <w:hideMark/>
          </w:tcPr>
          <w:p w14:paraId="5EDB98F2"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20.42</w:t>
            </w:r>
          </w:p>
        </w:tc>
        <w:tc>
          <w:tcPr>
            <w:tcW w:w="341" w:type="pct"/>
            <w:noWrap/>
            <w:hideMark/>
          </w:tcPr>
          <w:p w14:paraId="29875861"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18.28</w:t>
            </w:r>
          </w:p>
        </w:tc>
        <w:tc>
          <w:tcPr>
            <w:tcW w:w="341" w:type="pct"/>
            <w:noWrap/>
            <w:hideMark/>
          </w:tcPr>
          <w:p w14:paraId="48563A42"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18.09</w:t>
            </w:r>
          </w:p>
        </w:tc>
        <w:tc>
          <w:tcPr>
            <w:tcW w:w="341" w:type="pct"/>
            <w:noWrap/>
            <w:hideMark/>
          </w:tcPr>
          <w:p w14:paraId="2F05D895"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18.55</w:t>
            </w:r>
          </w:p>
        </w:tc>
        <w:tc>
          <w:tcPr>
            <w:tcW w:w="341" w:type="pct"/>
            <w:noWrap/>
            <w:hideMark/>
          </w:tcPr>
          <w:p w14:paraId="0E52A778"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18.21</w:t>
            </w:r>
          </w:p>
        </w:tc>
        <w:tc>
          <w:tcPr>
            <w:tcW w:w="376" w:type="pct"/>
            <w:noWrap/>
            <w:hideMark/>
          </w:tcPr>
          <w:p w14:paraId="13EF6A2F"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20.07</w:t>
            </w:r>
          </w:p>
        </w:tc>
      </w:tr>
      <w:tr w:rsidR="001E7E47" w:rsidRPr="000E1B7E" w14:paraId="79BA1929"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5CD27D7F"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Current Account Balance (Excluding Grants)</w:t>
            </w:r>
          </w:p>
        </w:tc>
        <w:tc>
          <w:tcPr>
            <w:tcW w:w="341" w:type="pct"/>
            <w:noWrap/>
            <w:hideMark/>
          </w:tcPr>
          <w:p w14:paraId="1225698D"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-2,117.9</w:t>
            </w:r>
          </w:p>
        </w:tc>
        <w:tc>
          <w:tcPr>
            <w:tcW w:w="341" w:type="pct"/>
            <w:noWrap/>
            <w:hideMark/>
          </w:tcPr>
          <w:p w14:paraId="404EF5BA"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-2,431.6</w:t>
            </w:r>
          </w:p>
        </w:tc>
        <w:tc>
          <w:tcPr>
            <w:tcW w:w="341" w:type="pct"/>
            <w:noWrap/>
            <w:hideMark/>
          </w:tcPr>
          <w:p w14:paraId="3035C08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-1,846.2</w:t>
            </w:r>
          </w:p>
        </w:tc>
        <w:tc>
          <w:tcPr>
            <w:tcW w:w="341" w:type="pct"/>
            <w:noWrap/>
            <w:hideMark/>
          </w:tcPr>
          <w:p w14:paraId="1928D537"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-2,237.4</w:t>
            </w:r>
          </w:p>
        </w:tc>
        <w:tc>
          <w:tcPr>
            <w:tcW w:w="341" w:type="pct"/>
            <w:noWrap/>
            <w:hideMark/>
          </w:tcPr>
          <w:p w14:paraId="4E885959"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-2,052.5</w:t>
            </w:r>
          </w:p>
        </w:tc>
        <w:tc>
          <w:tcPr>
            <w:tcW w:w="341" w:type="pct"/>
            <w:noWrap/>
            <w:hideMark/>
          </w:tcPr>
          <w:p w14:paraId="5FD89847"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-1,359.2</w:t>
            </w:r>
          </w:p>
        </w:tc>
        <w:tc>
          <w:tcPr>
            <w:tcW w:w="341" w:type="pct"/>
            <w:noWrap/>
            <w:hideMark/>
          </w:tcPr>
          <w:p w14:paraId="1356B9A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-999.27</w:t>
            </w:r>
          </w:p>
        </w:tc>
        <w:tc>
          <w:tcPr>
            <w:tcW w:w="376" w:type="pct"/>
            <w:noWrap/>
            <w:hideMark/>
          </w:tcPr>
          <w:p w14:paraId="011E128B"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-1,725.78</w:t>
            </w:r>
          </w:p>
        </w:tc>
      </w:tr>
      <w:tr w:rsidR="001E7E47" w:rsidRPr="000E1B7E" w14:paraId="3A0F4F58"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736442B6"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Current Account Balance as a percentage of GDP</w:t>
            </w:r>
          </w:p>
        </w:tc>
        <w:tc>
          <w:tcPr>
            <w:tcW w:w="341" w:type="pct"/>
            <w:noWrap/>
            <w:hideMark/>
          </w:tcPr>
          <w:p w14:paraId="68603F6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-8.55</w:t>
            </w:r>
          </w:p>
        </w:tc>
        <w:tc>
          <w:tcPr>
            <w:tcW w:w="341" w:type="pct"/>
            <w:noWrap/>
            <w:hideMark/>
          </w:tcPr>
          <w:p w14:paraId="4F6DDD1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-8.75</w:t>
            </w:r>
          </w:p>
        </w:tc>
        <w:tc>
          <w:tcPr>
            <w:tcW w:w="341" w:type="pct"/>
            <w:noWrap/>
            <w:hideMark/>
          </w:tcPr>
          <w:p w14:paraId="44C78070"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-6.12</w:t>
            </w:r>
          </w:p>
        </w:tc>
        <w:tc>
          <w:tcPr>
            <w:tcW w:w="341" w:type="pct"/>
            <w:noWrap/>
            <w:hideMark/>
          </w:tcPr>
          <w:p w14:paraId="349734A9"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-7.35</w:t>
            </w:r>
          </w:p>
        </w:tc>
        <w:tc>
          <w:tcPr>
            <w:tcW w:w="341" w:type="pct"/>
            <w:noWrap/>
            <w:hideMark/>
          </w:tcPr>
          <w:p w14:paraId="27CC076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-6.76</w:t>
            </w:r>
          </w:p>
        </w:tc>
        <w:tc>
          <w:tcPr>
            <w:tcW w:w="341" w:type="pct"/>
            <w:noWrap/>
            <w:hideMark/>
          </w:tcPr>
          <w:p w14:paraId="59456D69"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-4.72</w:t>
            </w:r>
          </w:p>
        </w:tc>
        <w:tc>
          <w:tcPr>
            <w:tcW w:w="341" w:type="pct"/>
            <w:noWrap/>
            <w:hideMark/>
          </w:tcPr>
          <w:p w14:paraId="5783314E"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-3.33</w:t>
            </w:r>
          </w:p>
        </w:tc>
        <w:tc>
          <w:tcPr>
            <w:tcW w:w="376" w:type="pct"/>
            <w:noWrap/>
            <w:hideMark/>
          </w:tcPr>
          <w:p w14:paraId="5F076735"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-5.91</w:t>
            </w:r>
          </w:p>
        </w:tc>
      </w:tr>
      <w:tr w:rsidR="001E7E47" w:rsidRPr="000E1B7E" w14:paraId="1AD19EF8"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7863BCCE"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Current Account Balance (Excl. Grants) as a %age of GDP</w:t>
            </w:r>
          </w:p>
        </w:tc>
        <w:tc>
          <w:tcPr>
            <w:tcW w:w="341" w:type="pct"/>
            <w:noWrap/>
            <w:hideMark/>
          </w:tcPr>
          <w:p w14:paraId="254F22DF"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-10.45</w:t>
            </w:r>
          </w:p>
        </w:tc>
        <w:tc>
          <w:tcPr>
            <w:tcW w:w="341" w:type="pct"/>
            <w:noWrap/>
            <w:hideMark/>
          </w:tcPr>
          <w:p w14:paraId="67F99E8D"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-10.47</w:t>
            </w:r>
          </w:p>
        </w:tc>
        <w:tc>
          <w:tcPr>
            <w:tcW w:w="341" w:type="pct"/>
            <w:noWrap/>
            <w:hideMark/>
          </w:tcPr>
          <w:p w14:paraId="6E446362"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-7.49</w:t>
            </w:r>
          </w:p>
        </w:tc>
        <w:tc>
          <w:tcPr>
            <w:tcW w:w="341" w:type="pct"/>
            <w:noWrap/>
            <w:hideMark/>
          </w:tcPr>
          <w:p w14:paraId="50A59079"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-8.06</w:t>
            </w:r>
          </w:p>
        </w:tc>
        <w:tc>
          <w:tcPr>
            <w:tcW w:w="341" w:type="pct"/>
            <w:noWrap/>
            <w:hideMark/>
          </w:tcPr>
          <w:p w14:paraId="7AA4651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-7.44</w:t>
            </w:r>
          </w:p>
        </w:tc>
        <w:tc>
          <w:tcPr>
            <w:tcW w:w="341" w:type="pct"/>
            <w:noWrap/>
            <w:hideMark/>
          </w:tcPr>
          <w:p w14:paraId="0FC83713"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-5.51</w:t>
            </w:r>
          </w:p>
        </w:tc>
        <w:tc>
          <w:tcPr>
            <w:tcW w:w="341" w:type="pct"/>
            <w:noWrap/>
            <w:hideMark/>
          </w:tcPr>
          <w:p w14:paraId="0EF57B18"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-3.86</w:t>
            </w:r>
          </w:p>
        </w:tc>
        <w:tc>
          <w:tcPr>
            <w:tcW w:w="376" w:type="pct"/>
            <w:noWrap/>
            <w:hideMark/>
          </w:tcPr>
          <w:p w14:paraId="7A7FFB1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-6.31</w:t>
            </w:r>
          </w:p>
        </w:tc>
      </w:tr>
      <w:tr w:rsidR="001E7E47" w:rsidRPr="000E1B7E" w14:paraId="4306306E"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76CC4750"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BOP overall balance as a percentage of GDP</w:t>
            </w:r>
          </w:p>
        </w:tc>
        <w:tc>
          <w:tcPr>
            <w:tcW w:w="341" w:type="pct"/>
            <w:noWrap/>
            <w:hideMark/>
          </w:tcPr>
          <w:p w14:paraId="15D8C33F"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2.99</w:t>
            </w:r>
          </w:p>
        </w:tc>
        <w:tc>
          <w:tcPr>
            <w:tcW w:w="341" w:type="pct"/>
            <w:noWrap/>
            <w:hideMark/>
          </w:tcPr>
          <w:p w14:paraId="37C7130A"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-3.22</w:t>
            </w:r>
          </w:p>
        </w:tc>
        <w:tc>
          <w:tcPr>
            <w:tcW w:w="341" w:type="pct"/>
            <w:noWrap/>
            <w:hideMark/>
          </w:tcPr>
          <w:p w14:paraId="6B32479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-1.37</w:t>
            </w:r>
          </w:p>
        </w:tc>
        <w:tc>
          <w:tcPr>
            <w:tcW w:w="341" w:type="pct"/>
            <w:noWrap/>
            <w:hideMark/>
          </w:tcPr>
          <w:p w14:paraId="02F14759"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-1.36</w:t>
            </w:r>
          </w:p>
        </w:tc>
        <w:tc>
          <w:tcPr>
            <w:tcW w:w="341" w:type="pct"/>
            <w:noWrap/>
            <w:hideMark/>
          </w:tcPr>
          <w:p w14:paraId="7D4ACC90"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1.27</w:t>
            </w:r>
          </w:p>
        </w:tc>
        <w:tc>
          <w:tcPr>
            <w:tcW w:w="341" w:type="pct"/>
            <w:noWrap/>
            <w:hideMark/>
          </w:tcPr>
          <w:p w14:paraId="3996A91A"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-0.41</w:t>
            </w:r>
          </w:p>
        </w:tc>
        <w:tc>
          <w:tcPr>
            <w:tcW w:w="341" w:type="pct"/>
            <w:noWrap/>
            <w:hideMark/>
          </w:tcPr>
          <w:p w14:paraId="63E20D81"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-1.69</w:t>
            </w:r>
          </w:p>
        </w:tc>
        <w:tc>
          <w:tcPr>
            <w:tcW w:w="376" w:type="pct"/>
            <w:noWrap/>
            <w:hideMark/>
          </w:tcPr>
          <w:p w14:paraId="722CFD81"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0.77</w:t>
            </w:r>
          </w:p>
        </w:tc>
      </w:tr>
      <w:tr w:rsidR="001E7E47" w:rsidRPr="000E1B7E" w14:paraId="0D8F683F"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5F7CBB75"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 xml:space="preserve">Total external Debt Stock (end of period) </w:t>
            </w:r>
          </w:p>
        </w:tc>
        <w:tc>
          <w:tcPr>
            <w:tcW w:w="341" w:type="pct"/>
            <w:noWrap/>
            <w:hideMark/>
          </w:tcPr>
          <w:p w14:paraId="4F306CF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2,904.92</w:t>
            </w:r>
          </w:p>
        </w:tc>
        <w:tc>
          <w:tcPr>
            <w:tcW w:w="341" w:type="pct"/>
            <w:noWrap/>
            <w:hideMark/>
          </w:tcPr>
          <w:p w14:paraId="0FD21EEC"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3,254.08</w:t>
            </w:r>
          </w:p>
        </w:tc>
        <w:tc>
          <w:tcPr>
            <w:tcW w:w="341" w:type="pct"/>
            <w:noWrap/>
            <w:hideMark/>
          </w:tcPr>
          <w:p w14:paraId="0AF904A0"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3,825.16</w:t>
            </w:r>
          </w:p>
        </w:tc>
        <w:tc>
          <w:tcPr>
            <w:tcW w:w="341" w:type="pct"/>
            <w:noWrap/>
            <w:hideMark/>
          </w:tcPr>
          <w:p w14:paraId="0E332D25"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4,300.70</w:t>
            </w:r>
          </w:p>
        </w:tc>
        <w:tc>
          <w:tcPr>
            <w:tcW w:w="341" w:type="pct"/>
            <w:noWrap/>
            <w:hideMark/>
          </w:tcPr>
          <w:p w14:paraId="5C578EB3"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4,380.10</w:t>
            </w:r>
          </w:p>
        </w:tc>
        <w:tc>
          <w:tcPr>
            <w:tcW w:w="341" w:type="pct"/>
            <w:noWrap/>
            <w:hideMark/>
          </w:tcPr>
          <w:p w14:paraId="260A53F4"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5,309.20</w:t>
            </w:r>
          </w:p>
        </w:tc>
        <w:tc>
          <w:tcPr>
            <w:tcW w:w="341" w:type="pct"/>
            <w:noWrap/>
            <w:hideMark/>
          </w:tcPr>
          <w:p w14:paraId="754372D5"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6,213.79</w:t>
            </w:r>
          </w:p>
        </w:tc>
        <w:tc>
          <w:tcPr>
            <w:tcW w:w="376" w:type="pct"/>
            <w:noWrap/>
            <w:hideMark/>
          </w:tcPr>
          <w:p w14:paraId="37994240"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7,261.93</w:t>
            </w:r>
          </w:p>
        </w:tc>
      </w:tr>
      <w:tr w:rsidR="001E7E47" w:rsidRPr="000E1B7E" w14:paraId="7D96869C"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519EE7F1"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 xml:space="preserve">   o/w External arrears</w:t>
            </w:r>
          </w:p>
        </w:tc>
        <w:tc>
          <w:tcPr>
            <w:tcW w:w="341" w:type="pct"/>
            <w:noWrap/>
            <w:hideMark/>
          </w:tcPr>
          <w:p w14:paraId="5834E51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82.68</w:t>
            </w:r>
          </w:p>
        </w:tc>
        <w:tc>
          <w:tcPr>
            <w:tcW w:w="341" w:type="pct"/>
            <w:noWrap/>
            <w:hideMark/>
          </w:tcPr>
          <w:p w14:paraId="00456359"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80.89</w:t>
            </w:r>
          </w:p>
        </w:tc>
        <w:tc>
          <w:tcPr>
            <w:tcW w:w="341" w:type="pct"/>
            <w:noWrap/>
            <w:hideMark/>
          </w:tcPr>
          <w:p w14:paraId="01010575"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81.62</w:t>
            </w:r>
          </w:p>
        </w:tc>
        <w:tc>
          <w:tcPr>
            <w:tcW w:w="341" w:type="pct"/>
            <w:noWrap/>
            <w:hideMark/>
          </w:tcPr>
          <w:p w14:paraId="1F3B0ED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75.95</w:t>
            </w:r>
          </w:p>
        </w:tc>
        <w:tc>
          <w:tcPr>
            <w:tcW w:w="341" w:type="pct"/>
            <w:noWrap/>
            <w:hideMark/>
          </w:tcPr>
          <w:p w14:paraId="37B5B5FF"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5113CCE8"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7FA8AEE1"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76.47</w:t>
            </w:r>
          </w:p>
        </w:tc>
        <w:tc>
          <w:tcPr>
            <w:tcW w:w="376" w:type="pct"/>
            <w:noWrap/>
            <w:hideMark/>
          </w:tcPr>
          <w:p w14:paraId="0549DC5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77.49</w:t>
            </w:r>
          </w:p>
        </w:tc>
      </w:tr>
      <w:tr w:rsidR="001E7E47" w:rsidRPr="000E1B7E" w14:paraId="0D27C06D"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12B717CB"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Total Debt Stock (end of period) as a %age of GDP</w:t>
            </w:r>
          </w:p>
        </w:tc>
        <w:tc>
          <w:tcPr>
            <w:tcW w:w="341" w:type="pct"/>
            <w:noWrap/>
            <w:hideMark/>
          </w:tcPr>
          <w:p w14:paraId="151889CF"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19.50</w:t>
            </w:r>
          </w:p>
        </w:tc>
        <w:tc>
          <w:tcPr>
            <w:tcW w:w="341" w:type="pct"/>
            <w:noWrap/>
            <w:hideMark/>
          </w:tcPr>
          <w:p w14:paraId="696B937A"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16.69</w:t>
            </w:r>
          </w:p>
        </w:tc>
        <w:tc>
          <w:tcPr>
            <w:tcW w:w="341" w:type="pct"/>
            <w:noWrap/>
            <w:hideMark/>
          </w:tcPr>
          <w:p w14:paraId="5F05A1E2"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15.51</w:t>
            </w:r>
          </w:p>
        </w:tc>
        <w:tc>
          <w:tcPr>
            <w:tcW w:w="341" w:type="pct"/>
            <w:noWrap/>
            <w:hideMark/>
          </w:tcPr>
          <w:p w14:paraId="762050E3"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15.49</w:t>
            </w:r>
          </w:p>
        </w:tc>
        <w:tc>
          <w:tcPr>
            <w:tcW w:w="341" w:type="pct"/>
            <w:noWrap/>
            <w:hideMark/>
          </w:tcPr>
          <w:p w14:paraId="50CC02FC"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3D9B5464"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0B0147D0"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0.00</w:t>
            </w:r>
          </w:p>
        </w:tc>
        <w:tc>
          <w:tcPr>
            <w:tcW w:w="376" w:type="pct"/>
            <w:noWrap/>
            <w:hideMark/>
          </w:tcPr>
          <w:p w14:paraId="4B2CB4FA"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0.00</w:t>
            </w:r>
          </w:p>
        </w:tc>
      </w:tr>
      <w:tr w:rsidR="001E7E47" w:rsidRPr="000E1B7E" w14:paraId="103E6532"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490DD4C3"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Debt Service (maturities excl. IMF) as a %age of exports</w:t>
            </w:r>
          </w:p>
        </w:tc>
        <w:tc>
          <w:tcPr>
            <w:tcW w:w="341" w:type="pct"/>
            <w:noWrap/>
            <w:hideMark/>
          </w:tcPr>
          <w:p w14:paraId="32A81B67"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4.44</w:t>
            </w:r>
          </w:p>
        </w:tc>
        <w:tc>
          <w:tcPr>
            <w:tcW w:w="341" w:type="pct"/>
            <w:noWrap/>
            <w:hideMark/>
          </w:tcPr>
          <w:p w14:paraId="762FFAB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4.09</w:t>
            </w:r>
          </w:p>
        </w:tc>
        <w:tc>
          <w:tcPr>
            <w:tcW w:w="341" w:type="pct"/>
            <w:noWrap/>
            <w:hideMark/>
          </w:tcPr>
          <w:p w14:paraId="29B2E09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3.92</w:t>
            </w:r>
          </w:p>
        </w:tc>
        <w:tc>
          <w:tcPr>
            <w:tcW w:w="341" w:type="pct"/>
            <w:noWrap/>
            <w:hideMark/>
          </w:tcPr>
          <w:p w14:paraId="4E5F59C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4.86</w:t>
            </w:r>
          </w:p>
        </w:tc>
        <w:tc>
          <w:tcPr>
            <w:tcW w:w="341" w:type="pct"/>
            <w:noWrap/>
            <w:hideMark/>
          </w:tcPr>
          <w:p w14:paraId="3B03D500"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5.75</w:t>
            </w:r>
          </w:p>
        </w:tc>
        <w:tc>
          <w:tcPr>
            <w:tcW w:w="341" w:type="pct"/>
            <w:noWrap/>
            <w:hideMark/>
          </w:tcPr>
          <w:p w14:paraId="1D0F3333"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5.31</w:t>
            </w:r>
          </w:p>
        </w:tc>
        <w:tc>
          <w:tcPr>
            <w:tcW w:w="341" w:type="pct"/>
            <w:noWrap/>
            <w:hideMark/>
          </w:tcPr>
          <w:p w14:paraId="6B2BE8F7"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5.58</w:t>
            </w:r>
          </w:p>
        </w:tc>
        <w:tc>
          <w:tcPr>
            <w:tcW w:w="376" w:type="pct"/>
            <w:noWrap/>
            <w:hideMark/>
          </w:tcPr>
          <w:p w14:paraId="0E9549D7"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9.40</w:t>
            </w:r>
          </w:p>
        </w:tc>
      </w:tr>
      <w:tr w:rsidR="001E7E47" w:rsidRPr="000E1B7E" w14:paraId="60180E04"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44BCE975"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Debt Service (maturities excl. IMF) as a %age of export of Goods and Services.</w:t>
            </w:r>
          </w:p>
        </w:tc>
        <w:tc>
          <w:tcPr>
            <w:tcW w:w="341" w:type="pct"/>
            <w:noWrap/>
            <w:hideMark/>
          </w:tcPr>
          <w:p w14:paraId="1E55137C"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2.67</w:t>
            </w:r>
          </w:p>
        </w:tc>
        <w:tc>
          <w:tcPr>
            <w:tcW w:w="341" w:type="pct"/>
            <w:noWrap/>
            <w:hideMark/>
          </w:tcPr>
          <w:p w14:paraId="40D937B1"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2.32</w:t>
            </w:r>
          </w:p>
        </w:tc>
        <w:tc>
          <w:tcPr>
            <w:tcW w:w="341" w:type="pct"/>
            <w:noWrap/>
            <w:hideMark/>
          </w:tcPr>
          <w:p w14:paraId="683A4B41"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2.31</w:t>
            </w:r>
          </w:p>
        </w:tc>
        <w:tc>
          <w:tcPr>
            <w:tcW w:w="341" w:type="pct"/>
            <w:noWrap/>
            <w:hideMark/>
          </w:tcPr>
          <w:p w14:paraId="1F65E12B"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2.82</w:t>
            </w:r>
          </w:p>
        </w:tc>
        <w:tc>
          <w:tcPr>
            <w:tcW w:w="341" w:type="pct"/>
            <w:noWrap/>
            <w:hideMark/>
          </w:tcPr>
          <w:p w14:paraId="227BFF52"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3.21</w:t>
            </w:r>
          </w:p>
        </w:tc>
        <w:tc>
          <w:tcPr>
            <w:tcW w:w="341" w:type="pct"/>
            <w:noWrap/>
            <w:hideMark/>
          </w:tcPr>
          <w:p w14:paraId="09FEB852"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3.06</w:t>
            </w:r>
          </w:p>
        </w:tc>
        <w:tc>
          <w:tcPr>
            <w:tcW w:w="341" w:type="pct"/>
            <w:noWrap/>
            <w:hideMark/>
          </w:tcPr>
          <w:p w14:paraId="0BF1D8DD"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3.67</w:t>
            </w:r>
          </w:p>
        </w:tc>
        <w:tc>
          <w:tcPr>
            <w:tcW w:w="376" w:type="pct"/>
            <w:noWrap/>
            <w:hideMark/>
          </w:tcPr>
          <w:p w14:paraId="58195D2B"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6.13</w:t>
            </w:r>
          </w:p>
        </w:tc>
      </w:tr>
      <w:tr w:rsidR="001E7E47" w:rsidRPr="000E1B7E" w14:paraId="534C9E7D"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15DE8FAA"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Debt Service (maturities excl. IMF) as a percentage of GDP</w:t>
            </w:r>
          </w:p>
        </w:tc>
        <w:tc>
          <w:tcPr>
            <w:tcW w:w="341" w:type="pct"/>
            <w:noWrap/>
            <w:hideMark/>
          </w:tcPr>
          <w:p w14:paraId="163A28EE"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5040E077"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63F0234C"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0E87144C"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6F225A7C"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0.57</w:t>
            </w:r>
          </w:p>
        </w:tc>
        <w:tc>
          <w:tcPr>
            <w:tcW w:w="341" w:type="pct"/>
            <w:noWrap/>
            <w:hideMark/>
          </w:tcPr>
          <w:p w14:paraId="13F62DB4"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0.58</w:t>
            </w:r>
          </w:p>
        </w:tc>
        <w:tc>
          <w:tcPr>
            <w:tcW w:w="341" w:type="pct"/>
            <w:noWrap/>
            <w:hideMark/>
          </w:tcPr>
          <w:p w14:paraId="6644002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0.68</w:t>
            </w:r>
          </w:p>
        </w:tc>
        <w:tc>
          <w:tcPr>
            <w:tcW w:w="376" w:type="pct"/>
            <w:noWrap/>
            <w:hideMark/>
          </w:tcPr>
          <w:p w14:paraId="59C7712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1.20</w:t>
            </w:r>
          </w:p>
        </w:tc>
      </w:tr>
      <w:tr w:rsidR="001E7E47" w:rsidRPr="000E1B7E" w14:paraId="3C057494"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3D68F987"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Debt Service (maturities incl. IMF) as a %age of exports</w:t>
            </w:r>
          </w:p>
        </w:tc>
        <w:tc>
          <w:tcPr>
            <w:tcW w:w="341" w:type="pct"/>
            <w:noWrap/>
            <w:hideMark/>
          </w:tcPr>
          <w:p w14:paraId="7F397AE5"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4.45</w:t>
            </w:r>
          </w:p>
        </w:tc>
        <w:tc>
          <w:tcPr>
            <w:tcW w:w="341" w:type="pct"/>
            <w:noWrap/>
            <w:hideMark/>
          </w:tcPr>
          <w:p w14:paraId="5B2C8EA3"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4.16</w:t>
            </w:r>
          </w:p>
        </w:tc>
        <w:tc>
          <w:tcPr>
            <w:tcW w:w="341" w:type="pct"/>
            <w:noWrap/>
            <w:hideMark/>
          </w:tcPr>
          <w:p w14:paraId="5768EF56"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3.98</w:t>
            </w:r>
          </w:p>
        </w:tc>
        <w:tc>
          <w:tcPr>
            <w:tcW w:w="341" w:type="pct"/>
            <w:noWrap/>
            <w:hideMark/>
          </w:tcPr>
          <w:p w14:paraId="6FB29433"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4.92</w:t>
            </w:r>
          </w:p>
        </w:tc>
        <w:tc>
          <w:tcPr>
            <w:tcW w:w="341" w:type="pct"/>
            <w:noWrap/>
            <w:hideMark/>
          </w:tcPr>
          <w:p w14:paraId="30EC6030"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5.82</w:t>
            </w:r>
          </w:p>
        </w:tc>
        <w:tc>
          <w:tcPr>
            <w:tcW w:w="341" w:type="pct"/>
            <w:noWrap/>
            <w:hideMark/>
          </w:tcPr>
          <w:p w14:paraId="7732EE6C"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5.34</w:t>
            </w:r>
          </w:p>
        </w:tc>
        <w:tc>
          <w:tcPr>
            <w:tcW w:w="341" w:type="pct"/>
            <w:noWrap/>
            <w:hideMark/>
          </w:tcPr>
          <w:p w14:paraId="77F18F08"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5.58</w:t>
            </w:r>
          </w:p>
        </w:tc>
        <w:tc>
          <w:tcPr>
            <w:tcW w:w="376" w:type="pct"/>
            <w:noWrap/>
            <w:hideMark/>
          </w:tcPr>
          <w:p w14:paraId="09091208"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9.40</w:t>
            </w:r>
          </w:p>
        </w:tc>
      </w:tr>
      <w:tr w:rsidR="001E7E47" w:rsidRPr="000E1B7E" w14:paraId="7FF6E15F"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38562A08"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Debt Service (maturities incl. IMF) as a %age of export of Goods and Services.</w:t>
            </w:r>
          </w:p>
        </w:tc>
        <w:tc>
          <w:tcPr>
            <w:tcW w:w="341" w:type="pct"/>
            <w:noWrap/>
            <w:hideMark/>
          </w:tcPr>
          <w:p w14:paraId="5C974DB2"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2.67</w:t>
            </w:r>
          </w:p>
        </w:tc>
        <w:tc>
          <w:tcPr>
            <w:tcW w:w="341" w:type="pct"/>
            <w:noWrap/>
            <w:hideMark/>
          </w:tcPr>
          <w:p w14:paraId="338C88DF"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2.36</w:t>
            </w:r>
          </w:p>
        </w:tc>
        <w:tc>
          <w:tcPr>
            <w:tcW w:w="341" w:type="pct"/>
            <w:noWrap/>
            <w:hideMark/>
          </w:tcPr>
          <w:p w14:paraId="316B995F"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2.34</w:t>
            </w:r>
          </w:p>
        </w:tc>
        <w:tc>
          <w:tcPr>
            <w:tcW w:w="341" w:type="pct"/>
            <w:noWrap/>
            <w:hideMark/>
          </w:tcPr>
          <w:p w14:paraId="07E79A7F"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2.86</w:t>
            </w:r>
          </w:p>
        </w:tc>
        <w:tc>
          <w:tcPr>
            <w:tcW w:w="341" w:type="pct"/>
            <w:noWrap/>
            <w:hideMark/>
          </w:tcPr>
          <w:p w14:paraId="5B1EAA77"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3.24</w:t>
            </w:r>
          </w:p>
        </w:tc>
        <w:tc>
          <w:tcPr>
            <w:tcW w:w="341" w:type="pct"/>
            <w:noWrap/>
            <w:hideMark/>
          </w:tcPr>
          <w:p w14:paraId="427E7724"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3.07</w:t>
            </w:r>
          </w:p>
        </w:tc>
        <w:tc>
          <w:tcPr>
            <w:tcW w:w="341" w:type="pct"/>
            <w:noWrap/>
            <w:hideMark/>
          </w:tcPr>
          <w:p w14:paraId="08AD66BD"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3.67</w:t>
            </w:r>
          </w:p>
        </w:tc>
        <w:tc>
          <w:tcPr>
            <w:tcW w:w="376" w:type="pct"/>
            <w:noWrap/>
            <w:hideMark/>
          </w:tcPr>
          <w:p w14:paraId="7F4B1F2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6.13</w:t>
            </w:r>
          </w:p>
        </w:tc>
      </w:tr>
      <w:tr w:rsidR="001E7E47" w:rsidRPr="000E1B7E" w14:paraId="559BF80F"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3D31015B"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Debt Service (maturities incl. IMF) as a percentage of GDP</w:t>
            </w:r>
          </w:p>
        </w:tc>
        <w:tc>
          <w:tcPr>
            <w:tcW w:w="341" w:type="pct"/>
            <w:noWrap/>
            <w:hideMark/>
          </w:tcPr>
          <w:p w14:paraId="1C0DE60A"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5C3EC946"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0.00</w:t>
            </w:r>
          </w:p>
        </w:tc>
        <w:tc>
          <w:tcPr>
            <w:tcW w:w="341" w:type="pct"/>
            <w:noWrap/>
            <w:hideMark/>
          </w:tcPr>
          <w:p w14:paraId="6FBC72BF"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0.61</w:t>
            </w:r>
          </w:p>
        </w:tc>
        <w:tc>
          <w:tcPr>
            <w:tcW w:w="341" w:type="pct"/>
            <w:noWrap/>
            <w:hideMark/>
          </w:tcPr>
          <w:p w14:paraId="2B8AEDF1"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0.61</w:t>
            </w:r>
          </w:p>
        </w:tc>
        <w:tc>
          <w:tcPr>
            <w:tcW w:w="341" w:type="pct"/>
            <w:noWrap/>
            <w:hideMark/>
          </w:tcPr>
          <w:p w14:paraId="0BD70767"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0.58</w:t>
            </w:r>
          </w:p>
        </w:tc>
        <w:tc>
          <w:tcPr>
            <w:tcW w:w="341" w:type="pct"/>
            <w:noWrap/>
            <w:hideMark/>
          </w:tcPr>
          <w:p w14:paraId="5343AD85"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0.58</w:t>
            </w:r>
          </w:p>
        </w:tc>
        <w:tc>
          <w:tcPr>
            <w:tcW w:w="341" w:type="pct"/>
            <w:noWrap/>
            <w:hideMark/>
          </w:tcPr>
          <w:p w14:paraId="66649C82"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0.68</w:t>
            </w:r>
          </w:p>
        </w:tc>
        <w:tc>
          <w:tcPr>
            <w:tcW w:w="376" w:type="pct"/>
            <w:noWrap/>
            <w:hideMark/>
          </w:tcPr>
          <w:p w14:paraId="3CD51539"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1.20</w:t>
            </w:r>
          </w:p>
        </w:tc>
      </w:tr>
      <w:tr w:rsidR="001E7E47" w:rsidRPr="000E1B7E" w14:paraId="61EDC006"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5B8834CF"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Debt Stock to Exports ratio (%)</w:t>
            </w:r>
          </w:p>
        </w:tc>
        <w:tc>
          <w:tcPr>
            <w:tcW w:w="341" w:type="pct"/>
            <w:noWrap/>
            <w:hideMark/>
          </w:tcPr>
          <w:p w14:paraId="135ECF7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126.42</w:t>
            </w:r>
          </w:p>
        </w:tc>
        <w:tc>
          <w:tcPr>
            <w:tcW w:w="341" w:type="pct"/>
            <w:noWrap/>
            <w:hideMark/>
          </w:tcPr>
          <w:p w14:paraId="374A52D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121.99</w:t>
            </w:r>
          </w:p>
        </w:tc>
        <w:tc>
          <w:tcPr>
            <w:tcW w:w="341" w:type="pct"/>
            <w:noWrap/>
            <w:hideMark/>
          </w:tcPr>
          <w:p w14:paraId="3958BB94"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131.35</w:t>
            </w:r>
          </w:p>
        </w:tc>
        <w:tc>
          <w:tcPr>
            <w:tcW w:w="341" w:type="pct"/>
            <w:noWrap/>
            <w:hideMark/>
          </w:tcPr>
          <w:p w14:paraId="1C20DC75"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158.91</w:t>
            </w:r>
          </w:p>
        </w:tc>
        <w:tc>
          <w:tcPr>
            <w:tcW w:w="341" w:type="pct"/>
            <w:noWrap/>
            <w:hideMark/>
          </w:tcPr>
          <w:p w14:paraId="33B6371E"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159.95</w:t>
            </w:r>
          </w:p>
        </w:tc>
        <w:tc>
          <w:tcPr>
            <w:tcW w:w="341" w:type="pct"/>
            <w:noWrap/>
            <w:hideMark/>
          </w:tcPr>
          <w:p w14:paraId="706D3FB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197.53</w:t>
            </w:r>
          </w:p>
        </w:tc>
        <w:tc>
          <w:tcPr>
            <w:tcW w:w="341" w:type="pct"/>
            <w:noWrap/>
            <w:hideMark/>
          </w:tcPr>
          <w:p w14:paraId="2A32CDDD"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195.43</w:t>
            </w:r>
          </w:p>
        </w:tc>
        <w:tc>
          <w:tcPr>
            <w:tcW w:w="376" w:type="pct"/>
            <w:noWrap/>
            <w:hideMark/>
          </w:tcPr>
          <w:p w14:paraId="7A106488"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208.68</w:t>
            </w:r>
          </w:p>
        </w:tc>
      </w:tr>
      <w:tr w:rsidR="001E7E47" w:rsidRPr="000E1B7E" w14:paraId="307EF9FE"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78EC8184"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Total Aid to GDP (%)</w:t>
            </w:r>
          </w:p>
        </w:tc>
        <w:tc>
          <w:tcPr>
            <w:tcW w:w="341" w:type="pct"/>
            <w:noWrap/>
            <w:hideMark/>
          </w:tcPr>
          <w:p w14:paraId="24318EE7"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3.95</w:t>
            </w:r>
          </w:p>
        </w:tc>
        <w:tc>
          <w:tcPr>
            <w:tcW w:w="341" w:type="pct"/>
            <w:noWrap/>
            <w:hideMark/>
          </w:tcPr>
          <w:p w14:paraId="1C4407C4"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3.29</w:t>
            </w:r>
          </w:p>
        </w:tc>
        <w:tc>
          <w:tcPr>
            <w:tcW w:w="341" w:type="pct"/>
            <w:noWrap/>
            <w:hideMark/>
          </w:tcPr>
          <w:p w14:paraId="78EAA77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2.30</w:t>
            </w:r>
          </w:p>
        </w:tc>
        <w:tc>
          <w:tcPr>
            <w:tcW w:w="341" w:type="pct"/>
            <w:noWrap/>
            <w:hideMark/>
          </w:tcPr>
          <w:p w14:paraId="5D287CF1"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1.94</w:t>
            </w:r>
          </w:p>
        </w:tc>
        <w:tc>
          <w:tcPr>
            <w:tcW w:w="341" w:type="pct"/>
            <w:noWrap/>
            <w:hideMark/>
          </w:tcPr>
          <w:p w14:paraId="754E003D"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2.01</w:t>
            </w:r>
          </w:p>
        </w:tc>
        <w:tc>
          <w:tcPr>
            <w:tcW w:w="341" w:type="pct"/>
            <w:noWrap/>
            <w:hideMark/>
          </w:tcPr>
          <w:p w14:paraId="4C6C2A6E"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2.29</w:t>
            </w:r>
          </w:p>
        </w:tc>
        <w:tc>
          <w:tcPr>
            <w:tcW w:w="341" w:type="pct"/>
            <w:noWrap/>
            <w:hideMark/>
          </w:tcPr>
          <w:p w14:paraId="6CA4AAFB"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2.78</w:t>
            </w:r>
          </w:p>
        </w:tc>
        <w:tc>
          <w:tcPr>
            <w:tcW w:w="376" w:type="pct"/>
            <w:noWrap/>
            <w:hideMark/>
          </w:tcPr>
          <w:p w14:paraId="0440440B"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2.21</w:t>
            </w:r>
          </w:p>
        </w:tc>
      </w:tr>
      <w:tr w:rsidR="001E7E47" w:rsidRPr="000E1B7E" w14:paraId="51A189C6" w14:textId="77777777" w:rsidTr="009243BD">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12494E42"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Total external reserves (end of period) in future months of imports of goods &amp; services</w:t>
            </w:r>
          </w:p>
        </w:tc>
        <w:tc>
          <w:tcPr>
            <w:tcW w:w="341" w:type="pct"/>
            <w:noWrap/>
            <w:hideMark/>
          </w:tcPr>
          <w:p w14:paraId="214BEA4F"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3.21</w:t>
            </w:r>
          </w:p>
        </w:tc>
        <w:tc>
          <w:tcPr>
            <w:tcW w:w="341" w:type="pct"/>
            <w:noWrap/>
            <w:hideMark/>
          </w:tcPr>
          <w:p w14:paraId="7868923E"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4.26</w:t>
            </w:r>
          </w:p>
        </w:tc>
        <w:tc>
          <w:tcPr>
            <w:tcW w:w="341" w:type="pct"/>
            <w:noWrap/>
            <w:hideMark/>
          </w:tcPr>
          <w:p w14:paraId="5EBF418B"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4.66</w:t>
            </w:r>
          </w:p>
        </w:tc>
        <w:tc>
          <w:tcPr>
            <w:tcW w:w="341" w:type="pct"/>
            <w:noWrap/>
            <w:hideMark/>
          </w:tcPr>
          <w:p w14:paraId="6A42566C"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5.33</w:t>
            </w:r>
          </w:p>
        </w:tc>
        <w:tc>
          <w:tcPr>
            <w:tcW w:w="341" w:type="pct"/>
            <w:noWrap/>
            <w:hideMark/>
          </w:tcPr>
          <w:p w14:paraId="0DFA60C7"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5.05</w:t>
            </w:r>
          </w:p>
        </w:tc>
        <w:tc>
          <w:tcPr>
            <w:tcW w:w="341" w:type="pct"/>
            <w:noWrap/>
            <w:hideMark/>
          </w:tcPr>
          <w:p w14:paraId="595F6937"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5.49</w:t>
            </w:r>
          </w:p>
        </w:tc>
        <w:tc>
          <w:tcPr>
            <w:tcW w:w="341" w:type="pct"/>
            <w:noWrap/>
            <w:hideMark/>
          </w:tcPr>
          <w:p w14:paraId="3C54424A"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5.71</w:t>
            </w:r>
          </w:p>
        </w:tc>
        <w:tc>
          <w:tcPr>
            <w:tcW w:w="376" w:type="pct"/>
            <w:noWrap/>
            <w:hideMark/>
          </w:tcPr>
          <w:p w14:paraId="077FEC86" w14:textId="77777777" w:rsidR="001E7E47" w:rsidRPr="000E1B7E" w:rsidRDefault="001E7E47" w:rsidP="005959B5">
            <w:pPr>
              <w:jc w:val="both"/>
              <w:cnfStyle w:val="000000010000" w:firstRow="0" w:lastRow="0" w:firstColumn="0" w:lastColumn="0" w:oddVBand="0" w:evenVBand="0" w:oddHBand="0" w:evenHBand="1" w:firstRowFirstColumn="0" w:firstRowLastColumn="0" w:lastRowFirstColumn="0" w:lastRowLastColumn="0"/>
              <w:rPr>
                <w:sz w:val="18"/>
                <w:szCs w:val="18"/>
                <w:lang w:val="en-US"/>
              </w:rPr>
            </w:pPr>
            <w:r w:rsidRPr="000E1B7E">
              <w:rPr>
                <w:sz w:val="18"/>
                <w:szCs w:val="18"/>
                <w:lang w:val="en-US"/>
              </w:rPr>
              <w:t>4.47</w:t>
            </w:r>
          </w:p>
        </w:tc>
      </w:tr>
      <w:tr w:rsidR="001E7E47" w:rsidRPr="000E1B7E" w14:paraId="2265F4BF" w14:textId="77777777" w:rsidTr="009243B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5" w:type="pct"/>
            <w:noWrap/>
            <w:hideMark/>
          </w:tcPr>
          <w:p w14:paraId="3D2F5A81" w14:textId="77777777" w:rsidR="001E7E47" w:rsidRPr="000E1B7E" w:rsidRDefault="001E7E47" w:rsidP="005959B5">
            <w:pPr>
              <w:jc w:val="both"/>
              <w:rPr>
                <w:rFonts w:ascii="Times New Roman" w:eastAsia="Times New Roman" w:hAnsi="Times New Roman" w:cs="Times New Roman"/>
                <w:sz w:val="18"/>
                <w:szCs w:val="18"/>
                <w:lang w:val="en-US"/>
              </w:rPr>
            </w:pPr>
            <w:r w:rsidRPr="000E1B7E">
              <w:rPr>
                <w:rFonts w:ascii="Times New Roman" w:eastAsia="Times New Roman" w:hAnsi="Times New Roman" w:cs="Times New Roman"/>
                <w:sz w:val="18"/>
                <w:szCs w:val="18"/>
                <w:lang w:val="en-US"/>
              </w:rPr>
              <w:t xml:space="preserve">Total external reserves (end of period) in future months of imports of goods </w:t>
            </w:r>
          </w:p>
        </w:tc>
        <w:tc>
          <w:tcPr>
            <w:tcW w:w="341" w:type="pct"/>
            <w:noWrap/>
            <w:hideMark/>
          </w:tcPr>
          <w:p w14:paraId="5CAFDE14"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4.66</w:t>
            </w:r>
          </w:p>
        </w:tc>
        <w:tc>
          <w:tcPr>
            <w:tcW w:w="341" w:type="pct"/>
            <w:noWrap/>
            <w:hideMark/>
          </w:tcPr>
          <w:p w14:paraId="61E78F96"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6.22</w:t>
            </w:r>
          </w:p>
        </w:tc>
        <w:tc>
          <w:tcPr>
            <w:tcW w:w="341" w:type="pct"/>
            <w:noWrap/>
            <w:hideMark/>
          </w:tcPr>
          <w:p w14:paraId="0B7C6408"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6.93</w:t>
            </w:r>
          </w:p>
        </w:tc>
        <w:tc>
          <w:tcPr>
            <w:tcW w:w="341" w:type="pct"/>
            <w:noWrap/>
            <w:hideMark/>
          </w:tcPr>
          <w:p w14:paraId="3E164805"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8.16</w:t>
            </w:r>
          </w:p>
        </w:tc>
        <w:tc>
          <w:tcPr>
            <w:tcW w:w="341" w:type="pct"/>
            <w:noWrap/>
            <w:hideMark/>
          </w:tcPr>
          <w:p w14:paraId="77D5BBBC"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7.07</w:t>
            </w:r>
          </w:p>
        </w:tc>
        <w:tc>
          <w:tcPr>
            <w:tcW w:w="341" w:type="pct"/>
            <w:noWrap/>
            <w:hideMark/>
          </w:tcPr>
          <w:p w14:paraId="5D9005EB"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7.96</w:t>
            </w:r>
          </w:p>
        </w:tc>
        <w:tc>
          <w:tcPr>
            <w:tcW w:w="341" w:type="pct"/>
            <w:noWrap/>
            <w:hideMark/>
          </w:tcPr>
          <w:p w14:paraId="793FF47D"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7.88</w:t>
            </w:r>
          </w:p>
        </w:tc>
        <w:tc>
          <w:tcPr>
            <w:tcW w:w="376" w:type="pct"/>
            <w:noWrap/>
            <w:hideMark/>
          </w:tcPr>
          <w:p w14:paraId="259363BC" w14:textId="77777777" w:rsidR="001E7E47" w:rsidRPr="000E1B7E" w:rsidRDefault="001E7E47" w:rsidP="005959B5">
            <w:pPr>
              <w:jc w:val="both"/>
              <w:cnfStyle w:val="000000100000" w:firstRow="0" w:lastRow="0" w:firstColumn="0" w:lastColumn="0" w:oddVBand="0" w:evenVBand="0" w:oddHBand="1" w:evenHBand="0" w:firstRowFirstColumn="0" w:firstRowLastColumn="0" w:lastRowFirstColumn="0" w:lastRowLastColumn="0"/>
              <w:rPr>
                <w:sz w:val="18"/>
                <w:szCs w:val="18"/>
                <w:lang w:val="en-US"/>
              </w:rPr>
            </w:pPr>
            <w:r w:rsidRPr="000E1B7E">
              <w:rPr>
                <w:sz w:val="18"/>
                <w:szCs w:val="18"/>
                <w:lang w:val="en-US"/>
              </w:rPr>
              <w:t>6.39</w:t>
            </w:r>
          </w:p>
        </w:tc>
      </w:tr>
    </w:tbl>
    <w:p w14:paraId="3C6B07DF" w14:textId="77777777" w:rsidR="00D64CAD" w:rsidRPr="000E1B7E" w:rsidRDefault="00D64CAD" w:rsidP="005959B5">
      <w:pPr>
        <w:jc w:val="both"/>
        <w:sectPr w:rsidR="00D64CAD" w:rsidRPr="000E1B7E" w:rsidSect="001E7E47">
          <w:pgSz w:w="16838" w:h="11906" w:orient="landscape" w:code="9"/>
          <w:pgMar w:top="1440" w:right="1440" w:bottom="1440" w:left="1440" w:header="706" w:footer="14" w:gutter="0"/>
          <w:cols w:space="708"/>
          <w:docGrid w:linePitch="360"/>
        </w:sectPr>
      </w:pPr>
    </w:p>
    <w:p w14:paraId="7119D099" w14:textId="77777777" w:rsidR="00DB45F8" w:rsidRPr="000E1B7E" w:rsidRDefault="002075C8" w:rsidP="00C044D4">
      <w:pPr>
        <w:pStyle w:val="Heading2"/>
      </w:pPr>
      <w:bookmarkStart w:id="166" w:name="_Toc3478405"/>
      <w:bookmarkStart w:id="167" w:name="_Toc11956285"/>
      <w:bookmarkEnd w:id="46"/>
      <w:r w:rsidRPr="000E1B7E">
        <w:lastRenderedPageBreak/>
        <w:t>Appendix 2</w:t>
      </w:r>
      <w:r w:rsidR="005909F8" w:rsidRPr="000E1B7E">
        <w:t>: Implementation progress of Flagship Infrastructure Projects</w:t>
      </w:r>
      <w:bookmarkEnd w:id="166"/>
      <w:bookmarkEnd w:id="167"/>
    </w:p>
    <w:tbl>
      <w:tblPr>
        <w:tblW w:w="13245" w:type="dxa"/>
        <w:tblInd w:w="93" w:type="dxa"/>
        <w:tblLook w:val="04A0" w:firstRow="1" w:lastRow="0" w:firstColumn="1" w:lastColumn="0" w:noHBand="0" w:noVBand="1"/>
      </w:tblPr>
      <w:tblGrid>
        <w:gridCol w:w="1840"/>
        <w:gridCol w:w="5645"/>
        <w:gridCol w:w="5760"/>
      </w:tblGrid>
      <w:tr w:rsidR="005909F8" w:rsidRPr="000E1B7E" w14:paraId="73901F5D" w14:textId="77777777" w:rsidTr="00762261">
        <w:trPr>
          <w:trHeight w:val="402"/>
          <w:tblHeader/>
        </w:trPr>
        <w:tc>
          <w:tcPr>
            <w:tcW w:w="1840" w:type="dxa"/>
            <w:tcBorders>
              <w:top w:val="nil"/>
              <w:left w:val="nil"/>
              <w:bottom w:val="nil"/>
              <w:right w:val="nil"/>
            </w:tcBorders>
            <w:shd w:val="clear" w:color="000000" w:fill="A4185B"/>
            <w:hideMark/>
          </w:tcPr>
          <w:p w14:paraId="06646E94" w14:textId="77777777" w:rsidR="005909F8" w:rsidRPr="000E1B7E" w:rsidRDefault="005909F8" w:rsidP="005959B5">
            <w:pPr>
              <w:jc w:val="both"/>
              <w:rPr>
                <w:b/>
                <w:bCs/>
                <w:color w:val="FFFFFF"/>
                <w:sz w:val="20"/>
                <w:szCs w:val="20"/>
                <w:lang w:val="en-US"/>
              </w:rPr>
            </w:pPr>
            <w:r w:rsidRPr="000E1B7E">
              <w:rPr>
                <w:b/>
                <w:bCs/>
                <w:color w:val="FFFFFF"/>
                <w:sz w:val="20"/>
                <w:szCs w:val="20"/>
                <w:lang w:val="en-US"/>
              </w:rPr>
              <w:t xml:space="preserve">Core Project          </w:t>
            </w:r>
          </w:p>
        </w:tc>
        <w:tc>
          <w:tcPr>
            <w:tcW w:w="5645" w:type="dxa"/>
            <w:tcBorders>
              <w:top w:val="nil"/>
              <w:left w:val="nil"/>
              <w:bottom w:val="nil"/>
              <w:right w:val="nil"/>
            </w:tcBorders>
            <w:shd w:val="clear" w:color="000000" w:fill="A4185B"/>
            <w:hideMark/>
          </w:tcPr>
          <w:p w14:paraId="55F2D3F2" w14:textId="77777777" w:rsidR="005909F8" w:rsidRPr="000E1B7E" w:rsidRDefault="005909F8" w:rsidP="005959B5">
            <w:pPr>
              <w:jc w:val="both"/>
              <w:rPr>
                <w:b/>
                <w:bCs/>
                <w:sz w:val="20"/>
                <w:szCs w:val="20"/>
                <w:lang w:val="en-US"/>
              </w:rPr>
            </w:pPr>
            <w:r w:rsidRPr="000E1B7E">
              <w:rPr>
                <w:b/>
                <w:bCs/>
                <w:sz w:val="20"/>
                <w:szCs w:val="20"/>
                <w:lang w:val="en-US"/>
              </w:rPr>
              <w:t>Objective</w:t>
            </w:r>
          </w:p>
        </w:tc>
        <w:tc>
          <w:tcPr>
            <w:tcW w:w="5760" w:type="dxa"/>
            <w:tcBorders>
              <w:top w:val="nil"/>
              <w:left w:val="nil"/>
              <w:bottom w:val="nil"/>
              <w:right w:val="nil"/>
            </w:tcBorders>
            <w:shd w:val="clear" w:color="000000" w:fill="A4185B"/>
            <w:hideMark/>
          </w:tcPr>
          <w:p w14:paraId="5FB9BCE2" w14:textId="77777777" w:rsidR="005909F8" w:rsidRPr="000E1B7E" w:rsidRDefault="005909F8" w:rsidP="005959B5">
            <w:pPr>
              <w:jc w:val="both"/>
              <w:rPr>
                <w:b/>
                <w:bCs/>
                <w:sz w:val="20"/>
                <w:szCs w:val="20"/>
                <w:lang w:val="en-US"/>
              </w:rPr>
            </w:pPr>
            <w:r w:rsidRPr="000E1B7E">
              <w:rPr>
                <w:b/>
                <w:bCs/>
                <w:sz w:val="20"/>
                <w:szCs w:val="20"/>
                <w:lang w:val="en-US"/>
              </w:rPr>
              <w:t>Implementation status</w:t>
            </w:r>
          </w:p>
        </w:tc>
      </w:tr>
      <w:tr w:rsidR="005909F8" w:rsidRPr="000E1B7E" w14:paraId="7314465F" w14:textId="77777777" w:rsidTr="005909F8">
        <w:trPr>
          <w:trHeight w:val="1322"/>
        </w:trPr>
        <w:tc>
          <w:tcPr>
            <w:tcW w:w="1840" w:type="dxa"/>
            <w:tcBorders>
              <w:top w:val="single" w:sz="4" w:space="0" w:color="A4185B"/>
              <w:left w:val="single" w:sz="4" w:space="0" w:color="A4185B"/>
              <w:bottom w:val="single" w:sz="4" w:space="0" w:color="A4185B"/>
              <w:right w:val="single" w:sz="4" w:space="0" w:color="A4185B"/>
            </w:tcBorders>
            <w:shd w:val="clear" w:color="000000" w:fill="F3E3EA"/>
            <w:vAlign w:val="center"/>
            <w:hideMark/>
          </w:tcPr>
          <w:p w14:paraId="7B1016E3" w14:textId="77777777" w:rsidR="005909F8" w:rsidRPr="000E1B7E" w:rsidRDefault="005909F8" w:rsidP="005959B5">
            <w:pPr>
              <w:jc w:val="both"/>
              <w:rPr>
                <w:sz w:val="20"/>
                <w:szCs w:val="20"/>
                <w:lang w:val="en-US"/>
              </w:rPr>
            </w:pPr>
            <w:r w:rsidRPr="000E1B7E">
              <w:rPr>
                <w:sz w:val="20"/>
                <w:szCs w:val="20"/>
                <w:lang w:val="en-US"/>
              </w:rPr>
              <w:t>Karuma Hydro Power Plant (600MW)</w:t>
            </w:r>
          </w:p>
        </w:tc>
        <w:tc>
          <w:tcPr>
            <w:tcW w:w="5645" w:type="dxa"/>
            <w:tcBorders>
              <w:top w:val="single" w:sz="4" w:space="0" w:color="A4185B"/>
              <w:left w:val="nil"/>
              <w:bottom w:val="single" w:sz="4" w:space="0" w:color="A4185B"/>
              <w:right w:val="single" w:sz="4" w:space="0" w:color="A4185B"/>
            </w:tcBorders>
            <w:shd w:val="clear" w:color="000000" w:fill="F3E3EA"/>
            <w:hideMark/>
          </w:tcPr>
          <w:p w14:paraId="334AF615" w14:textId="77777777" w:rsidR="005909F8" w:rsidRPr="000E1B7E" w:rsidRDefault="005909F8" w:rsidP="005959B5">
            <w:pPr>
              <w:jc w:val="both"/>
              <w:rPr>
                <w:color w:val="000000"/>
                <w:sz w:val="20"/>
                <w:szCs w:val="20"/>
                <w:lang w:val="en-US"/>
              </w:rPr>
            </w:pPr>
            <w:r w:rsidRPr="000E1B7E">
              <w:rPr>
                <w:sz w:val="20"/>
                <w:szCs w:val="20"/>
                <w:lang w:val="en-US"/>
              </w:rPr>
              <w:t>To increase energy capacity by 600MW through construction of  a 20 m-high, 311.53 m-large RCC</w:t>
            </w:r>
            <w:r w:rsidRPr="000E1B7E">
              <w:rPr>
                <w:sz w:val="20"/>
                <w:szCs w:val="20"/>
                <w:lang w:val="en-US"/>
              </w:rPr>
              <w:br/>
              <w:t>concrete gravity dam, coffer dams, power intake works and a surface power house (6x 100 MW)</w:t>
            </w:r>
          </w:p>
        </w:tc>
        <w:tc>
          <w:tcPr>
            <w:tcW w:w="5760" w:type="dxa"/>
            <w:tcBorders>
              <w:top w:val="single" w:sz="4" w:space="0" w:color="A4185B"/>
              <w:left w:val="nil"/>
              <w:bottom w:val="single" w:sz="4" w:space="0" w:color="A4185B"/>
              <w:right w:val="nil"/>
            </w:tcBorders>
            <w:shd w:val="clear" w:color="000000" w:fill="F3E3EA"/>
            <w:hideMark/>
          </w:tcPr>
          <w:p w14:paraId="5DCF4198" w14:textId="77777777" w:rsidR="005909F8" w:rsidRPr="000E1B7E" w:rsidRDefault="005909F8" w:rsidP="005959B5">
            <w:pPr>
              <w:jc w:val="both"/>
              <w:rPr>
                <w:color w:val="000000"/>
                <w:sz w:val="20"/>
                <w:szCs w:val="20"/>
                <w:lang w:val="en-US"/>
              </w:rPr>
            </w:pPr>
            <w:r w:rsidRPr="000E1B7E">
              <w:rPr>
                <w:color w:val="000000"/>
                <w:sz w:val="20"/>
                <w:szCs w:val="20"/>
                <w:lang w:val="en-US"/>
              </w:rPr>
              <w:t>a. By March 2018, the overall progress of physical works (civil, hydro-mechanical and electrical- mechanical) was about 76 percent.</w:t>
            </w:r>
            <w:r w:rsidRPr="000E1B7E">
              <w:rPr>
                <w:color w:val="000000"/>
                <w:sz w:val="20"/>
                <w:szCs w:val="20"/>
                <w:lang w:val="en-US"/>
              </w:rPr>
              <w:br/>
              <w:t>b. Concrete works for dam blocks 1 to 16 are almost complete and installation of nine radial gates was completed at the dam section.</w:t>
            </w:r>
            <w:r w:rsidRPr="000E1B7E">
              <w:rPr>
                <w:color w:val="000000"/>
                <w:sz w:val="20"/>
                <w:szCs w:val="20"/>
                <w:lang w:val="en-US"/>
              </w:rPr>
              <w:br/>
              <w:t>c. The project is on course for completion in December 2018.</w:t>
            </w:r>
          </w:p>
        </w:tc>
      </w:tr>
      <w:tr w:rsidR="005909F8" w:rsidRPr="000E1B7E" w14:paraId="3839ADAA" w14:textId="77777777" w:rsidTr="005909F8">
        <w:trPr>
          <w:trHeight w:val="1898"/>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6BDCA8C3" w14:textId="77777777" w:rsidR="005909F8" w:rsidRPr="000E1B7E" w:rsidRDefault="005909F8" w:rsidP="005959B5">
            <w:pPr>
              <w:jc w:val="both"/>
              <w:rPr>
                <w:sz w:val="20"/>
                <w:szCs w:val="20"/>
                <w:lang w:val="en-US"/>
              </w:rPr>
            </w:pPr>
            <w:r w:rsidRPr="000E1B7E">
              <w:rPr>
                <w:sz w:val="20"/>
                <w:szCs w:val="20"/>
                <w:lang w:val="en-US"/>
              </w:rPr>
              <w:t>Isimba Hydro Power Plant (188MW)</w:t>
            </w:r>
          </w:p>
        </w:tc>
        <w:tc>
          <w:tcPr>
            <w:tcW w:w="5645" w:type="dxa"/>
            <w:tcBorders>
              <w:top w:val="nil"/>
              <w:left w:val="nil"/>
              <w:bottom w:val="single" w:sz="4" w:space="0" w:color="A4185B"/>
              <w:right w:val="single" w:sz="4" w:space="0" w:color="A4185B"/>
            </w:tcBorders>
            <w:shd w:val="clear" w:color="auto" w:fill="auto"/>
            <w:hideMark/>
          </w:tcPr>
          <w:p w14:paraId="0B434398" w14:textId="77777777" w:rsidR="005909F8" w:rsidRPr="000E1B7E" w:rsidRDefault="005909F8" w:rsidP="005959B5">
            <w:pPr>
              <w:jc w:val="both"/>
              <w:rPr>
                <w:color w:val="000000"/>
                <w:sz w:val="20"/>
                <w:szCs w:val="20"/>
                <w:lang w:val="en-US"/>
              </w:rPr>
            </w:pPr>
            <w:r w:rsidRPr="000E1B7E">
              <w:rPr>
                <w:sz w:val="20"/>
                <w:szCs w:val="20"/>
                <w:lang w:val="en-US"/>
              </w:rPr>
              <w:t>To increase energy capacity by 188MW through construction of a concrete gravity dam, a clay- core rock fill dam, a spillway, a</w:t>
            </w:r>
            <w:r w:rsidRPr="000E1B7E">
              <w:rPr>
                <w:sz w:val="20"/>
                <w:szCs w:val="20"/>
                <w:lang w:val="en-US"/>
              </w:rPr>
              <w:br/>
              <w:t>powerhouse, switching stations and auxiliary power transmission works.</w:t>
            </w:r>
          </w:p>
        </w:tc>
        <w:tc>
          <w:tcPr>
            <w:tcW w:w="5760" w:type="dxa"/>
            <w:tcBorders>
              <w:top w:val="nil"/>
              <w:left w:val="nil"/>
              <w:bottom w:val="single" w:sz="4" w:space="0" w:color="A4185B"/>
              <w:right w:val="nil"/>
            </w:tcBorders>
            <w:shd w:val="clear" w:color="auto" w:fill="auto"/>
            <w:hideMark/>
          </w:tcPr>
          <w:p w14:paraId="2E84D059" w14:textId="77777777" w:rsidR="005909F8" w:rsidRPr="000E1B7E" w:rsidRDefault="005909F8" w:rsidP="005959B5">
            <w:pPr>
              <w:jc w:val="both"/>
              <w:rPr>
                <w:color w:val="000000"/>
                <w:sz w:val="20"/>
                <w:szCs w:val="20"/>
                <w:lang w:val="en-US"/>
              </w:rPr>
            </w:pPr>
            <w:r w:rsidRPr="000E1B7E">
              <w:rPr>
                <w:color w:val="000000"/>
                <w:sz w:val="20"/>
                <w:szCs w:val="20"/>
                <w:lang w:val="en-US"/>
              </w:rPr>
              <w:t>a. Physical works are estimated at 79 percent by March 2018.</w:t>
            </w:r>
            <w:r w:rsidRPr="000E1B7E">
              <w:rPr>
                <w:color w:val="000000"/>
                <w:sz w:val="20"/>
                <w:szCs w:val="20"/>
                <w:lang w:val="en-US"/>
              </w:rPr>
              <w:br/>
              <w:t>b. Civil, electromechanical and hydro mechanical works have all been certified as completed at 79.4,</w:t>
            </w:r>
            <w:r w:rsidRPr="000E1B7E">
              <w:rPr>
                <w:color w:val="000000"/>
                <w:sz w:val="20"/>
                <w:szCs w:val="20"/>
                <w:lang w:val="en-US"/>
              </w:rPr>
              <w:br/>
              <w:t>79.3 and 79 percent respectively.</w:t>
            </w:r>
            <w:r w:rsidRPr="000E1B7E">
              <w:rPr>
                <w:color w:val="000000"/>
                <w:sz w:val="20"/>
                <w:szCs w:val="20"/>
                <w:lang w:val="en-US"/>
              </w:rPr>
              <w:br/>
              <w:t>c. Project received a new owner’s engineer in January 2018, a joint venture of Artelia EAU from France and KKAT consult from India.</w:t>
            </w:r>
            <w:r w:rsidRPr="000E1B7E">
              <w:rPr>
                <w:color w:val="000000"/>
                <w:sz w:val="20"/>
                <w:szCs w:val="20"/>
                <w:lang w:val="en-US"/>
              </w:rPr>
              <w:br/>
              <w:t>d. The project is expected to be completed by August 2018.</w:t>
            </w:r>
          </w:p>
        </w:tc>
      </w:tr>
      <w:tr w:rsidR="005909F8" w:rsidRPr="000E1B7E" w14:paraId="1A1C1A8E" w14:textId="77777777" w:rsidTr="005909F8">
        <w:trPr>
          <w:trHeight w:val="1322"/>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17C8299A" w14:textId="77777777" w:rsidR="005909F8" w:rsidRPr="000E1B7E" w:rsidRDefault="005909F8" w:rsidP="005959B5">
            <w:pPr>
              <w:jc w:val="both"/>
              <w:rPr>
                <w:sz w:val="20"/>
                <w:szCs w:val="20"/>
                <w:lang w:val="en-US"/>
              </w:rPr>
            </w:pPr>
            <w:r w:rsidRPr="000E1B7E">
              <w:rPr>
                <w:sz w:val="20"/>
                <w:szCs w:val="20"/>
                <w:lang w:val="en-US"/>
              </w:rPr>
              <w:t>Ayago hydro power plant (600MW)</w:t>
            </w:r>
          </w:p>
        </w:tc>
        <w:tc>
          <w:tcPr>
            <w:tcW w:w="5645" w:type="dxa"/>
            <w:tcBorders>
              <w:top w:val="nil"/>
              <w:left w:val="nil"/>
              <w:bottom w:val="single" w:sz="4" w:space="0" w:color="A4185B"/>
              <w:right w:val="single" w:sz="4" w:space="0" w:color="A4185B"/>
            </w:tcBorders>
            <w:shd w:val="clear" w:color="000000" w:fill="F3E3EA"/>
            <w:hideMark/>
          </w:tcPr>
          <w:p w14:paraId="74F0C06D" w14:textId="77777777" w:rsidR="005909F8" w:rsidRPr="000E1B7E" w:rsidRDefault="005909F8" w:rsidP="005959B5">
            <w:pPr>
              <w:jc w:val="both"/>
              <w:rPr>
                <w:color w:val="000000"/>
                <w:sz w:val="20"/>
                <w:szCs w:val="20"/>
                <w:lang w:val="en-US"/>
              </w:rPr>
            </w:pPr>
            <w:r w:rsidRPr="000E1B7E">
              <w:rPr>
                <w:sz w:val="20"/>
                <w:szCs w:val="20"/>
                <w:lang w:val="en-US"/>
              </w:rPr>
              <w:t>To increase energy capacity by 600 MW through construction of a 24m high concrete gravity dam, 6 Nos.  of intake on the left bank of the Nile river feeding 6 Nos. of 6.6m circular shaped pressure shaft, underground power house housing 6 units of</w:t>
            </w:r>
            <w:r w:rsidRPr="000E1B7E">
              <w:rPr>
                <w:sz w:val="20"/>
                <w:szCs w:val="20"/>
                <w:lang w:val="en-US"/>
              </w:rPr>
              <w:br/>
              <w:t>113.33 MW and a 7.2 km Long Tail</w:t>
            </w:r>
            <w:r w:rsidRPr="000E1B7E">
              <w:rPr>
                <w:sz w:val="20"/>
                <w:szCs w:val="20"/>
                <w:lang w:val="en-US"/>
              </w:rPr>
              <w:br/>
              <w:t>Race Tunnel.</w:t>
            </w:r>
          </w:p>
        </w:tc>
        <w:tc>
          <w:tcPr>
            <w:tcW w:w="5760" w:type="dxa"/>
            <w:tcBorders>
              <w:top w:val="nil"/>
              <w:left w:val="nil"/>
              <w:bottom w:val="single" w:sz="4" w:space="0" w:color="A4185B"/>
              <w:right w:val="nil"/>
            </w:tcBorders>
            <w:shd w:val="clear" w:color="000000" w:fill="F3E3EA"/>
            <w:vAlign w:val="center"/>
            <w:hideMark/>
          </w:tcPr>
          <w:p w14:paraId="5312FA60" w14:textId="77777777" w:rsidR="005909F8" w:rsidRPr="000E1B7E" w:rsidRDefault="005909F8" w:rsidP="005959B5">
            <w:pPr>
              <w:jc w:val="both"/>
              <w:rPr>
                <w:color w:val="000000"/>
                <w:sz w:val="20"/>
                <w:szCs w:val="20"/>
                <w:lang w:val="en-US"/>
              </w:rPr>
            </w:pPr>
            <w:r w:rsidRPr="000E1B7E">
              <w:rPr>
                <w:color w:val="000000"/>
                <w:sz w:val="20"/>
                <w:szCs w:val="20"/>
                <w:lang w:val="en-US"/>
              </w:rPr>
              <w:t>a. Discussions are ongoing with a potential private developer.</w:t>
            </w:r>
          </w:p>
        </w:tc>
      </w:tr>
      <w:tr w:rsidR="005909F8" w:rsidRPr="000E1B7E" w14:paraId="2CCCDF67" w14:textId="77777777" w:rsidTr="005909F8">
        <w:trPr>
          <w:trHeight w:val="1328"/>
        </w:trPr>
        <w:tc>
          <w:tcPr>
            <w:tcW w:w="1840" w:type="dxa"/>
            <w:tcBorders>
              <w:top w:val="nil"/>
              <w:left w:val="single" w:sz="4" w:space="0" w:color="A4185B"/>
              <w:bottom w:val="single" w:sz="4" w:space="0" w:color="A4185B"/>
              <w:right w:val="single" w:sz="4" w:space="0" w:color="A4185B"/>
            </w:tcBorders>
            <w:shd w:val="clear" w:color="auto" w:fill="auto"/>
            <w:hideMark/>
          </w:tcPr>
          <w:p w14:paraId="43337FB8" w14:textId="77777777" w:rsidR="005909F8" w:rsidRPr="000E1B7E" w:rsidRDefault="005909F8" w:rsidP="005959B5">
            <w:pPr>
              <w:jc w:val="both"/>
              <w:rPr>
                <w:sz w:val="20"/>
                <w:szCs w:val="20"/>
                <w:lang w:val="en-US"/>
              </w:rPr>
            </w:pPr>
            <w:r w:rsidRPr="000E1B7E">
              <w:rPr>
                <w:sz w:val="20"/>
                <w:szCs w:val="20"/>
                <w:lang w:val="en-US"/>
              </w:rPr>
              <w:t>Grid Extension in North-East, Central and Lira as well as those for regional power pool.</w:t>
            </w:r>
          </w:p>
        </w:tc>
        <w:tc>
          <w:tcPr>
            <w:tcW w:w="5645" w:type="dxa"/>
            <w:tcBorders>
              <w:top w:val="nil"/>
              <w:left w:val="nil"/>
              <w:bottom w:val="single" w:sz="4" w:space="0" w:color="A4185B"/>
              <w:right w:val="single" w:sz="4" w:space="0" w:color="A4185B"/>
            </w:tcBorders>
            <w:shd w:val="clear" w:color="auto" w:fill="auto"/>
            <w:vAlign w:val="center"/>
            <w:hideMark/>
          </w:tcPr>
          <w:p w14:paraId="29B79049" w14:textId="77777777" w:rsidR="005909F8" w:rsidRPr="000E1B7E" w:rsidRDefault="005909F8" w:rsidP="005959B5">
            <w:pPr>
              <w:jc w:val="both"/>
              <w:rPr>
                <w:sz w:val="20"/>
                <w:szCs w:val="20"/>
                <w:lang w:val="en-US"/>
              </w:rPr>
            </w:pPr>
            <w:r w:rsidRPr="000E1B7E">
              <w:rPr>
                <w:sz w:val="20"/>
                <w:szCs w:val="20"/>
                <w:lang w:val="en-US"/>
              </w:rPr>
              <w:t>Construction of 2,002 km of transmission lines across the country.</w:t>
            </w:r>
          </w:p>
        </w:tc>
        <w:tc>
          <w:tcPr>
            <w:tcW w:w="5760" w:type="dxa"/>
            <w:tcBorders>
              <w:top w:val="nil"/>
              <w:left w:val="nil"/>
              <w:bottom w:val="single" w:sz="4" w:space="0" w:color="A4185B"/>
              <w:right w:val="nil"/>
            </w:tcBorders>
            <w:shd w:val="clear" w:color="auto" w:fill="auto"/>
            <w:hideMark/>
          </w:tcPr>
          <w:p w14:paraId="0226FD37" w14:textId="77777777" w:rsidR="005909F8" w:rsidRPr="000E1B7E" w:rsidRDefault="005909F8" w:rsidP="005959B5">
            <w:pPr>
              <w:jc w:val="both"/>
              <w:rPr>
                <w:color w:val="000000"/>
                <w:sz w:val="20"/>
                <w:szCs w:val="20"/>
                <w:lang w:val="en-US"/>
              </w:rPr>
            </w:pPr>
            <w:r w:rsidRPr="000E1B7E">
              <w:rPr>
                <w:color w:val="000000"/>
                <w:sz w:val="20"/>
                <w:szCs w:val="20"/>
                <w:lang w:val="en-US"/>
              </w:rPr>
              <w:t>a. Progress on Tororo-Lira transmission line is at 74 percent;</w:t>
            </w:r>
            <w:r w:rsidRPr="000E1B7E">
              <w:rPr>
                <w:color w:val="000000"/>
                <w:sz w:val="20"/>
                <w:szCs w:val="20"/>
                <w:lang w:val="en-US"/>
              </w:rPr>
              <w:br/>
              <w:t>b. Progress on acquisition of way-leaves on Lira- Gulu-Agago transmission line is at 90 percent</w:t>
            </w:r>
          </w:p>
        </w:tc>
      </w:tr>
      <w:tr w:rsidR="005909F8" w:rsidRPr="000E1B7E" w14:paraId="14803E15" w14:textId="77777777" w:rsidTr="005909F8">
        <w:trPr>
          <w:trHeight w:val="23"/>
        </w:trPr>
        <w:tc>
          <w:tcPr>
            <w:tcW w:w="1840" w:type="dxa"/>
            <w:tcBorders>
              <w:top w:val="nil"/>
              <w:left w:val="nil"/>
              <w:bottom w:val="nil"/>
              <w:right w:val="nil"/>
            </w:tcBorders>
            <w:shd w:val="clear" w:color="auto" w:fill="auto"/>
            <w:noWrap/>
            <w:hideMark/>
          </w:tcPr>
          <w:p w14:paraId="4AA343A4" w14:textId="77777777" w:rsidR="005909F8" w:rsidRPr="000E1B7E" w:rsidRDefault="005909F8" w:rsidP="005959B5">
            <w:pPr>
              <w:jc w:val="both"/>
              <w:rPr>
                <w:color w:val="000000"/>
                <w:sz w:val="20"/>
                <w:szCs w:val="20"/>
                <w:lang w:val="en-US"/>
              </w:rPr>
            </w:pPr>
          </w:p>
        </w:tc>
        <w:tc>
          <w:tcPr>
            <w:tcW w:w="5645" w:type="dxa"/>
            <w:tcBorders>
              <w:top w:val="nil"/>
              <w:left w:val="nil"/>
              <w:bottom w:val="nil"/>
              <w:right w:val="nil"/>
            </w:tcBorders>
            <w:shd w:val="clear" w:color="auto" w:fill="auto"/>
            <w:noWrap/>
            <w:hideMark/>
          </w:tcPr>
          <w:p w14:paraId="7466D785" w14:textId="77777777" w:rsidR="005909F8" w:rsidRPr="000E1B7E" w:rsidRDefault="005909F8" w:rsidP="005959B5">
            <w:pPr>
              <w:jc w:val="both"/>
              <w:rPr>
                <w:color w:val="000000"/>
                <w:sz w:val="20"/>
                <w:szCs w:val="20"/>
                <w:lang w:val="en-US"/>
              </w:rPr>
            </w:pPr>
          </w:p>
        </w:tc>
        <w:tc>
          <w:tcPr>
            <w:tcW w:w="5760" w:type="dxa"/>
            <w:tcBorders>
              <w:top w:val="nil"/>
              <w:left w:val="nil"/>
              <w:bottom w:val="nil"/>
              <w:right w:val="nil"/>
            </w:tcBorders>
            <w:shd w:val="clear" w:color="auto" w:fill="auto"/>
            <w:noWrap/>
            <w:hideMark/>
          </w:tcPr>
          <w:p w14:paraId="28670D91" w14:textId="77777777" w:rsidR="005909F8" w:rsidRPr="000E1B7E" w:rsidRDefault="005909F8" w:rsidP="005959B5">
            <w:pPr>
              <w:jc w:val="both"/>
              <w:rPr>
                <w:color w:val="000000"/>
                <w:sz w:val="20"/>
                <w:szCs w:val="20"/>
                <w:lang w:val="en-US"/>
              </w:rPr>
            </w:pPr>
          </w:p>
        </w:tc>
      </w:tr>
      <w:tr w:rsidR="005909F8" w:rsidRPr="000E1B7E" w14:paraId="79566572" w14:textId="77777777" w:rsidTr="005909F8">
        <w:trPr>
          <w:trHeight w:val="1700"/>
        </w:trPr>
        <w:tc>
          <w:tcPr>
            <w:tcW w:w="1840" w:type="dxa"/>
            <w:tcBorders>
              <w:top w:val="single" w:sz="4" w:space="0" w:color="A4185B"/>
              <w:left w:val="single" w:sz="4" w:space="0" w:color="A4185B"/>
              <w:bottom w:val="single" w:sz="4" w:space="0" w:color="A4185B"/>
              <w:right w:val="single" w:sz="4" w:space="0" w:color="A4185B"/>
            </w:tcBorders>
            <w:shd w:val="clear" w:color="000000" w:fill="F3E3EA"/>
            <w:vAlign w:val="center"/>
            <w:hideMark/>
          </w:tcPr>
          <w:p w14:paraId="16DA6D45" w14:textId="77777777" w:rsidR="005909F8" w:rsidRPr="000E1B7E" w:rsidRDefault="005909F8" w:rsidP="005959B5">
            <w:pPr>
              <w:jc w:val="both"/>
              <w:rPr>
                <w:sz w:val="20"/>
                <w:szCs w:val="20"/>
                <w:lang w:val="en-US"/>
              </w:rPr>
            </w:pPr>
            <w:r w:rsidRPr="000E1B7E">
              <w:rPr>
                <w:sz w:val="20"/>
                <w:szCs w:val="20"/>
                <w:lang w:val="en-US"/>
              </w:rPr>
              <w:t>Masaka-Mbarara Transmission Line</w:t>
            </w:r>
          </w:p>
        </w:tc>
        <w:tc>
          <w:tcPr>
            <w:tcW w:w="5645" w:type="dxa"/>
            <w:tcBorders>
              <w:top w:val="single" w:sz="4" w:space="0" w:color="A4185B"/>
              <w:left w:val="nil"/>
              <w:bottom w:val="single" w:sz="4" w:space="0" w:color="A4185B"/>
              <w:right w:val="single" w:sz="4" w:space="0" w:color="A4185B"/>
            </w:tcBorders>
            <w:shd w:val="clear" w:color="000000" w:fill="F3E3EA"/>
            <w:hideMark/>
          </w:tcPr>
          <w:p w14:paraId="549EA809" w14:textId="77777777" w:rsidR="005909F8" w:rsidRPr="000E1B7E" w:rsidRDefault="005909F8" w:rsidP="005959B5">
            <w:pPr>
              <w:jc w:val="both"/>
              <w:rPr>
                <w:color w:val="000000"/>
                <w:sz w:val="20"/>
                <w:szCs w:val="20"/>
                <w:lang w:val="en-US"/>
              </w:rPr>
            </w:pPr>
            <w:r w:rsidRPr="000E1B7E">
              <w:rPr>
                <w:sz w:val="20"/>
                <w:szCs w:val="20"/>
                <w:lang w:val="en-US"/>
              </w:rPr>
              <w:t>To improve reliability and security of supply to the Western Region of Uganda and provide transmission capacity to cater for grid interconnection between Uganda and Rwanda through construction of approximately 135km, 220kV, Double Circuit Transmission Line, and the associated connection</w:t>
            </w:r>
            <w:r w:rsidRPr="000E1B7E">
              <w:rPr>
                <w:sz w:val="20"/>
                <w:szCs w:val="20"/>
                <w:lang w:val="en-US"/>
              </w:rPr>
              <w:br/>
              <w:t>to Mbarara and Masaka 220kV</w:t>
            </w:r>
            <w:r w:rsidRPr="000E1B7E">
              <w:rPr>
                <w:sz w:val="20"/>
                <w:szCs w:val="20"/>
                <w:lang w:val="en-US"/>
              </w:rPr>
              <w:br/>
              <w:t>Substations.</w:t>
            </w:r>
          </w:p>
        </w:tc>
        <w:tc>
          <w:tcPr>
            <w:tcW w:w="5760" w:type="dxa"/>
            <w:tcBorders>
              <w:top w:val="single" w:sz="4" w:space="0" w:color="A4185B"/>
              <w:left w:val="nil"/>
              <w:bottom w:val="single" w:sz="4" w:space="0" w:color="A4185B"/>
              <w:right w:val="single" w:sz="4" w:space="0" w:color="A4185B"/>
            </w:tcBorders>
            <w:shd w:val="clear" w:color="000000" w:fill="F3E3EA"/>
            <w:vAlign w:val="center"/>
            <w:hideMark/>
          </w:tcPr>
          <w:p w14:paraId="65A15568" w14:textId="77777777" w:rsidR="005909F8" w:rsidRPr="000E1B7E" w:rsidRDefault="005909F8" w:rsidP="005959B5">
            <w:pPr>
              <w:jc w:val="both"/>
              <w:rPr>
                <w:color w:val="000000"/>
                <w:sz w:val="20"/>
                <w:szCs w:val="20"/>
                <w:lang w:val="en-US"/>
              </w:rPr>
            </w:pPr>
            <w:r w:rsidRPr="000E1B7E">
              <w:rPr>
                <w:color w:val="000000"/>
                <w:sz w:val="20"/>
                <w:szCs w:val="20"/>
                <w:lang w:val="en-US"/>
              </w:rPr>
              <w:t>a. RAP compensation is at 90 percent completion</w:t>
            </w:r>
          </w:p>
        </w:tc>
      </w:tr>
      <w:tr w:rsidR="005909F8" w:rsidRPr="000E1B7E" w14:paraId="68461117" w14:textId="77777777" w:rsidTr="005909F8">
        <w:trPr>
          <w:trHeight w:val="1502"/>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027ED17C" w14:textId="77777777" w:rsidR="005909F8" w:rsidRPr="000E1B7E" w:rsidRDefault="005909F8" w:rsidP="005959B5">
            <w:pPr>
              <w:jc w:val="both"/>
              <w:rPr>
                <w:sz w:val="20"/>
                <w:szCs w:val="20"/>
                <w:lang w:val="en-US"/>
              </w:rPr>
            </w:pPr>
            <w:r w:rsidRPr="000E1B7E">
              <w:rPr>
                <w:sz w:val="20"/>
                <w:szCs w:val="20"/>
                <w:lang w:val="en-US"/>
              </w:rPr>
              <w:lastRenderedPageBreak/>
              <w:t>Kabale-Mirama Transmission Line</w:t>
            </w:r>
          </w:p>
        </w:tc>
        <w:tc>
          <w:tcPr>
            <w:tcW w:w="5645" w:type="dxa"/>
            <w:tcBorders>
              <w:top w:val="nil"/>
              <w:left w:val="nil"/>
              <w:bottom w:val="single" w:sz="4" w:space="0" w:color="A4185B"/>
              <w:right w:val="single" w:sz="4" w:space="0" w:color="A4185B"/>
            </w:tcBorders>
            <w:shd w:val="clear" w:color="auto" w:fill="auto"/>
            <w:hideMark/>
          </w:tcPr>
          <w:p w14:paraId="56373A51" w14:textId="77777777" w:rsidR="005909F8" w:rsidRPr="000E1B7E" w:rsidRDefault="005909F8" w:rsidP="005959B5">
            <w:pPr>
              <w:jc w:val="both"/>
              <w:rPr>
                <w:sz w:val="20"/>
                <w:szCs w:val="20"/>
                <w:lang w:val="en-US"/>
              </w:rPr>
            </w:pPr>
            <w:r w:rsidRPr="000E1B7E">
              <w:rPr>
                <w:sz w:val="20"/>
                <w:szCs w:val="20"/>
                <w:lang w:val="en-US"/>
              </w:rPr>
              <w:t>To extend national grid capacity through construction of approximately 85km of 132kV transmission line backbone from the Mirama 132/33kV Hills to Kabale and Kabale 132/33kV substation to the proposed new 132/33Kv-2 x40 MVA substation in Kabale town; 904km of 33Kv lines and 131km of low voltage network in 121 villages.</w:t>
            </w:r>
          </w:p>
        </w:tc>
        <w:tc>
          <w:tcPr>
            <w:tcW w:w="5760" w:type="dxa"/>
            <w:tcBorders>
              <w:top w:val="nil"/>
              <w:left w:val="nil"/>
              <w:bottom w:val="single" w:sz="4" w:space="0" w:color="A4185B"/>
              <w:right w:val="single" w:sz="4" w:space="0" w:color="A4185B"/>
            </w:tcBorders>
            <w:shd w:val="clear" w:color="auto" w:fill="auto"/>
            <w:vAlign w:val="center"/>
            <w:hideMark/>
          </w:tcPr>
          <w:p w14:paraId="1FC51F14" w14:textId="77777777" w:rsidR="005909F8" w:rsidRPr="000E1B7E" w:rsidRDefault="005909F8" w:rsidP="005959B5">
            <w:pPr>
              <w:jc w:val="both"/>
              <w:rPr>
                <w:color w:val="000000"/>
                <w:sz w:val="20"/>
                <w:szCs w:val="20"/>
                <w:lang w:val="en-US"/>
              </w:rPr>
            </w:pPr>
            <w:r w:rsidRPr="000E1B7E">
              <w:rPr>
                <w:color w:val="000000"/>
                <w:sz w:val="20"/>
                <w:szCs w:val="20"/>
                <w:lang w:val="en-US"/>
              </w:rPr>
              <w:t>a. RAP implementation waiting for updated Chief Government Valuer (CGV) report approval.</w:t>
            </w:r>
            <w:r w:rsidRPr="000E1B7E">
              <w:rPr>
                <w:color w:val="000000"/>
                <w:sz w:val="20"/>
                <w:szCs w:val="20"/>
                <w:lang w:val="en-US"/>
              </w:rPr>
              <w:br/>
              <w:t>b. Procurement of project supervisor was completed and procurement of EPC contractor is ongoing.</w:t>
            </w:r>
          </w:p>
        </w:tc>
      </w:tr>
      <w:tr w:rsidR="005909F8" w:rsidRPr="000E1B7E" w14:paraId="41647280" w14:textId="77777777" w:rsidTr="005909F8">
        <w:trPr>
          <w:trHeight w:val="2348"/>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630A7C7D" w14:textId="77777777" w:rsidR="005909F8" w:rsidRPr="000E1B7E" w:rsidRDefault="005909F8" w:rsidP="005959B5">
            <w:pPr>
              <w:jc w:val="both"/>
              <w:rPr>
                <w:sz w:val="20"/>
                <w:szCs w:val="20"/>
                <w:lang w:val="en-US"/>
              </w:rPr>
            </w:pPr>
            <w:r w:rsidRPr="000E1B7E">
              <w:rPr>
                <w:sz w:val="20"/>
                <w:szCs w:val="20"/>
                <w:lang w:val="en-US"/>
              </w:rPr>
              <w:t>Standard Gauge Railway</w:t>
            </w:r>
          </w:p>
        </w:tc>
        <w:tc>
          <w:tcPr>
            <w:tcW w:w="5645" w:type="dxa"/>
            <w:tcBorders>
              <w:top w:val="nil"/>
              <w:left w:val="nil"/>
              <w:bottom w:val="single" w:sz="4" w:space="0" w:color="A4185B"/>
              <w:right w:val="single" w:sz="4" w:space="0" w:color="A4185B"/>
            </w:tcBorders>
            <w:shd w:val="clear" w:color="000000" w:fill="F3E3EA"/>
            <w:vAlign w:val="center"/>
            <w:hideMark/>
          </w:tcPr>
          <w:p w14:paraId="2456BF26" w14:textId="77777777" w:rsidR="005909F8" w:rsidRPr="000E1B7E" w:rsidRDefault="005909F8" w:rsidP="005959B5">
            <w:pPr>
              <w:jc w:val="both"/>
              <w:rPr>
                <w:sz w:val="20"/>
                <w:szCs w:val="20"/>
                <w:lang w:val="en-US"/>
              </w:rPr>
            </w:pPr>
            <w:r w:rsidRPr="000E1B7E">
              <w:rPr>
                <w:sz w:val="20"/>
                <w:szCs w:val="20"/>
                <w:lang w:val="en-US"/>
              </w:rPr>
              <w:t>To develop and operate a modern, fast, reliable, efficient and high capacity railway transport system as a seamless single railway operation.</w:t>
            </w:r>
          </w:p>
        </w:tc>
        <w:tc>
          <w:tcPr>
            <w:tcW w:w="5760" w:type="dxa"/>
            <w:tcBorders>
              <w:top w:val="nil"/>
              <w:left w:val="nil"/>
              <w:bottom w:val="single" w:sz="4" w:space="0" w:color="A4185B"/>
              <w:right w:val="single" w:sz="4" w:space="0" w:color="A4185B"/>
            </w:tcBorders>
            <w:shd w:val="clear" w:color="000000" w:fill="F3E3EA"/>
            <w:hideMark/>
          </w:tcPr>
          <w:p w14:paraId="2EEFD252" w14:textId="77777777" w:rsidR="005909F8" w:rsidRPr="000E1B7E" w:rsidRDefault="005909F8" w:rsidP="005959B5">
            <w:pPr>
              <w:jc w:val="both"/>
              <w:rPr>
                <w:color w:val="000000"/>
                <w:sz w:val="20"/>
                <w:szCs w:val="20"/>
                <w:lang w:val="en-US"/>
              </w:rPr>
            </w:pPr>
            <w:r w:rsidRPr="000E1B7E">
              <w:rPr>
                <w:color w:val="000000"/>
                <w:sz w:val="20"/>
                <w:szCs w:val="20"/>
                <w:lang w:val="en-US"/>
              </w:rPr>
              <w:t>a. Kampala SGR sections between GoU and GoK were signed including the agreement on the development of the respective sections at the same time.</w:t>
            </w:r>
            <w:r w:rsidRPr="000E1B7E">
              <w:rPr>
                <w:color w:val="000000"/>
                <w:sz w:val="20"/>
                <w:szCs w:val="20"/>
                <w:lang w:val="en-US"/>
              </w:rPr>
              <w:br/>
              <w:t>b. Joint travel for GoU and GoK to China to negotiate the remaining financing issues was undertaken</w:t>
            </w:r>
            <w:r w:rsidRPr="000E1B7E">
              <w:rPr>
                <w:color w:val="000000"/>
                <w:sz w:val="20"/>
                <w:szCs w:val="20"/>
                <w:lang w:val="en-US"/>
              </w:rPr>
              <w:br/>
              <w:t>c. Acquisition of RoW for Malaba-Kampala route was completed; Acquisition of RoW for LRT is being initiated and feasibility studies for the same were completed.</w:t>
            </w:r>
            <w:r w:rsidRPr="000E1B7E">
              <w:rPr>
                <w:color w:val="000000"/>
                <w:sz w:val="20"/>
                <w:szCs w:val="20"/>
                <w:lang w:val="en-US"/>
              </w:rPr>
              <w:br/>
              <w:t>d. Operation and maintenance framework for SGR was developed.</w:t>
            </w:r>
          </w:p>
        </w:tc>
      </w:tr>
      <w:tr w:rsidR="005909F8" w:rsidRPr="000E1B7E" w14:paraId="36E44520" w14:textId="77777777" w:rsidTr="005909F8">
        <w:trPr>
          <w:trHeight w:val="70"/>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458962C1" w14:textId="77777777" w:rsidR="005909F8" w:rsidRPr="000E1B7E" w:rsidRDefault="005909F8" w:rsidP="005959B5">
            <w:pPr>
              <w:jc w:val="both"/>
              <w:rPr>
                <w:sz w:val="20"/>
                <w:szCs w:val="20"/>
                <w:lang w:val="en-US"/>
              </w:rPr>
            </w:pPr>
            <w:r w:rsidRPr="000E1B7E">
              <w:rPr>
                <w:sz w:val="20"/>
                <w:szCs w:val="20"/>
                <w:lang w:val="en-US"/>
              </w:rPr>
              <w:t>Entebbe Airport Rehabilitation</w:t>
            </w:r>
          </w:p>
        </w:tc>
        <w:tc>
          <w:tcPr>
            <w:tcW w:w="5645" w:type="dxa"/>
            <w:tcBorders>
              <w:top w:val="nil"/>
              <w:left w:val="nil"/>
              <w:bottom w:val="single" w:sz="4" w:space="0" w:color="A4185B"/>
              <w:right w:val="single" w:sz="4" w:space="0" w:color="A4185B"/>
            </w:tcBorders>
            <w:shd w:val="clear" w:color="auto" w:fill="auto"/>
            <w:vAlign w:val="center"/>
            <w:hideMark/>
          </w:tcPr>
          <w:p w14:paraId="429E602D" w14:textId="77777777" w:rsidR="005909F8" w:rsidRPr="000E1B7E" w:rsidRDefault="005909F8" w:rsidP="005959B5">
            <w:pPr>
              <w:jc w:val="both"/>
              <w:rPr>
                <w:sz w:val="20"/>
                <w:szCs w:val="20"/>
                <w:lang w:val="en-US"/>
              </w:rPr>
            </w:pPr>
            <w:r w:rsidRPr="000E1B7E">
              <w:rPr>
                <w:sz w:val="20"/>
                <w:szCs w:val="20"/>
                <w:lang w:val="en-US"/>
              </w:rPr>
              <w:t>To expand, modernize and reconstruct Entebbe International Airport.</w:t>
            </w:r>
          </w:p>
        </w:tc>
        <w:tc>
          <w:tcPr>
            <w:tcW w:w="5760" w:type="dxa"/>
            <w:tcBorders>
              <w:top w:val="nil"/>
              <w:left w:val="nil"/>
              <w:bottom w:val="single" w:sz="4" w:space="0" w:color="A4185B"/>
              <w:right w:val="single" w:sz="4" w:space="0" w:color="A4185B"/>
            </w:tcBorders>
            <w:shd w:val="clear" w:color="auto" w:fill="auto"/>
            <w:hideMark/>
          </w:tcPr>
          <w:p w14:paraId="50DC84EC" w14:textId="77777777" w:rsidR="005909F8" w:rsidRPr="000E1B7E" w:rsidRDefault="005909F8" w:rsidP="005959B5">
            <w:pPr>
              <w:jc w:val="both"/>
              <w:rPr>
                <w:color w:val="000000"/>
                <w:sz w:val="20"/>
                <w:szCs w:val="20"/>
                <w:lang w:val="en-US"/>
              </w:rPr>
            </w:pPr>
            <w:r w:rsidRPr="000E1B7E">
              <w:rPr>
                <w:color w:val="000000"/>
                <w:sz w:val="20"/>
                <w:szCs w:val="20"/>
                <w:lang w:val="en-US"/>
              </w:rPr>
              <w:t>a. 30 percent works for new cargo center and 20 percent of works for the modification of the passenger terminal building were completed</w:t>
            </w:r>
            <w:r w:rsidRPr="000E1B7E">
              <w:rPr>
                <w:color w:val="000000"/>
                <w:sz w:val="20"/>
                <w:szCs w:val="20"/>
                <w:lang w:val="en-US"/>
              </w:rPr>
              <w:br/>
              <w:t>b. 15 percent rehabilitation works for expansion of Apron 1, detailed designs for Apron 2 and detailed designs for run way 12/30 and its associated taxi ways were completed.</w:t>
            </w:r>
            <w:r w:rsidRPr="000E1B7E">
              <w:rPr>
                <w:color w:val="000000"/>
                <w:sz w:val="20"/>
                <w:szCs w:val="20"/>
                <w:lang w:val="en-US"/>
              </w:rPr>
              <w:br/>
              <w:t>c. A total of 42 new aviation police units have been built in Kigungu in order to relocate the current units at the cargo centre site.</w:t>
            </w:r>
            <w:r w:rsidRPr="000E1B7E">
              <w:rPr>
                <w:color w:val="000000"/>
                <w:sz w:val="20"/>
                <w:szCs w:val="20"/>
                <w:lang w:val="en-US"/>
              </w:rPr>
              <w:br/>
              <w:t>d. A new baggage handling system featuring X-ray monitors has been placed in the check-in area to improve the baggage handling capacity from the current 500-700 bags an hour to approximately 1,200-1,800 bags an hour.</w:t>
            </w:r>
            <w:r w:rsidRPr="000E1B7E">
              <w:rPr>
                <w:color w:val="000000"/>
                <w:sz w:val="20"/>
                <w:szCs w:val="20"/>
                <w:lang w:val="en-US"/>
              </w:rPr>
              <w:br/>
              <w:t>e. An additional six check-in counters have also been installed to enhance security at the facility.</w:t>
            </w:r>
          </w:p>
        </w:tc>
      </w:tr>
      <w:tr w:rsidR="005909F8" w:rsidRPr="000E1B7E" w14:paraId="1648A748" w14:textId="77777777" w:rsidTr="005909F8">
        <w:trPr>
          <w:trHeight w:val="287"/>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6E3CABF9" w14:textId="77777777" w:rsidR="005909F8" w:rsidRPr="000E1B7E" w:rsidRDefault="005909F8" w:rsidP="005959B5">
            <w:pPr>
              <w:jc w:val="both"/>
              <w:rPr>
                <w:sz w:val="20"/>
                <w:szCs w:val="20"/>
                <w:lang w:val="en-US"/>
              </w:rPr>
            </w:pPr>
            <w:r w:rsidRPr="000E1B7E">
              <w:rPr>
                <w:sz w:val="20"/>
                <w:szCs w:val="20"/>
                <w:lang w:val="en-US"/>
              </w:rPr>
              <w:t>Kampala-Jinja Expressway</w:t>
            </w:r>
          </w:p>
        </w:tc>
        <w:tc>
          <w:tcPr>
            <w:tcW w:w="5645" w:type="dxa"/>
            <w:tcBorders>
              <w:top w:val="nil"/>
              <w:left w:val="nil"/>
              <w:bottom w:val="single" w:sz="4" w:space="0" w:color="A4185B"/>
              <w:right w:val="single" w:sz="4" w:space="0" w:color="A4185B"/>
            </w:tcBorders>
            <w:shd w:val="clear" w:color="000000" w:fill="F3E3EA"/>
            <w:hideMark/>
          </w:tcPr>
          <w:p w14:paraId="289E5702" w14:textId="77777777" w:rsidR="005909F8" w:rsidRPr="000E1B7E" w:rsidRDefault="005909F8" w:rsidP="005959B5">
            <w:pPr>
              <w:jc w:val="both"/>
              <w:rPr>
                <w:sz w:val="20"/>
                <w:szCs w:val="20"/>
                <w:lang w:val="en-US"/>
              </w:rPr>
            </w:pPr>
            <w:r w:rsidRPr="000E1B7E">
              <w:rPr>
                <w:sz w:val="20"/>
                <w:szCs w:val="20"/>
                <w:lang w:val="en-US"/>
              </w:rPr>
              <w:t>Construction of a 77km expressway road of 4-8 lanes of mainline expressway with a design speed of up to 120kph between Kampala and Jinja.</w:t>
            </w:r>
          </w:p>
        </w:tc>
        <w:tc>
          <w:tcPr>
            <w:tcW w:w="5760" w:type="dxa"/>
            <w:tcBorders>
              <w:top w:val="nil"/>
              <w:left w:val="nil"/>
              <w:bottom w:val="single" w:sz="4" w:space="0" w:color="A4185B"/>
              <w:right w:val="single" w:sz="4" w:space="0" w:color="A4185B"/>
            </w:tcBorders>
            <w:shd w:val="clear" w:color="000000" w:fill="F3E3EA"/>
            <w:hideMark/>
          </w:tcPr>
          <w:p w14:paraId="5D7CC2C3" w14:textId="77777777" w:rsidR="005909F8" w:rsidRPr="000E1B7E" w:rsidRDefault="005909F8" w:rsidP="005959B5">
            <w:pPr>
              <w:jc w:val="both"/>
              <w:rPr>
                <w:sz w:val="20"/>
                <w:szCs w:val="20"/>
                <w:lang w:val="en-US"/>
              </w:rPr>
            </w:pPr>
            <w:r w:rsidRPr="000E1B7E">
              <w:rPr>
                <w:sz w:val="20"/>
                <w:szCs w:val="20"/>
                <w:lang w:val="en-US"/>
              </w:rPr>
              <w:t>a. UNRA has initiated the pre-qualification process for contractors to undertake the design, build, finance, operate, maintain and transfer of the expressway.</w:t>
            </w:r>
            <w:r w:rsidRPr="000E1B7E">
              <w:rPr>
                <w:sz w:val="20"/>
                <w:szCs w:val="20"/>
                <w:lang w:val="en-US"/>
              </w:rPr>
              <w:br/>
              <w:t>b. IFC is the Lead Transaction Advisor</w:t>
            </w:r>
            <w:r w:rsidRPr="000E1B7E">
              <w:rPr>
                <w:sz w:val="20"/>
                <w:szCs w:val="20"/>
                <w:lang w:val="en-US"/>
              </w:rPr>
              <w:br/>
              <w:t>c. 7.607 hectares of land and 44 PAPs have been paid.</w:t>
            </w:r>
          </w:p>
        </w:tc>
      </w:tr>
      <w:tr w:rsidR="005909F8" w:rsidRPr="000E1B7E" w14:paraId="6FF3D2BE" w14:textId="77777777" w:rsidTr="005909F8">
        <w:trPr>
          <w:trHeight w:val="1133"/>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7C4632F8" w14:textId="77777777" w:rsidR="005909F8" w:rsidRPr="000E1B7E" w:rsidRDefault="005909F8" w:rsidP="005959B5">
            <w:pPr>
              <w:jc w:val="both"/>
              <w:rPr>
                <w:sz w:val="20"/>
                <w:szCs w:val="20"/>
                <w:lang w:val="en-US"/>
              </w:rPr>
            </w:pPr>
            <w:r w:rsidRPr="000E1B7E">
              <w:rPr>
                <w:sz w:val="20"/>
                <w:szCs w:val="20"/>
                <w:lang w:val="en-US"/>
              </w:rPr>
              <w:lastRenderedPageBreak/>
              <w:t>Kampala Southern by-pass</w:t>
            </w:r>
          </w:p>
        </w:tc>
        <w:tc>
          <w:tcPr>
            <w:tcW w:w="5645" w:type="dxa"/>
            <w:tcBorders>
              <w:top w:val="nil"/>
              <w:left w:val="nil"/>
              <w:bottom w:val="single" w:sz="4" w:space="0" w:color="A4185B"/>
              <w:right w:val="single" w:sz="4" w:space="0" w:color="A4185B"/>
            </w:tcBorders>
            <w:shd w:val="clear" w:color="auto" w:fill="auto"/>
            <w:hideMark/>
          </w:tcPr>
          <w:p w14:paraId="2C1E4EAE" w14:textId="77777777" w:rsidR="005909F8" w:rsidRPr="000E1B7E" w:rsidRDefault="005909F8" w:rsidP="005959B5">
            <w:pPr>
              <w:jc w:val="both"/>
              <w:rPr>
                <w:sz w:val="20"/>
                <w:szCs w:val="20"/>
                <w:lang w:val="en-US"/>
              </w:rPr>
            </w:pPr>
            <w:r w:rsidRPr="000E1B7E">
              <w:rPr>
                <w:sz w:val="20"/>
                <w:szCs w:val="20"/>
                <w:lang w:val="en-US"/>
              </w:rPr>
              <w:t>Construction of an 18km- road stretch from Butabika, on the eastern outskirts of Kampala and connect the new Kampala- Jinja Expressway and Munyonyo at the new Kampala- Entebbe Expressway. It will have a design speed of up to 100 kph with 2by2 lanes for the entire 18km.</w:t>
            </w:r>
          </w:p>
        </w:tc>
        <w:tc>
          <w:tcPr>
            <w:tcW w:w="5760" w:type="dxa"/>
            <w:tcBorders>
              <w:top w:val="nil"/>
              <w:left w:val="nil"/>
              <w:bottom w:val="single" w:sz="4" w:space="0" w:color="A4185B"/>
              <w:right w:val="single" w:sz="4" w:space="0" w:color="A4185B"/>
            </w:tcBorders>
            <w:shd w:val="clear" w:color="auto" w:fill="auto"/>
            <w:hideMark/>
          </w:tcPr>
          <w:p w14:paraId="21BD22FC" w14:textId="77777777" w:rsidR="005909F8" w:rsidRPr="000E1B7E" w:rsidRDefault="005909F8" w:rsidP="005959B5">
            <w:pPr>
              <w:jc w:val="both"/>
              <w:rPr>
                <w:color w:val="000000"/>
                <w:sz w:val="20"/>
                <w:szCs w:val="20"/>
                <w:lang w:val="en-US"/>
              </w:rPr>
            </w:pPr>
            <w:r w:rsidRPr="000E1B7E">
              <w:rPr>
                <w:color w:val="000000"/>
                <w:sz w:val="20"/>
                <w:szCs w:val="20"/>
                <w:lang w:val="en-US"/>
              </w:rPr>
              <w:t>a. UNRA has initiated the pre-qualification process for contractors to undertake the design, build, finance, operate, maintain and transfer of the expressway.</w:t>
            </w:r>
            <w:r w:rsidRPr="000E1B7E">
              <w:rPr>
                <w:color w:val="000000"/>
                <w:sz w:val="20"/>
                <w:szCs w:val="20"/>
                <w:lang w:val="en-US"/>
              </w:rPr>
              <w:br/>
              <w:t>b. IFC is the Lead Transaction Advisor</w:t>
            </w:r>
            <w:r w:rsidRPr="000E1B7E">
              <w:rPr>
                <w:color w:val="000000"/>
                <w:sz w:val="20"/>
                <w:szCs w:val="20"/>
                <w:lang w:val="en-US"/>
              </w:rPr>
              <w:br/>
              <w:t>c. 7.607 hectares of land and 44 PAPs have been paid.</w:t>
            </w:r>
          </w:p>
        </w:tc>
      </w:tr>
      <w:tr w:rsidR="005909F8" w:rsidRPr="000E1B7E" w14:paraId="59F801D8" w14:textId="77777777" w:rsidTr="005909F8">
        <w:trPr>
          <w:trHeight w:val="800"/>
        </w:trPr>
        <w:tc>
          <w:tcPr>
            <w:tcW w:w="1840" w:type="dxa"/>
            <w:tcBorders>
              <w:top w:val="nil"/>
              <w:left w:val="single" w:sz="4" w:space="0" w:color="A4185B"/>
              <w:bottom w:val="single" w:sz="4" w:space="0" w:color="A4185B"/>
              <w:right w:val="single" w:sz="4" w:space="0" w:color="A4185B"/>
            </w:tcBorders>
            <w:shd w:val="clear" w:color="000000" w:fill="F3E3EA"/>
            <w:hideMark/>
          </w:tcPr>
          <w:p w14:paraId="77E8C1E0" w14:textId="77777777" w:rsidR="005909F8" w:rsidRPr="000E1B7E" w:rsidRDefault="005909F8" w:rsidP="005959B5">
            <w:pPr>
              <w:jc w:val="both"/>
              <w:rPr>
                <w:sz w:val="20"/>
                <w:szCs w:val="20"/>
                <w:lang w:val="en-US"/>
              </w:rPr>
            </w:pPr>
            <w:r w:rsidRPr="000E1B7E">
              <w:rPr>
                <w:sz w:val="20"/>
                <w:szCs w:val="20"/>
                <w:lang w:val="en-US"/>
              </w:rPr>
              <w:t>Kampala-Bombo Express Highway</w:t>
            </w:r>
          </w:p>
        </w:tc>
        <w:tc>
          <w:tcPr>
            <w:tcW w:w="5645" w:type="dxa"/>
            <w:tcBorders>
              <w:top w:val="nil"/>
              <w:left w:val="nil"/>
              <w:bottom w:val="single" w:sz="4" w:space="0" w:color="A4185B"/>
              <w:right w:val="single" w:sz="4" w:space="0" w:color="A4185B"/>
            </w:tcBorders>
            <w:shd w:val="clear" w:color="000000" w:fill="F3E3EA"/>
            <w:hideMark/>
          </w:tcPr>
          <w:p w14:paraId="37629C25" w14:textId="77777777" w:rsidR="005909F8" w:rsidRPr="000E1B7E" w:rsidRDefault="005909F8" w:rsidP="005959B5">
            <w:pPr>
              <w:jc w:val="both"/>
              <w:rPr>
                <w:sz w:val="20"/>
                <w:szCs w:val="20"/>
                <w:lang w:val="en-US"/>
              </w:rPr>
            </w:pPr>
            <w:r w:rsidRPr="000E1B7E">
              <w:rPr>
                <w:sz w:val="20"/>
                <w:szCs w:val="20"/>
                <w:lang w:val="en-US"/>
              </w:rPr>
              <w:t>Construction of a four-lane, dual carriage highway in the central region of Uganda connecting Kampala and Bombo in Luweero district.</w:t>
            </w:r>
          </w:p>
        </w:tc>
        <w:tc>
          <w:tcPr>
            <w:tcW w:w="5760" w:type="dxa"/>
            <w:tcBorders>
              <w:top w:val="nil"/>
              <w:left w:val="nil"/>
              <w:bottom w:val="single" w:sz="4" w:space="0" w:color="A4185B"/>
              <w:right w:val="single" w:sz="4" w:space="0" w:color="A4185B"/>
            </w:tcBorders>
            <w:shd w:val="clear" w:color="000000" w:fill="F3E3EA"/>
            <w:hideMark/>
          </w:tcPr>
          <w:p w14:paraId="5D0D1553" w14:textId="77777777" w:rsidR="005909F8" w:rsidRPr="000E1B7E" w:rsidRDefault="005909F8" w:rsidP="005959B5">
            <w:pPr>
              <w:jc w:val="both"/>
              <w:rPr>
                <w:color w:val="000000"/>
                <w:sz w:val="20"/>
                <w:szCs w:val="20"/>
                <w:lang w:val="en-US"/>
              </w:rPr>
            </w:pPr>
            <w:r w:rsidRPr="000E1B7E">
              <w:rPr>
                <w:color w:val="000000"/>
                <w:sz w:val="20"/>
                <w:szCs w:val="20"/>
                <w:lang w:val="en-US"/>
              </w:rPr>
              <w:t>a. Geotechnical investigations for alignment materials, borrow areas and quarries is ongoing.</w:t>
            </w:r>
            <w:r w:rsidRPr="000E1B7E">
              <w:rPr>
                <w:color w:val="000000"/>
                <w:sz w:val="20"/>
                <w:szCs w:val="20"/>
                <w:lang w:val="en-US"/>
              </w:rPr>
              <w:br/>
              <w:t>b. Draft Feasibility study and preliminary design have been submitted.</w:t>
            </w:r>
          </w:p>
        </w:tc>
      </w:tr>
      <w:tr w:rsidR="005909F8" w:rsidRPr="000E1B7E" w14:paraId="67A7F19B" w14:textId="77777777" w:rsidTr="005909F8">
        <w:trPr>
          <w:trHeight w:val="413"/>
        </w:trPr>
        <w:tc>
          <w:tcPr>
            <w:tcW w:w="1840" w:type="dxa"/>
            <w:tcBorders>
              <w:top w:val="nil"/>
              <w:left w:val="single" w:sz="4" w:space="0" w:color="A4185B"/>
              <w:bottom w:val="single" w:sz="4" w:space="0" w:color="A4185B"/>
              <w:right w:val="single" w:sz="4" w:space="0" w:color="A4185B"/>
            </w:tcBorders>
            <w:shd w:val="clear" w:color="auto" w:fill="auto"/>
            <w:hideMark/>
          </w:tcPr>
          <w:p w14:paraId="1A6B9C81" w14:textId="77777777" w:rsidR="005909F8" w:rsidRPr="000E1B7E" w:rsidRDefault="005909F8" w:rsidP="005959B5">
            <w:pPr>
              <w:jc w:val="both"/>
              <w:rPr>
                <w:sz w:val="20"/>
                <w:szCs w:val="20"/>
                <w:lang w:val="en-US"/>
              </w:rPr>
            </w:pPr>
            <w:r w:rsidRPr="000E1B7E">
              <w:rPr>
                <w:sz w:val="20"/>
                <w:szCs w:val="20"/>
                <w:lang w:val="en-US"/>
              </w:rPr>
              <w:t>Kampala-Mpigi Express Highway</w:t>
            </w:r>
          </w:p>
        </w:tc>
        <w:tc>
          <w:tcPr>
            <w:tcW w:w="5645" w:type="dxa"/>
            <w:tcBorders>
              <w:top w:val="nil"/>
              <w:left w:val="nil"/>
              <w:bottom w:val="single" w:sz="4" w:space="0" w:color="A4185B"/>
              <w:right w:val="single" w:sz="4" w:space="0" w:color="A4185B"/>
            </w:tcBorders>
            <w:shd w:val="clear" w:color="auto" w:fill="auto"/>
            <w:hideMark/>
          </w:tcPr>
          <w:p w14:paraId="2D5FBCF5" w14:textId="77777777" w:rsidR="005909F8" w:rsidRPr="000E1B7E" w:rsidRDefault="005909F8" w:rsidP="005959B5">
            <w:pPr>
              <w:jc w:val="both"/>
              <w:rPr>
                <w:sz w:val="20"/>
                <w:szCs w:val="20"/>
                <w:lang w:val="en-US"/>
              </w:rPr>
            </w:pPr>
            <w:r w:rsidRPr="000E1B7E">
              <w:rPr>
                <w:sz w:val="20"/>
                <w:szCs w:val="20"/>
                <w:lang w:val="en-US"/>
              </w:rPr>
              <w:t>Construction of a four- lane, dual carriage highway connecting, Kampala, and Mpigi districts.</w:t>
            </w:r>
          </w:p>
        </w:tc>
        <w:tc>
          <w:tcPr>
            <w:tcW w:w="5760" w:type="dxa"/>
            <w:tcBorders>
              <w:top w:val="nil"/>
              <w:left w:val="nil"/>
              <w:bottom w:val="single" w:sz="4" w:space="0" w:color="A4185B"/>
              <w:right w:val="single" w:sz="4" w:space="0" w:color="A4185B"/>
            </w:tcBorders>
            <w:shd w:val="clear" w:color="auto" w:fill="auto"/>
            <w:hideMark/>
          </w:tcPr>
          <w:p w14:paraId="4CE0D068" w14:textId="77777777" w:rsidR="005909F8" w:rsidRPr="000E1B7E" w:rsidRDefault="005909F8" w:rsidP="005959B5">
            <w:pPr>
              <w:jc w:val="both"/>
              <w:rPr>
                <w:color w:val="000000"/>
                <w:sz w:val="20"/>
                <w:szCs w:val="20"/>
                <w:lang w:val="en-US"/>
              </w:rPr>
            </w:pPr>
            <w:r w:rsidRPr="000E1B7E">
              <w:rPr>
                <w:color w:val="000000"/>
                <w:sz w:val="20"/>
                <w:szCs w:val="20"/>
                <w:lang w:val="en-US"/>
              </w:rPr>
              <w:t>a.  Project  commencement  is  awaiting  allocation  of funds from GoU and partners</w:t>
            </w:r>
          </w:p>
        </w:tc>
      </w:tr>
      <w:tr w:rsidR="005909F8" w:rsidRPr="000E1B7E" w14:paraId="2C37A681" w14:textId="77777777" w:rsidTr="005909F8">
        <w:trPr>
          <w:trHeight w:val="845"/>
        </w:trPr>
        <w:tc>
          <w:tcPr>
            <w:tcW w:w="1840" w:type="dxa"/>
            <w:tcBorders>
              <w:top w:val="nil"/>
              <w:left w:val="single" w:sz="4" w:space="0" w:color="A4185B"/>
              <w:bottom w:val="single" w:sz="4" w:space="0" w:color="A4185B"/>
              <w:right w:val="single" w:sz="4" w:space="0" w:color="A4185B"/>
            </w:tcBorders>
            <w:shd w:val="clear" w:color="000000" w:fill="F3E3EA"/>
            <w:hideMark/>
          </w:tcPr>
          <w:p w14:paraId="30ECC09E" w14:textId="77777777" w:rsidR="005909F8" w:rsidRPr="000E1B7E" w:rsidRDefault="005909F8" w:rsidP="005959B5">
            <w:pPr>
              <w:jc w:val="both"/>
              <w:rPr>
                <w:sz w:val="20"/>
                <w:szCs w:val="20"/>
                <w:lang w:val="en-US"/>
              </w:rPr>
            </w:pPr>
            <w:r w:rsidRPr="000E1B7E">
              <w:rPr>
                <w:sz w:val="20"/>
                <w:szCs w:val="20"/>
                <w:lang w:val="en-US"/>
              </w:rPr>
              <w:t>Upgrading of Kapchorwa-Suam Road</w:t>
            </w:r>
          </w:p>
        </w:tc>
        <w:tc>
          <w:tcPr>
            <w:tcW w:w="5645" w:type="dxa"/>
            <w:tcBorders>
              <w:top w:val="nil"/>
              <w:left w:val="nil"/>
              <w:bottom w:val="single" w:sz="4" w:space="0" w:color="A4185B"/>
              <w:right w:val="single" w:sz="4" w:space="0" w:color="A4185B"/>
            </w:tcBorders>
            <w:shd w:val="clear" w:color="000000" w:fill="F3E3EA"/>
            <w:hideMark/>
          </w:tcPr>
          <w:p w14:paraId="05A64A2A" w14:textId="77777777" w:rsidR="005909F8" w:rsidRPr="000E1B7E" w:rsidRDefault="005909F8" w:rsidP="005959B5">
            <w:pPr>
              <w:jc w:val="both"/>
              <w:rPr>
                <w:sz w:val="20"/>
                <w:szCs w:val="20"/>
                <w:lang w:val="en-US"/>
              </w:rPr>
            </w:pPr>
            <w:r w:rsidRPr="000E1B7E">
              <w:rPr>
                <w:sz w:val="20"/>
                <w:szCs w:val="20"/>
                <w:lang w:val="en-US"/>
              </w:rPr>
              <w:t>To support regional integration and cross border trade between Uganda and Kenya through upgrade of the current road from gravel to a tarmac class 1b bitumen standard paved road.</w:t>
            </w:r>
          </w:p>
        </w:tc>
        <w:tc>
          <w:tcPr>
            <w:tcW w:w="5760" w:type="dxa"/>
            <w:tcBorders>
              <w:top w:val="nil"/>
              <w:left w:val="nil"/>
              <w:bottom w:val="single" w:sz="4" w:space="0" w:color="A4185B"/>
              <w:right w:val="single" w:sz="4" w:space="0" w:color="A4185B"/>
            </w:tcBorders>
            <w:shd w:val="clear" w:color="000000" w:fill="F3E3EA"/>
            <w:hideMark/>
          </w:tcPr>
          <w:p w14:paraId="5777DBCA" w14:textId="77777777" w:rsidR="005909F8" w:rsidRPr="000E1B7E" w:rsidRDefault="005909F8" w:rsidP="005959B5">
            <w:pPr>
              <w:jc w:val="both"/>
              <w:rPr>
                <w:color w:val="000000"/>
                <w:sz w:val="20"/>
                <w:szCs w:val="20"/>
                <w:lang w:val="en-US"/>
              </w:rPr>
            </w:pPr>
            <w:r w:rsidRPr="000E1B7E">
              <w:rPr>
                <w:color w:val="000000"/>
                <w:sz w:val="20"/>
                <w:szCs w:val="20"/>
                <w:lang w:val="en-US"/>
              </w:rPr>
              <w:t>a. Government acquired a loan from African Development Bank to a tune of sh. 3.95 trillion to finance the works on the road.</w:t>
            </w:r>
            <w:r w:rsidRPr="000E1B7E">
              <w:rPr>
                <w:color w:val="000000"/>
                <w:sz w:val="20"/>
                <w:szCs w:val="20"/>
                <w:lang w:val="en-US"/>
              </w:rPr>
              <w:br/>
              <w:t>b. China State Construction Engineering Corporation Limited was awarded the contract to carryout civil works on the road.</w:t>
            </w:r>
          </w:p>
        </w:tc>
      </w:tr>
      <w:tr w:rsidR="005909F8" w:rsidRPr="000E1B7E" w14:paraId="31D192F8" w14:textId="77777777" w:rsidTr="005909F8">
        <w:trPr>
          <w:trHeight w:val="485"/>
        </w:trPr>
        <w:tc>
          <w:tcPr>
            <w:tcW w:w="1840" w:type="dxa"/>
            <w:tcBorders>
              <w:top w:val="nil"/>
              <w:left w:val="single" w:sz="4" w:space="0" w:color="A4185B"/>
              <w:bottom w:val="single" w:sz="4" w:space="0" w:color="A4185B"/>
              <w:right w:val="single" w:sz="4" w:space="0" w:color="A4185B"/>
            </w:tcBorders>
            <w:shd w:val="clear" w:color="auto" w:fill="auto"/>
            <w:hideMark/>
          </w:tcPr>
          <w:p w14:paraId="6DFB7FB2" w14:textId="77777777" w:rsidR="005909F8" w:rsidRPr="000E1B7E" w:rsidRDefault="005909F8" w:rsidP="005959B5">
            <w:pPr>
              <w:jc w:val="both"/>
              <w:rPr>
                <w:sz w:val="20"/>
                <w:szCs w:val="20"/>
                <w:lang w:val="en-US"/>
              </w:rPr>
            </w:pPr>
            <w:r w:rsidRPr="000E1B7E">
              <w:rPr>
                <w:sz w:val="20"/>
                <w:szCs w:val="20"/>
                <w:lang w:val="en-US"/>
              </w:rPr>
              <w:t>Kibuye-Busega- Nabingo</w:t>
            </w:r>
          </w:p>
        </w:tc>
        <w:tc>
          <w:tcPr>
            <w:tcW w:w="5645" w:type="dxa"/>
            <w:tcBorders>
              <w:top w:val="nil"/>
              <w:left w:val="nil"/>
              <w:bottom w:val="single" w:sz="4" w:space="0" w:color="A4185B"/>
              <w:right w:val="single" w:sz="4" w:space="0" w:color="A4185B"/>
            </w:tcBorders>
            <w:shd w:val="clear" w:color="auto" w:fill="auto"/>
            <w:hideMark/>
          </w:tcPr>
          <w:p w14:paraId="645ED1E3" w14:textId="77777777" w:rsidR="005909F8" w:rsidRPr="000E1B7E" w:rsidRDefault="005909F8" w:rsidP="005959B5">
            <w:pPr>
              <w:jc w:val="both"/>
              <w:rPr>
                <w:sz w:val="20"/>
                <w:szCs w:val="20"/>
                <w:lang w:val="en-US"/>
              </w:rPr>
            </w:pPr>
            <w:r w:rsidRPr="000E1B7E">
              <w:rPr>
                <w:sz w:val="20"/>
                <w:szCs w:val="20"/>
                <w:lang w:val="en-US"/>
              </w:rPr>
              <w:t>Construction of a four- lane, dual carriage highway connecting, Kampala, and Mpigi districts.</w:t>
            </w:r>
          </w:p>
        </w:tc>
        <w:tc>
          <w:tcPr>
            <w:tcW w:w="5760" w:type="dxa"/>
            <w:tcBorders>
              <w:top w:val="nil"/>
              <w:left w:val="nil"/>
              <w:bottom w:val="single" w:sz="4" w:space="0" w:color="A4185B"/>
              <w:right w:val="single" w:sz="4" w:space="0" w:color="A4185B"/>
            </w:tcBorders>
            <w:shd w:val="clear" w:color="auto" w:fill="auto"/>
            <w:hideMark/>
          </w:tcPr>
          <w:p w14:paraId="24A6E5FB" w14:textId="77777777" w:rsidR="005909F8" w:rsidRPr="000E1B7E" w:rsidRDefault="005909F8" w:rsidP="005959B5">
            <w:pPr>
              <w:jc w:val="both"/>
              <w:rPr>
                <w:color w:val="000000"/>
                <w:sz w:val="20"/>
                <w:szCs w:val="20"/>
                <w:lang w:val="en-US"/>
              </w:rPr>
            </w:pPr>
            <w:r w:rsidRPr="000E1B7E">
              <w:rPr>
                <w:color w:val="000000"/>
                <w:sz w:val="20"/>
                <w:szCs w:val="20"/>
                <w:lang w:val="en-US"/>
              </w:rPr>
              <w:t>a. Project commencement is awaiting allocation of funds from GoU and partners</w:t>
            </w:r>
          </w:p>
        </w:tc>
      </w:tr>
      <w:tr w:rsidR="005909F8" w:rsidRPr="000E1B7E" w14:paraId="744C7EE8" w14:textId="77777777" w:rsidTr="005909F8">
        <w:trPr>
          <w:trHeight w:val="620"/>
        </w:trPr>
        <w:tc>
          <w:tcPr>
            <w:tcW w:w="1840" w:type="dxa"/>
            <w:tcBorders>
              <w:top w:val="nil"/>
              <w:left w:val="single" w:sz="4" w:space="0" w:color="A4185B"/>
              <w:bottom w:val="single" w:sz="4" w:space="0" w:color="A4185B"/>
              <w:right w:val="single" w:sz="4" w:space="0" w:color="A4185B"/>
            </w:tcBorders>
            <w:shd w:val="clear" w:color="000000" w:fill="F3E3EA"/>
            <w:hideMark/>
          </w:tcPr>
          <w:p w14:paraId="50000431" w14:textId="77777777" w:rsidR="005909F8" w:rsidRPr="000E1B7E" w:rsidRDefault="005909F8" w:rsidP="005959B5">
            <w:pPr>
              <w:jc w:val="both"/>
              <w:rPr>
                <w:color w:val="000000"/>
                <w:sz w:val="20"/>
                <w:szCs w:val="20"/>
                <w:lang w:val="en-US"/>
              </w:rPr>
            </w:pPr>
            <w:r w:rsidRPr="000E1B7E">
              <w:rPr>
                <w:sz w:val="20"/>
                <w:szCs w:val="20"/>
                <w:lang w:val="en-US"/>
              </w:rPr>
              <w:t>Rwekunye - Apac</w:t>
            </w:r>
            <w:r w:rsidRPr="000E1B7E">
              <w:rPr>
                <w:sz w:val="20"/>
                <w:szCs w:val="20"/>
                <w:lang w:val="en-US"/>
              </w:rPr>
              <w:br/>
              <w:t>- Lira - Kitgum - Musingo Road;</w:t>
            </w:r>
          </w:p>
        </w:tc>
        <w:tc>
          <w:tcPr>
            <w:tcW w:w="5645" w:type="dxa"/>
            <w:tcBorders>
              <w:top w:val="nil"/>
              <w:left w:val="nil"/>
              <w:bottom w:val="single" w:sz="4" w:space="0" w:color="A4185B"/>
              <w:right w:val="single" w:sz="4" w:space="0" w:color="A4185B"/>
            </w:tcBorders>
            <w:shd w:val="clear" w:color="000000" w:fill="F3E3EA"/>
            <w:hideMark/>
          </w:tcPr>
          <w:p w14:paraId="2BADAC4F" w14:textId="77777777" w:rsidR="005909F8" w:rsidRPr="000E1B7E" w:rsidRDefault="005909F8" w:rsidP="005959B5">
            <w:pPr>
              <w:jc w:val="both"/>
              <w:rPr>
                <w:sz w:val="20"/>
                <w:szCs w:val="20"/>
                <w:lang w:val="en-US"/>
              </w:rPr>
            </w:pPr>
            <w:r w:rsidRPr="000E1B7E">
              <w:rPr>
                <w:sz w:val="20"/>
                <w:szCs w:val="20"/>
                <w:lang w:val="en-US"/>
              </w:rPr>
              <w:t>To upgrade 191 km of existing Gravel road between Rwenkunye, Apac, Lira and Puranga towns to Asphaltic Paved road Standard.</w:t>
            </w:r>
          </w:p>
        </w:tc>
        <w:tc>
          <w:tcPr>
            <w:tcW w:w="5760" w:type="dxa"/>
            <w:tcBorders>
              <w:top w:val="nil"/>
              <w:left w:val="nil"/>
              <w:bottom w:val="single" w:sz="4" w:space="0" w:color="A4185B"/>
              <w:right w:val="single" w:sz="4" w:space="0" w:color="A4185B"/>
            </w:tcBorders>
            <w:shd w:val="clear" w:color="000000" w:fill="F3E3EA"/>
            <w:hideMark/>
          </w:tcPr>
          <w:p w14:paraId="40B82ABE" w14:textId="77777777" w:rsidR="005909F8" w:rsidRPr="000E1B7E" w:rsidRDefault="005909F8" w:rsidP="005959B5">
            <w:pPr>
              <w:jc w:val="both"/>
              <w:rPr>
                <w:color w:val="000000"/>
                <w:sz w:val="20"/>
                <w:szCs w:val="20"/>
                <w:lang w:val="en-US"/>
              </w:rPr>
            </w:pPr>
            <w:r w:rsidRPr="000E1B7E">
              <w:rPr>
                <w:color w:val="000000"/>
                <w:sz w:val="20"/>
                <w:szCs w:val="20"/>
                <w:lang w:val="en-US"/>
              </w:rPr>
              <w:t>a. Final valuation report for 30km submitted to CGV for approval.</w:t>
            </w:r>
            <w:r w:rsidRPr="000E1B7E">
              <w:rPr>
                <w:color w:val="000000"/>
                <w:sz w:val="20"/>
                <w:szCs w:val="20"/>
                <w:lang w:val="en-US"/>
              </w:rPr>
              <w:br/>
              <w:t>b. Civil works are ongoing and the SPN was re- advertised in February, 2018</w:t>
            </w:r>
          </w:p>
        </w:tc>
      </w:tr>
      <w:tr w:rsidR="005909F8" w:rsidRPr="000E1B7E" w14:paraId="7D0EACE5" w14:textId="77777777" w:rsidTr="005909F8">
        <w:trPr>
          <w:trHeight w:val="620"/>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35AD79DA" w14:textId="77777777" w:rsidR="005909F8" w:rsidRPr="000E1B7E" w:rsidRDefault="005909F8" w:rsidP="005959B5">
            <w:pPr>
              <w:jc w:val="both"/>
              <w:rPr>
                <w:sz w:val="20"/>
                <w:szCs w:val="20"/>
                <w:lang w:val="en-US"/>
              </w:rPr>
            </w:pPr>
            <w:r w:rsidRPr="000E1B7E">
              <w:rPr>
                <w:sz w:val="20"/>
                <w:szCs w:val="20"/>
                <w:lang w:val="en-US"/>
              </w:rPr>
              <w:t>ICT National Backbone Project</w:t>
            </w:r>
          </w:p>
        </w:tc>
        <w:tc>
          <w:tcPr>
            <w:tcW w:w="5645" w:type="dxa"/>
            <w:tcBorders>
              <w:top w:val="nil"/>
              <w:left w:val="nil"/>
              <w:bottom w:val="single" w:sz="4" w:space="0" w:color="A4185B"/>
              <w:right w:val="single" w:sz="4" w:space="0" w:color="A4185B"/>
            </w:tcBorders>
            <w:shd w:val="clear" w:color="auto" w:fill="auto"/>
            <w:hideMark/>
          </w:tcPr>
          <w:p w14:paraId="5B286581" w14:textId="77777777" w:rsidR="005909F8" w:rsidRPr="000E1B7E" w:rsidRDefault="005909F8" w:rsidP="005959B5">
            <w:pPr>
              <w:jc w:val="both"/>
              <w:rPr>
                <w:sz w:val="20"/>
                <w:szCs w:val="20"/>
                <w:lang w:val="en-US"/>
              </w:rPr>
            </w:pPr>
            <w:r w:rsidRPr="000E1B7E">
              <w:rPr>
                <w:sz w:val="20"/>
                <w:szCs w:val="20"/>
                <w:lang w:val="en-US"/>
              </w:rPr>
              <w:t>To connect all major towns within the country onto an Optical Fibre Cable based Network and to  connect Ministries and Government Departments onto the e-Government Network.</w:t>
            </w:r>
          </w:p>
        </w:tc>
        <w:tc>
          <w:tcPr>
            <w:tcW w:w="5760" w:type="dxa"/>
            <w:tcBorders>
              <w:top w:val="nil"/>
              <w:left w:val="nil"/>
              <w:bottom w:val="single" w:sz="4" w:space="0" w:color="A4185B"/>
              <w:right w:val="single" w:sz="4" w:space="0" w:color="A4185B"/>
            </w:tcBorders>
            <w:shd w:val="clear" w:color="auto" w:fill="auto"/>
            <w:hideMark/>
          </w:tcPr>
          <w:p w14:paraId="37CAE061" w14:textId="77777777" w:rsidR="005909F8" w:rsidRPr="000E1B7E" w:rsidRDefault="005909F8" w:rsidP="005959B5">
            <w:pPr>
              <w:jc w:val="both"/>
              <w:rPr>
                <w:color w:val="000000"/>
                <w:sz w:val="20"/>
                <w:szCs w:val="20"/>
                <w:lang w:val="en-US"/>
              </w:rPr>
            </w:pPr>
            <w:r w:rsidRPr="000E1B7E">
              <w:rPr>
                <w:color w:val="000000"/>
                <w:sz w:val="20"/>
                <w:szCs w:val="20"/>
                <w:lang w:val="en-US"/>
              </w:rPr>
              <w:t>a. The NBI Fibre has been extended to 53 more MDAs in FY 2017/18 bringing the total number to 342 sites.</w:t>
            </w:r>
            <w:r w:rsidRPr="000E1B7E">
              <w:rPr>
                <w:color w:val="000000"/>
                <w:sz w:val="20"/>
                <w:szCs w:val="20"/>
                <w:lang w:val="en-US"/>
              </w:rPr>
              <w:br/>
              <w:t>b. A Fiber Optic cable spanning 2,346km has been laid.</w:t>
            </w:r>
            <w:r w:rsidRPr="000E1B7E">
              <w:rPr>
                <w:color w:val="000000"/>
                <w:sz w:val="20"/>
                <w:szCs w:val="20"/>
                <w:lang w:val="en-US"/>
              </w:rPr>
              <w:br/>
              <w:t>c. 18 Transmission Sites have been built to date, along with a National Data Centre (NDC) and a state-of-of the-art Network Operations Centre</w:t>
            </w:r>
            <w:r w:rsidRPr="000E1B7E">
              <w:rPr>
                <w:color w:val="000000"/>
                <w:sz w:val="20"/>
                <w:szCs w:val="20"/>
                <w:lang w:val="en-US"/>
              </w:rPr>
              <w:br/>
              <w:t>(NOC) setup for provisioning and monitoring of several services including Internet Bandwidth and other e-Government Services.</w:t>
            </w:r>
          </w:p>
        </w:tc>
      </w:tr>
      <w:tr w:rsidR="005909F8" w:rsidRPr="000E1B7E" w14:paraId="28F26C96" w14:textId="77777777" w:rsidTr="005909F8">
        <w:trPr>
          <w:trHeight w:val="2600"/>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370BCE38" w14:textId="77777777" w:rsidR="005909F8" w:rsidRPr="000E1B7E" w:rsidRDefault="005909F8" w:rsidP="005959B5">
            <w:pPr>
              <w:jc w:val="both"/>
              <w:rPr>
                <w:sz w:val="20"/>
                <w:szCs w:val="20"/>
                <w:lang w:val="en-US"/>
              </w:rPr>
            </w:pPr>
            <w:r w:rsidRPr="000E1B7E">
              <w:rPr>
                <w:sz w:val="20"/>
                <w:szCs w:val="20"/>
                <w:lang w:val="en-US"/>
              </w:rPr>
              <w:lastRenderedPageBreak/>
              <w:t>Hoima Oil Refinery</w:t>
            </w:r>
          </w:p>
        </w:tc>
        <w:tc>
          <w:tcPr>
            <w:tcW w:w="5645" w:type="dxa"/>
            <w:tcBorders>
              <w:top w:val="nil"/>
              <w:left w:val="nil"/>
              <w:bottom w:val="single" w:sz="4" w:space="0" w:color="A4185B"/>
              <w:right w:val="single" w:sz="4" w:space="0" w:color="A4185B"/>
            </w:tcBorders>
            <w:shd w:val="clear" w:color="000000" w:fill="F3E3EA"/>
            <w:vAlign w:val="center"/>
            <w:hideMark/>
          </w:tcPr>
          <w:p w14:paraId="5AF30C17" w14:textId="77777777" w:rsidR="005909F8" w:rsidRPr="000E1B7E" w:rsidRDefault="005909F8" w:rsidP="005959B5">
            <w:pPr>
              <w:jc w:val="both"/>
              <w:rPr>
                <w:sz w:val="20"/>
                <w:szCs w:val="20"/>
                <w:lang w:val="en-US"/>
              </w:rPr>
            </w:pPr>
            <w:r w:rsidRPr="000E1B7E">
              <w:rPr>
                <w:sz w:val="20"/>
                <w:szCs w:val="20"/>
                <w:lang w:val="en-US"/>
              </w:rPr>
              <w:t>To construct a green field refinery with a capacity of 60,000 barrels of crude oil per day.</w:t>
            </w:r>
          </w:p>
        </w:tc>
        <w:tc>
          <w:tcPr>
            <w:tcW w:w="5760" w:type="dxa"/>
            <w:tcBorders>
              <w:top w:val="nil"/>
              <w:left w:val="nil"/>
              <w:bottom w:val="single" w:sz="4" w:space="0" w:color="A4185B"/>
              <w:right w:val="nil"/>
            </w:tcBorders>
            <w:shd w:val="clear" w:color="000000" w:fill="F3E3EA"/>
            <w:hideMark/>
          </w:tcPr>
          <w:p w14:paraId="3923AEB7" w14:textId="77777777" w:rsidR="005909F8" w:rsidRPr="000E1B7E" w:rsidRDefault="005909F8" w:rsidP="005959B5">
            <w:pPr>
              <w:jc w:val="both"/>
              <w:rPr>
                <w:color w:val="000000"/>
                <w:sz w:val="20"/>
                <w:szCs w:val="20"/>
                <w:lang w:val="en-US"/>
              </w:rPr>
            </w:pPr>
            <w:r w:rsidRPr="000E1B7E">
              <w:rPr>
                <w:color w:val="000000"/>
                <w:sz w:val="20"/>
                <w:szCs w:val="20"/>
                <w:lang w:val="en-US"/>
              </w:rPr>
              <w:t>a. Government has signed the Project Framework Agreement (PFA) with the Albertine Graben Refinery Consortium (AGRC) aimed at accelerating the construction of the oil refinery in Hoima.</w:t>
            </w:r>
            <w:r w:rsidRPr="000E1B7E">
              <w:rPr>
                <w:color w:val="000000"/>
                <w:sz w:val="20"/>
                <w:szCs w:val="20"/>
                <w:lang w:val="en-US"/>
              </w:rPr>
              <w:br/>
              <w:t>b. A pool of four companies for the consortium which include YAATRAAfrica (Mauritius), Lionsworks Group Limited (Mauritius), NuovoPignone International SRL (Italy)</w:t>
            </w:r>
            <w:r w:rsidRPr="000E1B7E">
              <w:rPr>
                <w:color w:val="000000"/>
                <w:sz w:val="20"/>
                <w:szCs w:val="20"/>
                <w:lang w:val="en-US"/>
              </w:rPr>
              <w:br/>
              <w:t>and SAIPEM SPA (Italy) have been identified. Uganda is represented by UNOC on the consortium.</w:t>
            </w:r>
            <w:r w:rsidRPr="000E1B7E">
              <w:rPr>
                <w:color w:val="000000"/>
                <w:sz w:val="20"/>
                <w:szCs w:val="20"/>
                <w:lang w:val="en-US"/>
              </w:rPr>
              <w:br/>
              <w:t>c. The agreement will ensure development, design, financing, construction, operation and maintenance of the oil refinery in Hoima District.</w:t>
            </w:r>
          </w:p>
        </w:tc>
      </w:tr>
      <w:tr w:rsidR="005909F8" w:rsidRPr="000E1B7E" w14:paraId="11A30007" w14:textId="77777777" w:rsidTr="00735250">
        <w:trPr>
          <w:trHeight w:val="998"/>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773C829E" w14:textId="77777777" w:rsidR="005909F8" w:rsidRPr="000E1B7E" w:rsidRDefault="005909F8" w:rsidP="005959B5">
            <w:pPr>
              <w:jc w:val="both"/>
              <w:rPr>
                <w:sz w:val="20"/>
                <w:szCs w:val="20"/>
                <w:lang w:val="en-US"/>
              </w:rPr>
            </w:pPr>
            <w:r w:rsidRPr="000E1B7E">
              <w:rPr>
                <w:sz w:val="20"/>
                <w:szCs w:val="20"/>
                <w:lang w:val="en-US"/>
              </w:rPr>
              <w:t>Oil-related Infrastructure Projects</w:t>
            </w:r>
          </w:p>
        </w:tc>
        <w:tc>
          <w:tcPr>
            <w:tcW w:w="5645" w:type="dxa"/>
            <w:tcBorders>
              <w:top w:val="nil"/>
              <w:left w:val="nil"/>
              <w:bottom w:val="single" w:sz="4" w:space="0" w:color="A4185B"/>
              <w:right w:val="single" w:sz="4" w:space="0" w:color="A4185B"/>
            </w:tcBorders>
            <w:shd w:val="clear" w:color="auto" w:fill="auto"/>
            <w:vAlign w:val="center"/>
            <w:hideMark/>
          </w:tcPr>
          <w:p w14:paraId="676BD637" w14:textId="77777777" w:rsidR="005909F8" w:rsidRPr="000E1B7E" w:rsidRDefault="005909F8" w:rsidP="005959B5">
            <w:pPr>
              <w:jc w:val="both"/>
              <w:rPr>
                <w:sz w:val="20"/>
                <w:szCs w:val="20"/>
                <w:lang w:val="en-US"/>
              </w:rPr>
            </w:pPr>
            <w:r w:rsidRPr="000E1B7E">
              <w:rPr>
                <w:sz w:val="20"/>
                <w:szCs w:val="20"/>
                <w:lang w:val="en-US"/>
              </w:rPr>
              <w:t>To enable oil production by 2020.</w:t>
            </w:r>
          </w:p>
        </w:tc>
        <w:tc>
          <w:tcPr>
            <w:tcW w:w="5760" w:type="dxa"/>
            <w:tcBorders>
              <w:top w:val="nil"/>
              <w:left w:val="nil"/>
              <w:bottom w:val="single" w:sz="4" w:space="0" w:color="A4185B"/>
              <w:right w:val="nil"/>
            </w:tcBorders>
            <w:shd w:val="clear" w:color="auto" w:fill="auto"/>
            <w:hideMark/>
          </w:tcPr>
          <w:p w14:paraId="2F05EEB2" w14:textId="77777777" w:rsidR="005909F8" w:rsidRPr="000E1B7E" w:rsidRDefault="005909F8" w:rsidP="005959B5">
            <w:pPr>
              <w:jc w:val="both"/>
              <w:rPr>
                <w:color w:val="000000"/>
                <w:sz w:val="20"/>
                <w:szCs w:val="20"/>
                <w:lang w:val="en-US"/>
              </w:rPr>
            </w:pPr>
            <w:r w:rsidRPr="000E1B7E">
              <w:rPr>
                <w:color w:val="000000"/>
                <w:sz w:val="20"/>
                <w:szCs w:val="20"/>
                <w:lang w:val="en-US"/>
              </w:rPr>
              <w:t>a. Identification of a lead investor for the East African Crude Oil pipeline has been done and negotiations are ongoing.</w:t>
            </w:r>
            <w:r w:rsidRPr="000E1B7E">
              <w:rPr>
                <w:color w:val="000000"/>
                <w:sz w:val="20"/>
                <w:szCs w:val="20"/>
                <w:lang w:val="en-US"/>
              </w:rPr>
              <w:br/>
              <w:t>b. The Front-End Engineering Design (FEED) study for the development of the (EACOP) was completed in August 2017. Steps are underway to have the Final Investment Decision completed in FY 2017/18.</w:t>
            </w:r>
          </w:p>
        </w:tc>
      </w:tr>
      <w:tr w:rsidR="005909F8" w:rsidRPr="000E1B7E" w14:paraId="3A23E55C" w14:textId="77777777" w:rsidTr="00735250">
        <w:trPr>
          <w:trHeight w:val="782"/>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3544CC75" w14:textId="77777777" w:rsidR="005909F8" w:rsidRPr="000E1B7E" w:rsidRDefault="005909F8" w:rsidP="005959B5">
            <w:pPr>
              <w:jc w:val="both"/>
              <w:rPr>
                <w:sz w:val="20"/>
                <w:szCs w:val="20"/>
                <w:lang w:val="en-US"/>
              </w:rPr>
            </w:pPr>
            <w:r w:rsidRPr="000E1B7E">
              <w:rPr>
                <w:sz w:val="20"/>
                <w:szCs w:val="20"/>
                <w:lang w:val="en-US"/>
              </w:rPr>
              <w:t>Albertine Region Airport</w:t>
            </w:r>
          </w:p>
        </w:tc>
        <w:tc>
          <w:tcPr>
            <w:tcW w:w="5645" w:type="dxa"/>
            <w:tcBorders>
              <w:top w:val="nil"/>
              <w:left w:val="nil"/>
              <w:bottom w:val="single" w:sz="4" w:space="0" w:color="A4185B"/>
              <w:right w:val="single" w:sz="4" w:space="0" w:color="A4185B"/>
            </w:tcBorders>
            <w:shd w:val="clear" w:color="000000" w:fill="F3E3EA"/>
            <w:hideMark/>
          </w:tcPr>
          <w:p w14:paraId="2B647C06" w14:textId="77777777" w:rsidR="005909F8" w:rsidRPr="000E1B7E" w:rsidRDefault="005909F8" w:rsidP="005959B5">
            <w:pPr>
              <w:jc w:val="both"/>
              <w:rPr>
                <w:color w:val="000000"/>
                <w:sz w:val="20"/>
                <w:szCs w:val="20"/>
                <w:lang w:val="en-US"/>
              </w:rPr>
            </w:pPr>
            <w:r w:rsidRPr="000E1B7E">
              <w:rPr>
                <w:sz w:val="20"/>
                <w:szCs w:val="20"/>
                <w:lang w:val="en-US"/>
              </w:rPr>
              <w:t>To improve regional and local access to</w:t>
            </w:r>
            <w:r w:rsidRPr="000E1B7E">
              <w:rPr>
                <w:sz w:val="20"/>
                <w:szCs w:val="20"/>
                <w:lang w:val="en-US"/>
              </w:rPr>
              <w:br/>
              <w:t>infrastructure, markets and skills development in the Albertine region</w:t>
            </w:r>
          </w:p>
        </w:tc>
        <w:tc>
          <w:tcPr>
            <w:tcW w:w="5760" w:type="dxa"/>
            <w:tcBorders>
              <w:top w:val="nil"/>
              <w:left w:val="nil"/>
              <w:bottom w:val="single" w:sz="4" w:space="0" w:color="A4185B"/>
              <w:right w:val="nil"/>
            </w:tcBorders>
            <w:shd w:val="clear" w:color="000000" w:fill="F3E3EA"/>
            <w:hideMark/>
          </w:tcPr>
          <w:p w14:paraId="48F6ABA6" w14:textId="77777777" w:rsidR="005909F8" w:rsidRPr="000E1B7E" w:rsidRDefault="005909F8" w:rsidP="005959B5">
            <w:pPr>
              <w:jc w:val="both"/>
              <w:rPr>
                <w:color w:val="000000"/>
                <w:sz w:val="20"/>
                <w:szCs w:val="20"/>
                <w:lang w:val="en-US"/>
              </w:rPr>
            </w:pPr>
            <w:r w:rsidRPr="000E1B7E">
              <w:rPr>
                <w:color w:val="000000"/>
                <w:sz w:val="20"/>
                <w:szCs w:val="20"/>
                <w:lang w:val="en-US"/>
              </w:rPr>
              <w:t>a. 4 Bilateral Air Services Agreements (BASAs) were negotiated (Qatar, Switzerland, Canada and Saudi Arabia)</w:t>
            </w:r>
            <w:r w:rsidRPr="000E1B7E">
              <w:rPr>
                <w:color w:val="000000"/>
                <w:sz w:val="20"/>
                <w:szCs w:val="20"/>
                <w:lang w:val="en-US"/>
              </w:rPr>
              <w:br/>
              <w:t>b. Feasibility study to undertake an Economic, Financial and Investment appraisal of the proposed development of Kabaale Airport was prepared.</w:t>
            </w:r>
          </w:p>
        </w:tc>
      </w:tr>
      <w:tr w:rsidR="005909F8" w:rsidRPr="000E1B7E" w14:paraId="6B7F9A0C" w14:textId="77777777" w:rsidTr="00735250">
        <w:trPr>
          <w:trHeight w:val="1880"/>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0E22BD09" w14:textId="77777777" w:rsidR="005909F8" w:rsidRPr="000E1B7E" w:rsidRDefault="005909F8" w:rsidP="005959B5">
            <w:pPr>
              <w:jc w:val="both"/>
              <w:rPr>
                <w:sz w:val="20"/>
                <w:szCs w:val="20"/>
                <w:lang w:val="en-US"/>
              </w:rPr>
            </w:pPr>
            <w:r w:rsidRPr="000E1B7E">
              <w:rPr>
                <w:sz w:val="20"/>
                <w:szCs w:val="20"/>
                <w:lang w:val="en-US"/>
              </w:rPr>
              <w:t>Albertine region roads</w:t>
            </w:r>
          </w:p>
        </w:tc>
        <w:tc>
          <w:tcPr>
            <w:tcW w:w="5645" w:type="dxa"/>
            <w:tcBorders>
              <w:top w:val="nil"/>
              <w:left w:val="nil"/>
              <w:bottom w:val="single" w:sz="4" w:space="0" w:color="A4185B"/>
              <w:right w:val="single" w:sz="4" w:space="0" w:color="A4185B"/>
            </w:tcBorders>
            <w:shd w:val="clear" w:color="auto" w:fill="auto"/>
            <w:vAlign w:val="center"/>
            <w:hideMark/>
          </w:tcPr>
          <w:p w14:paraId="65BAC81A" w14:textId="77777777" w:rsidR="005909F8" w:rsidRPr="000E1B7E" w:rsidRDefault="005909F8" w:rsidP="005959B5">
            <w:pPr>
              <w:jc w:val="both"/>
              <w:rPr>
                <w:color w:val="000000"/>
                <w:sz w:val="20"/>
                <w:szCs w:val="20"/>
                <w:lang w:val="en-US"/>
              </w:rPr>
            </w:pPr>
            <w:r w:rsidRPr="000E1B7E">
              <w:rPr>
                <w:sz w:val="20"/>
                <w:szCs w:val="20"/>
                <w:lang w:val="en-US"/>
              </w:rPr>
              <w:t>To improve regional and local access to</w:t>
            </w:r>
            <w:r w:rsidRPr="000E1B7E">
              <w:rPr>
                <w:sz w:val="20"/>
                <w:szCs w:val="20"/>
                <w:lang w:val="en-US"/>
              </w:rPr>
              <w:br/>
              <w:t>infrastructure, markets and skills development in the Albertine region</w:t>
            </w:r>
          </w:p>
        </w:tc>
        <w:tc>
          <w:tcPr>
            <w:tcW w:w="5760" w:type="dxa"/>
            <w:tcBorders>
              <w:top w:val="nil"/>
              <w:left w:val="nil"/>
              <w:bottom w:val="single" w:sz="4" w:space="0" w:color="A4185B"/>
              <w:right w:val="nil"/>
            </w:tcBorders>
            <w:shd w:val="clear" w:color="auto" w:fill="auto"/>
            <w:hideMark/>
          </w:tcPr>
          <w:p w14:paraId="499B7260" w14:textId="77777777" w:rsidR="005909F8" w:rsidRPr="000E1B7E" w:rsidRDefault="005909F8" w:rsidP="005959B5">
            <w:pPr>
              <w:jc w:val="both"/>
              <w:rPr>
                <w:color w:val="000000"/>
                <w:sz w:val="20"/>
                <w:szCs w:val="20"/>
                <w:lang w:val="en-US"/>
              </w:rPr>
            </w:pPr>
            <w:r w:rsidRPr="000E1B7E">
              <w:rPr>
                <w:color w:val="000000"/>
                <w:sz w:val="20"/>
                <w:szCs w:val="20"/>
                <w:lang w:val="en-US"/>
              </w:rPr>
              <w:t>a. Civil works contracts for package 1 (Masindi (Kisanja)-Park Junction Road Upgrading Project (84km) Pakwach (Tangi</w:t>
            </w:r>
            <w:r w:rsidRPr="000E1B7E">
              <w:rPr>
                <w:color w:val="000000"/>
                <w:sz w:val="20"/>
                <w:szCs w:val="20"/>
                <w:lang w:val="en-US"/>
              </w:rPr>
              <w:br/>
              <w:t>Jct)-Paraa-Buliisa Road Upgrading Project) package 2 (Hoima- Bukumi-Butiaba Road (55Km) Bukumi-Wanseko Road (56Km)) and package 3 (Buhimba- Nalweyo-Kakindu-Kakumiro – Mubende Road Upgrading Project (51km) to Bulamagi-Igayaza- Kakumiro Road Upgrading Project (42km)) have been signed and commencement of civil works expected this month.</w:t>
            </w:r>
            <w:r w:rsidRPr="000E1B7E">
              <w:rPr>
                <w:color w:val="000000"/>
                <w:sz w:val="20"/>
                <w:szCs w:val="20"/>
                <w:lang w:val="en-US"/>
              </w:rPr>
              <w:br/>
              <w:t>b. As for package 4 (Lusalira-Nkonge-Ntusi (55KM) to Lumegere</w:t>
            </w:r>
            <w:r w:rsidRPr="000E1B7E">
              <w:rPr>
                <w:color w:val="000000"/>
                <w:sz w:val="20"/>
                <w:szCs w:val="20"/>
                <w:lang w:val="en-US"/>
              </w:rPr>
              <w:br/>
              <w:t xml:space="preserve">- Ssembabule and Kyotera-Rakai Road Upgrading Project (60km)) and package 5(Masindi- Biiso Road Upgrading Project (54km) Kabale-Kiziranfumbi, Hohwa-Nyairongo-Kyarushesha- Butole and </w:t>
            </w:r>
            <w:r w:rsidRPr="000E1B7E">
              <w:rPr>
                <w:color w:val="000000"/>
                <w:sz w:val="20"/>
                <w:szCs w:val="20"/>
                <w:lang w:val="en-US"/>
              </w:rPr>
              <w:lastRenderedPageBreak/>
              <w:t>Kaseeta-Lwera Road Upgrading Project (68km)), procurement is at bidding stage and bid submission is scheduled for May, 2018.</w:t>
            </w:r>
          </w:p>
        </w:tc>
      </w:tr>
      <w:tr w:rsidR="005909F8" w:rsidRPr="000E1B7E" w14:paraId="281747A2" w14:textId="77777777" w:rsidTr="00735250">
        <w:trPr>
          <w:trHeight w:val="2240"/>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1945C203" w14:textId="77777777" w:rsidR="005909F8" w:rsidRPr="000E1B7E" w:rsidRDefault="005909F8" w:rsidP="005959B5">
            <w:pPr>
              <w:jc w:val="both"/>
              <w:rPr>
                <w:sz w:val="20"/>
                <w:szCs w:val="20"/>
                <w:lang w:val="en-US"/>
              </w:rPr>
            </w:pPr>
            <w:r w:rsidRPr="000E1B7E">
              <w:rPr>
                <w:sz w:val="20"/>
                <w:szCs w:val="20"/>
                <w:lang w:val="en-US"/>
              </w:rPr>
              <w:lastRenderedPageBreak/>
              <w:t xml:space="preserve">Phosphate </w:t>
            </w:r>
            <w:r w:rsidR="00577A3C" w:rsidRPr="000E1B7E">
              <w:rPr>
                <w:sz w:val="20"/>
                <w:szCs w:val="20"/>
                <w:lang w:val="en-US"/>
              </w:rPr>
              <w:t xml:space="preserve">and steel </w:t>
            </w:r>
            <w:r w:rsidRPr="000E1B7E">
              <w:rPr>
                <w:sz w:val="20"/>
                <w:szCs w:val="20"/>
                <w:lang w:val="en-US"/>
              </w:rPr>
              <w:t>Industry in Tororo</w:t>
            </w:r>
          </w:p>
        </w:tc>
        <w:tc>
          <w:tcPr>
            <w:tcW w:w="5645" w:type="dxa"/>
            <w:tcBorders>
              <w:top w:val="nil"/>
              <w:left w:val="nil"/>
              <w:bottom w:val="single" w:sz="4" w:space="0" w:color="A4185B"/>
              <w:right w:val="single" w:sz="4" w:space="0" w:color="A4185B"/>
            </w:tcBorders>
            <w:shd w:val="clear" w:color="000000" w:fill="F3E3EA"/>
            <w:hideMark/>
          </w:tcPr>
          <w:p w14:paraId="2430A61D" w14:textId="77777777" w:rsidR="005909F8" w:rsidRPr="000E1B7E" w:rsidRDefault="005909F8" w:rsidP="005959B5">
            <w:pPr>
              <w:jc w:val="both"/>
              <w:rPr>
                <w:color w:val="000000"/>
                <w:sz w:val="20"/>
                <w:szCs w:val="20"/>
                <w:lang w:val="en-US"/>
              </w:rPr>
            </w:pPr>
            <w:r w:rsidRPr="000E1B7E">
              <w:rPr>
                <w:sz w:val="20"/>
                <w:szCs w:val="20"/>
                <w:lang w:val="en-US"/>
              </w:rPr>
              <w:t>Construction  of a mine and a beneficiation plant with annual capacity of two million tonnes,a phosphate fertilizer plant of annual production of 300,000 tonnes, a sulfuric acid plant of of annual productionof 400,000, a 12MWwaste heat-based power generation plant and a steel mill of annual production of 300,000 tonnes</w:t>
            </w:r>
          </w:p>
        </w:tc>
        <w:tc>
          <w:tcPr>
            <w:tcW w:w="5760" w:type="dxa"/>
            <w:tcBorders>
              <w:top w:val="nil"/>
              <w:left w:val="nil"/>
              <w:bottom w:val="single" w:sz="4" w:space="0" w:color="A4185B"/>
              <w:right w:val="nil"/>
            </w:tcBorders>
            <w:shd w:val="clear" w:color="000000" w:fill="F3E3EA"/>
            <w:hideMark/>
          </w:tcPr>
          <w:p w14:paraId="796162C6" w14:textId="77777777" w:rsidR="005909F8" w:rsidRPr="000E1B7E" w:rsidRDefault="005909F8" w:rsidP="005959B5">
            <w:pPr>
              <w:jc w:val="both"/>
              <w:rPr>
                <w:color w:val="000000"/>
                <w:sz w:val="20"/>
                <w:szCs w:val="20"/>
                <w:lang w:val="en-US"/>
              </w:rPr>
            </w:pPr>
            <w:r w:rsidRPr="000E1B7E">
              <w:rPr>
                <w:color w:val="000000"/>
                <w:sz w:val="20"/>
                <w:szCs w:val="20"/>
                <w:lang w:val="en-US"/>
              </w:rPr>
              <w:t>a. Geotechnical site investigations were carried out to establish the type of soils where the plant is to be set up.</w:t>
            </w:r>
            <w:r w:rsidRPr="000E1B7E">
              <w:rPr>
                <w:color w:val="000000"/>
                <w:sz w:val="20"/>
                <w:szCs w:val="20"/>
                <w:lang w:val="en-US"/>
              </w:rPr>
              <w:br/>
              <w:t>b. Earthworks and grading of the site are now underway and pre- fabricated plant machinery for the first phase has been imported into the country.</w:t>
            </w:r>
            <w:r w:rsidRPr="000E1B7E">
              <w:rPr>
                <w:color w:val="000000"/>
                <w:sz w:val="20"/>
                <w:szCs w:val="20"/>
                <w:lang w:val="en-US"/>
              </w:rPr>
              <w:br/>
              <w:t>c. All plants, including the steel mill, are expected to be in operation by December 2019.</w:t>
            </w:r>
            <w:r w:rsidRPr="000E1B7E">
              <w:rPr>
                <w:color w:val="000000"/>
                <w:sz w:val="20"/>
                <w:szCs w:val="20"/>
                <w:lang w:val="en-US"/>
              </w:rPr>
              <w:br/>
              <w:t>d. Currently over 150 skilled Ugandan workers have been employed and by December 2019, over 1000 people will be employed.</w:t>
            </w:r>
          </w:p>
        </w:tc>
      </w:tr>
      <w:tr w:rsidR="005909F8" w:rsidRPr="000E1B7E" w14:paraId="45A9620A" w14:textId="77777777" w:rsidTr="00735250">
        <w:trPr>
          <w:trHeight w:val="3248"/>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2023D584" w14:textId="77777777" w:rsidR="005909F8" w:rsidRPr="000E1B7E" w:rsidRDefault="005909F8" w:rsidP="005959B5">
            <w:pPr>
              <w:jc w:val="both"/>
              <w:rPr>
                <w:sz w:val="20"/>
                <w:szCs w:val="20"/>
                <w:lang w:val="en-US"/>
              </w:rPr>
            </w:pPr>
            <w:r w:rsidRPr="000E1B7E">
              <w:rPr>
                <w:sz w:val="20"/>
                <w:szCs w:val="20"/>
                <w:lang w:val="en-US"/>
              </w:rPr>
              <w:t>Agriculture Cluster Development Project (ACDP)</w:t>
            </w:r>
          </w:p>
        </w:tc>
        <w:tc>
          <w:tcPr>
            <w:tcW w:w="5645" w:type="dxa"/>
            <w:tcBorders>
              <w:top w:val="nil"/>
              <w:left w:val="nil"/>
              <w:bottom w:val="single" w:sz="4" w:space="0" w:color="A4185B"/>
              <w:right w:val="nil"/>
            </w:tcBorders>
            <w:shd w:val="clear" w:color="000000" w:fill="F3E3EA"/>
            <w:vAlign w:val="center"/>
            <w:hideMark/>
          </w:tcPr>
          <w:p w14:paraId="19C2DD41" w14:textId="77777777" w:rsidR="005909F8" w:rsidRPr="000E1B7E" w:rsidRDefault="005909F8" w:rsidP="005959B5">
            <w:pPr>
              <w:jc w:val="both"/>
              <w:rPr>
                <w:color w:val="000000"/>
                <w:sz w:val="20"/>
                <w:szCs w:val="20"/>
                <w:lang w:val="en-US"/>
              </w:rPr>
            </w:pPr>
            <w:r w:rsidRPr="000E1B7E">
              <w:rPr>
                <w:sz w:val="20"/>
                <w:szCs w:val="20"/>
                <w:lang w:val="en-US"/>
              </w:rPr>
              <w:t>To raise productivity, production, and commercialization of selected agricultural commodities in specified</w:t>
            </w:r>
            <w:r w:rsidRPr="000E1B7E">
              <w:rPr>
                <w:sz w:val="20"/>
                <w:szCs w:val="20"/>
                <w:lang w:val="en-US"/>
              </w:rPr>
              <w:br/>
              <w:t>clusters of districts across the country.</w:t>
            </w:r>
          </w:p>
        </w:tc>
        <w:tc>
          <w:tcPr>
            <w:tcW w:w="5760" w:type="dxa"/>
            <w:tcBorders>
              <w:top w:val="nil"/>
              <w:left w:val="single" w:sz="4" w:space="0" w:color="A4185B"/>
              <w:bottom w:val="single" w:sz="4" w:space="0" w:color="A4185B"/>
              <w:right w:val="nil"/>
            </w:tcBorders>
            <w:shd w:val="clear" w:color="000000" w:fill="F3E3EA"/>
            <w:hideMark/>
          </w:tcPr>
          <w:p w14:paraId="63AED835" w14:textId="77777777" w:rsidR="005909F8" w:rsidRPr="000E1B7E" w:rsidRDefault="005909F8" w:rsidP="005959B5">
            <w:pPr>
              <w:jc w:val="both"/>
              <w:rPr>
                <w:color w:val="000000"/>
                <w:sz w:val="20"/>
                <w:szCs w:val="20"/>
                <w:lang w:val="en-US"/>
              </w:rPr>
            </w:pPr>
            <w:r w:rsidRPr="000E1B7E">
              <w:rPr>
                <w:color w:val="000000"/>
                <w:sz w:val="20"/>
                <w:szCs w:val="20"/>
                <w:lang w:val="en-US"/>
              </w:rPr>
              <w:t>a. A rapid assessment was conducted in the 13 project districts of Iganga, Bugiri, Namutumba, Pallisa, Butaleja, Tororo, Serere, Soroti, Dokolo, Lira, Amuru, Nwoya, Hoima to sensitize them on the project and increase project ownership.</w:t>
            </w:r>
            <w:r w:rsidRPr="000E1B7E">
              <w:rPr>
                <w:color w:val="000000"/>
                <w:sz w:val="20"/>
                <w:szCs w:val="20"/>
                <w:lang w:val="en-US"/>
              </w:rPr>
              <w:br/>
              <w:t>b. Farmer and Farmer Organization selection and categorization criteria were finalized. Market- Led User-Owned ICT4AG-Enabled InformationServices (MUIIS) was the BEB selected to conduct profiling and registration of farmers and farmer organizations. The contract was cleared by the Solicitor General on 09thApril and the consultant signed on 10th April 2018.</w:t>
            </w:r>
            <w:r w:rsidRPr="000E1B7E">
              <w:rPr>
                <w:color w:val="000000"/>
                <w:sz w:val="20"/>
                <w:szCs w:val="20"/>
                <w:lang w:val="en-US"/>
              </w:rPr>
              <w:br/>
              <w:t>c. Finalized contract signing for the E-Voucher Management Agency on 22nd March and engaged the firm to fast track contract implementation</w:t>
            </w:r>
          </w:p>
        </w:tc>
      </w:tr>
      <w:tr w:rsidR="005909F8" w:rsidRPr="000E1B7E" w14:paraId="79FE30C2" w14:textId="77777777" w:rsidTr="00735250">
        <w:trPr>
          <w:trHeight w:val="1070"/>
        </w:trPr>
        <w:tc>
          <w:tcPr>
            <w:tcW w:w="1840" w:type="dxa"/>
            <w:tcBorders>
              <w:top w:val="nil"/>
              <w:left w:val="single" w:sz="4" w:space="0" w:color="A4185B"/>
              <w:bottom w:val="single" w:sz="4" w:space="0" w:color="A4185B"/>
              <w:right w:val="single" w:sz="4" w:space="0" w:color="A4185B"/>
            </w:tcBorders>
            <w:shd w:val="clear" w:color="auto" w:fill="auto"/>
            <w:hideMark/>
          </w:tcPr>
          <w:p w14:paraId="0E22EBFB" w14:textId="77777777" w:rsidR="005909F8" w:rsidRPr="000E1B7E" w:rsidRDefault="005909F8" w:rsidP="005959B5">
            <w:pPr>
              <w:jc w:val="both"/>
              <w:rPr>
                <w:sz w:val="20"/>
                <w:szCs w:val="20"/>
                <w:lang w:val="en-US"/>
              </w:rPr>
            </w:pPr>
            <w:r w:rsidRPr="000E1B7E">
              <w:rPr>
                <w:sz w:val="20"/>
                <w:szCs w:val="20"/>
                <w:lang w:val="en-US"/>
              </w:rPr>
              <w:lastRenderedPageBreak/>
              <w:t>Markets &amp; Agriculture Trade Improvement Project (MATIP II)</w:t>
            </w:r>
          </w:p>
        </w:tc>
        <w:tc>
          <w:tcPr>
            <w:tcW w:w="5645" w:type="dxa"/>
            <w:tcBorders>
              <w:top w:val="nil"/>
              <w:left w:val="nil"/>
              <w:bottom w:val="single" w:sz="4" w:space="0" w:color="A4185B"/>
              <w:right w:val="nil"/>
            </w:tcBorders>
            <w:shd w:val="clear" w:color="auto" w:fill="auto"/>
            <w:hideMark/>
          </w:tcPr>
          <w:p w14:paraId="6CC3C78F" w14:textId="77777777" w:rsidR="005909F8" w:rsidRPr="000E1B7E" w:rsidRDefault="005909F8" w:rsidP="005959B5">
            <w:pPr>
              <w:jc w:val="both"/>
              <w:rPr>
                <w:sz w:val="20"/>
                <w:szCs w:val="20"/>
                <w:lang w:val="en-US"/>
              </w:rPr>
            </w:pPr>
            <w:r w:rsidRPr="000E1B7E">
              <w:rPr>
                <w:sz w:val="20"/>
                <w:szCs w:val="20"/>
                <w:lang w:val="en-US"/>
              </w:rPr>
              <w:t>To provide a link between the rural and urban markets in the country in order to expand the commodity value chain.</w:t>
            </w:r>
          </w:p>
        </w:tc>
        <w:tc>
          <w:tcPr>
            <w:tcW w:w="5760" w:type="dxa"/>
            <w:tcBorders>
              <w:top w:val="nil"/>
              <w:left w:val="single" w:sz="4" w:space="0" w:color="A4185B"/>
              <w:bottom w:val="single" w:sz="4" w:space="0" w:color="A4185B"/>
              <w:right w:val="nil"/>
            </w:tcBorders>
            <w:shd w:val="clear" w:color="auto" w:fill="auto"/>
            <w:hideMark/>
          </w:tcPr>
          <w:p w14:paraId="2DCBAED0" w14:textId="77777777" w:rsidR="005909F8" w:rsidRPr="000E1B7E" w:rsidRDefault="005909F8" w:rsidP="005959B5">
            <w:pPr>
              <w:jc w:val="both"/>
              <w:rPr>
                <w:color w:val="000000"/>
                <w:sz w:val="20"/>
                <w:szCs w:val="20"/>
                <w:lang w:val="en-US"/>
              </w:rPr>
            </w:pPr>
            <w:r w:rsidRPr="000E1B7E">
              <w:rPr>
                <w:color w:val="000000"/>
                <w:sz w:val="20"/>
                <w:szCs w:val="20"/>
                <w:lang w:val="en-US"/>
              </w:rPr>
              <w:t>a. Second phase of MATIP approved to reconstruct an additional 11 out of the remaining 14 identified markets in four regions of the country.</w:t>
            </w:r>
            <w:r w:rsidRPr="000E1B7E">
              <w:rPr>
                <w:color w:val="000000"/>
                <w:sz w:val="20"/>
                <w:szCs w:val="20"/>
                <w:lang w:val="en-US"/>
              </w:rPr>
              <w:br/>
              <w:t>b. Rehabilitation ongoing at different stages</w:t>
            </w:r>
          </w:p>
        </w:tc>
      </w:tr>
      <w:tr w:rsidR="005909F8" w:rsidRPr="000E1B7E" w14:paraId="1DF1C88B" w14:textId="77777777" w:rsidTr="00735250">
        <w:trPr>
          <w:trHeight w:val="3500"/>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27A18275" w14:textId="77777777" w:rsidR="005909F8" w:rsidRPr="000E1B7E" w:rsidRDefault="005909F8" w:rsidP="005959B5">
            <w:pPr>
              <w:jc w:val="both"/>
              <w:rPr>
                <w:sz w:val="20"/>
                <w:szCs w:val="20"/>
                <w:lang w:val="en-US"/>
              </w:rPr>
            </w:pPr>
            <w:r w:rsidRPr="000E1B7E">
              <w:rPr>
                <w:sz w:val="20"/>
                <w:szCs w:val="20"/>
                <w:lang w:val="en-US"/>
              </w:rPr>
              <w:t>Farm Income Enhancement and Forest Conservation II</w:t>
            </w:r>
          </w:p>
        </w:tc>
        <w:tc>
          <w:tcPr>
            <w:tcW w:w="5645" w:type="dxa"/>
            <w:tcBorders>
              <w:top w:val="nil"/>
              <w:left w:val="nil"/>
              <w:bottom w:val="single" w:sz="4" w:space="0" w:color="A4185B"/>
              <w:right w:val="nil"/>
            </w:tcBorders>
            <w:shd w:val="clear" w:color="000000" w:fill="F3E3EA"/>
            <w:vAlign w:val="center"/>
            <w:hideMark/>
          </w:tcPr>
          <w:p w14:paraId="7A167F44" w14:textId="77777777" w:rsidR="005909F8" w:rsidRPr="000E1B7E" w:rsidRDefault="005909F8" w:rsidP="005959B5">
            <w:pPr>
              <w:jc w:val="both"/>
              <w:rPr>
                <w:sz w:val="20"/>
                <w:szCs w:val="20"/>
                <w:lang w:val="en-US"/>
              </w:rPr>
            </w:pPr>
            <w:r w:rsidRPr="000E1B7E">
              <w:rPr>
                <w:sz w:val="20"/>
                <w:szCs w:val="20"/>
                <w:lang w:val="en-US"/>
              </w:rPr>
              <w:t>To improve household incomes, food security and climate resilience through development of agricultural infrastructure.</w:t>
            </w:r>
          </w:p>
        </w:tc>
        <w:tc>
          <w:tcPr>
            <w:tcW w:w="5760" w:type="dxa"/>
            <w:tcBorders>
              <w:top w:val="nil"/>
              <w:left w:val="single" w:sz="4" w:space="0" w:color="A4185B"/>
              <w:bottom w:val="single" w:sz="4" w:space="0" w:color="A4185B"/>
              <w:right w:val="nil"/>
            </w:tcBorders>
            <w:shd w:val="clear" w:color="000000" w:fill="F3E3EA"/>
            <w:hideMark/>
          </w:tcPr>
          <w:p w14:paraId="4C1D5FD2" w14:textId="77777777" w:rsidR="005909F8" w:rsidRPr="000E1B7E" w:rsidRDefault="005909F8" w:rsidP="005959B5">
            <w:pPr>
              <w:jc w:val="both"/>
              <w:rPr>
                <w:color w:val="000000"/>
                <w:sz w:val="20"/>
                <w:szCs w:val="20"/>
                <w:lang w:val="en-US"/>
              </w:rPr>
            </w:pPr>
            <w:r w:rsidRPr="000E1B7E">
              <w:rPr>
                <w:color w:val="000000"/>
                <w:sz w:val="20"/>
                <w:szCs w:val="20"/>
                <w:lang w:val="en-US"/>
              </w:rPr>
              <w:t>a. The project has embarked on construction of irrigation schemes with a total of 4,638 hectares namely, Olweny Irrigation Scheme (600ha) in Lira district which is estimated at 91 percent progress, Mubuku II irrigation scheme (480ha) in Kasese district at 8.6 percent progress, Doho II irrigation scheme (1,178ha) in Butaleja district at 6.8 percent progress, Ngenge irrigation scheme (880ha) in Kween district at 21.2 percent progress and Tochi irrigation scheme (500ha) in Oyam district at 11 percent progress.</w:t>
            </w:r>
            <w:r w:rsidRPr="000E1B7E">
              <w:rPr>
                <w:color w:val="000000"/>
                <w:sz w:val="20"/>
                <w:szCs w:val="20"/>
                <w:lang w:val="en-US"/>
              </w:rPr>
              <w:br/>
              <w:t>b. Wadelai Irrigation scheme (1,000ha) in Nebbi/ Packach districts is expected to commence by the end of this FY 2017/18</w:t>
            </w:r>
            <w:r w:rsidRPr="000E1B7E">
              <w:rPr>
                <w:color w:val="000000"/>
                <w:sz w:val="20"/>
                <w:szCs w:val="20"/>
                <w:lang w:val="en-US"/>
              </w:rPr>
              <w:br/>
              <w:t>c. The project shall also manage catchment areas of the 5 irrigation schemes, covering 39 districts with total area of 45,281SqKm to reduce sediments entering the irrigation schemes and</w:t>
            </w:r>
            <w:r w:rsidRPr="000E1B7E">
              <w:rPr>
                <w:color w:val="000000"/>
                <w:sz w:val="20"/>
                <w:szCs w:val="20"/>
                <w:lang w:val="en-US"/>
              </w:rPr>
              <w:br/>
              <w:t>improve farming practices in the watershed areas.</w:t>
            </w:r>
          </w:p>
        </w:tc>
      </w:tr>
      <w:tr w:rsidR="005909F8" w:rsidRPr="000E1B7E" w14:paraId="52963FA6" w14:textId="77777777" w:rsidTr="00735250">
        <w:trPr>
          <w:trHeight w:val="1088"/>
        </w:trPr>
        <w:tc>
          <w:tcPr>
            <w:tcW w:w="1840" w:type="dxa"/>
            <w:tcBorders>
              <w:top w:val="nil"/>
              <w:left w:val="single" w:sz="4" w:space="0" w:color="A4185B"/>
              <w:bottom w:val="single" w:sz="4" w:space="0" w:color="A4185B"/>
              <w:right w:val="single" w:sz="4" w:space="0" w:color="A4185B"/>
            </w:tcBorders>
            <w:shd w:val="clear" w:color="auto" w:fill="auto"/>
            <w:vAlign w:val="center"/>
            <w:hideMark/>
          </w:tcPr>
          <w:p w14:paraId="5FA73A63" w14:textId="77777777" w:rsidR="005909F8" w:rsidRPr="000E1B7E" w:rsidRDefault="005909F8" w:rsidP="005959B5">
            <w:pPr>
              <w:jc w:val="both"/>
              <w:rPr>
                <w:sz w:val="20"/>
                <w:szCs w:val="20"/>
                <w:lang w:val="en-US"/>
              </w:rPr>
            </w:pPr>
            <w:r w:rsidRPr="000E1B7E">
              <w:rPr>
                <w:sz w:val="20"/>
                <w:szCs w:val="20"/>
                <w:lang w:val="en-US"/>
              </w:rPr>
              <w:t>Uganda Women Entrepreneurship Project (UWEP)</w:t>
            </w:r>
          </w:p>
        </w:tc>
        <w:tc>
          <w:tcPr>
            <w:tcW w:w="5645" w:type="dxa"/>
            <w:tcBorders>
              <w:top w:val="nil"/>
              <w:left w:val="nil"/>
              <w:bottom w:val="single" w:sz="4" w:space="0" w:color="A4185B"/>
              <w:right w:val="nil"/>
            </w:tcBorders>
            <w:shd w:val="clear" w:color="auto" w:fill="auto"/>
            <w:vAlign w:val="center"/>
            <w:hideMark/>
          </w:tcPr>
          <w:p w14:paraId="2D77C327" w14:textId="77777777" w:rsidR="005909F8" w:rsidRPr="000E1B7E" w:rsidRDefault="005909F8" w:rsidP="005959B5">
            <w:pPr>
              <w:jc w:val="both"/>
              <w:rPr>
                <w:sz w:val="20"/>
                <w:szCs w:val="20"/>
                <w:lang w:val="en-US"/>
              </w:rPr>
            </w:pPr>
            <w:r w:rsidRPr="000E1B7E">
              <w:rPr>
                <w:sz w:val="20"/>
                <w:szCs w:val="20"/>
                <w:lang w:val="en-US"/>
              </w:rPr>
              <w:t>To improve women’s access to financial services and equip them with skills for enterprise growth, value addition and marketing of their products and services.</w:t>
            </w:r>
          </w:p>
        </w:tc>
        <w:tc>
          <w:tcPr>
            <w:tcW w:w="5760" w:type="dxa"/>
            <w:tcBorders>
              <w:top w:val="nil"/>
              <w:left w:val="single" w:sz="4" w:space="0" w:color="A4185B"/>
              <w:bottom w:val="single" w:sz="4" w:space="0" w:color="A4185B"/>
              <w:right w:val="nil"/>
            </w:tcBorders>
            <w:shd w:val="clear" w:color="auto" w:fill="auto"/>
            <w:hideMark/>
          </w:tcPr>
          <w:p w14:paraId="66868B2E" w14:textId="77777777" w:rsidR="005909F8" w:rsidRPr="000E1B7E" w:rsidRDefault="005909F8" w:rsidP="005959B5">
            <w:pPr>
              <w:jc w:val="both"/>
              <w:rPr>
                <w:color w:val="000000"/>
                <w:sz w:val="20"/>
                <w:szCs w:val="20"/>
                <w:lang w:val="en-US"/>
              </w:rPr>
            </w:pPr>
            <w:r w:rsidRPr="000E1B7E">
              <w:rPr>
                <w:color w:val="000000"/>
                <w:sz w:val="20"/>
                <w:szCs w:val="20"/>
                <w:lang w:val="en-US"/>
              </w:rPr>
              <w:t>a. The programme has financed 3,499 Projects/ enterprises worth UShs18.480 billion with 44,570 women beneficiaries.</w:t>
            </w:r>
            <w:r w:rsidRPr="000E1B7E">
              <w:rPr>
                <w:color w:val="000000"/>
                <w:sz w:val="20"/>
                <w:szCs w:val="20"/>
                <w:lang w:val="en-US"/>
              </w:rPr>
              <w:br/>
              <w:t>b. As at February, 2018, out of the Ushs 3.081Billion owed by the women entrepreneurs, Ushs1.55Billion had been recovered which translates into 50.2% of the total amount due.</w:t>
            </w:r>
          </w:p>
        </w:tc>
      </w:tr>
      <w:tr w:rsidR="005909F8" w:rsidRPr="000E1B7E" w14:paraId="6977D824" w14:textId="77777777" w:rsidTr="00735250">
        <w:trPr>
          <w:trHeight w:val="1025"/>
        </w:trPr>
        <w:tc>
          <w:tcPr>
            <w:tcW w:w="1840" w:type="dxa"/>
            <w:tcBorders>
              <w:top w:val="nil"/>
              <w:left w:val="single" w:sz="4" w:space="0" w:color="A4185B"/>
              <w:bottom w:val="single" w:sz="4" w:space="0" w:color="A4185B"/>
              <w:right w:val="single" w:sz="4" w:space="0" w:color="A4185B"/>
            </w:tcBorders>
            <w:shd w:val="clear" w:color="000000" w:fill="F3E3EA"/>
            <w:vAlign w:val="center"/>
            <w:hideMark/>
          </w:tcPr>
          <w:p w14:paraId="69149845" w14:textId="77777777" w:rsidR="005909F8" w:rsidRPr="000E1B7E" w:rsidRDefault="005909F8" w:rsidP="005959B5">
            <w:pPr>
              <w:jc w:val="both"/>
              <w:rPr>
                <w:sz w:val="20"/>
                <w:szCs w:val="20"/>
                <w:lang w:val="en-US"/>
              </w:rPr>
            </w:pPr>
            <w:r w:rsidRPr="000E1B7E">
              <w:rPr>
                <w:sz w:val="20"/>
                <w:szCs w:val="20"/>
                <w:lang w:val="en-US"/>
              </w:rPr>
              <w:t>Youth livelihood Project (YLP)</w:t>
            </w:r>
          </w:p>
        </w:tc>
        <w:tc>
          <w:tcPr>
            <w:tcW w:w="5645" w:type="dxa"/>
            <w:tcBorders>
              <w:top w:val="nil"/>
              <w:left w:val="nil"/>
              <w:bottom w:val="single" w:sz="4" w:space="0" w:color="A4185B"/>
              <w:right w:val="nil"/>
            </w:tcBorders>
            <w:shd w:val="clear" w:color="000000" w:fill="F3E3EA"/>
            <w:vAlign w:val="center"/>
            <w:hideMark/>
          </w:tcPr>
          <w:p w14:paraId="56228E85" w14:textId="77777777" w:rsidR="005909F8" w:rsidRPr="000E1B7E" w:rsidRDefault="005909F8" w:rsidP="005959B5">
            <w:pPr>
              <w:jc w:val="both"/>
              <w:rPr>
                <w:sz w:val="20"/>
                <w:szCs w:val="20"/>
                <w:lang w:val="en-US"/>
              </w:rPr>
            </w:pPr>
            <w:r w:rsidRPr="000E1B7E">
              <w:rPr>
                <w:sz w:val="20"/>
                <w:szCs w:val="20"/>
                <w:lang w:val="en-US"/>
              </w:rPr>
              <w:t>To empower the youth to harness their socio-economic potential and increase self-employment opportunities and income levels.</w:t>
            </w:r>
          </w:p>
        </w:tc>
        <w:tc>
          <w:tcPr>
            <w:tcW w:w="5760" w:type="dxa"/>
            <w:tcBorders>
              <w:top w:val="nil"/>
              <w:left w:val="single" w:sz="4" w:space="0" w:color="A4185B"/>
              <w:bottom w:val="single" w:sz="4" w:space="0" w:color="A4185B"/>
              <w:right w:val="nil"/>
            </w:tcBorders>
            <w:shd w:val="clear" w:color="000000" w:fill="F3E3EA"/>
            <w:hideMark/>
          </w:tcPr>
          <w:p w14:paraId="06C25D09" w14:textId="77777777" w:rsidR="005909F8" w:rsidRPr="000E1B7E" w:rsidRDefault="005909F8" w:rsidP="005959B5">
            <w:pPr>
              <w:jc w:val="both"/>
              <w:rPr>
                <w:color w:val="000000"/>
                <w:sz w:val="20"/>
                <w:szCs w:val="20"/>
                <w:lang w:val="en-US"/>
              </w:rPr>
            </w:pPr>
            <w:r w:rsidRPr="000E1B7E">
              <w:rPr>
                <w:color w:val="000000"/>
                <w:sz w:val="20"/>
                <w:szCs w:val="20"/>
                <w:lang w:val="en-US"/>
              </w:rPr>
              <w:t>a. A total of 13,107 projects have been financed by the YLP benefiting 163,130 youth of which 45% are females.</w:t>
            </w:r>
            <w:r w:rsidRPr="000E1B7E">
              <w:rPr>
                <w:color w:val="000000"/>
                <w:sz w:val="20"/>
                <w:szCs w:val="20"/>
                <w:lang w:val="en-US"/>
              </w:rPr>
              <w:br/>
              <w:t>b. Over 160,000 jobs have been created.</w:t>
            </w:r>
            <w:r w:rsidRPr="000E1B7E">
              <w:rPr>
                <w:color w:val="000000"/>
                <w:sz w:val="20"/>
                <w:szCs w:val="20"/>
                <w:lang w:val="en-US"/>
              </w:rPr>
              <w:br/>
              <w:t>c. Since the commencement of the programme, Shs16.460Billion has been repaid which represents 67% of the total amount paid.</w:t>
            </w:r>
          </w:p>
        </w:tc>
      </w:tr>
      <w:tr w:rsidR="005909F8" w:rsidRPr="000E1B7E" w14:paraId="45A49470" w14:textId="77777777" w:rsidTr="00735250">
        <w:trPr>
          <w:trHeight w:val="1610"/>
        </w:trPr>
        <w:tc>
          <w:tcPr>
            <w:tcW w:w="1840" w:type="dxa"/>
            <w:tcBorders>
              <w:top w:val="nil"/>
              <w:left w:val="single" w:sz="4" w:space="0" w:color="A4185B"/>
              <w:bottom w:val="single" w:sz="4" w:space="0" w:color="A4185B"/>
              <w:right w:val="nil"/>
            </w:tcBorders>
            <w:shd w:val="clear" w:color="000000" w:fill="F3E3EA"/>
            <w:vAlign w:val="center"/>
            <w:hideMark/>
          </w:tcPr>
          <w:p w14:paraId="35ABCDEC" w14:textId="77777777" w:rsidR="005909F8" w:rsidRPr="000E1B7E" w:rsidRDefault="005909F8" w:rsidP="005959B5">
            <w:pPr>
              <w:jc w:val="both"/>
              <w:rPr>
                <w:sz w:val="20"/>
                <w:szCs w:val="20"/>
                <w:lang w:val="en-US"/>
              </w:rPr>
            </w:pPr>
            <w:r w:rsidRPr="000E1B7E">
              <w:rPr>
                <w:sz w:val="20"/>
                <w:szCs w:val="20"/>
                <w:lang w:val="en-US"/>
              </w:rPr>
              <w:lastRenderedPageBreak/>
              <w:t>Comprehensive Skills Development Project</w:t>
            </w:r>
          </w:p>
        </w:tc>
        <w:tc>
          <w:tcPr>
            <w:tcW w:w="5645" w:type="dxa"/>
            <w:tcBorders>
              <w:top w:val="nil"/>
              <w:left w:val="single" w:sz="4" w:space="0" w:color="A4185B"/>
              <w:bottom w:val="single" w:sz="4" w:space="0" w:color="A4185B"/>
              <w:right w:val="nil"/>
            </w:tcBorders>
            <w:shd w:val="clear" w:color="000000" w:fill="F3E3EA"/>
            <w:vAlign w:val="center"/>
            <w:hideMark/>
          </w:tcPr>
          <w:p w14:paraId="1B079F58" w14:textId="77777777" w:rsidR="005909F8" w:rsidRPr="000E1B7E" w:rsidRDefault="005909F8" w:rsidP="005959B5">
            <w:pPr>
              <w:jc w:val="both"/>
              <w:rPr>
                <w:sz w:val="20"/>
                <w:szCs w:val="20"/>
                <w:lang w:val="en-US"/>
              </w:rPr>
            </w:pPr>
            <w:r w:rsidRPr="000E1B7E">
              <w:rPr>
                <w:sz w:val="20"/>
                <w:szCs w:val="20"/>
                <w:lang w:val="en-US"/>
              </w:rPr>
              <w:t>To improve the regionally located technical colleges into centres of excellence.</w:t>
            </w:r>
          </w:p>
        </w:tc>
        <w:tc>
          <w:tcPr>
            <w:tcW w:w="5760" w:type="dxa"/>
            <w:tcBorders>
              <w:top w:val="nil"/>
              <w:left w:val="single" w:sz="4" w:space="0" w:color="A4185B"/>
              <w:bottom w:val="single" w:sz="4" w:space="0" w:color="A4185B"/>
              <w:right w:val="nil"/>
            </w:tcBorders>
            <w:shd w:val="clear" w:color="000000" w:fill="F3E3EA"/>
            <w:hideMark/>
          </w:tcPr>
          <w:p w14:paraId="0E78A6D3" w14:textId="77777777" w:rsidR="005909F8" w:rsidRPr="000E1B7E" w:rsidRDefault="005909F8" w:rsidP="005959B5">
            <w:pPr>
              <w:jc w:val="both"/>
              <w:rPr>
                <w:color w:val="000000"/>
                <w:sz w:val="20"/>
                <w:szCs w:val="20"/>
                <w:lang w:val="en-US"/>
              </w:rPr>
            </w:pPr>
            <w:r w:rsidRPr="000E1B7E">
              <w:rPr>
                <w:color w:val="000000"/>
                <w:sz w:val="20"/>
                <w:szCs w:val="20"/>
                <w:lang w:val="en-US"/>
              </w:rPr>
              <w:t>a. Commissioned a National Teachers College in Kole District at Abilonino</w:t>
            </w:r>
            <w:r w:rsidRPr="000E1B7E">
              <w:rPr>
                <w:color w:val="000000"/>
                <w:sz w:val="20"/>
                <w:szCs w:val="20"/>
                <w:lang w:val="en-US"/>
              </w:rPr>
              <w:br/>
              <w:t>b. Private Sector foundation Uganda (PSFU), through Skills Development Facility (SDF), signed agreements with 23 companies to offer internship to equip 884 students from over 30 public and private technical and vocational training institutes with relevant skills.</w:t>
            </w:r>
            <w:r w:rsidRPr="000E1B7E">
              <w:rPr>
                <w:color w:val="000000"/>
                <w:sz w:val="20"/>
                <w:szCs w:val="20"/>
                <w:lang w:val="en-US"/>
              </w:rPr>
              <w:br/>
              <w:t>c. Completed rehabilitation works at UTC Kyema; rehabilitation and expansion works at Ahmed Seguya TI; and, construction of walk ways and a dining hall at Nakawa VTI.</w:t>
            </w:r>
          </w:p>
        </w:tc>
      </w:tr>
      <w:tr w:rsidR="005909F8" w:rsidRPr="000E1B7E" w14:paraId="5AC51313" w14:textId="77777777" w:rsidTr="00735250">
        <w:trPr>
          <w:trHeight w:val="890"/>
        </w:trPr>
        <w:tc>
          <w:tcPr>
            <w:tcW w:w="1840" w:type="dxa"/>
            <w:tcBorders>
              <w:top w:val="nil"/>
              <w:left w:val="single" w:sz="4" w:space="0" w:color="A4185B"/>
              <w:bottom w:val="single" w:sz="4" w:space="0" w:color="A4185B"/>
              <w:right w:val="nil"/>
            </w:tcBorders>
            <w:shd w:val="clear" w:color="auto" w:fill="auto"/>
            <w:vAlign w:val="center"/>
            <w:hideMark/>
          </w:tcPr>
          <w:p w14:paraId="55DF77D5" w14:textId="77777777" w:rsidR="005909F8" w:rsidRPr="000E1B7E" w:rsidRDefault="005909F8" w:rsidP="005959B5">
            <w:pPr>
              <w:jc w:val="both"/>
              <w:rPr>
                <w:sz w:val="20"/>
                <w:szCs w:val="20"/>
                <w:lang w:val="en-US"/>
              </w:rPr>
            </w:pPr>
            <w:r w:rsidRPr="000E1B7E">
              <w:rPr>
                <w:sz w:val="20"/>
                <w:szCs w:val="20"/>
                <w:lang w:val="en-US"/>
              </w:rPr>
              <w:t>Renovation of 25 Selected General Hospitals</w:t>
            </w:r>
          </w:p>
        </w:tc>
        <w:tc>
          <w:tcPr>
            <w:tcW w:w="5645" w:type="dxa"/>
            <w:tcBorders>
              <w:top w:val="nil"/>
              <w:left w:val="single" w:sz="4" w:space="0" w:color="A4185B"/>
              <w:bottom w:val="single" w:sz="4" w:space="0" w:color="A4185B"/>
              <w:right w:val="nil"/>
            </w:tcBorders>
            <w:shd w:val="clear" w:color="auto" w:fill="auto"/>
            <w:vAlign w:val="center"/>
            <w:hideMark/>
          </w:tcPr>
          <w:p w14:paraId="79051CD6" w14:textId="77777777" w:rsidR="005909F8" w:rsidRPr="000E1B7E" w:rsidRDefault="005909F8" w:rsidP="005959B5">
            <w:pPr>
              <w:jc w:val="both"/>
              <w:rPr>
                <w:sz w:val="20"/>
                <w:szCs w:val="20"/>
                <w:lang w:val="en-US"/>
              </w:rPr>
            </w:pPr>
            <w:r w:rsidRPr="000E1B7E">
              <w:rPr>
                <w:sz w:val="20"/>
                <w:szCs w:val="20"/>
                <w:lang w:val="en-US"/>
              </w:rPr>
              <w:t>To improve access to healthcare by rehabilitating 25 general hospitals across the country.</w:t>
            </w:r>
          </w:p>
        </w:tc>
        <w:tc>
          <w:tcPr>
            <w:tcW w:w="5760" w:type="dxa"/>
            <w:tcBorders>
              <w:top w:val="nil"/>
              <w:left w:val="single" w:sz="4" w:space="0" w:color="A4185B"/>
              <w:bottom w:val="single" w:sz="4" w:space="0" w:color="A4185B"/>
              <w:right w:val="nil"/>
            </w:tcBorders>
            <w:shd w:val="clear" w:color="auto" w:fill="auto"/>
            <w:hideMark/>
          </w:tcPr>
          <w:p w14:paraId="5430449D" w14:textId="77777777" w:rsidR="005909F8" w:rsidRPr="000E1B7E" w:rsidRDefault="005909F8" w:rsidP="005959B5">
            <w:pPr>
              <w:jc w:val="both"/>
              <w:rPr>
                <w:color w:val="000000"/>
                <w:sz w:val="20"/>
                <w:szCs w:val="20"/>
                <w:lang w:val="en-US"/>
              </w:rPr>
            </w:pPr>
            <w:r w:rsidRPr="000E1B7E">
              <w:rPr>
                <w:color w:val="000000"/>
                <w:sz w:val="20"/>
                <w:szCs w:val="20"/>
                <w:lang w:val="en-US"/>
              </w:rPr>
              <w:t>a. Out of the 25 general hospitals expected to be rehabilitated, 21 were supported with funds for expansion and renovation and these include; Adjumani, Kitgum, Kabarole, Kiboga, Kapchorwa, Pallisa, Itojo, Kitagata, Bugiri, Atutur, Apac, Abim, Bundibugyo , Kaberamaido, Masindi, Kagadi, Kambuga, Tororo, Gombe, Bududa  and Kaabong.</w:t>
            </w:r>
          </w:p>
        </w:tc>
      </w:tr>
      <w:tr w:rsidR="005909F8" w:rsidRPr="000E1B7E" w14:paraId="738C48B7" w14:textId="77777777" w:rsidTr="00735250">
        <w:trPr>
          <w:trHeight w:val="1223"/>
        </w:trPr>
        <w:tc>
          <w:tcPr>
            <w:tcW w:w="1840" w:type="dxa"/>
            <w:tcBorders>
              <w:top w:val="nil"/>
              <w:left w:val="single" w:sz="4" w:space="0" w:color="A4185B"/>
              <w:bottom w:val="single" w:sz="4" w:space="0" w:color="A4185B"/>
              <w:right w:val="nil"/>
            </w:tcBorders>
            <w:shd w:val="clear" w:color="000000" w:fill="F3E3EA"/>
            <w:vAlign w:val="center"/>
            <w:hideMark/>
          </w:tcPr>
          <w:p w14:paraId="5579AA26" w14:textId="77777777" w:rsidR="005909F8" w:rsidRPr="000E1B7E" w:rsidRDefault="005909F8" w:rsidP="005959B5">
            <w:pPr>
              <w:jc w:val="both"/>
              <w:rPr>
                <w:sz w:val="20"/>
                <w:szCs w:val="20"/>
                <w:lang w:val="en-US"/>
              </w:rPr>
            </w:pPr>
            <w:r w:rsidRPr="000E1B7E">
              <w:rPr>
                <w:sz w:val="20"/>
                <w:szCs w:val="20"/>
                <w:lang w:val="en-US"/>
              </w:rPr>
              <w:t>Mass treatment of malaria for prevention</w:t>
            </w:r>
          </w:p>
        </w:tc>
        <w:tc>
          <w:tcPr>
            <w:tcW w:w="5645" w:type="dxa"/>
            <w:tcBorders>
              <w:top w:val="nil"/>
              <w:left w:val="single" w:sz="4" w:space="0" w:color="A4185B"/>
              <w:bottom w:val="single" w:sz="4" w:space="0" w:color="A4185B"/>
              <w:right w:val="nil"/>
            </w:tcBorders>
            <w:shd w:val="clear" w:color="000000" w:fill="F3E3EA"/>
            <w:vAlign w:val="center"/>
            <w:hideMark/>
          </w:tcPr>
          <w:p w14:paraId="37816360" w14:textId="77777777" w:rsidR="005909F8" w:rsidRPr="000E1B7E" w:rsidRDefault="005909F8" w:rsidP="005959B5">
            <w:pPr>
              <w:jc w:val="both"/>
              <w:rPr>
                <w:sz w:val="20"/>
                <w:szCs w:val="20"/>
                <w:lang w:val="en-US"/>
              </w:rPr>
            </w:pPr>
            <w:r w:rsidRPr="000E1B7E">
              <w:rPr>
                <w:sz w:val="20"/>
                <w:szCs w:val="20"/>
                <w:lang w:val="en-US"/>
              </w:rPr>
              <w:t>To provide quality assured services for Malaria prevention and treatment to all people in Uganda.</w:t>
            </w:r>
          </w:p>
        </w:tc>
        <w:tc>
          <w:tcPr>
            <w:tcW w:w="5760" w:type="dxa"/>
            <w:tcBorders>
              <w:top w:val="nil"/>
              <w:left w:val="single" w:sz="4" w:space="0" w:color="A4185B"/>
              <w:bottom w:val="single" w:sz="4" w:space="0" w:color="A4185B"/>
              <w:right w:val="nil"/>
            </w:tcBorders>
            <w:shd w:val="clear" w:color="000000" w:fill="F3E3EA"/>
            <w:hideMark/>
          </w:tcPr>
          <w:p w14:paraId="79CE1F1B" w14:textId="77777777" w:rsidR="005909F8" w:rsidRPr="000E1B7E" w:rsidRDefault="005909F8" w:rsidP="005959B5">
            <w:pPr>
              <w:jc w:val="both"/>
              <w:rPr>
                <w:color w:val="000000"/>
                <w:sz w:val="20"/>
                <w:szCs w:val="20"/>
                <w:lang w:val="en-US"/>
              </w:rPr>
            </w:pPr>
            <w:r w:rsidRPr="000E1B7E">
              <w:rPr>
                <w:color w:val="000000"/>
                <w:sz w:val="20"/>
                <w:szCs w:val="20"/>
                <w:lang w:val="en-US"/>
              </w:rPr>
              <w:t>a. The six wave “chase malaria” campaign commenced in 2017. By March 2018, all six waves had been completed with over 38 million Ugandans receiving mosquito nets.</w:t>
            </w:r>
            <w:r w:rsidRPr="000E1B7E">
              <w:rPr>
                <w:color w:val="000000"/>
                <w:sz w:val="20"/>
                <w:szCs w:val="20"/>
                <w:lang w:val="en-US"/>
              </w:rPr>
              <w:br/>
              <w:t>b.  The campaign is intended to reduce malaria morbidity and mortality through achieving universal coverage with Long Lasting Insecticide-treated Mosquito Nets (LLINs) as the country reaches thepre-elimination phase.</w:t>
            </w:r>
          </w:p>
        </w:tc>
      </w:tr>
    </w:tbl>
    <w:p w14:paraId="67CE82B3" w14:textId="77777777" w:rsidR="005909F8" w:rsidRPr="000E1B7E" w:rsidRDefault="005909F8" w:rsidP="005959B5">
      <w:pPr>
        <w:jc w:val="both"/>
      </w:pPr>
    </w:p>
    <w:p w14:paraId="7878EE5B" w14:textId="77777777" w:rsidR="009D5CE2" w:rsidRPr="000E1B7E" w:rsidRDefault="009D5CE2" w:rsidP="005959B5">
      <w:pPr>
        <w:jc w:val="both"/>
        <w:sectPr w:rsidR="009D5CE2" w:rsidRPr="000E1B7E" w:rsidSect="005909F8">
          <w:pgSz w:w="16838" w:h="11906" w:orient="landscape"/>
          <w:pgMar w:top="1440" w:right="1440" w:bottom="1440" w:left="1440" w:header="706" w:footer="706" w:gutter="0"/>
          <w:cols w:space="708"/>
          <w:docGrid w:linePitch="360"/>
        </w:sectPr>
      </w:pPr>
    </w:p>
    <w:p w14:paraId="525D1763" w14:textId="77777777" w:rsidR="009D5CE2" w:rsidRPr="000E1B7E" w:rsidRDefault="002075C8" w:rsidP="00C044D4">
      <w:pPr>
        <w:pStyle w:val="Heading2"/>
      </w:pPr>
      <w:bookmarkStart w:id="168" w:name="_Toc3478406"/>
      <w:bookmarkStart w:id="169" w:name="_Toc11956286"/>
      <w:r w:rsidRPr="000E1B7E">
        <w:lastRenderedPageBreak/>
        <w:t>Append</w:t>
      </w:r>
      <w:r w:rsidR="00514856" w:rsidRPr="000E1B7E">
        <w:t>ix 3</w:t>
      </w:r>
      <w:r w:rsidR="009D5CE2" w:rsidRPr="000E1B7E">
        <w:t>: Implementation progress of National roads under rehabilitation/meintanence</w:t>
      </w:r>
      <w:bookmarkEnd w:id="168"/>
      <w:bookmarkEnd w:id="169"/>
    </w:p>
    <w:tbl>
      <w:tblPr>
        <w:tblW w:w="13875" w:type="dxa"/>
        <w:tblInd w:w="93" w:type="dxa"/>
        <w:tblLook w:val="04A0" w:firstRow="1" w:lastRow="0" w:firstColumn="1" w:lastColumn="0" w:noHBand="0" w:noVBand="1"/>
      </w:tblPr>
      <w:tblGrid>
        <w:gridCol w:w="560"/>
        <w:gridCol w:w="9805"/>
        <w:gridCol w:w="1820"/>
        <w:gridCol w:w="1690"/>
      </w:tblGrid>
      <w:tr w:rsidR="009D5CE2" w:rsidRPr="000E1B7E" w14:paraId="25E8B21C" w14:textId="77777777" w:rsidTr="00762261">
        <w:trPr>
          <w:trHeight w:val="510"/>
          <w:tblHeader/>
        </w:trPr>
        <w:tc>
          <w:tcPr>
            <w:tcW w:w="560" w:type="dxa"/>
            <w:tcBorders>
              <w:top w:val="nil"/>
              <w:left w:val="nil"/>
              <w:bottom w:val="nil"/>
              <w:right w:val="nil"/>
            </w:tcBorders>
            <w:shd w:val="clear" w:color="000000" w:fill="A4185B"/>
            <w:hideMark/>
          </w:tcPr>
          <w:p w14:paraId="58571465" w14:textId="77777777" w:rsidR="009D5CE2" w:rsidRPr="000E1B7E" w:rsidRDefault="009D5CE2" w:rsidP="005959B5">
            <w:pPr>
              <w:jc w:val="both"/>
              <w:rPr>
                <w:color w:val="000000"/>
                <w:sz w:val="20"/>
                <w:szCs w:val="20"/>
                <w:lang w:val="en-US"/>
              </w:rPr>
            </w:pPr>
            <w:r w:rsidRPr="000E1B7E">
              <w:rPr>
                <w:color w:val="000000"/>
                <w:sz w:val="20"/>
                <w:szCs w:val="20"/>
                <w:lang w:val="en-US"/>
              </w:rPr>
              <w:t>S/N</w:t>
            </w:r>
          </w:p>
        </w:tc>
        <w:tc>
          <w:tcPr>
            <w:tcW w:w="9805" w:type="dxa"/>
            <w:tcBorders>
              <w:top w:val="nil"/>
              <w:left w:val="nil"/>
              <w:bottom w:val="nil"/>
              <w:right w:val="nil"/>
            </w:tcBorders>
            <w:shd w:val="clear" w:color="000000" w:fill="A4185B"/>
            <w:hideMark/>
          </w:tcPr>
          <w:p w14:paraId="1FB641F5" w14:textId="77777777" w:rsidR="009D5CE2" w:rsidRPr="000E1B7E" w:rsidRDefault="009D5CE2" w:rsidP="005959B5">
            <w:pPr>
              <w:jc w:val="both"/>
              <w:rPr>
                <w:color w:val="000000"/>
                <w:sz w:val="20"/>
                <w:szCs w:val="20"/>
                <w:lang w:val="en-US"/>
              </w:rPr>
            </w:pPr>
            <w:r w:rsidRPr="000E1B7E">
              <w:rPr>
                <w:color w:val="000000"/>
                <w:sz w:val="20"/>
                <w:szCs w:val="20"/>
                <w:lang w:val="en-US"/>
              </w:rPr>
              <w:t>Road project / contract name</w:t>
            </w:r>
          </w:p>
        </w:tc>
        <w:tc>
          <w:tcPr>
            <w:tcW w:w="1820" w:type="dxa"/>
            <w:tcBorders>
              <w:top w:val="nil"/>
              <w:left w:val="nil"/>
              <w:bottom w:val="nil"/>
              <w:right w:val="nil"/>
            </w:tcBorders>
            <w:shd w:val="clear" w:color="000000" w:fill="A4185B"/>
            <w:hideMark/>
          </w:tcPr>
          <w:p w14:paraId="2E0D109F" w14:textId="77777777" w:rsidR="009D5CE2" w:rsidRPr="000E1B7E" w:rsidRDefault="009D5CE2" w:rsidP="005959B5">
            <w:pPr>
              <w:jc w:val="both"/>
              <w:rPr>
                <w:color w:val="000000"/>
                <w:sz w:val="20"/>
                <w:szCs w:val="20"/>
                <w:lang w:val="en-US"/>
              </w:rPr>
            </w:pPr>
            <w:r w:rsidRPr="000E1B7E">
              <w:rPr>
                <w:color w:val="000000"/>
                <w:sz w:val="20"/>
                <w:szCs w:val="20"/>
                <w:lang w:val="en-US"/>
              </w:rPr>
              <w:t>Progress to date - planned - %</w:t>
            </w:r>
          </w:p>
        </w:tc>
        <w:tc>
          <w:tcPr>
            <w:tcW w:w="1690" w:type="dxa"/>
            <w:tcBorders>
              <w:top w:val="nil"/>
              <w:left w:val="nil"/>
              <w:bottom w:val="nil"/>
              <w:right w:val="nil"/>
            </w:tcBorders>
            <w:shd w:val="clear" w:color="000000" w:fill="A4185B"/>
            <w:hideMark/>
          </w:tcPr>
          <w:p w14:paraId="46437B94" w14:textId="77777777" w:rsidR="009D5CE2" w:rsidRPr="000E1B7E" w:rsidRDefault="009D5CE2" w:rsidP="005959B5">
            <w:pPr>
              <w:jc w:val="both"/>
              <w:rPr>
                <w:color w:val="000000"/>
                <w:sz w:val="20"/>
                <w:szCs w:val="20"/>
                <w:lang w:val="en-US"/>
              </w:rPr>
            </w:pPr>
            <w:r w:rsidRPr="000E1B7E">
              <w:rPr>
                <w:color w:val="000000"/>
                <w:sz w:val="20"/>
                <w:szCs w:val="20"/>
                <w:lang w:val="en-US"/>
              </w:rPr>
              <w:t>Progress to date - actual - %</w:t>
            </w:r>
          </w:p>
        </w:tc>
      </w:tr>
      <w:tr w:rsidR="009D5CE2" w:rsidRPr="000E1B7E" w14:paraId="4A8F9201" w14:textId="77777777" w:rsidTr="009D5CE2">
        <w:trPr>
          <w:trHeight w:val="255"/>
        </w:trPr>
        <w:tc>
          <w:tcPr>
            <w:tcW w:w="560" w:type="dxa"/>
            <w:tcBorders>
              <w:top w:val="single" w:sz="4" w:space="0" w:color="A4185B"/>
              <w:left w:val="single" w:sz="4" w:space="0" w:color="A4185B"/>
              <w:bottom w:val="single" w:sz="4" w:space="0" w:color="A4185B"/>
              <w:right w:val="single" w:sz="4" w:space="0" w:color="A4185B"/>
            </w:tcBorders>
            <w:shd w:val="clear" w:color="000000" w:fill="F3E3EA"/>
            <w:noWrap/>
            <w:hideMark/>
          </w:tcPr>
          <w:p w14:paraId="6B05B1BD" w14:textId="77777777" w:rsidR="009D5CE2" w:rsidRPr="000E1B7E" w:rsidRDefault="009D5CE2" w:rsidP="005959B5">
            <w:pPr>
              <w:jc w:val="both"/>
              <w:rPr>
                <w:color w:val="000000"/>
                <w:sz w:val="20"/>
                <w:szCs w:val="20"/>
                <w:lang w:val="en-US"/>
              </w:rPr>
            </w:pPr>
            <w:r w:rsidRPr="000E1B7E">
              <w:rPr>
                <w:color w:val="000000"/>
                <w:sz w:val="20"/>
                <w:szCs w:val="20"/>
                <w:lang w:val="en-US"/>
              </w:rPr>
              <w:t>1</w:t>
            </w:r>
          </w:p>
        </w:tc>
        <w:tc>
          <w:tcPr>
            <w:tcW w:w="9805" w:type="dxa"/>
            <w:tcBorders>
              <w:top w:val="single" w:sz="4" w:space="0" w:color="A4185B"/>
              <w:left w:val="nil"/>
              <w:bottom w:val="single" w:sz="4" w:space="0" w:color="A4185B"/>
              <w:right w:val="nil"/>
            </w:tcBorders>
            <w:shd w:val="clear" w:color="000000" w:fill="F3E3EA"/>
            <w:hideMark/>
          </w:tcPr>
          <w:p w14:paraId="54808A22" w14:textId="77777777" w:rsidR="009D5CE2" w:rsidRPr="000E1B7E" w:rsidRDefault="009D5CE2" w:rsidP="005959B5">
            <w:pPr>
              <w:jc w:val="both"/>
              <w:rPr>
                <w:sz w:val="20"/>
                <w:szCs w:val="20"/>
                <w:lang w:val="en-US"/>
              </w:rPr>
            </w:pPr>
            <w:r w:rsidRPr="000E1B7E">
              <w:rPr>
                <w:sz w:val="20"/>
                <w:szCs w:val="20"/>
                <w:lang w:val="en-US"/>
              </w:rPr>
              <w:t>Kibuye - Zana - Entebbe Airport (37Km)</w:t>
            </w:r>
          </w:p>
        </w:tc>
        <w:tc>
          <w:tcPr>
            <w:tcW w:w="1820" w:type="dxa"/>
            <w:tcBorders>
              <w:top w:val="single" w:sz="4" w:space="0" w:color="A4185B"/>
              <w:left w:val="single" w:sz="4" w:space="0" w:color="A4185B"/>
              <w:bottom w:val="single" w:sz="4" w:space="0" w:color="A4185B"/>
              <w:right w:val="single" w:sz="4" w:space="0" w:color="A4185B"/>
            </w:tcBorders>
            <w:shd w:val="clear" w:color="000000" w:fill="F3E3EA"/>
            <w:noWrap/>
            <w:hideMark/>
          </w:tcPr>
          <w:p w14:paraId="62401889" w14:textId="77777777" w:rsidR="009D5CE2" w:rsidRPr="000E1B7E" w:rsidRDefault="009D5CE2" w:rsidP="005959B5">
            <w:pPr>
              <w:jc w:val="both"/>
              <w:rPr>
                <w:color w:val="000000"/>
                <w:sz w:val="20"/>
                <w:szCs w:val="20"/>
                <w:lang w:val="en-US"/>
              </w:rPr>
            </w:pPr>
            <w:r w:rsidRPr="000E1B7E">
              <w:rPr>
                <w:color w:val="000000"/>
                <w:sz w:val="20"/>
                <w:szCs w:val="20"/>
                <w:lang w:val="en-US"/>
              </w:rPr>
              <w:t>97.2</w:t>
            </w:r>
          </w:p>
        </w:tc>
        <w:tc>
          <w:tcPr>
            <w:tcW w:w="1690" w:type="dxa"/>
            <w:tcBorders>
              <w:top w:val="single" w:sz="4" w:space="0" w:color="A4185B"/>
              <w:left w:val="nil"/>
              <w:bottom w:val="single" w:sz="4" w:space="0" w:color="A4185B"/>
              <w:right w:val="single" w:sz="4" w:space="0" w:color="A4185B"/>
            </w:tcBorders>
            <w:shd w:val="clear" w:color="000000" w:fill="F3E3EA"/>
            <w:noWrap/>
            <w:hideMark/>
          </w:tcPr>
          <w:p w14:paraId="4FFA25F9" w14:textId="77777777" w:rsidR="009D5CE2" w:rsidRPr="000E1B7E" w:rsidRDefault="009D5CE2" w:rsidP="005959B5">
            <w:pPr>
              <w:jc w:val="both"/>
              <w:rPr>
                <w:color w:val="000000"/>
                <w:sz w:val="20"/>
                <w:szCs w:val="20"/>
                <w:lang w:val="en-US"/>
              </w:rPr>
            </w:pPr>
            <w:r w:rsidRPr="000E1B7E">
              <w:rPr>
                <w:color w:val="000000"/>
                <w:sz w:val="20"/>
                <w:szCs w:val="20"/>
                <w:lang w:val="en-US"/>
              </w:rPr>
              <w:t>97.8</w:t>
            </w:r>
          </w:p>
        </w:tc>
      </w:tr>
      <w:tr w:rsidR="009D5CE2" w:rsidRPr="000E1B7E" w14:paraId="2431EE2E" w14:textId="77777777" w:rsidTr="009D5CE2">
        <w:trPr>
          <w:trHeight w:val="413"/>
        </w:trPr>
        <w:tc>
          <w:tcPr>
            <w:tcW w:w="560" w:type="dxa"/>
            <w:tcBorders>
              <w:top w:val="nil"/>
              <w:left w:val="single" w:sz="4" w:space="0" w:color="A4185B"/>
              <w:bottom w:val="single" w:sz="4" w:space="0" w:color="A4185B"/>
              <w:right w:val="single" w:sz="4" w:space="0" w:color="A4185B"/>
            </w:tcBorders>
            <w:shd w:val="clear" w:color="auto" w:fill="auto"/>
            <w:noWrap/>
            <w:vAlign w:val="center"/>
            <w:hideMark/>
          </w:tcPr>
          <w:p w14:paraId="00E11452" w14:textId="77777777" w:rsidR="009D5CE2" w:rsidRPr="000E1B7E" w:rsidRDefault="009D5CE2" w:rsidP="005959B5">
            <w:pPr>
              <w:jc w:val="both"/>
              <w:rPr>
                <w:color w:val="000000"/>
                <w:sz w:val="20"/>
                <w:szCs w:val="20"/>
                <w:lang w:val="en-US"/>
              </w:rPr>
            </w:pPr>
            <w:r w:rsidRPr="000E1B7E">
              <w:rPr>
                <w:color w:val="000000"/>
                <w:sz w:val="20"/>
                <w:szCs w:val="20"/>
                <w:lang w:val="en-US"/>
              </w:rPr>
              <w:t>2</w:t>
            </w:r>
          </w:p>
        </w:tc>
        <w:tc>
          <w:tcPr>
            <w:tcW w:w="9805" w:type="dxa"/>
            <w:tcBorders>
              <w:top w:val="nil"/>
              <w:left w:val="nil"/>
              <w:bottom w:val="single" w:sz="4" w:space="0" w:color="A4185B"/>
              <w:right w:val="nil"/>
            </w:tcBorders>
            <w:shd w:val="clear" w:color="auto" w:fill="auto"/>
            <w:hideMark/>
          </w:tcPr>
          <w:p w14:paraId="55D54D1A" w14:textId="77777777" w:rsidR="009D5CE2" w:rsidRPr="000E1B7E" w:rsidRDefault="009D5CE2" w:rsidP="005959B5">
            <w:pPr>
              <w:jc w:val="both"/>
              <w:rPr>
                <w:sz w:val="20"/>
                <w:szCs w:val="20"/>
                <w:lang w:val="en-US"/>
              </w:rPr>
            </w:pPr>
            <w:r w:rsidRPr="000E1B7E">
              <w:rPr>
                <w:sz w:val="20"/>
                <w:szCs w:val="20"/>
                <w:lang w:val="en-US"/>
              </w:rPr>
              <w:t>Kitala – Gerenge (10kms), Natete - Nakawuka – Kisubi (29.5kms) Nakawuka – Kasanje (9.5kms) and Misindye - Bukerere - Kiyunga - Nakibona -  Namalili (38.6kms)</w:t>
            </w:r>
          </w:p>
        </w:tc>
        <w:tc>
          <w:tcPr>
            <w:tcW w:w="1820" w:type="dxa"/>
            <w:tcBorders>
              <w:top w:val="nil"/>
              <w:left w:val="single" w:sz="4" w:space="0" w:color="A4185B"/>
              <w:bottom w:val="single" w:sz="4" w:space="0" w:color="A4185B"/>
              <w:right w:val="single" w:sz="4" w:space="0" w:color="A4185B"/>
            </w:tcBorders>
            <w:shd w:val="clear" w:color="auto" w:fill="auto"/>
            <w:noWrap/>
            <w:vAlign w:val="center"/>
            <w:hideMark/>
          </w:tcPr>
          <w:p w14:paraId="72FBCAF1" w14:textId="77777777" w:rsidR="009D5CE2" w:rsidRPr="000E1B7E" w:rsidRDefault="009D5CE2" w:rsidP="005959B5">
            <w:pPr>
              <w:jc w:val="both"/>
              <w:rPr>
                <w:color w:val="000000"/>
                <w:sz w:val="20"/>
                <w:szCs w:val="20"/>
                <w:lang w:val="en-US"/>
              </w:rPr>
            </w:pPr>
            <w:r w:rsidRPr="000E1B7E">
              <w:rPr>
                <w:color w:val="000000"/>
                <w:sz w:val="20"/>
                <w:szCs w:val="20"/>
                <w:lang w:val="en-US"/>
              </w:rPr>
              <w:t>95.5</w:t>
            </w:r>
          </w:p>
        </w:tc>
        <w:tc>
          <w:tcPr>
            <w:tcW w:w="1690" w:type="dxa"/>
            <w:tcBorders>
              <w:top w:val="nil"/>
              <w:left w:val="nil"/>
              <w:bottom w:val="single" w:sz="4" w:space="0" w:color="A4185B"/>
              <w:right w:val="single" w:sz="4" w:space="0" w:color="A4185B"/>
            </w:tcBorders>
            <w:shd w:val="clear" w:color="auto" w:fill="auto"/>
            <w:noWrap/>
            <w:vAlign w:val="center"/>
            <w:hideMark/>
          </w:tcPr>
          <w:p w14:paraId="40A56574" w14:textId="77777777" w:rsidR="009D5CE2" w:rsidRPr="000E1B7E" w:rsidRDefault="009D5CE2" w:rsidP="005959B5">
            <w:pPr>
              <w:jc w:val="both"/>
              <w:rPr>
                <w:color w:val="000000"/>
                <w:sz w:val="20"/>
                <w:szCs w:val="20"/>
                <w:lang w:val="en-US"/>
              </w:rPr>
            </w:pPr>
            <w:r w:rsidRPr="000E1B7E">
              <w:rPr>
                <w:color w:val="000000"/>
                <w:sz w:val="20"/>
                <w:szCs w:val="20"/>
                <w:lang w:val="en-US"/>
              </w:rPr>
              <w:t>90.8</w:t>
            </w:r>
          </w:p>
        </w:tc>
      </w:tr>
      <w:tr w:rsidR="009D5CE2" w:rsidRPr="000E1B7E" w14:paraId="5D9ADBE1" w14:textId="77777777" w:rsidTr="009D5CE2">
        <w:trPr>
          <w:trHeight w:val="188"/>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2A8B28CA" w14:textId="77777777" w:rsidR="009D5CE2" w:rsidRPr="000E1B7E" w:rsidRDefault="009D5CE2" w:rsidP="005959B5">
            <w:pPr>
              <w:jc w:val="both"/>
              <w:rPr>
                <w:color w:val="000000"/>
                <w:sz w:val="20"/>
                <w:szCs w:val="20"/>
                <w:lang w:val="en-US"/>
              </w:rPr>
            </w:pPr>
            <w:r w:rsidRPr="000E1B7E">
              <w:rPr>
                <w:color w:val="000000"/>
                <w:sz w:val="20"/>
                <w:szCs w:val="20"/>
                <w:lang w:val="en-US"/>
              </w:rPr>
              <w:t>3</w:t>
            </w:r>
          </w:p>
        </w:tc>
        <w:tc>
          <w:tcPr>
            <w:tcW w:w="9805" w:type="dxa"/>
            <w:tcBorders>
              <w:top w:val="nil"/>
              <w:left w:val="nil"/>
              <w:bottom w:val="single" w:sz="4" w:space="0" w:color="A4185B"/>
              <w:right w:val="nil"/>
            </w:tcBorders>
            <w:shd w:val="clear" w:color="000000" w:fill="F3E3EA"/>
            <w:hideMark/>
          </w:tcPr>
          <w:p w14:paraId="37A88B33" w14:textId="77777777" w:rsidR="009D5CE2" w:rsidRPr="000E1B7E" w:rsidRDefault="009D5CE2" w:rsidP="005959B5">
            <w:pPr>
              <w:jc w:val="both"/>
              <w:rPr>
                <w:sz w:val="20"/>
                <w:szCs w:val="20"/>
                <w:lang w:val="en-US"/>
              </w:rPr>
            </w:pPr>
            <w:r w:rsidRPr="000E1B7E">
              <w:rPr>
                <w:sz w:val="20"/>
                <w:szCs w:val="20"/>
                <w:lang w:val="en-US"/>
              </w:rPr>
              <w:t>Kayunga – Baale (46kms), Baale – Galiraya (42.5kms) and Kayunga – Nabuganyi (20kms)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57F0F7BF" w14:textId="77777777" w:rsidR="009D5CE2" w:rsidRPr="000E1B7E" w:rsidRDefault="009D5CE2" w:rsidP="005959B5">
            <w:pPr>
              <w:jc w:val="both"/>
              <w:rPr>
                <w:color w:val="000000"/>
                <w:sz w:val="20"/>
                <w:szCs w:val="20"/>
                <w:lang w:val="en-US"/>
              </w:rPr>
            </w:pPr>
            <w:r w:rsidRPr="000E1B7E">
              <w:rPr>
                <w:color w:val="000000"/>
                <w:sz w:val="20"/>
                <w:szCs w:val="20"/>
                <w:lang w:val="en-US"/>
              </w:rPr>
              <w:t>86.1</w:t>
            </w:r>
          </w:p>
        </w:tc>
        <w:tc>
          <w:tcPr>
            <w:tcW w:w="1690" w:type="dxa"/>
            <w:tcBorders>
              <w:top w:val="nil"/>
              <w:left w:val="nil"/>
              <w:bottom w:val="single" w:sz="4" w:space="0" w:color="A4185B"/>
              <w:right w:val="single" w:sz="4" w:space="0" w:color="A4185B"/>
            </w:tcBorders>
            <w:shd w:val="clear" w:color="000000" w:fill="F3E3EA"/>
            <w:noWrap/>
            <w:hideMark/>
          </w:tcPr>
          <w:p w14:paraId="525D3A85" w14:textId="77777777" w:rsidR="009D5CE2" w:rsidRPr="000E1B7E" w:rsidRDefault="009D5CE2" w:rsidP="005959B5">
            <w:pPr>
              <w:jc w:val="both"/>
              <w:rPr>
                <w:color w:val="000000"/>
                <w:sz w:val="20"/>
                <w:szCs w:val="20"/>
                <w:lang w:val="en-US"/>
              </w:rPr>
            </w:pPr>
            <w:r w:rsidRPr="000E1B7E">
              <w:rPr>
                <w:color w:val="000000"/>
                <w:sz w:val="20"/>
                <w:szCs w:val="20"/>
                <w:lang w:val="en-US"/>
              </w:rPr>
              <w:t>82</w:t>
            </w:r>
          </w:p>
        </w:tc>
      </w:tr>
      <w:tr w:rsidR="009D5CE2" w:rsidRPr="000E1B7E" w14:paraId="2E4D4EE3" w14:textId="77777777" w:rsidTr="009D5CE2">
        <w:trPr>
          <w:trHeight w:val="287"/>
        </w:trPr>
        <w:tc>
          <w:tcPr>
            <w:tcW w:w="560" w:type="dxa"/>
            <w:tcBorders>
              <w:top w:val="nil"/>
              <w:left w:val="single" w:sz="4" w:space="0" w:color="A4185B"/>
              <w:bottom w:val="single" w:sz="4" w:space="0" w:color="A4185B"/>
              <w:right w:val="single" w:sz="4" w:space="0" w:color="A4185B"/>
            </w:tcBorders>
            <w:shd w:val="clear" w:color="auto" w:fill="auto"/>
            <w:noWrap/>
            <w:hideMark/>
          </w:tcPr>
          <w:p w14:paraId="18F21F3B" w14:textId="77777777" w:rsidR="009D5CE2" w:rsidRPr="000E1B7E" w:rsidRDefault="009D5CE2" w:rsidP="005959B5">
            <w:pPr>
              <w:jc w:val="both"/>
              <w:rPr>
                <w:color w:val="000000"/>
                <w:sz w:val="20"/>
                <w:szCs w:val="20"/>
                <w:lang w:val="en-US"/>
              </w:rPr>
            </w:pPr>
            <w:r w:rsidRPr="000E1B7E">
              <w:rPr>
                <w:color w:val="000000"/>
                <w:sz w:val="20"/>
                <w:szCs w:val="20"/>
                <w:lang w:val="en-US"/>
              </w:rPr>
              <w:t>4</w:t>
            </w:r>
          </w:p>
        </w:tc>
        <w:tc>
          <w:tcPr>
            <w:tcW w:w="9805" w:type="dxa"/>
            <w:tcBorders>
              <w:top w:val="nil"/>
              <w:left w:val="nil"/>
              <w:bottom w:val="single" w:sz="4" w:space="0" w:color="A4185B"/>
              <w:right w:val="nil"/>
            </w:tcBorders>
            <w:shd w:val="clear" w:color="auto" w:fill="auto"/>
            <w:hideMark/>
          </w:tcPr>
          <w:p w14:paraId="1BA4E1C5" w14:textId="77777777" w:rsidR="009D5CE2" w:rsidRPr="000E1B7E" w:rsidRDefault="009D5CE2" w:rsidP="005959B5">
            <w:pPr>
              <w:jc w:val="both"/>
              <w:rPr>
                <w:sz w:val="20"/>
                <w:szCs w:val="20"/>
                <w:lang w:val="en-US"/>
              </w:rPr>
            </w:pPr>
            <w:r w:rsidRPr="000E1B7E">
              <w:rPr>
                <w:sz w:val="20"/>
                <w:szCs w:val="20"/>
                <w:lang w:val="en-US"/>
              </w:rPr>
              <w:t>Luweero- Kikyusa-Zirobwe(37km)&amp;Kisuule-Nakaseke-Kapee- ka-Busunju(51km) Roads</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F75F30C"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0AF9DAD8" w14:textId="77777777" w:rsidR="009D5CE2" w:rsidRPr="000E1B7E" w:rsidRDefault="009D5CE2" w:rsidP="005959B5">
            <w:pPr>
              <w:jc w:val="both"/>
              <w:rPr>
                <w:color w:val="000000"/>
                <w:sz w:val="20"/>
                <w:szCs w:val="20"/>
                <w:lang w:val="en-US"/>
              </w:rPr>
            </w:pPr>
            <w:r w:rsidRPr="000E1B7E">
              <w:rPr>
                <w:color w:val="000000"/>
                <w:sz w:val="20"/>
                <w:szCs w:val="20"/>
                <w:lang w:val="en-US"/>
              </w:rPr>
              <w:t>97.84</w:t>
            </w:r>
          </w:p>
        </w:tc>
      </w:tr>
      <w:tr w:rsidR="009D5CE2" w:rsidRPr="000E1B7E" w14:paraId="6397BC62" w14:textId="77777777" w:rsidTr="009D5CE2">
        <w:trPr>
          <w:trHeight w:val="620"/>
        </w:trPr>
        <w:tc>
          <w:tcPr>
            <w:tcW w:w="560" w:type="dxa"/>
            <w:tcBorders>
              <w:top w:val="nil"/>
              <w:left w:val="single" w:sz="4" w:space="0" w:color="A4185B"/>
              <w:bottom w:val="single" w:sz="4" w:space="0" w:color="A4185B"/>
              <w:right w:val="single" w:sz="4" w:space="0" w:color="A4185B"/>
            </w:tcBorders>
            <w:shd w:val="clear" w:color="000000" w:fill="F3E3EA"/>
            <w:noWrap/>
            <w:vAlign w:val="center"/>
            <w:hideMark/>
          </w:tcPr>
          <w:p w14:paraId="66D819B4" w14:textId="77777777" w:rsidR="009D5CE2" w:rsidRPr="000E1B7E" w:rsidRDefault="009D5CE2" w:rsidP="005959B5">
            <w:pPr>
              <w:jc w:val="both"/>
              <w:rPr>
                <w:color w:val="000000"/>
                <w:sz w:val="20"/>
                <w:szCs w:val="20"/>
                <w:lang w:val="en-US"/>
              </w:rPr>
            </w:pPr>
            <w:r w:rsidRPr="000E1B7E">
              <w:rPr>
                <w:color w:val="000000"/>
                <w:sz w:val="20"/>
                <w:szCs w:val="20"/>
                <w:lang w:val="en-US"/>
              </w:rPr>
              <w:t>5</w:t>
            </w:r>
          </w:p>
        </w:tc>
        <w:tc>
          <w:tcPr>
            <w:tcW w:w="9805" w:type="dxa"/>
            <w:tcBorders>
              <w:top w:val="nil"/>
              <w:left w:val="nil"/>
              <w:bottom w:val="single" w:sz="4" w:space="0" w:color="A4185B"/>
              <w:right w:val="nil"/>
            </w:tcBorders>
            <w:shd w:val="clear" w:color="000000" w:fill="F3E3EA"/>
            <w:hideMark/>
          </w:tcPr>
          <w:p w14:paraId="0B5EF3EC" w14:textId="77777777" w:rsidR="009D5CE2" w:rsidRPr="000E1B7E" w:rsidRDefault="009D5CE2" w:rsidP="005959B5">
            <w:pPr>
              <w:jc w:val="both"/>
              <w:rPr>
                <w:sz w:val="20"/>
                <w:szCs w:val="20"/>
                <w:lang w:val="en-US"/>
              </w:rPr>
            </w:pPr>
            <w:r w:rsidRPr="000E1B7E">
              <w:rPr>
                <w:sz w:val="20"/>
                <w:szCs w:val="20"/>
                <w:lang w:val="en-US"/>
              </w:rPr>
              <w:t>Term Maintenance of 48 selected National Roads -Phase v (21LOTS)- LOT02: Katuugo-Kinyogoga -Kaweweta(42km), Ngoma-Kinyogoga (27km), NgomaKasozi-Kyamukonda(31km) and Ngoma -Kyankwanzi (15km) Roads</w:t>
            </w:r>
          </w:p>
        </w:tc>
        <w:tc>
          <w:tcPr>
            <w:tcW w:w="1820" w:type="dxa"/>
            <w:tcBorders>
              <w:top w:val="nil"/>
              <w:left w:val="single" w:sz="4" w:space="0" w:color="A4185B"/>
              <w:bottom w:val="single" w:sz="4" w:space="0" w:color="A4185B"/>
              <w:right w:val="single" w:sz="4" w:space="0" w:color="A4185B"/>
            </w:tcBorders>
            <w:shd w:val="clear" w:color="000000" w:fill="F3E3EA"/>
            <w:noWrap/>
            <w:vAlign w:val="center"/>
            <w:hideMark/>
          </w:tcPr>
          <w:p w14:paraId="54C05CEE" w14:textId="77777777" w:rsidR="009D5CE2" w:rsidRPr="000E1B7E" w:rsidRDefault="009D5CE2" w:rsidP="005959B5">
            <w:pPr>
              <w:jc w:val="both"/>
              <w:rPr>
                <w:color w:val="000000"/>
                <w:sz w:val="20"/>
                <w:szCs w:val="20"/>
                <w:lang w:val="en-US"/>
              </w:rPr>
            </w:pPr>
            <w:r w:rsidRPr="000E1B7E">
              <w:rPr>
                <w:color w:val="000000"/>
                <w:sz w:val="20"/>
                <w:szCs w:val="20"/>
                <w:lang w:val="en-US"/>
              </w:rPr>
              <w:t>86.18</w:t>
            </w:r>
          </w:p>
        </w:tc>
        <w:tc>
          <w:tcPr>
            <w:tcW w:w="1690" w:type="dxa"/>
            <w:tcBorders>
              <w:top w:val="nil"/>
              <w:left w:val="nil"/>
              <w:bottom w:val="single" w:sz="4" w:space="0" w:color="A4185B"/>
              <w:right w:val="single" w:sz="4" w:space="0" w:color="A4185B"/>
            </w:tcBorders>
            <w:shd w:val="clear" w:color="000000" w:fill="F3E3EA"/>
            <w:noWrap/>
            <w:vAlign w:val="center"/>
            <w:hideMark/>
          </w:tcPr>
          <w:p w14:paraId="72B9F924" w14:textId="77777777" w:rsidR="009D5CE2" w:rsidRPr="000E1B7E" w:rsidRDefault="009D5CE2" w:rsidP="005959B5">
            <w:pPr>
              <w:jc w:val="both"/>
              <w:rPr>
                <w:color w:val="000000"/>
                <w:sz w:val="20"/>
                <w:szCs w:val="20"/>
                <w:lang w:val="en-US"/>
              </w:rPr>
            </w:pPr>
            <w:r w:rsidRPr="000E1B7E">
              <w:rPr>
                <w:color w:val="000000"/>
                <w:sz w:val="20"/>
                <w:szCs w:val="20"/>
                <w:lang w:val="en-US"/>
              </w:rPr>
              <w:t>24.98</w:t>
            </w:r>
          </w:p>
        </w:tc>
      </w:tr>
      <w:tr w:rsidR="009D5CE2" w:rsidRPr="000E1B7E" w14:paraId="62CBA1FD" w14:textId="77777777" w:rsidTr="009D5CE2">
        <w:trPr>
          <w:trHeight w:val="440"/>
        </w:trPr>
        <w:tc>
          <w:tcPr>
            <w:tcW w:w="560" w:type="dxa"/>
            <w:tcBorders>
              <w:top w:val="nil"/>
              <w:left w:val="single" w:sz="4" w:space="0" w:color="A4185B"/>
              <w:bottom w:val="single" w:sz="4" w:space="0" w:color="A4185B"/>
              <w:right w:val="single" w:sz="4" w:space="0" w:color="A4185B"/>
            </w:tcBorders>
            <w:shd w:val="clear" w:color="auto" w:fill="auto"/>
            <w:noWrap/>
            <w:hideMark/>
          </w:tcPr>
          <w:p w14:paraId="4F22E16E" w14:textId="77777777" w:rsidR="009D5CE2" w:rsidRPr="000E1B7E" w:rsidRDefault="009D5CE2" w:rsidP="005959B5">
            <w:pPr>
              <w:ind w:firstLineChars="100" w:firstLine="200"/>
              <w:jc w:val="both"/>
              <w:rPr>
                <w:color w:val="000000"/>
                <w:sz w:val="20"/>
                <w:szCs w:val="20"/>
                <w:lang w:val="en-US"/>
              </w:rPr>
            </w:pPr>
            <w:r w:rsidRPr="000E1B7E">
              <w:rPr>
                <w:color w:val="000000"/>
                <w:sz w:val="20"/>
                <w:szCs w:val="20"/>
                <w:lang w:val="en-US"/>
              </w:rPr>
              <w:t>6</w:t>
            </w:r>
          </w:p>
        </w:tc>
        <w:tc>
          <w:tcPr>
            <w:tcW w:w="9805" w:type="dxa"/>
            <w:tcBorders>
              <w:top w:val="nil"/>
              <w:left w:val="nil"/>
              <w:bottom w:val="single" w:sz="4" w:space="0" w:color="A4185B"/>
              <w:right w:val="nil"/>
            </w:tcBorders>
            <w:shd w:val="clear" w:color="auto" w:fill="auto"/>
            <w:hideMark/>
          </w:tcPr>
          <w:p w14:paraId="082F0D09" w14:textId="77777777" w:rsidR="009D5CE2" w:rsidRPr="000E1B7E" w:rsidRDefault="009D5CE2" w:rsidP="005959B5">
            <w:pPr>
              <w:jc w:val="both"/>
              <w:rPr>
                <w:color w:val="000000"/>
                <w:sz w:val="20"/>
                <w:szCs w:val="20"/>
                <w:lang w:val="en-US"/>
              </w:rPr>
            </w:pPr>
            <w:r w:rsidRPr="000E1B7E">
              <w:rPr>
                <w:sz w:val="20"/>
                <w:szCs w:val="20"/>
                <w:lang w:val="en-US"/>
              </w:rPr>
              <w:t>Term Maintenance of 21 selected National Roads LOT 07: Katikamu</w:t>
            </w:r>
            <w:r w:rsidRPr="000E1B7E">
              <w:rPr>
                <w:sz w:val="20"/>
                <w:szCs w:val="20"/>
                <w:lang w:val="en-US"/>
              </w:rPr>
              <w:br/>
              <w:t>-Bamugolode-Nakasongola (103km) Roads</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013BE1B"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6070CF40" w14:textId="77777777" w:rsidR="009D5CE2" w:rsidRPr="000E1B7E" w:rsidRDefault="009D5CE2" w:rsidP="005959B5">
            <w:pPr>
              <w:jc w:val="both"/>
              <w:rPr>
                <w:color w:val="000000"/>
                <w:sz w:val="20"/>
                <w:szCs w:val="20"/>
                <w:lang w:val="en-US"/>
              </w:rPr>
            </w:pPr>
            <w:r w:rsidRPr="000E1B7E">
              <w:rPr>
                <w:color w:val="000000"/>
                <w:sz w:val="20"/>
                <w:szCs w:val="20"/>
                <w:lang w:val="en-US"/>
              </w:rPr>
              <w:t>88.48</w:t>
            </w:r>
          </w:p>
        </w:tc>
      </w:tr>
      <w:tr w:rsidR="009D5CE2" w:rsidRPr="000E1B7E" w14:paraId="53D670EB" w14:textId="77777777" w:rsidTr="009D5CE2">
        <w:trPr>
          <w:trHeight w:val="57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9125BA6" w14:textId="77777777" w:rsidR="009D5CE2" w:rsidRPr="000E1B7E" w:rsidRDefault="009D5CE2" w:rsidP="005959B5">
            <w:pPr>
              <w:ind w:firstLineChars="100" w:firstLine="200"/>
              <w:jc w:val="both"/>
              <w:rPr>
                <w:color w:val="000000"/>
                <w:sz w:val="20"/>
                <w:szCs w:val="20"/>
                <w:lang w:val="en-US"/>
              </w:rPr>
            </w:pPr>
            <w:r w:rsidRPr="000E1B7E">
              <w:rPr>
                <w:color w:val="000000"/>
                <w:sz w:val="20"/>
                <w:szCs w:val="20"/>
                <w:lang w:val="en-US"/>
              </w:rPr>
              <w:t>7</w:t>
            </w:r>
          </w:p>
        </w:tc>
        <w:tc>
          <w:tcPr>
            <w:tcW w:w="9805" w:type="dxa"/>
            <w:tcBorders>
              <w:top w:val="nil"/>
              <w:left w:val="nil"/>
              <w:bottom w:val="single" w:sz="4" w:space="0" w:color="A4185B"/>
              <w:right w:val="nil"/>
            </w:tcBorders>
            <w:shd w:val="clear" w:color="000000" w:fill="F3E3EA"/>
            <w:hideMark/>
          </w:tcPr>
          <w:p w14:paraId="1052C8FF" w14:textId="77777777" w:rsidR="009D5CE2" w:rsidRPr="000E1B7E" w:rsidRDefault="009D5CE2" w:rsidP="005959B5">
            <w:pPr>
              <w:jc w:val="both"/>
              <w:rPr>
                <w:sz w:val="20"/>
                <w:szCs w:val="20"/>
                <w:lang w:val="en-US"/>
              </w:rPr>
            </w:pPr>
            <w:r w:rsidRPr="000E1B7E">
              <w:rPr>
                <w:sz w:val="20"/>
                <w:szCs w:val="20"/>
                <w:lang w:val="en-US"/>
              </w:rPr>
              <w:t>Periodic Maintenance of (04) Selected National Unpaved Roads Total- ing to 152 km ; Lot 4 : Kasiso – Mazzi – Kalungi Road (57Km)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52F5A25F"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3462F825"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43F5B119" w14:textId="77777777" w:rsidTr="009D5CE2">
        <w:trPr>
          <w:trHeight w:val="440"/>
        </w:trPr>
        <w:tc>
          <w:tcPr>
            <w:tcW w:w="560" w:type="dxa"/>
            <w:tcBorders>
              <w:top w:val="nil"/>
              <w:left w:val="single" w:sz="4" w:space="0" w:color="A4185B"/>
              <w:bottom w:val="single" w:sz="4" w:space="0" w:color="A4185B"/>
              <w:right w:val="single" w:sz="4" w:space="0" w:color="A4185B"/>
            </w:tcBorders>
            <w:shd w:val="clear" w:color="auto" w:fill="auto"/>
            <w:noWrap/>
            <w:hideMark/>
          </w:tcPr>
          <w:p w14:paraId="64B6BA2A" w14:textId="77777777" w:rsidR="009D5CE2" w:rsidRPr="000E1B7E" w:rsidRDefault="009D5CE2" w:rsidP="005959B5">
            <w:pPr>
              <w:jc w:val="both"/>
              <w:rPr>
                <w:color w:val="000000"/>
                <w:sz w:val="20"/>
                <w:szCs w:val="20"/>
                <w:lang w:val="en-US"/>
              </w:rPr>
            </w:pPr>
            <w:r w:rsidRPr="000E1B7E">
              <w:rPr>
                <w:color w:val="000000"/>
                <w:sz w:val="20"/>
                <w:szCs w:val="20"/>
                <w:lang w:val="en-US"/>
              </w:rPr>
              <w:t>8</w:t>
            </w:r>
          </w:p>
        </w:tc>
        <w:tc>
          <w:tcPr>
            <w:tcW w:w="9805" w:type="dxa"/>
            <w:tcBorders>
              <w:top w:val="nil"/>
              <w:left w:val="nil"/>
              <w:bottom w:val="single" w:sz="4" w:space="0" w:color="A4185B"/>
              <w:right w:val="nil"/>
            </w:tcBorders>
            <w:shd w:val="clear" w:color="auto" w:fill="auto"/>
            <w:hideMark/>
          </w:tcPr>
          <w:p w14:paraId="5110D272" w14:textId="77777777" w:rsidR="009D5CE2" w:rsidRPr="000E1B7E" w:rsidRDefault="009D5CE2" w:rsidP="005959B5">
            <w:pPr>
              <w:jc w:val="both"/>
              <w:rPr>
                <w:color w:val="000000"/>
                <w:sz w:val="20"/>
                <w:szCs w:val="20"/>
                <w:lang w:val="en-US"/>
              </w:rPr>
            </w:pPr>
            <w:r w:rsidRPr="000E1B7E">
              <w:rPr>
                <w:sz w:val="20"/>
                <w:szCs w:val="20"/>
                <w:lang w:val="en-US"/>
              </w:rPr>
              <w:t>Term Mantainance of Mitala- Maria - Bulo-Kanoni(30km) and Mityana</w:t>
            </w:r>
            <w:r w:rsidRPr="000E1B7E">
              <w:rPr>
                <w:sz w:val="20"/>
                <w:szCs w:val="20"/>
                <w:lang w:val="en-US"/>
              </w:rPr>
              <w:br/>
              <w:t>- Busunju(30km)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0D663C8E" w14:textId="77777777" w:rsidR="009D5CE2" w:rsidRPr="000E1B7E" w:rsidRDefault="009D5CE2" w:rsidP="005959B5">
            <w:pPr>
              <w:jc w:val="both"/>
              <w:rPr>
                <w:color w:val="000000"/>
                <w:sz w:val="20"/>
                <w:szCs w:val="20"/>
                <w:lang w:val="en-US"/>
              </w:rPr>
            </w:pPr>
            <w:r w:rsidRPr="000E1B7E">
              <w:rPr>
                <w:color w:val="000000"/>
                <w:sz w:val="20"/>
                <w:szCs w:val="20"/>
                <w:lang w:val="en-US"/>
              </w:rPr>
              <w:t>97.22</w:t>
            </w:r>
          </w:p>
        </w:tc>
        <w:tc>
          <w:tcPr>
            <w:tcW w:w="1690" w:type="dxa"/>
            <w:tcBorders>
              <w:top w:val="nil"/>
              <w:left w:val="nil"/>
              <w:bottom w:val="single" w:sz="4" w:space="0" w:color="A4185B"/>
              <w:right w:val="single" w:sz="4" w:space="0" w:color="A4185B"/>
            </w:tcBorders>
            <w:shd w:val="clear" w:color="auto" w:fill="auto"/>
            <w:noWrap/>
            <w:hideMark/>
          </w:tcPr>
          <w:p w14:paraId="262DBE99" w14:textId="77777777" w:rsidR="009D5CE2" w:rsidRPr="000E1B7E" w:rsidRDefault="009D5CE2" w:rsidP="005959B5">
            <w:pPr>
              <w:jc w:val="both"/>
              <w:rPr>
                <w:color w:val="000000"/>
                <w:sz w:val="20"/>
                <w:szCs w:val="20"/>
                <w:lang w:val="en-US"/>
              </w:rPr>
            </w:pPr>
            <w:r w:rsidRPr="000E1B7E">
              <w:rPr>
                <w:color w:val="000000"/>
                <w:sz w:val="20"/>
                <w:szCs w:val="20"/>
                <w:lang w:val="en-US"/>
              </w:rPr>
              <w:t>75.02</w:t>
            </w:r>
          </w:p>
        </w:tc>
      </w:tr>
      <w:tr w:rsidR="009D5CE2" w:rsidRPr="000E1B7E" w14:paraId="6F2FA75A" w14:textId="77777777" w:rsidTr="009D5CE2">
        <w:trPr>
          <w:trHeight w:val="485"/>
        </w:trPr>
        <w:tc>
          <w:tcPr>
            <w:tcW w:w="560" w:type="dxa"/>
            <w:tcBorders>
              <w:top w:val="nil"/>
              <w:left w:val="single" w:sz="4" w:space="0" w:color="A4185B"/>
              <w:bottom w:val="single" w:sz="4" w:space="0" w:color="A4185B"/>
              <w:right w:val="single" w:sz="4" w:space="0" w:color="A4185B"/>
            </w:tcBorders>
            <w:shd w:val="clear" w:color="000000" w:fill="F3E3EA"/>
            <w:noWrap/>
            <w:vAlign w:val="center"/>
            <w:hideMark/>
          </w:tcPr>
          <w:p w14:paraId="4397EACB" w14:textId="77777777" w:rsidR="009D5CE2" w:rsidRPr="000E1B7E" w:rsidRDefault="009D5CE2" w:rsidP="005959B5">
            <w:pPr>
              <w:ind w:firstLineChars="100" w:firstLine="200"/>
              <w:jc w:val="both"/>
              <w:rPr>
                <w:color w:val="000000"/>
                <w:sz w:val="20"/>
                <w:szCs w:val="20"/>
                <w:lang w:val="en-US"/>
              </w:rPr>
            </w:pPr>
            <w:r w:rsidRPr="000E1B7E">
              <w:rPr>
                <w:color w:val="000000"/>
                <w:sz w:val="20"/>
                <w:szCs w:val="20"/>
                <w:lang w:val="en-US"/>
              </w:rPr>
              <w:t>9</w:t>
            </w:r>
          </w:p>
        </w:tc>
        <w:tc>
          <w:tcPr>
            <w:tcW w:w="9805" w:type="dxa"/>
            <w:tcBorders>
              <w:top w:val="nil"/>
              <w:left w:val="nil"/>
              <w:bottom w:val="single" w:sz="4" w:space="0" w:color="A4185B"/>
              <w:right w:val="nil"/>
            </w:tcBorders>
            <w:shd w:val="clear" w:color="000000" w:fill="F3E3EA"/>
            <w:hideMark/>
          </w:tcPr>
          <w:p w14:paraId="36173800" w14:textId="77777777" w:rsidR="009D5CE2" w:rsidRPr="000E1B7E" w:rsidRDefault="009D5CE2" w:rsidP="005959B5">
            <w:pPr>
              <w:jc w:val="both"/>
              <w:rPr>
                <w:color w:val="000000"/>
                <w:sz w:val="20"/>
                <w:szCs w:val="20"/>
                <w:lang w:val="en-US"/>
              </w:rPr>
            </w:pPr>
            <w:r w:rsidRPr="000E1B7E">
              <w:rPr>
                <w:sz w:val="20"/>
                <w:szCs w:val="20"/>
                <w:lang w:val="en-US"/>
              </w:rPr>
              <w:t>Provision And Installation Of Reinforced Concrete Marker Posts To Demarcate Road Reserves On Selected National Roads: Lot 1: Busega - Masaka Road (105km)</w:t>
            </w:r>
          </w:p>
        </w:tc>
        <w:tc>
          <w:tcPr>
            <w:tcW w:w="1820" w:type="dxa"/>
            <w:tcBorders>
              <w:top w:val="nil"/>
              <w:left w:val="single" w:sz="4" w:space="0" w:color="A4185B"/>
              <w:bottom w:val="single" w:sz="4" w:space="0" w:color="A4185B"/>
              <w:right w:val="single" w:sz="4" w:space="0" w:color="A4185B"/>
            </w:tcBorders>
            <w:shd w:val="clear" w:color="000000" w:fill="F3E3EA"/>
            <w:noWrap/>
            <w:vAlign w:val="center"/>
            <w:hideMark/>
          </w:tcPr>
          <w:p w14:paraId="33CC3211" w14:textId="77777777" w:rsidR="009D5CE2" w:rsidRPr="000E1B7E" w:rsidRDefault="009D5CE2" w:rsidP="005959B5">
            <w:pPr>
              <w:jc w:val="both"/>
              <w:rPr>
                <w:color w:val="000000"/>
                <w:sz w:val="20"/>
                <w:szCs w:val="20"/>
                <w:lang w:val="en-US"/>
              </w:rPr>
            </w:pPr>
            <w:r w:rsidRPr="000E1B7E">
              <w:rPr>
                <w:color w:val="000000"/>
                <w:sz w:val="20"/>
                <w:szCs w:val="20"/>
                <w:lang w:val="en-US"/>
              </w:rPr>
              <w:t>85.71</w:t>
            </w:r>
          </w:p>
        </w:tc>
        <w:tc>
          <w:tcPr>
            <w:tcW w:w="1690" w:type="dxa"/>
            <w:tcBorders>
              <w:top w:val="nil"/>
              <w:left w:val="nil"/>
              <w:bottom w:val="single" w:sz="4" w:space="0" w:color="A4185B"/>
              <w:right w:val="single" w:sz="4" w:space="0" w:color="A4185B"/>
            </w:tcBorders>
            <w:shd w:val="clear" w:color="000000" w:fill="F3E3EA"/>
            <w:noWrap/>
            <w:vAlign w:val="center"/>
            <w:hideMark/>
          </w:tcPr>
          <w:p w14:paraId="3BA97664" w14:textId="77777777" w:rsidR="009D5CE2" w:rsidRPr="000E1B7E" w:rsidRDefault="009D5CE2" w:rsidP="005959B5">
            <w:pPr>
              <w:jc w:val="both"/>
              <w:rPr>
                <w:color w:val="000000"/>
                <w:sz w:val="20"/>
                <w:szCs w:val="20"/>
                <w:lang w:val="en-US"/>
              </w:rPr>
            </w:pPr>
            <w:r w:rsidRPr="000E1B7E">
              <w:rPr>
                <w:color w:val="000000"/>
                <w:sz w:val="20"/>
                <w:szCs w:val="20"/>
                <w:lang w:val="en-US"/>
              </w:rPr>
              <w:t>97</w:t>
            </w:r>
          </w:p>
        </w:tc>
      </w:tr>
      <w:tr w:rsidR="009D5CE2" w:rsidRPr="000E1B7E" w14:paraId="5C12B3C1" w14:textId="77777777" w:rsidTr="009D5CE2">
        <w:trPr>
          <w:trHeight w:val="170"/>
        </w:trPr>
        <w:tc>
          <w:tcPr>
            <w:tcW w:w="560" w:type="dxa"/>
            <w:tcBorders>
              <w:top w:val="nil"/>
              <w:left w:val="single" w:sz="4" w:space="0" w:color="A4185B"/>
              <w:bottom w:val="single" w:sz="4" w:space="0" w:color="A4185B"/>
              <w:right w:val="single" w:sz="4" w:space="0" w:color="A4185B"/>
            </w:tcBorders>
            <w:shd w:val="clear" w:color="auto" w:fill="auto"/>
            <w:noWrap/>
            <w:hideMark/>
          </w:tcPr>
          <w:p w14:paraId="12341D69" w14:textId="77777777" w:rsidR="009D5CE2" w:rsidRPr="000E1B7E" w:rsidRDefault="009D5CE2" w:rsidP="005959B5">
            <w:pPr>
              <w:ind w:leftChars="-1" w:hangingChars="1" w:hanging="2"/>
              <w:jc w:val="both"/>
              <w:rPr>
                <w:color w:val="000000"/>
                <w:sz w:val="20"/>
                <w:szCs w:val="20"/>
                <w:lang w:val="en-US"/>
              </w:rPr>
            </w:pPr>
            <w:r w:rsidRPr="000E1B7E">
              <w:rPr>
                <w:color w:val="000000"/>
                <w:sz w:val="20"/>
                <w:szCs w:val="20"/>
                <w:lang w:val="en-US"/>
              </w:rPr>
              <w:t>10</w:t>
            </w:r>
          </w:p>
        </w:tc>
        <w:tc>
          <w:tcPr>
            <w:tcW w:w="9805" w:type="dxa"/>
            <w:tcBorders>
              <w:top w:val="nil"/>
              <w:left w:val="nil"/>
              <w:bottom w:val="single" w:sz="4" w:space="0" w:color="A4185B"/>
              <w:right w:val="nil"/>
            </w:tcBorders>
            <w:shd w:val="clear" w:color="auto" w:fill="auto"/>
            <w:hideMark/>
          </w:tcPr>
          <w:p w14:paraId="74590667" w14:textId="77777777" w:rsidR="009D5CE2" w:rsidRPr="000E1B7E" w:rsidRDefault="009D5CE2" w:rsidP="005959B5">
            <w:pPr>
              <w:jc w:val="both"/>
              <w:rPr>
                <w:sz w:val="20"/>
                <w:szCs w:val="20"/>
                <w:lang w:val="en-US"/>
              </w:rPr>
            </w:pPr>
            <w:r w:rsidRPr="000E1B7E">
              <w:rPr>
                <w:sz w:val="20"/>
                <w:szCs w:val="20"/>
                <w:lang w:val="en-US"/>
              </w:rPr>
              <w:t>Kyapa-Kasensero (41km)  and Lyantonde-Kaliro-Ntuusi (58km) Roads</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657A5A4"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3B7A40BF" w14:textId="77777777" w:rsidR="009D5CE2" w:rsidRPr="000E1B7E" w:rsidRDefault="009D5CE2" w:rsidP="005959B5">
            <w:pPr>
              <w:jc w:val="both"/>
              <w:rPr>
                <w:color w:val="000000"/>
                <w:sz w:val="20"/>
                <w:szCs w:val="20"/>
                <w:lang w:val="en-US"/>
              </w:rPr>
            </w:pPr>
            <w:r w:rsidRPr="000E1B7E">
              <w:rPr>
                <w:color w:val="000000"/>
                <w:sz w:val="20"/>
                <w:szCs w:val="20"/>
                <w:lang w:val="en-US"/>
              </w:rPr>
              <w:t>38</w:t>
            </w:r>
          </w:p>
        </w:tc>
      </w:tr>
      <w:tr w:rsidR="009D5CE2" w:rsidRPr="000E1B7E" w14:paraId="54FAF387"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5486E12F" w14:textId="77777777" w:rsidR="009D5CE2" w:rsidRPr="000E1B7E" w:rsidRDefault="009D5CE2" w:rsidP="005959B5">
            <w:pPr>
              <w:jc w:val="both"/>
              <w:rPr>
                <w:color w:val="000000"/>
                <w:sz w:val="20"/>
                <w:szCs w:val="20"/>
                <w:lang w:val="en-US"/>
              </w:rPr>
            </w:pPr>
            <w:r w:rsidRPr="000E1B7E">
              <w:rPr>
                <w:color w:val="000000"/>
                <w:sz w:val="20"/>
                <w:szCs w:val="20"/>
                <w:lang w:val="en-US"/>
              </w:rPr>
              <w:t>11</w:t>
            </w:r>
          </w:p>
        </w:tc>
        <w:tc>
          <w:tcPr>
            <w:tcW w:w="9805" w:type="dxa"/>
            <w:tcBorders>
              <w:top w:val="nil"/>
              <w:left w:val="nil"/>
              <w:bottom w:val="single" w:sz="4" w:space="0" w:color="A4185B"/>
              <w:right w:val="nil"/>
            </w:tcBorders>
            <w:shd w:val="clear" w:color="000000" w:fill="F3E3EA"/>
            <w:hideMark/>
          </w:tcPr>
          <w:p w14:paraId="55799B65" w14:textId="77777777" w:rsidR="009D5CE2" w:rsidRPr="000E1B7E" w:rsidRDefault="009D5CE2" w:rsidP="005959B5">
            <w:pPr>
              <w:jc w:val="both"/>
              <w:rPr>
                <w:sz w:val="20"/>
                <w:szCs w:val="20"/>
                <w:lang w:val="en-US"/>
              </w:rPr>
            </w:pPr>
            <w:r w:rsidRPr="000E1B7E">
              <w:rPr>
                <w:sz w:val="20"/>
                <w:szCs w:val="20"/>
                <w:lang w:val="en-US"/>
              </w:rPr>
              <w:t>Villa Maria - Kyamulibwa-Kabulasoke (48km) and Kyabakuza-Kiwan- gala-Ndagwe-Kabale (62km)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354B4AEF" w14:textId="77777777" w:rsidR="009D5CE2" w:rsidRPr="000E1B7E" w:rsidRDefault="009D5CE2" w:rsidP="005959B5">
            <w:pPr>
              <w:jc w:val="both"/>
              <w:rPr>
                <w:color w:val="000000"/>
                <w:sz w:val="20"/>
                <w:szCs w:val="20"/>
                <w:lang w:val="en-US"/>
              </w:rPr>
            </w:pPr>
            <w:r w:rsidRPr="000E1B7E">
              <w:rPr>
                <w:color w:val="000000"/>
                <w:sz w:val="20"/>
                <w:szCs w:val="20"/>
                <w:lang w:val="en-US"/>
              </w:rPr>
              <w:t>95</w:t>
            </w:r>
          </w:p>
        </w:tc>
        <w:tc>
          <w:tcPr>
            <w:tcW w:w="1690" w:type="dxa"/>
            <w:tcBorders>
              <w:top w:val="nil"/>
              <w:left w:val="nil"/>
              <w:bottom w:val="single" w:sz="4" w:space="0" w:color="A4185B"/>
              <w:right w:val="single" w:sz="4" w:space="0" w:color="A4185B"/>
            </w:tcBorders>
            <w:shd w:val="clear" w:color="000000" w:fill="F3E3EA"/>
            <w:noWrap/>
            <w:hideMark/>
          </w:tcPr>
          <w:p w14:paraId="2486731D" w14:textId="77777777" w:rsidR="009D5CE2" w:rsidRPr="000E1B7E" w:rsidRDefault="009D5CE2" w:rsidP="005959B5">
            <w:pPr>
              <w:jc w:val="both"/>
              <w:rPr>
                <w:color w:val="000000"/>
                <w:sz w:val="20"/>
                <w:szCs w:val="20"/>
                <w:lang w:val="en-US"/>
              </w:rPr>
            </w:pPr>
            <w:r w:rsidRPr="000E1B7E">
              <w:rPr>
                <w:color w:val="000000"/>
                <w:sz w:val="20"/>
                <w:szCs w:val="20"/>
                <w:lang w:val="en-US"/>
              </w:rPr>
              <w:t>60</w:t>
            </w:r>
          </w:p>
        </w:tc>
      </w:tr>
      <w:tr w:rsidR="009D5CE2" w:rsidRPr="000E1B7E" w14:paraId="28EEF02E" w14:textId="77777777" w:rsidTr="00762261">
        <w:trPr>
          <w:trHeight w:val="440"/>
        </w:trPr>
        <w:tc>
          <w:tcPr>
            <w:tcW w:w="560" w:type="dxa"/>
            <w:tcBorders>
              <w:top w:val="nil"/>
              <w:left w:val="single" w:sz="4" w:space="0" w:color="A4185B"/>
              <w:bottom w:val="single" w:sz="4" w:space="0" w:color="A4185B"/>
              <w:right w:val="single" w:sz="4" w:space="0" w:color="A4185B"/>
            </w:tcBorders>
            <w:shd w:val="clear" w:color="auto" w:fill="auto"/>
            <w:noWrap/>
            <w:vAlign w:val="center"/>
            <w:hideMark/>
          </w:tcPr>
          <w:p w14:paraId="3A5D73A3" w14:textId="77777777" w:rsidR="009D5CE2" w:rsidRPr="000E1B7E" w:rsidRDefault="009D5CE2" w:rsidP="005959B5">
            <w:pPr>
              <w:jc w:val="both"/>
              <w:rPr>
                <w:color w:val="000000"/>
                <w:sz w:val="20"/>
                <w:szCs w:val="20"/>
                <w:lang w:val="en-US"/>
              </w:rPr>
            </w:pPr>
            <w:r w:rsidRPr="000E1B7E">
              <w:rPr>
                <w:color w:val="000000"/>
                <w:sz w:val="20"/>
                <w:szCs w:val="20"/>
                <w:lang w:val="en-US"/>
              </w:rPr>
              <w:t>12</w:t>
            </w:r>
          </w:p>
        </w:tc>
        <w:tc>
          <w:tcPr>
            <w:tcW w:w="9805" w:type="dxa"/>
            <w:tcBorders>
              <w:top w:val="nil"/>
              <w:left w:val="nil"/>
              <w:bottom w:val="single" w:sz="4" w:space="0" w:color="A4185B"/>
              <w:right w:val="nil"/>
            </w:tcBorders>
            <w:shd w:val="clear" w:color="auto" w:fill="auto"/>
            <w:hideMark/>
          </w:tcPr>
          <w:p w14:paraId="2E29F5C7" w14:textId="77777777" w:rsidR="009D5CE2" w:rsidRPr="000E1B7E" w:rsidRDefault="009D5CE2" w:rsidP="005959B5">
            <w:pPr>
              <w:jc w:val="both"/>
              <w:rPr>
                <w:sz w:val="20"/>
                <w:szCs w:val="20"/>
                <w:lang w:val="en-US"/>
              </w:rPr>
            </w:pPr>
            <w:r w:rsidRPr="000E1B7E">
              <w:rPr>
                <w:sz w:val="20"/>
                <w:szCs w:val="20"/>
                <w:lang w:val="en-US"/>
              </w:rPr>
              <w:t>Provision and installation of Reinforced concrete Marker posts to De- marcate Road Reserves on Three selected National Roads (3Lots)-Lot 2; Masaka-Mbarara road (86km)</w:t>
            </w:r>
          </w:p>
        </w:tc>
        <w:tc>
          <w:tcPr>
            <w:tcW w:w="1820" w:type="dxa"/>
            <w:tcBorders>
              <w:top w:val="nil"/>
              <w:left w:val="single" w:sz="4" w:space="0" w:color="A4185B"/>
              <w:bottom w:val="single" w:sz="4" w:space="0" w:color="A4185B"/>
              <w:right w:val="single" w:sz="4" w:space="0" w:color="A4185B"/>
            </w:tcBorders>
            <w:shd w:val="clear" w:color="auto" w:fill="auto"/>
            <w:noWrap/>
            <w:vAlign w:val="center"/>
            <w:hideMark/>
          </w:tcPr>
          <w:p w14:paraId="1AC6AAA9" w14:textId="77777777" w:rsidR="009D5CE2" w:rsidRPr="000E1B7E" w:rsidRDefault="009D5CE2" w:rsidP="005959B5">
            <w:pPr>
              <w:jc w:val="both"/>
              <w:rPr>
                <w:color w:val="000000"/>
                <w:sz w:val="20"/>
                <w:szCs w:val="20"/>
                <w:lang w:val="en-US"/>
              </w:rPr>
            </w:pPr>
            <w:r w:rsidRPr="000E1B7E">
              <w:rPr>
                <w:color w:val="000000"/>
                <w:sz w:val="20"/>
                <w:szCs w:val="20"/>
                <w:lang w:val="en-US"/>
              </w:rPr>
              <w:t>130</w:t>
            </w:r>
          </w:p>
        </w:tc>
        <w:tc>
          <w:tcPr>
            <w:tcW w:w="1690" w:type="dxa"/>
            <w:tcBorders>
              <w:top w:val="nil"/>
              <w:left w:val="nil"/>
              <w:bottom w:val="single" w:sz="4" w:space="0" w:color="A4185B"/>
              <w:right w:val="single" w:sz="4" w:space="0" w:color="A4185B"/>
            </w:tcBorders>
            <w:shd w:val="clear" w:color="auto" w:fill="auto"/>
            <w:noWrap/>
            <w:vAlign w:val="center"/>
            <w:hideMark/>
          </w:tcPr>
          <w:p w14:paraId="528DE74A" w14:textId="77777777" w:rsidR="009D5CE2" w:rsidRPr="000E1B7E" w:rsidRDefault="009D5CE2" w:rsidP="005959B5">
            <w:pPr>
              <w:jc w:val="both"/>
              <w:rPr>
                <w:color w:val="000000"/>
                <w:sz w:val="20"/>
                <w:szCs w:val="20"/>
                <w:lang w:val="en-US"/>
              </w:rPr>
            </w:pPr>
            <w:r w:rsidRPr="000E1B7E">
              <w:rPr>
                <w:color w:val="000000"/>
                <w:sz w:val="20"/>
                <w:szCs w:val="20"/>
                <w:lang w:val="en-US"/>
              </w:rPr>
              <w:t>95</w:t>
            </w:r>
          </w:p>
        </w:tc>
      </w:tr>
      <w:tr w:rsidR="009D5CE2" w:rsidRPr="000E1B7E" w14:paraId="0E344863"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7180D692" w14:textId="77777777" w:rsidR="009D5CE2" w:rsidRPr="000E1B7E" w:rsidRDefault="009D5CE2" w:rsidP="005959B5">
            <w:pPr>
              <w:jc w:val="both"/>
              <w:rPr>
                <w:color w:val="000000"/>
                <w:sz w:val="20"/>
                <w:szCs w:val="20"/>
                <w:lang w:val="en-US"/>
              </w:rPr>
            </w:pPr>
            <w:r w:rsidRPr="000E1B7E">
              <w:rPr>
                <w:color w:val="000000"/>
                <w:sz w:val="20"/>
                <w:szCs w:val="20"/>
                <w:lang w:val="en-US"/>
              </w:rPr>
              <w:t>13</w:t>
            </w:r>
          </w:p>
        </w:tc>
        <w:tc>
          <w:tcPr>
            <w:tcW w:w="9805" w:type="dxa"/>
            <w:tcBorders>
              <w:top w:val="nil"/>
              <w:left w:val="nil"/>
              <w:bottom w:val="single" w:sz="4" w:space="0" w:color="A4185B"/>
              <w:right w:val="nil"/>
            </w:tcBorders>
            <w:shd w:val="clear" w:color="000000" w:fill="F3E3EA"/>
            <w:hideMark/>
          </w:tcPr>
          <w:p w14:paraId="76B49247" w14:textId="77777777" w:rsidR="009D5CE2" w:rsidRPr="000E1B7E" w:rsidRDefault="009D5CE2" w:rsidP="005959B5">
            <w:pPr>
              <w:jc w:val="both"/>
              <w:rPr>
                <w:sz w:val="20"/>
                <w:szCs w:val="20"/>
                <w:lang w:val="en-US"/>
              </w:rPr>
            </w:pPr>
            <w:r w:rsidRPr="000E1B7E">
              <w:rPr>
                <w:sz w:val="20"/>
                <w:szCs w:val="20"/>
                <w:lang w:val="en-US"/>
              </w:rPr>
              <w:t>Rakai-Ntantamukye (50Km)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085C95B9" w14:textId="77777777" w:rsidR="009D5CE2" w:rsidRPr="000E1B7E" w:rsidRDefault="009D5CE2" w:rsidP="005959B5">
            <w:pPr>
              <w:jc w:val="both"/>
              <w:rPr>
                <w:color w:val="000000"/>
                <w:sz w:val="20"/>
                <w:szCs w:val="20"/>
                <w:lang w:val="en-US"/>
              </w:rPr>
            </w:pPr>
            <w:r w:rsidRPr="000E1B7E">
              <w:rPr>
                <w:color w:val="000000"/>
                <w:sz w:val="20"/>
                <w:szCs w:val="20"/>
                <w:lang w:val="en-US"/>
              </w:rPr>
              <w:t>52</w:t>
            </w:r>
          </w:p>
        </w:tc>
        <w:tc>
          <w:tcPr>
            <w:tcW w:w="1690" w:type="dxa"/>
            <w:tcBorders>
              <w:top w:val="nil"/>
              <w:left w:val="nil"/>
              <w:bottom w:val="single" w:sz="4" w:space="0" w:color="A4185B"/>
              <w:right w:val="single" w:sz="4" w:space="0" w:color="A4185B"/>
            </w:tcBorders>
            <w:shd w:val="clear" w:color="000000" w:fill="F3E3EA"/>
            <w:noWrap/>
            <w:hideMark/>
          </w:tcPr>
          <w:p w14:paraId="62E88B49" w14:textId="77777777" w:rsidR="009D5CE2" w:rsidRPr="000E1B7E" w:rsidRDefault="009D5CE2" w:rsidP="005959B5">
            <w:pPr>
              <w:jc w:val="both"/>
              <w:rPr>
                <w:color w:val="000000"/>
                <w:sz w:val="20"/>
                <w:szCs w:val="20"/>
                <w:lang w:val="en-US"/>
              </w:rPr>
            </w:pPr>
            <w:r w:rsidRPr="000E1B7E">
              <w:rPr>
                <w:color w:val="000000"/>
                <w:sz w:val="20"/>
                <w:szCs w:val="20"/>
                <w:lang w:val="en-US"/>
              </w:rPr>
              <w:t>47</w:t>
            </w:r>
          </w:p>
        </w:tc>
      </w:tr>
      <w:tr w:rsidR="009D5CE2" w:rsidRPr="000E1B7E" w14:paraId="74FA0964"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06C9C1C7" w14:textId="77777777" w:rsidR="009D5CE2" w:rsidRPr="000E1B7E" w:rsidRDefault="009D5CE2" w:rsidP="005959B5">
            <w:pPr>
              <w:jc w:val="both"/>
              <w:rPr>
                <w:color w:val="000000"/>
                <w:sz w:val="20"/>
                <w:szCs w:val="20"/>
                <w:lang w:val="en-US"/>
              </w:rPr>
            </w:pPr>
            <w:r w:rsidRPr="000E1B7E">
              <w:rPr>
                <w:color w:val="000000"/>
                <w:sz w:val="20"/>
                <w:szCs w:val="20"/>
                <w:lang w:val="en-US"/>
              </w:rPr>
              <w:t>14</w:t>
            </w:r>
          </w:p>
        </w:tc>
        <w:tc>
          <w:tcPr>
            <w:tcW w:w="9805" w:type="dxa"/>
            <w:tcBorders>
              <w:top w:val="nil"/>
              <w:left w:val="nil"/>
              <w:bottom w:val="single" w:sz="4" w:space="0" w:color="A4185B"/>
              <w:right w:val="nil"/>
            </w:tcBorders>
            <w:shd w:val="clear" w:color="auto" w:fill="auto"/>
            <w:hideMark/>
          </w:tcPr>
          <w:p w14:paraId="051BB189" w14:textId="77777777" w:rsidR="009D5CE2" w:rsidRPr="000E1B7E" w:rsidRDefault="009D5CE2" w:rsidP="005959B5">
            <w:pPr>
              <w:jc w:val="both"/>
              <w:rPr>
                <w:sz w:val="20"/>
                <w:szCs w:val="20"/>
                <w:lang w:val="en-US"/>
              </w:rPr>
            </w:pPr>
            <w:r w:rsidRPr="000E1B7E">
              <w:rPr>
                <w:sz w:val="20"/>
                <w:szCs w:val="20"/>
                <w:lang w:val="en-US"/>
              </w:rPr>
              <w:t>Sembabule-Nkonge road (58km)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27677C4" w14:textId="77777777" w:rsidR="009D5CE2" w:rsidRPr="000E1B7E" w:rsidRDefault="009D5CE2" w:rsidP="005959B5">
            <w:pPr>
              <w:jc w:val="both"/>
              <w:rPr>
                <w:color w:val="000000"/>
                <w:sz w:val="20"/>
                <w:szCs w:val="20"/>
                <w:lang w:val="en-US"/>
              </w:rPr>
            </w:pPr>
            <w:r w:rsidRPr="000E1B7E">
              <w:rPr>
                <w:color w:val="000000"/>
                <w:sz w:val="20"/>
                <w:szCs w:val="20"/>
                <w:lang w:val="en-US"/>
              </w:rPr>
              <w:t>52</w:t>
            </w:r>
          </w:p>
        </w:tc>
        <w:tc>
          <w:tcPr>
            <w:tcW w:w="1690" w:type="dxa"/>
            <w:tcBorders>
              <w:top w:val="nil"/>
              <w:left w:val="nil"/>
              <w:bottom w:val="single" w:sz="4" w:space="0" w:color="A4185B"/>
              <w:right w:val="single" w:sz="4" w:space="0" w:color="A4185B"/>
            </w:tcBorders>
            <w:shd w:val="clear" w:color="auto" w:fill="auto"/>
            <w:noWrap/>
            <w:hideMark/>
          </w:tcPr>
          <w:p w14:paraId="65DD4702" w14:textId="77777777" w:rsidR="009D5CE2" w:rsidRPr="000E1B7E" w:rsidRDefault="009D5CE2" w:rsidP="005959B5">
            <w:pPr>
              <w:jc w:val="both"/>
              <w:rPr>
                <w:color w:val="000000"/>
                <w:sz w:val="20"/>
                <w:szCs w:val="20"/>
                <w:lang w:val="en-US"/>
              </w:rPr>
            </w:pPr>
            <w:r w:rsidRPr="000E1B7E">
              <w:rPr>
                <w:color w:val="000000"/>
                <w:sz w:val="20"/>
                <w:szCs w:val="20"/>
                <w:lang w:val="en-US"/>
              </w:rPr>
              <w:t>40</w:t>
            </w:r>
          </w:p>
        </w:tc>
      </w:tr>
      <w:tr w:rsidR="009D5CE2" w:rsidRPr="000E1B7E" w14:paraId="26BC307E" w14:textId="77777777" w:rsidTr="00762261">
        <w:trPr>
          <w:trHeight w:val="30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7473039" w14:textId="77777777" w:rsidR="009D5CE2" w:rsidRPr="000E1B7E" w:rsidRDefault="009D5CE2" w:rsidP="005959B5">
            <w:pPr>
              <w:jc w:val="both"/>
              <w:rPr>
                <w:color w:val="000000"/>
                <w:sz w:val="20"/>
                <w:szCs w:val="20"/>
                <w:lang w:val="en-US"/>
              </w:rPr>
            </w:pPr>
            <w:r w:rsidRPr="000E1B7E">
              <w:rPr>
                <w:color w:val="000000"/>
                <w:sz w:val="20"/>
                <w:szCs w:val="20"/>
                <w:lang w:val="en-US"/>
              </w:rPr>
              <w:t>15</w:t>
            </w:r>
          </w:p>
        </w:tc>
        <w:tc>
          <w:tcPr>
            <w:tcW w:w="9805" w:type="dxa"/>
            <w:tcBorders>
              <w:top w:val="nil"/>
              <w:left w:val="nil"/>
              <w:bottom w:val="single" w:sz="4" w:space="0" w:color="A4185B"/>
              <w:right w:val="nil"/>
            </w:tcBorders>
            <w:shd w:val="clear" w:color="000000" w:fill="F3E3EA"/>
            <w:hideMark/>
          </w:tcPr>
          <w:p w14:paraId="4111CDF4" w14:textId="77777777" w:rsidR="009D5CE2" w:rsidRPr="000E1B7E" w:rsidRDefault="009D5CE2" w:rsidP="005959B5">
            <w:pPr>
              <w:jc w:val="both"/>
              <w:rPr>
                <w:sz w:val="20"/>
                <w:szCs w:val="20"/>
                <w:lang w:val="en-US"/>
              </w:rPr>
            </w:pPr>
            <w:r w:rsidRPr="000E1B7E">
              <w:rPr>
                <w:sz w:val="20"/>
                <w:szCs w:val="20"/>
                <w:lang w:val="en-US"/>
              </w:rPr>
              <w:t>Mbirizi-Matete-Sembabule-Katonga Road (58km)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6316DBE9"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7EFF646A" w14:textId="77777777" w:rsidR="009D5CE2" w:rsidRPr="000E1B7E" w:rsidRDefault="009D5CE2" w:rsidP="005959B5">
            <w:pPr>
              <w:jc w:val="both"/>
              <w:rPr>
                <w:color w:val="000000"/>
                <w:sz w:val="20"/>
                <w:szCs w:val="20"/>
                <w:lang w:val="en-US"/>
              </w:rPr>
            </w:pPr>
            <w:r w:rsidRPr="000E1B7E">
              <w:rPr>
                <w:color w:val="000000"/>
                <w:sz w:val="20"/>
                <w:szCs w:val="20"/>
                <w:lang w:val="en-US"/>
              </w:rPr>
              <w:t>37</w:t>
            </w:r>
          </w:p>
        </w:tc>
      </w:tr>
      <w:tr w:rsidR="009D5CE2" w:rsidRPr="000E1B7E" w14:paraId="5E549243"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1C9D2087" w14:textId="77777777" w:rsidR="009D5CE2" w:rsidRPr="000E1B7E" w:rsidRDefault="009D5CE2" w:rsidP="005959B5">
            <w:pPr>
              <w:jc w:val="both"/>
              <w:rPr>
                <w:color w:val="000000"/>
                <w:sz w:val="20"/>
                <w:szCs w:val="20"/>
                <w:lang w:val="en-US"/>
              </w:rPr>
            </w:pPr>
            <w:r w:rsidRPr="000E1B7E">
              <w:rPr>
                <w:color w:val="000000"/>
                <w:sz w:val="20"/>
                <w:szCs w:val="20"/>
                <w:lang w:val="en-US"/>
              </w:rPr>
              <w:t>16</w:t>
            </w:r>
          </w:p>
        </w:tc>
        <w:tc>
          <w:tcPr>
            <w:tcW w:w="9805" w:type="dxa"/>
            <w:tcBorders>
              <w:top w:val="nil"/>
              <w:left w:val="nil"/>
              <w:bottom w:val="single" w:sz="4" w:space="0" w:color="A4185B"/>
              <w:right w:val="nil"/>
            </w:tcBorders>
            <w:shd w:val="clear" w:color="auto" w:fill="auto"/>
            <w:hideMark/>
          </w:tcPr>
          <w:p w14:paraId="52F58AD9" w14:textId="77777777" w:rsidR="009D5CE2" w:rsidRPr="000E1B7E" w:rsidRDefault="009D5CE2" w:rsidP="005959B5">
            <w:pPr>
              <w:jc w:val="both"/>
              <w:rPr>
                <w:sz w:val="20"/>
                <w:szCs w:val="20"/>
                <w:lang w:val="en-US"/>
              </w:rPr>
            </w:pPr>
            <w:r w:rsidRPr="000E1B7E">
              <w:rPr>
                <w:sz w:val="20"/>
                <w:szCs w:val="20"/>
                <w:lang w:val="en-US"/>
              </w:rPr>
              <w:t>Kyabakuza-Kyojja-Matete-Kaliro Road (70km)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0DC7C54" w14:textId="77777777" w:rsidR="009D5CE2" w:rsidRPr="000E1B7E" w:rsidRDefault="009D5CE2" w:rsidP="005959B5">
            <w:pPr>
              <w:jc w:val="both"/>
              <w:rPr>
                <w:color w:val="000000"/>
                <w:sz w:val="20"/>
                <w:szCs w:val="20"/>
                <w:lang w:val="en-US"/>
              </w:rPr>
            </w:pPr>
            <w:r w:rsidRPr="000E1B7E">
              <w:rPr>
                <w:color w:val="000000"/>
                <w:sz w:val="20"/>
                <w:szCs w:val="20"/>
                <w:lang w:val="en-US"/>
              </w:rPr>
              <w:t>54</w:t>
            </w:r>
          </w:p>
        </w:tc>
        <w:tc>
          <w:tcPr>
            <w:tcW w:w="1690" w:type="dxa"/>
            <w:tcBorders>
              <w:top w:val="nil"/>
              <w:left w:val="nil"/>
              <w:bottom w:val="single" w:sz="4" w:space="0" w:color="A4185B"/>
              <w:right w:val="single" w:sz="4" w:space="0" w:color="A4185B"/>
            </w:tcBorders>
            <w:shd w:val="clear" w:color="auto" w:fill="auto"/>
            <w:noWrap/>
            <w:hideMark/>
          </w:tcPr>
          <w:p w14:paraId="159A5FA9" w14:textId="77777777" w:rsidR="009D5CE2" w:rsidRPr="000E1B7E" w:rsidRDefault="009D5CE2" w:rsidP="005959B5">
            <w:pPr>
              <w:jc w:val="both"/>
              <w:rPr>
                <w:color w:val="000000"/>
                <w:sz w:val="20"/>
                <w:szCs w:val="20"/>
                <w:lang w:val="en-US"/>
              </w:rPr>
            </w:pPr>
            <w:r w:rsidRPr="000E1B7E">
              <w:rPr>
                <w:color w:val="000000"/>
                <w:sz w:val="20"/>
                <w:szCs w:val="20"/>
                <w:lang w:val="en-US"/>
              </w:rPr>
              <w:t>28</w:t>
            </w:r>
          </w:p>
        </w:tc>
      </w:tr>
      <w:tr w:rsidR="009D5CE2" w:rsidRPr="000E1B7E" w14:paraId="36750BDE"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6D7BF332" w14:textId="77777777" w:rsidR="009D5CE2" w:rsidRPr="000E1B7E" w:rsidRDefault="009D5CE2" w:rsidP="005959B5">
            <w:pPr>
              <w:jc w:val="both"/>
              <w:rPr>
                <w:color w:val="000000"/>
                <w:sz w:val="20"/>
                <w:szCs w:val="20"/>
                <w:lang w:val="en-US"/>
              </w:rPr>
            </w:pPr>
            <w:r w:rsidRPr="000E1B7E">
              <w:rPr>
                <w:color w:val="000000"/>
                <w:sz w:val="20"/>
                <w:szCs w:val="20"/>
                <w:lang w:val="en-US"/>
              </w:rPr>
              <w:t>17</w:t>
            </w:r>
          </w:p>
        </w:tc>
        <w:tc>
          <w:tcPr>
            <w:tcW w:w="9805" w:type="dxa"/>
            <w:tcBorders>
              <w:top w:val="nil"/>
              <w:left w:val="nil"/>
              <w:bottom w:val="single" w:sz="4" w:space="0" w:color="A4185B"/>
              <w:right w:val="nil"/>
            </w:tcBorders>
            <w:shd w:val="clear" w:color="000000" w:fill="F3E3EA"/>
            <w:hideMark/>
          </w:tcPr>
          <w:p w14:paraId="472DC3B8" w14:textId="77777777" w:rsidR="009D5CE2" w:rsidRPr="000E1B7E" w:rsidRDefault="009D5CE2" w:rsidP="005959B5">
            <w:pPr>
              <w:jc w:val="both"/>
              <w:rPr>
                <w:sz w:val="20"/>
                <w:szCs w:val="20"/>
                <w:lang w:val="en-US"/>
              </w:rPr>
            </w:pPr>
            <w:r w:rsidRPr="000E1B7E">
              <w:rPr>
                <w:sz w:val="20"/>
                <w:szCs w:val="20"/>
                <w:lang w:val="en-US"/>
              </w:rPr>
              <w:t>Myanzi-Kasanda-Kiboga (63km) and Lusalira-Kasambya-Nkonge (39km)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41BA3BBE"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2092AFF5" w14:textId="77777777" w:rsidR="009D5CE2" w:rsidRPr="000E1B7E" w:rsidRDefault="009D5CE2" w:rsidP="005959B5">
            <w:pPr>
              <w:jc w:val="both"/>
              <w:rPr>
                <w:color w:val="000000"/>
                <w:sz w:val="20"/>
                <w:szCs w:val="20"/>
                <w:lang w:val="en-US"/>
              </w:rPr>
            </w:pPr>
            <w:r w:rsidRPr="000E1B7E">
              <w:rPr>
                <w:color w:val="000000"/>
                <w:sz w:val="20"/>
                <w:szCs w:val="20"/>
                <w:lang w:val="en-US"/>
              </w:rPr>
              <w:t>94.5</w:t>
            </w:r>
          </w:p>
        </w:tc>
      </w:tr>
      <w:tr w:rsidR="009D5CE2" w:rsidRPr="000E1B7E" w14:paraId="031D21FE"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auto" w:fill="auto"/>
            <w:noWrap/>
            <w:hideMark/>
          </w:tcPr>
          <w:p w14:paraId="43551086" w14:textId="77777777" w:rsidR="009D5CE2" w:rsidRPr="000E1B7E" w:rsidRDefault="009D5CE2" w:rsidP="005959B5">
            <w:pPr>
              <w:jc w:val="both"/>
              <w:rPr>
                <w:color w:val="000000"/>
                <w:sz w:val="20"/>
                <w:szCs w:val="20"/>
                <w:lang w:val="en-US"/>
              </w:rPr>
            </w:pPr>
            <w:r w:rsidRPr="000E1B7E">
              <w:rPr>
                <w:color w:val="000000"/>
                <w:sz w:val="20"/>
                <w:szCs w:val="20"/>
                <w:lang w:val="en-US"/>
              </w:rPr>
              <w:t>18</w:t>
            </w:r>
          </w:p>
        </w:tc>
        <w:tc>
          <w:tcPr>
            <w:tcW w:w="9805" w:type="dxa"/>
            <w:tcBorders>
              <w:top w:val="nil"/>
              <w:left w:val="nil"/>
              <w:bottom w:val="single" w:sz="4" w:space="0" w:color="A4185B"/>
              <w:right w:val="nil"/>
            </w:tcBorders>
            <w:shd w:val="clear" w:color="auto" w:fill="auto"/>
            <w:hideMark/>
          </w:tcPr>
          <w:p w14:paraId="3167CC75" w14:textId="77777777" w:rsidR="009D5CE2" w:rsidRPr="000E1B7E" w:rsidRDefault="009D5CE2" w:rsidP="005959B5">
            <w:pPr>
              <w:jc w:val="both"/>
              <w:rPr>
                <w:sz w:val="20"/>
                <w:szCs w:val="20"/>
                <w:lang w:val="en-US"/>
              </w:rPr>
            </w:pPr>
            <w:r w:rsidRPr="000E1B7E">
              <w:rPr>
                <w:sz w:val="20"/>
                <w:szCs w:val="20"/>
                <w:lang w:val="en-US"/>
              </w:rPr>
              <w:t>Wakitundu-Bulera-Bukuya-Kayindiyindi Road (70km)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761B6DEE"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155543F7"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1A9D03CF"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0FADB6C9" w14:textId="77777777" w:rsidR="009D5CE2" w:rsidRPr="000E1B7E" w:rsidRDefault="009D5CE2" w:rsidP="005959B5">
            <w:pPr>
              <w:jc w:val="both"/>
              <w:rPr>
                <w:color w:val="000000"/>
                <w:sz w:val="20"/>
                <w:szCs w:val="20"/>
                <w:lang w:val="en-US"/>
              </w:rPr>
            </w:pPr>
            <w:r w:rsidRPr="000E1B7E">
              <w:rPr>
                <w:color w:val="000000"/>
                <w:sz w:val="20"/>
                <w:szCs w:val="20"/>
                <w:lang w:val="en-US"/>
              </w:rPr>
              <w:t>19</w:t>
            </w:r>
          </w:p>
        </w:tc>
        <w:tc>
          <w:tcPr>
            <w:tcW w:w="9805" w:type="dxa"/>
            <w:tcBorders>
              <w:top w:val="nil"/>
              <w:left w:val="nil"/>
              <w:bottom w:val="single" w:sz="4" w:space="0" w:color="A4185B"/>
              <w:right w:val="nil"/>
            </w:tcBorders>
            <w:shd w:val="clear" w:color="000000" w:fill="F3E3EA"/>
            <w:hideMark/>
          </w:tcPr>
          <w:p w14:paraId="164A08A1" w14:textId="77777777" w:rsidR="009D5CE2" w:rsidRPr="000E1B7E" w:rsidRDefault="009D5CE2" w:rsidP="005959B5">
            <w:pPr>
              <w:jc w:val="both"/>
              <w:rPr>
                <w:sz w:val="20"/>
                <w:szCs w:val="20"/>
                <w:lang w:val="en-US"/>
              </w:rPr>
            </w:pPr>
            <w:r w:rsidRPr="000E1B7E">
              <w:rPr>
                <w:sz w:val="20"/>
                <w:szCs w:val="20"/>
                <w:lang w:val="en-US"/>
              </w:rPr>
              <w:t>Nyakiraguju – Bugamba – Kitwe (53km) Road</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3139B72B"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0E34CCAF" w14:textId="77777777" w:rsidR="009D5CE2" w:rsidRPr="000E1B7E" w:rsidRDefault="009D5CE2" w:rsidP="005959B5">
            <w:pPr>
              <w:jc w:val="both"/>
              <w:rPr>
                <w:color w:val="000000"/>
                <w:sz w:val="20"/>
                <w:szCs w:val="20"/>
                <w:lang w:val="en-US"/>
              </w:rPr>
            </w:pPr>
            <w:r w:rsidRPr="000E1B7E">
              <w:rPr>
                <w:color w:val="000000"/>
                <w:sz w:val="20"/>
                <w:szCs w:val="20"/>
                <w:lang w:val="en-US"/>
              </w:rPr>
              <w:t>37</w:t>
            </w:r>
          </w:p>
        </w:tc>
      </w:tr>
      <w:tr w:rsidR="009D5CE2" w:rsidRPr="000E1B7E" w14:paraId="7B429696" w14:textId="77777777" w:rsidTr="009D5CE2">
        <w:trPr>
          <w:trHeight w:val="510"/>
        </w:trPr>
        <w:tc>
          <w:tcPr>
            <w:tcW w:w="560" w:type="dxa"/>
            <w:tcBorders>
              <w:top w:val="nil"/>
              <w:left w:val="single" w:sz="4" w:space="0" w:color="A4185B"/>
              <w:bottom w:val="single" w:sz="4" w:space="0" w:color="A4185B"/>
              <w:right w:val="single" w:sz="4" w:space="0" w:color="A4185B"/>
            </w:tcBorders>
            <w:shd w:val="clear" w:color="auto" w:fill="auto"/>
            <w:noWrap/>
            <w:hideMark/>
          </w:tcPr>
          <w:p w14:paraId="14A7D273" w14:textId="77777777" w:rsidR="009D5CE2" w:rsidRPr="000E1B7E" w:rsidRDefault="009D5CE2" w:rsidP="005959B5">
            <w:pPr>
              <w:jc w:val="both"/>
              <w:rPr>
                <w:color w:val="000000"/>
                <w:sz w:val="20"/>
                <w:szCs w:val="20"/>
                <w:lang w:val="en-US"/>
              </w:rPr>
            </w:pPr>
            <w:r w:rsidRPr="000E1B7E">
              <w:rPr>
                <w:color w:val="000000"/>
                <w:sz w:val="20"/>
                <w:szCs w:val="20"/>
                <w:lang w:val="en-US"/>
              </w:rPr>
              <w:t>20</w:t>
            </w:r>
          </w:p>
        </w:tc>
        <w:tc>
          <w:tcPr>
            <w:tcW w:w="9805" w:type="dxa"/>
            <w:tcBorders>
              <w:top w:val="nil"/>
              <w:left w:val="nil"/>
              <w:bottom w:val="single" w:sz="4" w:space="0" w:color="A4185B"/>
              <w:right w:val="nil"/>
            </w:tcBorders>
            <w:shd w:val="clear" w:color="auto" w:fill="auto"/>
            <w:hideMark/>
          </w:tcPr>
          <w:p w14:paraId="05414CBD" w14:textId="77777777" w:rsidR="009D5CE2" w:rsidRPr="000E1B7E" w:rsidRDefault="009D5CE2" w:rsidP="005959B5">
            <w:pPr>
              <w:jc w:val="both"/>
              <w:rPr>
                <w:sz w:val="20"/>
                <w:szCs w:val="20"/>
                <w:lang w:val="en-US"/>
              </w:rPr>
            </w:pPr>
            <w:r w:rsidRPr="000E1B7E">
              <w:rPr>
                <w:sz w:val="20"/>
                <w:szCs w:val="20"/>
                <w:lang w:val="en-US"/>
              </w:rPr>
              <w:t>Kabwohe - Kitagata – Kabira (51km) And Kabira - Rukungiri (15km)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529A2A9"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1952097C" w14:textId="77777777" w:rsidR="009D5CE2" w:rsidRPr="000E1B7E" w:rsidRDefault="009D5CE2" w:rsidP="005959B5">
            <w:pPr>
              <w:jc w:val="both"/>
              <w:rPr>
                <w:color w:val="000000"/>
                <w:sz w:val="20"/>
                <w:szCs w:val="20"/>
                <w:lang w:val="en-US"/>
              </w:rPr>
            </w:pPr>
            <w:r w:rsidRPr="000E1B7E">
              <w:rPr>
                <w:color w:val="000000"/>
                <w:sz w:val="20"/>
                <w:szCs w:val="20"/>
                <w:lang w:val="en-US"/>
              </w:rPr>
              <w:t>96.2</w:t>
            </w:r>
          </w:p>
        </w:tc>
      </w:tr>
      <w:tr w:rsidR="009D5CE2" w:rsidRPr="000E1B7E" w14:paraId="4C9D51F1"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4497EFB4" w14:textId="77777777" w:rsidR="009D5CE2" w:rsidRPr="000E1B7E" w:rsidRDefault="009D5CE2" w:rsidP="005959B5">
            <w:pPr>
              <w:jc w:val="both"/>
              <w:rPr>
                <w:color w:val="000000"/>
                <w:sz w:val="20"/>
                <w:szCs w:val="20"/>
                <w:lang w:val="en-US"/>
              </w:rPr>
            </w:pPr>
            <w:r w:rsidRPr="000E1B7E">
              <w:rPr>
                <w:color w:val="000000"/>
                <w:sz w:val="20"/>
                <w:szCs w:val="20"/>
                <w:lang w:val="en-US"/>
              </w:rPr>
              <w:lastRenderedPageBreak/>
              <w:t>21</w:t>
            </w:r>
          </w:p>
        </w:tc>
        <w:tc>
          <w:tcPr>
            <w:tcW w:w="9805" w:type="dxa"/>
            <w:tcBorders>
              <w:top w:val="nil"/>
              <w:left w:val="nil"/>
              <w:bottom w:val="single" w:sz="4" w:space="0" w:color="A4185B"/>
              <w:right w:val="nil"/>
            </w:tcBorders>
            <w:shd w:val="clear" w:color="000000" w:fill="F3E3EA"/>
            <w:hideMark/>
          </w:tcPr>
          <w:p w14:paraId="13D3A5EF" w14:textId="77777777" w:rsidR="009D5CE2" w:rsidRPr="000E1B7E" w:rsidRDefault="009D5CE2" w:rsidP="005959B5">
            <w:pPr>
              <w:jc w:val="both"/>
              <w:rPr>
                <w:sz w:val="20"/>
                <w:szCs w:val="20"/>
                <w:lang w:val="en-US"/>
              </w:rPr>
            </w:pPr>
            <w:r w:rsidRPr="000E1B7E">
              <w:rPr>
                <w:sz w:val="20"/>
                <w:szCs w:val="20"/>
                <w:lang w:val="en-US"/>
              </w:rPr>
              <w:t>Kabwohe - Nyakambu – Bwizibwera (35km) &amp;Nyakambu – Nsiika (12.4km)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399177A0"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1CA6F8A3" w14:textId="77777777" w:rsidR="009D5CE2" w:rsidRPr="000E1B7E" w:rsidRDefault="009D5CE2" w:rsidP="005959B5">
            <w:pPr>
              <w:jc w:val="both"/>
              <w:rPr>
                <w:color w:val="000000"/>
                <w:sz w:val="20"/>
                <w:szCs w:val="20"/>
                <w:lang w:val="en-US"/>
              </w:rPr>
            </w:pPr>
            <w:r w:rsidRPr="000E1B7E">
              <w:rPr>
                <w:color w:val="000000"/>
                <w:sz w:val="20"/>
                <w:szCs w:val="20"/>
                <w:lang w:val="en-US"/>
              </w:rPr>
              <w:t>91.2</w:t>
            </w:r>
          </w:p>
        </w:tc>
      </w:tr>
      <w:tr w:rsidR="009D5CE2" w:rsidRPr="000E1B7E" w14:paraId="087A6036"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auto" w:fill="auto"/>
            <w:noWrap/>
            <w:hideMark/>
          </w:tcPr>
          <w:p w14:paraId="4A5D6464" w14:textId="77777777" w:rsidR="009D5CE2" w:rsidRPr="000E1B7E" w:rsidRDefault="009D5CE2" w:rsidP="005959B5">
            <w:pPr>
              <w:jc w:val="both"/>
              <w:rPr>
                <w:color w:val="000000"/>
                <w:sz w:val="20"/>
                <w:szCs w:val="20"/>
                <w:lang w:val="en-US"/>
              </w:rPr>
            </w:pPr>
            <w:r w:rsidRPr="000E1B7E">
              <w:rPr>
                <w:color w:val="000000"/>
                <w:sz w:val="20"/>
                <w:szCs w:val="20"/>
                <w:lang w:val="en-US"/>
              </w:rPr>
              <w:t>22</w:t>
            </w:r>
          </w:p>
        </w:tc>
        <w:tc>
          <w:tcPr>
            <w:tcW w:w="9805" w:type="dxa"/>
            <w:tcBorders>
              <w:top w:val="nil"/>
              <w:left w:val="nil"/>
              <w:bottom w:val="single" w:sz="4" w:space="0" w:color="A4185B"/>
              <w:right w:val="nil"/>
            </w:tcBorders>
            <w:shd w:val="clear" w:color="auto" w:fill="auto"/>
            <w:hideMark/>
          </w:tcPr>
          <w:p w14:paraId="7BE121FF" w14:textId="77777777" w:rsidR="009D5CE2" w:rsidRPr="000E1B7E" w:rsidRDefault="009D5CE2" w:rsidP="005959B5">
            <w:pPr>
              <w:jc w:val="both"/>
              <w:rPr>
                <w:sz w:val="20"/>
                <w:szCs w:val="20"/>
                <w:lang w:val="en-US"/>
              </w:rPr>
            </w:pPr>
            <w:r w:rsidRPr="000E1B7E">
              <w:rPr>
                <w:sz w:val="20"/>
                <w:szCs w:val="20"/>
                <w:lang w:val="en-US"/>
              </w:rPr>
              <w:t>Kakukuru - Rubare - Kyempene - Rubiririzi (35.1km).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06E23365" w14:textId="77777777" w:rsidR="009D5CE2" w:rsidRPr="000E1B7E" w:rsidRDefault="009D5CE2" w:rsidP="005959B5">
            <w:pPr>
              <w:jc w:val="both"/>
              <w:rPr>
                <w:color w:val="000000"/>
                <w:sz w:val="20"/>
                <w:szCs w:val="20"/>
                <w:lang w:val="en-US"/>
              </w:rPr>
            </w:pPr>
            <w:r w:rsidRPr="000E1B7E">
              <w:rPr>
                <w:color w:val="000000"/>
                <w:sz w:val="20"/>
                <w:szCs w:val="20"/>
                <w:lang w:val="en-US"/>
              </w:rPr>
              <w:t>105.1</w:t>
            </w:r>
          </w:p>
        </w:tc>
        <w:tc>
          <w:tcPr>
            <w:tcW w:w="1690" w:type="dxa"/>
            <w:tcBorders>
              <w:top w:val="nil"/>
              <w:left w:val="nil"/>
              <w:bottom w:val="single" w:sz="4" w:space="0" w:color="A4185B"/>
              <w:right w:val="single" w:sz="4" w:space="0" w:color="A4185B"/>
            </w:tcBorders>
            <w:shd w:val="clear" w:color="auto" w:fill="auto"/>
            <w:noWrap/>
            <w:hideMark/>
          </w:tcPr>
          <w:p w14:paraId="2EDA51A1" w14:textId="77777777" w:rsidR="009D5CE2" w:rsidRPr="000E1B7E" w:rsidRDefault="009D5CE2" w:rsidP="005959B5">
            <w:pPr>
              <w:jc w:val="both"/>
              <w:rPr>
                <w:color w:val="000000"/>
                <w:sz w:val="20"/>
                <w:szCs w:val="20"/>
                <w:lang w:val="en-US"/>
              </w:rPr>
            </w:pPr>
            <w:r w:rsidRPr="000E1B7E">
              <w:rPr>
                <w:color w:val="000000"/>
                <w:sz w:val="20"/>
                <w:szCs w:val="20"/>
                <w:lang w:val="en-US"/>
              </w:rPr>
              <w:t>98</w:t>
            </w:r>
          </w:p>
        </w:tc>
      </w:tr>
      <w:tr w:rsidR="009D5CE2" w:rsidRPr="000E1B7E" w14:paraId="4BB479A9"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59C9BF79" w14:textId="77777777" w:rsidR="009D5CE2" w:rsidRPr="000E1B7E" w:rsidRDefault="009D5CE2" w:rsidP="005959B5">
            <w:pPr>
              <w:jc w:val="both"/>
              <w:rPr>
                <w:color w:val="000000"/>
                <w:sz w:val="20"/>
                <w:szCs w:val="20"/>
                <w:lang w:val="en-US"/>
              </w:rPr>
            </w:pPr>
            <w:r w:rsidRPr="000E1B7E">
              <w:rPr>
                <w:color w:val="000000"/>
                <w:sz w:val="20"/>
                <w:szCs w:val="20"/>
                <w:lang w:val="en-US"/>
              </w:rPr>
              <w:t>23</w:t>
            </w:r>
          </w:p>
        </w:tc>
        <w:tc>
          <w:tcPr>
            <w:tcW w:w="9805" w:type="dxa"/>
            <w:tcBorders>
              <w:top w:val="nil"/>
              <w:left w:val="nil"/>
              <w:bottom w:val="single" w:sz="4" w:space="0" w:color="A4185B"/>
              <w:right w:val="nil"/>
            </w:tcBorders>
            <w:shd w:val="clear" w:color="000000" w:fill="F3E3EA"/>
            <w:hideMark/>
          </w:tcPr>
          <w:p w14:paraId="2BC36637" w14:textId="77777777" w:rsidR="009D5CE2" w:rsidRPr="000E1B7E" w:rsidRDefault="009D5CE2" w:rsidP="005959B5">
            <w:pPr>
              <w:jc w:val="both"/>
              <w:rPr>
                <w:sz w:val="20"/>
                <w:szCs w:val="20"/>
                <w:lang w:val="en-US"/>
              </w:rPr>
            </w:pPr>
            <w:r w:rsidRPr="000E1B7E">
              <w:rPr>
                <w:sz w:val="20"/>
                <w:szCs w:val="20"/>
                <w:lang w:val="en-US"/>
              </w:rPr>
              <w:t>Periodic Maintenance of Muhanga - Kyogo - Kamwezi (20.1km) and Rwashamire - Kyafora - Kiyenje (18.9km)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02351CFB" w14:textId="77777777" w:rsidR="009D5CE2" w:rsidRPr="000E1B7E" w:rsidRDefault="009D5CE2" w:rsidP="005959B5">
            <w:pPr>
              <w:jc w:val="both"/>
              <w:rPr>
                <w:color w:val="000000"/>
                <w:sz w:val="20"/>
                <w:szCs w:val="20"/>
                <w:lang w:val="en-US"/>
              </w:rPr>
            </w:pPr>
            <w:r w:rsidRPr="000E1B7E">
              <w:rPr>
                <w:color w:val="000000"/>
                <w:sz w:val="20"/>
                <w:szCs w:val="20"/>
                <w:lang w:val="en-US"/>
              </w:rPr>
              <w:t>342.9</w:t>
            </w:r>
          </w:p>
        </w:tc>
        <w:tc>
          <w:tcPr>
            <w:tcW w:w="1690" w:type="dxa"/>
            <w:tcBorders>
              <w:top w:val="nil"/>
              <w:left w:val="nil"/>
              <w:bottom w:val="single" w:sz="4" w:space="0" w:color="A4185B"/>
              <w:right w:val="single" w:sz="4" w:space="0" w:color="A4185B"/>
            </w:tcBorders>
            <w:shd w:val="clear" w:color="000000" w:fill="F3E3EA"/>
            <w:noWrap/>
            <w:hideMark/>
          </w:tcPr>
          <w:p w14:paraId="4AA58A39" w14:textId="77777777" w:rsidR="009D5CE2" w:rsidRPr="000E1B7E" w:rsidRDefault="009D5CE2" w:rsidP="005959B5">
            <w:pPr>
              <w:jc w:val="both"/>
              <w:rPr>
                <w:color w:val="000000"/>
                <w:sz w:val="20"/>
                <w:szCs w:val="20"/>
                <w:lang w:val="en-US"/>
              </w:rPr>
            </w:pPr>
            <w:r w:rsidRPr="000E1B7E">
              <w:rPr>
                <w:color w:val="000000"/>
                <w:sz w:val="20"/>
                <w:szCs w:val="20"/>
                <w:lang w:val="en-US"/>
              </w:rPr>
              <w:t>93.5</w:t>
            </w:r>
          </w:p>
        </w:tc>
      </w:tr>
      <w:tr w:rsidR="009D5CE2" w:rsidRPr="000E1B7E" w14:paraId="53A0A6FD" w14:textId="77777777" w:rsidTr="00762261">
        <w:trPr>
          <w:trHeight w:val="242"/>
        </w:trPr>
        <w:tc>
          <w:tcPr>
            <w:tcW w:w="560" w:type="dxa"/>
            <w:tcBorders>
              <w:top w:val="nil"/>
              <w:left w:val="single" w:sz="4" w:space="0" w:color="A4185B"/>
              <w:bottom w:val="single" w:sz="4" w:space="0" w:color="A4185B"/>
              <w:right w:val="single" w:sz="4" w:space="0" w:color="A4185B"/>
            </w:tcBorders>
            <w:shd w:val="clear" w:color="auto" w:fill="auto"/>
            <w:noWrap/>
            <w:hideMark/>
          </w:tcPr>
          <w:p w14:paraId="65AC27C7" w14:textId="77777777" w:rsidR="009D5CE2" w:rsidRPr="000E1B7E" w:rsidRDefault="009D5CE2" w:rsidP="005959B5">
            <w:pPr>
              <w:jc w:val="both"/>
              <w:rPr>
                <w:color w:val="000000"/>
                <w:sz w:val="20"/>
                <w:szCs w:val="20"/>
                <w:lang w:val="en-US"/>
              </w:rPr>
            </w:pPr>
            <w:r w:rsidRPr="000E1B7E">
              <w:rPr>
                <w:color w:val="000000"/>
                <w:sz w:val="20"/>
                <w:szCs w:val="20"/>
                <w:lang w:val="en-US"/>
              </w:rPr>
              <w:t>24</w:t>
            </w:r>
          </w:p>
        </w:tc>
        <w:tc>
          <w:tcPr>
            <w:tcW w:w="9805" w:type="dxa"/>
            <w:tcBorders>
              <w:top w:val="nil"/>
              <w:left w:val="nil"/>
              <w:bottom w:val="single" w:sz="4" w:space="0" w:color="A4185B"/>
              <w:right w:val="nil"/>
            </w:tcBorders>
            <w:shd w:val="clear" w:color="auto" w:fill="auto"/>
            <w:hideMark/>
          </w:tcPr>
          <w:p w14:paraId="187EDFE7" w14:textId="77777777" w:rsidR="009D5CE2" w:rsidRPr="000E1B7E" w:rsidRDefault="009D5CE2" w:rsidP="005959B5">
            <w:pPr>
              <w:jc w:val="both"/>
              <w:rPr>
                <w:sz w:val="20"/>
                <w:szCs w:val="20"/>
                <w:lang w:val="en-US"/>
              </w:rPr>
            </w:pPr>
            <w:r w:rsidRPr="000E1B7E">
              <w:rPr>
                <w:sz w:val="20"/>
                <w:szCs w:val="20"/>
                <w:lang w:val="en-US"/>
              </w:rPr>
              <w:t>Kihihi – Nyamirama – Burama (25km)  and Kanungu – Rugyeyo – Kabaranga (38km)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566055E4"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48CBF5C7" w14:textId="77777777" w:rsidR="009D5CE2" w:rsidRPr="000E1B7E" w:rsidRDefault="009D5CE2" w:rsidP="005959B5">
            <w:pPr>
              <w:jc w:val="both"/>
              <w:rPr>
                <w:color w:val="000000"/>
                <w:sz w:val="20"/>
                <w:szCs w:val="20"/>
                <w:lang w:val="en-US"/>
              </w:rPr>
            </w:pPr>
            <w:r w:rsidRPr="000E1B7E">
              <w:rPr>
                <w:color w:val="000000"/>
                <w:sz w:val="20"/>
                <w:szCs w:val="20"/>
                <w:lang w:val="en-US"/>
              </w:rPr>
              <w:t>96</w:t>
            </w:r>
          </w:p>
        </w:tc>
      </w:tr>
      <w:tr w:rsidR="009D5CE2" w:rsidRPr="000E1B7E" w14:paraId="669BC727"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55330DA1" w14:textId="77777777" w:rsidR="009D5CE2" w:rsidRPr="000E1B7E" w:rsidRDefault="009D5CE2" w:rsidP="005959B5">
            <w:pPr>
              <w:jc w:val="both"/>
              <w:rPr>
                <w:color w:val="000000"/>
                <w:sz w:val="20"/>
                <w:szCs w:val="20"/>
                <w:lang w:val="en-US"/>
              </w:rPr>
            </w:pPr>
            <w:r w:rsidRPr="000E1B7E">
              <w:rPr>
                <w:color w:val="000000"/>
                <w:sz w:val="20"/>
                <w:szCs w:val="20"/>
                <w:lang w:val="en-US"/>
              </w:rPr>
              <w:t>25</w:t>
            </w:r>
          </w:p>
        </w:tc>
        <w:tc>
          <w:tcPr>
            <w:tcW w:w="9805" w:type="dxa"/>
            <w:tcBorders>
              <w:top w:val="nil"/>
              <w:left w:val="nil"/>
              <w:bottom w:val="single" w:sz="4" w:space="0" w:color="A4185B"/>
              <w:right w:val="nil"/>
            </w:tcBorders>
            <w:shd w:val="clear" w:color="000000" w:fill="F3E3EA"/>
            <w:hideMark/>
          </w:tcPr>
          <w:p w14:paraId="229EAB89" w14:textId="77777777" w:rsidR="009D5CE2" w:rsidRPr="000E1B7E" w:rsidRDefault="009D5CE2" w:rsidP="005959B5">
            <w:pPr>
              <w:jc w:val="both"/>
              <w:rPr>
                <w:sz w:val="20"/>
                <w:szCs w:val="20"/>
                <w:lang w:val="en-US"/>
              </w:rPr>
            </w:pPr>
            <w:r w:rsidRPr="000E1B7E">
              <w:rPr>
                <w:sz w:val="20"/>
                <w:szCs w:val="20"/>
                <w:lang w:val="en-US"/>
              </w:rPr>
              <w:t>NkendaBugoyeNyakalingijo road 17.5 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3C277CA3"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51E55932" w14:textId="77777777" w:rsidR="009D5CE2" w:rsidRPr="000E1B7E" w:rsidRDefault="009D5CE2" w:rsidP="005959B5">
            <w:pPr>
              <w:jc w:val="both"/>
              <w:rPr>
                <w:color w:val="000000"/>
                <w:sz w:val="20"/>
                <w:szCs w:val="20"/>
                <w:lang w:val="en-US"/>
              </w:rPr>
            </w:pPr>
            <w:r w:rsidRPr="000E1B7E">
              <w:rPr>
                <w:color w:val="000000"/>
                <w:sz w:val="20"/>
                <w:szCs w:val="20"/>
                <w:lang w:val="en-US"/>
              </w:rPr>
              <w:t>93</w:t>
            </w:r>
          </w:p>
        </w:tc>
      </w:tr>
      <w:tr w:rsidR="009D5CE2" w:rsidRPr="000E1B7E" w14:paraId="3B56DD7E"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auto" w:fill="auto"/>
            <w:noWrap/>
            <w:hideMark/>
          </w:tcPr>
          <w:p w14:paraId="013403E8" w14:textId="77777777" w:rsidR="009D5CE2" w:rsidRPr="000E1B7E" w:rsidRDefault="009D5CE2" w:rsidP="005959B5">
            <w:pPr>
              <w:jc w:val="both"/>
              <w:rPr>
                <w:color w:val="000000"/>
                <w:sz w:val="20"/>
                <w:szCs w:val="20"/>
                <w:lang w:val="en-US"/>
              </w:rPr>
            </w:pPr>
            <w:r w:rsidRPr="000E1B7E">
              <w:rPr>
                <w:color w:val="000000"/>
                <w:sz w:val="20"/>
                <w:szCs w:val="20"/>
                <w:lang w:val="en-US"/>
              </w:rPr>
              <w:t>26</w:t>
            </w:r>
          </w:p>
        </w:tc>
        <w:tc>
          <w:tcPr>
            <w:tcW w:w="9805" w:type="dxa"/>
            <w:tcBorders>
              <w:top w:val="nil"/>
              <w:left w:val="nil"/>
              <w:bottom w:val="single" w:sz="4" w:space="0" w:color="A4185B"/>
              <w:right w:val="nil"/>
            </w:tcBorders>
            <w:shd w:val="clear" w:color="auto" w:fill="auto"/>
            <w:hideMark/>
          </w:tcPr>
          <w:p w14:paraId="43867B80" w14:textId="77777777" w:rsidR="009D5CE2" w:rsidRPr="000E1B7E" w:rsidRDefault="009D5CE2" w:rsidP="005959B5">
            <w:pPr>
              <w:jc w:val="both"/>
              <w:rPr>
                <w:sz w:val="20"/>
                <w:szCs w:val="20"/>
                <w:lang w:val="en-US"/>
              </w:rPr>
            </w:pPr>
            <w:r w:rsidRPr="000E1B7E">
              <w:rPr>
                <w:sz w:val="20"/>
                <w:szCs w:val="20"/>
                <w:lang w:val="en-US"/>
              </w:rPr>
              <w:t>Kibuku - Nyabusozi (14km) and Kahunge - Bisozi - Rwamwanya (34km)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93CBB64"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49ED9AC2"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27B46206"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0E7BFC86" w14:textId="77777777" w:rsidR="009D5CE2" w:rsidRPr="000E1B7E" w:rsidRDefault="009D5CE2" w:rsidP="005959B5">
            <w:pPr>
              <w:jc w:val="both"/>
              <w:rPr>
                <w:color w:val="000000"/>
                <w:sz w:val="20"/>
                <w:szCs w:val="20"/>
                <w:lang w:val="en-US"/>
              </w:rPr>
            </w:pPr>
            <w:r w:rsidRPr="000E1B7E">
              <w:rPr>
                <w:color w:val="000000"/>
                <w:sz w:val="20"/>
                <w:szCs w:val="20"/>
                <w:lang w:val="en-US"/>
              </w:rPr>
              <w:t>27</w:t>
            </w:r>
          </w:p>
        </w:tc>
        <w:tc>
          <w:tcPr>
            <w:tcW w:w="9805" w:type="dxa"/>
            <w:tcBorders>
              <w:top w:val="nil"/>
              <w:left w:val="nil"/>
              <w:bottom w:val="single" w:sz="4" w:space="0" w:color="A4185B"/>
              <w:right w:val="nil"/>
            </w:tcBorders>
            <w:shd w:val="clear" w:color="000000" w:fill="F3E3EA"/>
            <w:hideMark/>
          </w:tcPr>
          <w:p w14:paraId="45935AAD" w14:textId="77777777" w:rsidR="009D5CE2" w:rsidRPr="000E1B7E" w:rsidRDefault="009D5CE2" w:rsidP="005959B5">
            <w:pPr>
              <w:jc w:val="both"/>
              <w:rPr>
                <w:sz w:val="20"/>
                <w:szCs w:val="20"/>
                <w:lang w:val="en-US"/>
              </w:rPr>
            </w:pPr>
            <w:r w:rsidRPr="000E1B7E">
              <w:rPr>
                <w:sz w:val="20"/>
                <w:szCs w:val="20"/>
                <w:lang w:val="en-US"/>
              </w:rPr>
              <w:t>Kyenjojo - Katooke - Muzizi (38km), Rugombe - Katooke (23km) and Fort Portal  - Kijura (41km)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410A68F4"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476924C5" w14:textId="77777777" w:rsidR="009D5CE2" w:rsidRPr="000E1B7E" w:rsidRDefault="009D5CE2" w:rsidP="005959B5">
            <w:pPr>
              <w:jc w:val="both"/>
              <w:rPr>
                <w:color w:val="000000"/>
                <w:sz w:val="20"/>
                <w:szCs w:val="20"/>
                <w:lang w:val="en-US"/>
              </w:rPr>
            </w:pPr>
            <w:r w:rsidRPr="000E1B7E">
              <w:rPr>
                <w:color w:val="000000"/>
                <w:sz w:val="20"/>
                <w:szCs w:val="20"/>
                <w:lang w:val="en-US"/>
              </w:rPr>
              <w:t>100.0</w:t>
            </w:r>
          </w:p>
        </w:tc>
      </w:tr>
      <w:tr w:rsidR="009D5CE2" w:rsidRPr="000E1B7E" w14:paraId="602E89FD"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auto" w:fill="auto"/>
            <w:noWrap/>
            <w:vAlign w:val="center"/>
            <w:hideMark/>
          </w:tcPr>
          <w:p w14:paraId="4E214C75" w14:textId="77777777" w:rsidR="009D5CE2" w:rsidRPr="000E1B7E" w:rsidRDefault="009D5CE2" w:rsidP="005959B5">
            <w:pPr>
              <w:jc w:val="both"/>
              <w:rPr>
                <w:color w:val="000000"/>
                <w:sz w:val="20"/>
                <w:szCs w:val="20"/>
                <w:lang w:val="en-US"/>
              </w:rPr>
            </w:pPr>
            <w:r w:rsidRPr="000E1B7E">
              <w:rPr>
                <w:color w:val="000000"/>
                <w:sz w:val="20"/>
                <w:szCs w:val="20"/>
                <w:lang w:val="en-US"/>
              </w:rPr>
              <w:t>28</w:t>
            </w:r>
          </w:p>
        </w:tc>
        <w:tc>
          <w:tcPr>
            <w:tcW w:w="9805" w:type="dxa"/>
            <w:tcBorders>
              <w:top w:val="nil"/>
              <w:left w:val="nil"/>
              <w:bottom w:val="single" w:sz="4" w:space="0" w:color="A4185B"/>
              <w:right w:val="nil"/>
            </w:tcBorders>
            <w:shd w:val="clear" w:color="auto" w:fill="auto"/>
            <w:hideMark/>
          </w:tcPr>
          <w:p w14:paraId="6E7EFAE5" w14:textId="77777777" w:rsidR="009D5CE2" w:rsidRPr="000E1B7E" w:rsidRDefault="009D5CE2" w:rsidP="005959B5">
            <w:pPr>
              <w:jc w:val="both"/>
              <w:rPr>
                <w:sz w:val="20"/>
                <w:szCs w:val="20"/>
                <w:lang w:val="en-US"/>
              </w:rPr>
            </w:pPr>
            <w:r w:rsidRPr="000E1B7E">
              <w:rPr>
                <w:sz w:val="20"/>
                <w:szCs w:val="20"/>
                <w:lang w:val="en-US"/>
              </w:rPr>
              <w:t>Provision and Installation of Reinforced Concrete Marker Posts to demarcate Road Reserves on two selected National Roads Lot 2: Fort Portal - Bundibugyo - Lamia (103.6km)</w:t>
            </w:r>
          </w:p>
        </w:tc>
        <w:tc>
          <w:tcPr>
            <w:tcW w:w="1820" w:type="dxa"/>
            <w:tcBorders>
              <w:top w:val="nil"/>
              <w:left w:val="single" w:sz="4" w:space="0" w:color="A4185B"/>
              <w:bottom w:val="single" w:sz="4" w:space="0" w:color="A4185B"/>
              <w:right w:val="single" w:sz="4" w:space="0" w:color="A4185B"/>
            </w:tcBorders>
            <w:shd w:val="clear" w:color="auto" w:fill="auto"/>
            <w:noWrap/>
            <w:vAlign w:val="center"/>
            <w:hideMark/>
          </w:tcPr>
          <w:p w14:paraId="186C0D98"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vAlign w:val="center"/>
            <w:hideMark/>
          </w:tcPr>
          <w:p w14:paraId="04523100"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4669AF11" w14:textId="77777777" w:rsidTr="00762261">
        <w:trPr>
          <w:trHeight w:val="557"/>
        </w:trPr>
        <w:tc>
          <w:tcPr>
            <w:tcW w:w="560" w:type="dxa"/>
            <w:tcBorders>
              <w:top w:val="nil"/>
              <w:left w:val="single" w:sz="4" w:space="0" w:color="A4185B"/>
              <w:bottom w:val="single" w:sz="4" w:space="0" w:color="A4185B"/>
              <w:right w:val="single" w:sz="4" w:space="0" w:color="A4185B"/>
            </w:tcBorders>
            <w:shd w:val="clear" w:color="000000" w:fill="F3E3EA"/>
            <w:noWrap/>
            <w:vAlign w:val="center"/>
            <w:hideMark/>
          </w:tcPr>
          <w:p w14:paraId="7470A991" w14:textId="77777777" w:rsidR="009D5CE2" w:rsidRPr="000E1B7E" w:rsidRDefault="009D5CE2" w:rsidP="005959B5">
            <w:pPr>
              <w:jc w:val="both"/>
              <w:rPr>
                <w:color w:val="000000"/>
                <w:sz w:val="20"/>
                <w:szCs w:val="20"/>
                <w:lang w:val="en-US"/>
              </w:rPr>
            </w:pPr>
            <w:r w:rsidRPr="000E1B7E">
              <w:rPr>
                <w:color w:val="000000"/>
                <w:sz w:val="20"/>
                <w:szCs w:val="20"/>
                <w:lang w:val="en-US"/>
              </w:rPr>
              <w:t>29</w:t>
            </w:r>
          </w:p>
        </w:tc>
        <w:tc>
          <w:tcPr>
            <w:tcW w:w="9805" w:type="dxa"/>
            <w:tcBorders>
              <w:top w:val="nil"/>
              <w:left w:val="nil"/>
              <w:bottom w:val="single" w:sz="4" w:space="0" w:color="A4185B"/>
              <w:right w:val="nil"/>
            </w:tcBorders>
            <w:shd w:val="clear" w:color="000000" w:fill="F3E3EA"/>
            <w:hideMark/>
          </w:tcPr>
          <w:p w14:paraId="212606C8" w14:textId="77777777" w:rsidR="009D5CE2" w:rsidRPr="000E1B7E" w:rsidRDefault="009D5CE2" w:rsidP="005959B5">
            <w:pPr>
              <w:jc w:val="both"/>
              <w:rPr>
                <w:sz w:val="20"/>
                <w:szCs w:val="20"/>
                <w:lang w:val="en-US"/>
              </w:rPr>
            </w:pPr>
            <w:r w:rsidRPr="000E1B7E">
              <w:rPr>
                <w:sz w:val="20"/>
                <w:szCs w:val="20"/>
                <w:lang w:val="en-US"/>
              </w:rPr>
              <w:t>Provision of Services of Road Construction Equipment Hire Facilities for Uganda National Roads Authority for a period of 4 years, Western Region(Fort Portal, Hoima and Masindi</w:t>
            </w:r>
          </w:p>
        </w:tc>
        <w:tc>
          <w:tcPr>
            <w:tcW w:w="1820" w:type="dxa"/>
            <w:tcBorders>
              <w:top w:val="nil"/>
              <w:left w:val="single" w:sz="4" w:space="0" w:color="A4185B"/>
              <w:bottom w:val="single" w:sz="4" w:space="0" w:color="A4185B"/>
              <w:right w:val="single" w:sz="4" w:space="0" w:color="A4185B"/>
            </w:tcBorders>
            <w:shd w:val="clear" w:color="000000" w:fill="F3E3EA"/>
            <w:noWrap/>
            <w:vAlign w:val="center"/>
            <w:hideMark/>
          </w:tcPr>
          <w:p w14:paraId="4ADED7BC" w14:textId="77777777" w:rsidR="009D5CE2" w:rsidRPr="000E1B7E" w:rsidRDefault="009D5CE2" w:rsidP="005959B5">
            <w:pPr>
              <w:jc w:val="both"/>
              <w:rPr>
                <w:color w:val="000000"/>
                <w:sz w:val="20"/>
                <w:szCs w:val="20"/>
                <w:lang w:val="en-US"/>
              </w:rPr>
            </w:pPr>
            <w:r w:rsidRPr="000E1B7E">
              <w:rPr>
                <w:color w:val="000000"/>
                <w:sz w:val="20"/>
                <w:szCs w:val="20"/>
                <w:lang w:val="en-US"/>
              </w:rPr>
              <w:t>60</w:t>
            </w:r>
          </w:p>
        </w:tc>
        <w:tc>
          <w:tcPr>
            <w:tcW w:w="1690" w:type="dxa"/>
            <w:tcBorders>
              <w:top w:val="nil"/>
              <w:left w:val="nil"/>
              <w:bottom w:val="single" w:sz="4" w:space="0" w:color="A4185B"/>
              <w:right w:val="single" w:sz="4" w:space="0" w:color="A4185B"/>
            </w:tcBorders>
            <w:shd w:val="clear" w:color="000000" w:fill="F3E3EA"/>
            <w:noWrap/>
            <w:vAlign w:val="center"/>
            <w:hideMark/>
          </w:tcPr>
          <w:p w14:paraId="62072029" w14:textId="77777777" w:rsidR="009D5CE2" w:rsidRPr="000E1B7E" w:rsidRDefault="009D5CE2" w:rsidP="005959B5">
            <w:pPr>
              <w:jc w:val="both"/>
              <w:rPr>
                <w:color w:val="000000"/>
                <w:sz w:val="20"/>
                <w:szCs w:val="20"/>
                <w:lang w:val="en-US"/>
              </w:rPr>
            </w:pPr>
            <w:r w:rsidRPr="000E1B7E">
              <w:rPr>
                <w:color w:val="000000"/>
                <w:sz w:val="20"/>
                <w:szCs w:val="20"/>
                <w:lang w:val="en-US"/>
              </w:rPr>
              <w:t>40</w:t>
            </w:r>
          </w:p>
        </w:tc>
      </w:tr>
      <w:tr w:rsidR="009D5CE2" w:rsidRPr="000E1B7E" w14:paraId="6492F2A7"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5F6E07C6" w14:textId="77777777" w:rsidR="009D5CE2" w:rsidRPr="000E1B7E" w:rsidRDefault="009D5CE2" w:rsidP="005959B5">
            <w:pPr>
              <w:jc w:val="both"/>
              <w:rPr>
                <w:color w:val="000000"/>
                <w:sz w:val="20"/>
                <w:szCs w:val="20"/>
                <w:lang w:val="en-US"/>
              </w:rPr>
            </w:pPr>
            <w:r w:rsidRPr="000E1B7E">
              <w:rPr>
                <w:color w:val="000000"/>
                <w:sz w:val="20"/>
                <w:szCs w:val="20"/>
                <w:lang w:val="en-US"/>
              </w:rPr>
              <w:t>30</w:t>
            </w:r>
          </w:p>
        </w:tc>
        <w:tc>
          <w:tcPr>
            <w:tcW w:w="9805" w:type="dxa"/>
            <w:tcBorders>
              <w:top w:val="nil"/>
              <w:left w:val="nil"/>
              <w:bottom w:val="single" w:sz="4" w:space="0" w:color="A4185B"/>
              <w:right w:val="nil"/>
            </w:tcBorders>
            <w:shd w:val="clear" w:color="auto" w:fill="auto"/>
            <w:hideMark/>
          </w:tcPr>
          <w:p w14:paraId="1B2D26A6" w14:textId="77777777" w:rsidR="009D5CE2" w:rsidRPr="000E1B7E" w:rsidRDefault="009D5CE2" w:rsidP="005959B5">
            <w:pPr>
              <w:jc w:val="both"/>
              <w:rPr>
                <w:sz w:val="20"/>
                <w:szCs w:val="20"/>
                <w:lang w:val="en-US"/>
              </w:rPr>
            </w:pPr>
            <w:r w:rsidRPr="000E1B7E">
              <w:rPr>
                <w:sz w:val="20"/>
                <w:szCs w:val="20"/>
                <w:lang w:val="en-US"/>
              </w:rPr>
              <w:t>Kasisi-Kabata-Kyanga  (30km)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2E30817A"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15E3F0A0" w14:textId="77777777" w:rsidR="009D5CE2" w:rsidRPr="000E1B7E" w:rsidRDefault="009D5CE2" w:rsidP="005959B5">
            <w:pPr>
              <w:jc w:val="both"/>
              <w:rPr>
                <w:color w:val="000000"/>
                <w:sz w:val="20"/>
                <w:szCs w:val="20"/>
                <w:lang w:val="en-US"/>
              </w:rPr>
            </w:pPr>
            <w:r w:rsidRPr="000E1B7E">
              <w:rPr>
                <w:color w:val="000000"/>
                <w:sz w:val="20"/>
                <w:szCs w:val="20"/>
                <w:lang w:val="en-US"/>
              </w:rPr>
              <w:t>98</w:t>
            </w:r>
          </w:p>
        </w:tc>
      </w:tr>
      <w:tr w:rsidR="009D5CE2" w:rsidRPr="000E1B7E" w14:paraId="61887910" w14:textId="77777777" w:rsidTr="009D5CE2">
        <w:trPr>
          <w:trHeight w:val="51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7473EA46" w14:textId="77777777" w:rsidR="009D5CE2" w:rsidRPr="000E1B7E" w:rsidRDefault="009D5CE2" w:rsidP="005959B5">
            <w:pPr>
              <w:jc w:val="both"/>
              <w:rPr>
                <w:color w:val="000000"/>
                <w:sz w:val="20"/>
                <w:szCs w:val="20"/>
                <w:lang w:val="en-US"/>
              </w:rPr>
            </w:pPr>
            <w:r w:rsidRPr="000E1B7E">
              <w:rPr>
                <w:color w:val="000000"/>
                <w:sz w:val="20"/>
                <w:szCs w:val="20"/>
                <w:lang w:val="en-US"/>
              </w:rPr>
              <w:t>31</w:t>
            </w:r>
          </w:p>
        </w:tc>
        <w:tc>
          <w:tcPr>
            <w:tcW w:w="9805" w:type="dxa"/>
            <w:tcBorders>
              <w:top w:val="nil"/>
              <w:left w:val="nil"/>
              <w:bottom w:val="single" w:sz="4" w:space="0" w:color="A4185B"/>
              <w:right w:val="nil"/>
            </w:tcBorders>
            <w:shd w:val="clear" w:color="000000" w:fill="F3E3EA"/>
            <w:hideMark/>
          </w:tcPr>
          <w:p w14:paraId="1DEF7811" w14:textId="77777777" w:rsidR="009D5CE2" w:rsidRPr="000E1B7E" w:rsidRDefault="009D5CE2" w:rsidP="005959B5">
            <w:pPr>
              <w:jc w:val="both"/>
              <w:rPr>
                <w:sz w:val="20"/>
                <w:szCs w:val="20"/>
                <w:lang w:val="en-US"/>
              </w:rPr>
            </w:pPr>
            <w:r w:rsidRPr="000E1B7E">
              <w:rPr>
                <w:sz w:val="20"/>
                <w:szCs w:val="20"/>
                <w:lang w:val="en-US"/>
              </w:rPr>
              <w:t>Nyakigumba-Katebwa (7km) &amp;Ntandi-Kikyo-Bundibugyo (22km)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06DDE8BD"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0A3655DB" w14:textId="77777777" w:rsidR="009D5CE2" w:rsidRPr="000E1B7E" w:rsidRDefault="009D5CE2" w:rsidP="005959B5">
            <w:pPr>
              <w:jc w:val="both"/>
              <w:rPr>
                <w:color w:val="000000"/>
                <w:sz w:val="20"/>
                <w:szCs w:val="20"/>
                <w:lang w:val="en-US"/>
              </w:rPr>
            </w:pPr>
            <w:r w:rsidRPr="000E1B7E">
              <w:rPr>
                <w:color w:val="000000"/>
                <w:sz w:val="20"/>
                <w:szCs w:val="20"/>
                <w:lang w:val="en-US"/>
              </w:rPr>
              <w:t>86</w:t>
            </w:r>
          </w:p>
        </w:tc>
      </w:tr>
      <w:tr w:rsidR="009D5CE2" w:rsidRPr="000E1B7E" w14:paraId="4C256992" w14:textId="77777777" w:rsidTr="00762261">
        <w:trPr>
          <w:trHeight w:val="287"/>
        </w:trPr>
        <w:tc>
          <w:tcPr>
            <w:tcW w:w="560" w:type="dxa"/>
            <w:tcBorders>
              <w:top w:val="nil"/>
              <w:left w:val="single" w:sz="4" w:space="0" w:color="A4185B"/>
              <w:bottom w:val="single" w:sz="4" w:space="0" w:color="A4185B"/>
              <w:right w:val="single" w:sz="4" w:space="0" w:color="A4185B"/>
            </w:tcBorders>
            <w:shd w:val="clear" w:color="auto" w:fill="auto"/>
            <w:noWrap/>
            <w:hideMark/>
          </w:tcPr>
          <w:p w14:paraId="4B995818" w14:textId="77777777" w:rsidR="009D5CE2" w:rsidRPr="000E1B7E" w:rsidRDefault="009D5CE2" w:rsidP="005959B5">
            <w:pPr>
              <w:jc w:val="both"/>
              <w:rPr>
                <w:color w:val="000000"/>
                <w:sz w:val="20"/>
                <w:szCs w:val="20"/>
                <w:lang w:val="en-US"/>
              </w:rPr>
            </w:pPr>
            <w:r w:rsidRPr="000E1B7E">
              <w:rPr>
                <w:color w:val="000000"/>
                <w:sz w:val="20"/>
                <w:szCs w:val="20"/>
                <w:lang w:val="en-US"/>
              </w:rPr>
              <w:t>32</w:t>
            </w:r>
          </w:p>
        </w:tc>
        <w:tc>
          <w:tcPr>
            <w:tcW w:w="9805" w:type="dxa"/>
            <w:tcBorders>
              <w:top w:val="nil"/>
              <w:left w:val="nil"/>
              <w:bottom w:val="single" w:sz="4" w:space="0" w:color="A4185B"/>
              <w:right w:val="nil"/>
            </w:tcBorders>
            <w:shd w:val="clear" w:color="auto" w:fill="auto"/>
            <w:hideMark/>
          </w:tcPr>
          <w:p w14:paraId="54D55F2B" w14:textId="77777777" w:rsidR="009D5CE2" w:rsidRPr="000E1B7E" w:rsidRDefault="009D5CE2" w:rsidP="005959B5">
            <w:pPr>
              <w:jc w:val="both"/>
              <w:rPr>
                <w:sz w:val="20"/>
                <w:szCs w:val="20"/>
                <w:lang w:val="en-US"/>
              </w:rPr>
            </w:pPr>
            <w:r w:rsidRPr="000E1B7E">
              <w:rPr>
                <w:sz w:val="20"/>
                <w:szCs w:val="20"/>
                <w:lang w:val="en-US"/>
              </w:rPr>
              <w:t>Hoima-Kiziranfumbi-Kagadi-Kagadi-Muzizi and Hoima –Biiso (145.2km)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8B0D548"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52F2EAC5"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3FB9FF17"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524FF65B" w14:textId="77777777" w:rsidR="009D5CE2" w:rsidRPr="000E1B7E" w:rsidRDefault="009D5CE2" w:rsidP="005959B5">
            <w:pPr>
              <w:jc w:val="both"/>
              <w:rPr>
                <w:color w:val="000000"/>
                <w:sz w:val="20"/>
                <w:szCs w:val="20"/>
                <w:lang w:val="en-US"/>
              </w:rPr>
            </w:pPr>
            <w:r w:rsidRPr="000E1B7E">
              <w:rPr>
                <w:color w:val="000000"/>
                <w:sz w:val="20"/>
                <w:szCs w:val="20"/>
                <w:lang w:val="en-US"/>
              </w:rPr>
              <w:t>33</w:t>
            </w:r>
          </w:p>
        </w:tc>
        <w:tc>
          <w:tcPr>
            <w:tcW w:w="9805" w:type="dxa"/>
            <w:tcBorders>
              <w:top w:val="nil"/>
              <w:left w:val="nil"/>
              <w:bottom w:val="single" w:sz="4" w:space="0" w:color="A4185B"/>
              <w:right w:val="nil"/>
            </w:tcBorders>
            <w:shd w:val="clear" w:color="000000" w:fill="F3E3EA"/>
            <w:hideMark/>
          </w:tcPr>
          <w:p w14:paraId="60AAE59C" w14:textId="77777777" w:rsidR="009D5CE2" w:rsidRPr="000E1B7E" w:rsidRDefault="009D5CE2" w:rsidP="005959B5">
            <w:pPr>
              <w:jc w:val="both"/>
              <w:rPr>
                <w:sz w:val="20"/>
                <w:szCs w:val="20"/>
                <w:lang w:val="en-US"/>
              </w:rPr>
            </w:pPr>
            <w:r w:rsidRPr="000E1B7E">
              <w:rPr>
                <w:sz w:val="20"/>
                <w:szCs w:val="20"/>
                <w:lang w:val="en-US"/>
              </w:rPr>
              <w:t>Massode-Nkokoo-Road(37.7km)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173788BC"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48855FD3" w14:textId="77777777" w:rsidR="009D5CE2" w:rsidRPr="000E1B7E" w:rsidRDefault="009D5CE2" w:rsidP="005959B5">
            <w:pPr>
              <w:jc w:val="both"/>
              <w:rPr>
                <w:color w:val="000000"/>
                <w:sz w:val="20"/>
                <w:szCs w:val="20"/>
                <w:lang w:val="en-US"/>
              </w:rPr>
            </w:pPr>
            <w:r w:rsidRPr="000E1B7E">
              <w:rPr>
                <w:color w:val="000000"/>
                <w:sz w:val="20"/>
                <w:szCs w:val="20"/>
                <w:lang w:val="en-US"/>
              </w:rPr>
              <w:t>89</w:t>
            </w:r>
          </w:p>
        </w:tc>
      </w:tr>
      <w:tr w:rsidR="009D5CE2" w:rsidRPr="000E1B7E" w14:paraId="720ADC29" w14:textId="77777777" w:rsidTr="00762261">
        <w:trPr>
          <w:trHeight w:val="188"/>
        </w:trPr>
        <w:tc>
          <w:tcPr>
            <w:tcW w:w="560" w:type="dxa"/>
            <w:tcBorders>
              <w:top w:val="nil"/>
              <w:left w:val="single" w:sz="4" w:space="0" w:color="A4185B"/>
              <w:bottom w:val="single" w:sz="4" w:space="0" w:color="A4185B"/>
              <w:right w:val="single" w:sz="4" w:space="0" w:color="A4185B"/>
            </w:tcBorders>
            <w:shd w:val="clear" w:color="auto" w:fill="auto"/>
            <w:noWrap/>
            <w:hideMark/>
          </w:tcPr>
          <w:p w14:paraId="5D7BDC3C" w14:textId="77777777" w:rsidR="009D5CE2" w:rsidRPr="000E1B7E" w:rsidRDefault="009D5CE2" w:rsidP="005959B5">
            <w:pPr>
              <w:jc w:val="both"/>
              <w:rPr>
                <w:color w:val="000000"/>
                <w:sz w:val="20"/>
                <w:szCs w:val="20"/>
                <w:lang w:val="en-US"/>
              </w:rPr>
            </w:pPr>
            <w:r w:rsidRPr="000E1B7E">
              <w:rPr>
                <w:color w:val="000000"/>
                <w:sz w:val="20"/>
                <w:szCs w:val="20"/>
                <w:lang w:val="en-US"/>
              </w:rPr>
              <w:t>34</w:t>
            </w:r>
          </w:p>
        </w:tc>
        <w:tc>
          <w:tcPr>
            <w:tcW w:w="9805" w:type="dxa"/>
            <w:tcBorders>
              <w:top w:val="nil"/>
              <w:left w:val="nil"/>
              <w:bottom w:val="single" w:sz="4" w:space="0" w:color="A4185B"/>
              <w:right w:val="nil"/>
            </w:tcBorders>
            <w:shd w:val="clear" w:color="auto" w:fill="auto"/>
            <w:hideMark/>
          </w:tcPr>
          <w:p w14:paraId="73BCE38D" w14:textId="77777777" w:rsidR="009D5CE2" w:rsidRPr="000E1B7E" w:rsidRDefault="009D5CE2" w:rsidP="005959B5">
            <w:pPr>
              <w:jc w:val="both"/>
              <w:rPr>
                <w:sz w:val="20"/>
                <w:szCs w:val="20"/>
                <w:lang w:val="en-US"/>
              </w:rPr>
            </w:pPr>
            <w:r w:rsidRPr="000E1B7E">
              <w:rPr>
                <w:sz w:val="20"/>
                <w:szCs w:val="20"/>
                <w:lang w:val="en-US"/>
              </w:rPr>
              <w:t>Kagadi-Kibaale Road(40.2km) (Isunga-Bugwara-Kikaya) rd.</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0729ECC" w14:textId="77777777" w:rsidR="009D5CE2" w:rsidRPr="000E1B7E" w:rsidRDefault="009D5CE2" w:rsidP="005959B5">
            <w:pPr>
              <w:jc w:val="both"/>
              <w:rPr>
                <w:color w:val="000000"/>
                <w:sz w:val="20"/>
                <w:szCs w:val="20"/>
                <w:lang w:val="en-US"/>
              </w:rPr>
            </w:pPr>
            <w:r w:rsidRPr="000E1B7E">
              <w:rPr>
                <w:color w:val="000000"/>
                <w:sz w:val="20"/>
                <w:szCs w:val="20"/>
                <w:lang w:val="en-US"/>
              </w:rPr>
              <w:t>98</w:t>
            </w:r>
          </w:p>
        </w:tc>
        <w:tc>
          <w:tcPr>
            <w:tcW w:w="1690" w:type="dxa"/>
            <w:tcBorders>
              <w:top w:val="nil"/>
              <w:left w:val="nil"/>
              <w:bottom w:val="single" w:sz="4" w:space="0" w:color="A4185B"/>
              <w:right w:val="single" w:sz="4" w:space="0" w:color="A4185B"/>
            </w:tcBorders>
            <w:shd w:val="clear" w:color="auto" w:fill="auto"/>
            <w:noWrap/>
            <w:hideMark/>
          </w:tcPr>
          <w:p w14:paraId="3842B447" w14:textId="77777777" w:rsidR="009D5CE2" w:rsidRPr="000E1B7E" w:rsidRDefault="009D5CE2" w:rsidP="005959B5">
            <w:pPr>
              <w:jc w:val="both"/>
              <w:rPr>
                <w:color w:val="000000"/>
                <w:sz w:val="20"/>
                <w:szCs w:val="20"/>
                <w:lang w:val="en-US"/>
              </w:rPr>
            </w:pPr>
            <w:r w:rsidRPr="000E1B7E">
              <w:rPr>
                <w:color w:val="000000"/>
                <w:sz w:val="20"/>
                <w:szCs w:val="20"/>
                <w:lang w:val="en-US"/>
              </w:rPr>
              <w:t>96</w:t>
            </w:r>
          </w:p>
        </w:tc>
      </w:tr>
      <w:tr w:rsidR="009D5CE2" w:rsidRPr="000E1B7E" w14:paraId="4B610C03" w14:textId="77777777" w:rsidTr="00762261">
        <w:trPr>
          <w:trHeight w:val="377"/>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25ACFEF7" w14:textId="77777777" w:rsidR="009D5CE2" w:rsidRPr="000E1B7E" w:rsidRDefault="009D5CE2" w:rsidP="005959B5">
            <w:pPr>
              <w:jc w:val="both"/>
              <w:rPr>
                <w:color w:val="000000"/>
                <w:sz w:val="20"/>
                <w:szCs w:val="20"/>
                <w:lang w:val="en-US"/>
              </w:rPr>
            </w:pPr>
            <w:r w:rsidRPr="000E1B7E">
              <w:rPr>
                <w:color w:val="000000"/>
                <w:sz w:val="20"/>
                <w:szCs w:val="20"/>
                <w:lang w:val="en-US"/>
              </w:rPr>
              <w:t>35</w:t>
            </w:r>
          </w:p>
        </w:tc>
        <w:tc>
          <w:tcPr>
            <w:tcW w:w="9805" w:type="dxa"/>
            <w:tcBorders>
              <w:top w:val="nil"/>
              <w:left w:val="nil"/>
              <w:bottom w:val="single" w:sz="4" w:space="0" w:color="A4185B"/>
              <w:right w:val="nil"/>
            </w:tcBorders>
            <w:shd w:val="clear" w:color="000000" w:fill="F3E3EA"/>
            <w:hideMark/>
          </w:tcPr>
          <w:p w14:paraId="78BE1D1F" w14:textId="77777777" w:rsidR="009D5CE2" w:rsidRPr="000E1B7E" w:rsidRDefault="009D5CE2" w:rsidP="005959B5">
            <w:pPr>
              <w:jc w:val="both"/>
              <w:rPr>
                <w:sz w:val="20"/>
                <w:szCs w:val="20"/>
                <w:lang w:val="en-US"/>
              </w:rPr>
            </w:pPr>
            <w:r w:rsidRPr="000E1B7E">
              <w:rPr>
                <w:sz w:val="20"/>
                <w:szCs w:val="20"/>
                <w:lang w:val="en-US"/>
              </w:rPr>
              <w:t>Bukwiri-Kyankwanzi and Bukwiri-Ntwetwe-Kiyindiyindi Road (75km)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307034D6" w14:textId="77777777" w:rsidR="009D5CE2" w:rsidRPr="000E1B7E" w:rsidRDefault="009D5CE2" w:rsidP="005959B5">
            <w:pPr>
              <w:jc w:val="both"/>
              <w:rPr>
                <w:color w:val="000000"/>
                <w:sz w:val="20"/>
                <w:szCs w:val="20"/>
                <w:lang w:val="en-US"/>
              </w:rPr>
            </w:pPr>
            <w:r w:rsidRPr="000E1B7E">
              <w:rPr>
                <w:color w:val="000000"/>
                <w:sz w:val="20"/>
                <w:szCs w:val="20"/>
                <w:lang w:val="en-US"/>
              </w:rPr>
              <w:t>86</w:t>
            </w:r>
          </w:p>
        </w:tc>
        <w:tc>
          <w:tcPr>
            <w:tcW w:w="1690" w:type="dxa"/>
            <w:tcBorders>
              <w:top w:val="nil"/>
              <w:left w:val="nil"/>
              <w:bottom w:val="single" w:sz="4" w:space="0" w:color="A4185B"/>
              <w:right w:val="single" w:sz="4" w:space="0" w:color="A4185B"/>
            </w:tcBorders>
            <w:shd w:val="clear" w:color="000000" w:fill="F3E3EA"/>
            <w:noWrap/>
            <w:hideMark/>
          </w:tcPr>
          <w:p w14:paraId="5BA7B1E9" w14:textId="77777777" w:rsidR="009D5CE2" w:rsidRPr="000E1B7E" w:rsidRDefault="009D5CE2" w:rsidP="005959B5">
            <w:pPr>
              <w:jc w:val="both"/>
              <w:rPr>
                <w:color w:val="000000"/>
                <w:sz w:val="20"/>
                <w:szCs w:val="20"/>
                <w:lang w:val="en-US"/>
              </w:rPr>
            </w:pPr>
            <w:r w:rsidRPr="000E1B7E">
              <w:rPr>
                <w:color w:val="000000"/>
                <w:sz w:val="20"/>
                <w:szCs w:val="20"/>
                <w:lang w:val="en-US"/>
              </w:rPr>
              <w:t>40.4</w:t>
            </w:r>
          </w:p>
        </w:tc>
      </w:tr>
      <w:tr w:rsidR="009D5CE2" w:rsidRPr="000E1B7E" w14:paraId="282F20C8" w14:textId="77777777" w:rsidTr="00762261">
        <w:trPr>
          <w:trHeight w:val="530"/>
        </w:trPr>
        <w:tc>
          <w:tcPr>
            <w:tcW w:w="560" w:type="dxa"/>
            <w:tcBorders>
              <w:top w:val="nil"/>
              <w:left w:val="single" w:sz="4" w:space="0" w:color="A4185B"/>
              <w:bottom w:val="single" w:sz="4" w:space="0" w:color="A4185B"/>
              <w:right w:val="single" w:sz="4" w:space="0" w:color="A4185B"/>
            </w:tcBorders>
            <w:shd w:val="clear" w:color="auto" w:fill="auto"/>
            <w:noWrap/>
            <w:vAlign w:val="center"/>
            <w:hideMark/>
          </w:tcPr>
          <w:p w14:paraId="6516BD28" w14:textId="77777777" w:rsidR="009D5CE2" w:rsidRPr="000E1B7E" w:rsidRDefault="009D5CE2" w:rsidP="005959B5">
            <w:pPr>
              <w:jc w:val="both"/>
              <w:rPr>
                <w:color w:val="000000"/>
                <w:sz w:val="20"/>
                <w:szCs w:val="20"/>
                <w:lang w:val="en-US"/>
              </w:rPr>
            </w:pPr>
            <w:r w:rsidRPr="000E1B7E">
              <w:rPr>
                <w:color w:val="000000"/>
                <w:sz w:val="20"/>
                <w:szCs w:val="20"/>
                <w:lang w:val="en-US"/>
              </w:rPr>
              <w:t>36</w:t>
            </w:r>
          </w:p>
        </w:tc>
        <w:tc>
          <w:tcPr>
            <w:tcW w:w="9805" w:type="dxa"/>
            <w:tcBorders>
              <w:top w:val="nil"/>
              <w:left w:val="nil"/>
              <w:bottom w:val="single" w:sz="4" w:space="0" w:color="A4185B"/>
              <w:right w:val="nil"/>
            </w:tcBorders>
            <w:shd w:val="clear" w:color="auto" w:fill="auto"/>
            <w:hideMark/>
          </w:tcPr>
          <w:p w14:paraId="3463A137" w14:textId="77777777" w:rsidR="009D5CE2" w:rsidRPr="000E1B7E" w:rsidRDefault="009D5CE2" w:rsidP="005959B5">
            <w:pPr>
              <w:jc w:val="both"/>
              <w:rPr>
                <w:sz w:val="20"/>
                <w:szCs w:val="20"/>
                <w:lang w:val="en-US"/>
              </w:rPr>
            </w:pPr>
            <w:r w:rsidRPr="000E1B7E">
              <w:rPr>
                <w:sz w:val="20"/>
                <w:szCs w:val="20"/>
                <w:lang w:val="en-US"/>
              </w:rPr>
              <w:t>Provision of Services of Road Construction Equipment Hire Facilities for Uganda National Roads Authority for a period of 4 years, Western Region(Fort Portal, Hoima and Masindi)</w:t>
            </w:r>
          </w:p>
        </w:tc>
        <w:tc>
          <w:tcPr>
            <w:tcW w:w="1820" w:type="dxa"/>
            <w:tcBorders>
              <w:top w:val="nil"/>
              <w:left w:val="single" w:sz="4" w:space="0" w:color="A4185B"/>
              <w:bottom w:val="single" w:sz="4" w:space="0" w:color="A4185B"/>
              <w:right w:val="single" w:sz="4" w:space="0" w:color="A4185B"/>
            </w:tcBorders>
            <w:shd w:val="clear" w:color="auto" w:fill="auto"/>
            <w:noWrap/>
            <w:vAlign w:val="center"/>
            <w:hideMark/>
          </w:tcPr>
          <w:p w14:paraId="6D2C9438" w14:textId="77777777" w:rsidR="009D5CE2" w:rsidRPr="000E1B7E" w:rsidRDefault="009D5CE2" w:rsidP="005959B5">
            <w:pPr>
              <w:jc w:val="both"/>
              <w:rPr>
                <w:color w:val="000000"/>
                <w:sz w:val="20"/>
                <w:szCs w:val="20"/>
                <w:lang w:val="en-US"/>
              </w:rPr>
            </w:pPr>
            <w:r w:rsidRPr="000E1B7E">
              <w:rPr>
                <w:color w:val="000000"/>
                <w:sz w:val="20"/>
                <w:szCs w:val="20"/>
                <w:lang w:val="en-US"/>
              </w:rPr>
              <w:t>88</w:t>
            </w:r>
          </w:p>
        </w:tc>
        <w:tc>
          <w:tcPr>
            <w:tcW w:w="1690" w:type="dxa"/>
            <w:tcBorders>
              <w:top w:val="nil"/>
              <w:left w:val="nil"/>
              <w:bottom w:val="single" w:sz="4" w:space="0" w:color="A4185B"/>
              <w:right w:val="single" w:sz="4" w:space="0" w:color="A4185B"/>
            </w:tcBorders>
            <w:shd w:val="clear" w:color="auto" w:fill="auto"/>
            <w:noWrap/>
            <w:vAlign w:val="center"/>
            <w:hideMark/>
          </w:tcPr>
          <w:p w14:paraId="623F0EFE" w14:textId="77777777" w:rsidR="009D5CE2" w:rsidRPr="000E1B7E" w:rsidRDefault="009D5CE2" w:rsidP="005959B5">
            <w:pPr>
              <w:jc w:val="both"/>
              <w:rPr>
                <w:color w:val="000000"/>
                <w:sz w:val="20"/>
                <w:szCs w:val="20"/>
                <w:lang w:val="en-US"/>
              </w:rPr>
            </w:pPr>
            <w:r w:rsidRPr="000E1B7E">
              <w:rPr>
                <w:color w:val="000000"/>
                <w:sz w:val="20"/>
                <w:szCs w:val="20"/>
                <w:lang w:val="en-US"/>
              </w:rPr>
              <w:t>90</w:t>
            </w:r>
          </w:p>
        </w:tc>
      </w:tr>
      <w:tr w:rsidR="009D5CE2" w:rsidRPr="000E1B7E" w14:paraId="53D44F0F"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30971D2" w14:textId="77777777" w:rsidR="009D5CE2" w:rsidRPr="000E1B7E" w:rsidRDefault="009D5CE2" w:rsidP="005959B5">
            <w:pPr>
              <w:jc w:val="both"/>
              <w:rPr>
                <w:color w:val="000000"/>
                <w:sz w:val="20"/>
                <w:szCs w:val="20"/>
                <w:lang w:val="en-US"/>
              </w:rPr>
            </w:pPr>
            <w:r w:rsidRPr="000E1B7E">
              <w:rPr>
                <w:color w:val="000000"/>
                <w:sz w:val="20"/>
                <w:szCs w:val="20"/>
                <w:lang w:val="en-US"/>
              </w:rPr>
              <w:t>37</w:t>
            </w:r>
          </w:p>
        </w:tc>
        <w:tc>
          <w:tcPr>
            <w:tcW w:w="9805" w:type="dxa"/>
            <w:tcBorders>
              <w:top w:val="nil"/>
              <w:left w:val="nil"/>
              <w:bottom w:val="single" w:sz="4" w:space="0" w:color="A4185B"/>
              <w:right w:val="nil"/>
            </w:tcBorders>
            <w:shd w:val="clear" w:color="000000" w:fill="F3E3EA"/>
            <w:hideMark/>
          </w:tcPr>
          <w:p w14:paraId="0C6064FA" w14:textId="77777777" w:rsidR="009D5CE2" w:rsidRPr="000E1B7E" w:rsidRDefault="009D5CE2" w:rsidP="005959B5">
            <w:pPr>
              <w:jc w:val="both"/>
              <w:rPr>
                <w:sz w:val="20"/>
                <w:szCs w:val="20"/>
                <w:lang w:val="en-US"/>
              </w:rPr>
            </w:pPr>
            <w:r w:rsidRPr="000E1B7E">
              <w:rPr>
                <w:sz w:val="20"/>
                <w:szCs w:val="20"/>
                <w:lang w:val="en-US"/>
              </w:rPr>
              <w:t>Nkooko-Nalweyo Road (32.8Km)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690E7C92"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6BCDDE41" w14:textId="77777777" w:rsidR="009D5CE2" w:rsidRPr="000E1B7E" w:rsidRDefault="009D5CE2" w:rsidP="005959B5">
            <w:pPr>
              <w:jc w:val="both"/>
              <w:rPr>
                <w:color w:val="000000"/>
                <w:sz w:val="20"/>
                <w:szCs w:val="20"/>
                <w:lang w:val="en-US"/>
              </w:rPr>
            </w:pPr>
            <w:r w:rsidRPr="000E1B7E">
              <w:rPr>
                <w:color w:val="000000"/>
                <w:sz w:val="20"/>
                <w:szCs w:val="20"/>
                <w:lang w:val="en-US"/>
              </w:rPr>
              <w:t>66</w:t>
            </w:r>
          </w:p>
        </w:tc>
      </w:tr>
      <w:tr w:rsidR="009D5CE2" w:rsidRPr="000E1B7E" w14:paraId="11F32326"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auto" w:fill="auto"/>
            <w:noWrap/>
            <w:hideMark/>
          </w:tcPr>
          <w:p w14:paraId="12E9DE93" w14:textId="77777777" w:rsidR="009D5CE2" w:rsidRPr="000E1B7E" w:rsidRDefault="009D5CE2" w:rsidP="005959B5">
            <w:pPr>
              <w:jc w:val="both"/>
              <w:rPr>
                <w:color w:val="000000"/>
                <w:sz w:val="20"/>
                <w:szCs w:val="20"/>
                <w:lang w:val="en-US"/>
              </w:rPr>
            </w:pPr>
            <w:r w:rsidRPr="000E1B7E">
              <w:rPr>
                <w:color w:val="000000"/>
                <w:sz w:val="20"/>
                <w:szCs w:val="20"/>
                <w:lang w:val="en-US"/>
              </w:rPr>
              <w:t>38</w:t>
            </w:r>
          </w:p>
        </w:tc>
        <w:tc>
          <w:tcPr>
            <w:tcW w:w="9805" w:type="dxa"/>
            <w:tcBorders>
              <w:top w:val="nil"/>
              <w:left w:val="nil"/>
              <w:bottom w:val="single" w:sz="4" w:space="0" w:color="A4185B"/>
              <w:right w:val="nil"/>
            </w:tcBorders>
            <w:shd w:val="clear" w:color="auto" w:fill="auto"/>
            <w:hideMark/>
          </w:tcPr>
          <w:p w14:paraId="310C6500" w14:textId="77777777" w:rsidR="009D5CE2" w:rsidRPr="000E1B7E" w:rsidRDefault="009D5CE2" w:rsidP="005959B5">
            <w:pPr>
              <w:jc w:val="both"/>
              <w:rPr>
                <w:sz w:val="20"/>
                <w:szCs w:val="20"/>
                <w:lang w:val="en-US"/>
              </w:rPr>
            </w:pPr>
            <w:r w:rsidRPr="000E1B7E">
              <w:rPr>
                <w:sz w:val="20"/>
                <w:szCs w:val="20"/>
                <w:lang w:val="en-US"/>
              </w:rPr>
              <w:t>Masindi- Hoima(54km),Masindi-Biiso (51km) and Masindi-Kigum- ba(39km)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438B824C"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5A127A85" w14:textId="77777777" w:rsidR="009D5CE2" w:rsidRPr="000E1B7E" w:rsidRDefault="009D5CE2" w:rsidP="005959B5">
            <w:pPr>
              <w:jc w:val="both"/>
              <w:rPr>
                <w:color w:val="000000"/>
                <w:sz w:val="20"/>
                <w:szCs w:val="20"/>
                <w:lang w:val="en-US"/>
              </w:rPr>
            </w:pPr>
            <w:r w:rsidRPr="000E1B7E">
              <w:rPr>
                <w:color w:val="000000"/>
                <w:sz w:val="20"/>
                <w:szCs w:val="20"/>
                <w:lang w:val="en-US"/>
              </w:rPr>
              <w:t>88</w:t>
            </w:r>
          </w:p>
        </w:tc>
      </w:tr>
      <w:tr w:rsidR="009D5CE2" w:rsidRPr="000E1B7E" w14:paraId="61BFE8CF"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79832AF" w14:textId="77777777" w:rsidR="009D5CE2" w:rsidRPr="000E1B7E" w:rsidRDefault="009D5CE2" w:rsidP="005959B5">
            <w:pPr>
              <w:jc w:val="both"/>
              <w:rPr>
                <w:color w:val="000000"/>
                <w:sz w:val="20"/>
                <w:szCs w:val="20"/>
                <w:lang w:val="en-US"/>
              </w:rPr>
            </w:pPr>
            <w:r w:rsidRPr="000E1B7E">
              <w:rPr>
                <w:color w:val="000000"/>
                <w:sz w:val="20"/>
                <w:szCs w:val="20"/>
                <w:lang w:val="en-US"/>
              </w:rPr>
              <w:t>39</w:t>
            </w:r>
          </w:p>
        </w:tc>
        <w:tc>
          <w:tcPr>
            <w:tcW w:w="9805" w:type="dxa"/>
            <w:tcBorders>
              <w:top w:val="nil"/>
              <w:left w:val="nil"/>
              <w:bottom w:val="single" w:sz="4" w:space="0" w:color="A4185B"/>
              <w:right w:val="nil"/>
            </w:tcBorders>
            <w:shd w:val="clear" w:color="000000" w:fill="F3E3EA"/>
            <w:hideMark/>
          </w:tcPr>
          <w:p w14:paraId="64DD4128" w14:textId="77777777" w:rsidR="009D5CE2" w:rsidRPr="000E1B7E" w:rsidRDefault="009D5CE2" w:rsidP="005959B5">
            <w:pPr>
              <w:jc w:val="both"/>
              <w:rPr>
                <w:sz w:val="20"/>
                <w:szCs w:val="20"/>
                <w:lang w:val="en-US"/>
              </w:rPr>
            </w:pPr>
            <w:r w:rsidRPr="000E1B7E">
              <w:rPr>
                <w:sz w:val="20"/>
                <w:szCs w:val="20"/>
                <w:lang w:val="en-US"/>
              </w:rPr>
              <w:t>Kisanja-Park Jcn-Parra(80km)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171996B7" w14:textId="77777777" w:rsidR="009D5CE2" w:rsidRPr="000E1B7E" w:rsidRDefault="009D5CE2" w:rsidP="005959B5">
            <w:pPr>
              <w:jc w:val="both"/>
              <w:rPr>
                <w:color w:val="000000"/>
                <w:sz w:val="20"/>
                <w:szCs w:val="20"/>
                <w:lang w:val="en-US"/>
              </w:rPr>
            </w:pPr>
            <w:r w:rsidRPr="000E1B7E">
              <w:rPr>
                <w:color w:val="000000"/>
                <w:sz w:val="20"/>
                <w:szCs w:val="20"/>
                <w:lang w:val="en-US"/>
              </w:rPr>
              <w:t>90</w:t>
            </w:r>
          </w:p>
        </w:tc>
        <w:tc>
          <w:tcPr>
            <w:tcW w:w="1690" w:type="dxa"/>
            <w:tcBorders>
              <w:top w:val="nil"/>
              <w:left w:val="nil"/>
              <w:bottom w:val="single" w:sz="4" w:space="0" w:color="A4185B"/>
              <w:right w:val="single" w:sz="4" w:space="0" w:color="A4185B"/>
            </w:tcBorders>
            <w:shd w:val="clear" w:color="000000" w:fill="F3E3EA"/>
            <w:noWrap/>
            <w:hideMark/>
          </w:tcPr>
          <w:p w14:paraId="4BB7B5A2" w14:textId="77777777" w:rsidR="009D5CE2" w:rsidRPr="000E1B7E" w:rsidRDefault="009D5CE2" w:rsidP="005959B5">
            <w:pPr>
              <w:jc w:val="both"/>
              <w:rPr>
                <w:color w:val="000000"/>
                <w:sz w:val="20"/>
                <w:szCs w:val="20"/>
                <w:lang w:val="en-US"/>
              </w:rPr>
            </w:pPr>
            <w:r w:rsidRPr="000E1B7E">
              <w:rPr>
                <w:color w:val="000000"/>
                <w:sz w:val="20"/>
                <w:szCs w:val="20"/>
                <w:lang w:val="en-US"/>
              </w:rPr>
              <w:t>87</w:t>
            </w:r>
          </w:p>
        </w:tc>
      </w:tr>
      <w:tr w:rsidR="009D5CE2" w:rsidRPr="000E1B7E" w14:paraId="7AFECCFB" w14:textId="77777777" w:rsidTr="00762261">
        <w:trPr>
          <w:trHeight w:val="557"/>
        </w:trPr>
        <w:tc>
          <w:tcPr>
            <w:tcW w:w="560" w:type="dxa"/>
            <w:tcBorders>
              <w:top w:val="nil"/>
              <w:left w:val="single" w:sz="4" w:space="0" w:color="A4185B"/>
              <w:bottom w:val="single" w:sz="4" w:space="0" w:color="A4185B"/>
              <w:right w:val="single" w:sz="4" w:space="0" w:color="A4185B"/>
            </w:tcBorders>
            <w:shd w:val="clear" w:color="auto" w:fill="auto"/>
            <w:noWrap/>
            <w:hideMark/>
          </w:tcPr>
          <w:p w14:paraId="1A5328B0" w14:textId="77777777" w:rsidR="009D5CE2" w:rsidRPr="000E1B7E" w:rsidRDefault="009D5CE2" w:rsidP="005959B5">
            <w:pPr>
              <w:jc w:val="both"/>
              <w:rPr>
                <w:color w:val="000000"/>
                <w:sz w:val="20"/>
                <w:szCs w:val="20"/>
                <w:lang w:val="en-US"/>
              </w:rPr>
            </w:pPr>
            <w:r w:rsidRPr="000E1B7E">
              <w:rPr>
                <w:color w:val="000000"/>
                <w:sz w:val="20"/>
                <w:szCs w:val="20"/>
                <w:lang w:val="en-US"/>
              </w:rPr>
              <w:t>40</w:t>
            </w:r>
          </w:p>
        </w:tc>
        <w:tc>
          <w:tcPr>
            <w:tcW w:w="9805" w:type="dxa"/>
            <w:tcBorders>
              <w:top w:val="nil"/>
              <w:left w:val="nil"/>
              <w:bottom w:val="single" w:sz="4" w:space="0" w:color="A4185B"/>
              <w:right w:val="nil"/>
            </w:tcBorders>
            <w:shd w:val="clear" w:color="auto" w:fill="auto"/>
            <w:hideMark/>
          </w:tcPr>
          <w:p w14:paraId="034CB977" w14:textId="77777777" w:rsidR="009D5CE2" w:rsidRPr="000E1B7E" w:rsidRDefault="009D5CE2" w:rsidP="005959B5">
            <w:pPr>
              <w:jc w:val="both"/>
              <w:rPr>
                <w:sz w:val="20"/>
                <w:szCs w:val="20"/>
                <w:lang w:val="en-US"/>
              </w:rPr>
            </w:pPr>
            <w:r w:rsidRPr="000E1B7E">
              <w:rPr>
                <w:sz w:val="20"/>
                <w:szCs w:val="20"/>
                <w:lang w:val="en-US"/>
              </w:rPr>
              <w:t>Biiso-Bukumi, Bukumi-Butiaba, Butiaba Army Barracks Ac- cess(20km), Bukumi-Wanseko(51km) and Buliisa-Park Junction(22km)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173AF52" w14:textId="77777777" w:rsidR="009D5CE2" w:rsidRPr="000E1B7E" w:rsidRDefault="009D5CE2" w:rsidP="005959B5">
            <w:pPr>
              <w:jc w:val="both"/>
              <w:rPr>
                <w:color w:val="000000"/>
                <w:sz w:val="20"/>
                <w:szCs w:val="20"/>
                <w:lang w:val="en-US"/>
              </w:rPr>
            </w:pPr>
            <w:r w:rsidRPr="000E1B7E">
              <w:rPr>
                <w:color w:val="000000"/>
                <w:sz w:val="20"/>
                <w:szCs w:val="20"/>
                <w:lang w:val="en-US"/>
              </w:rPr>
              <w:t>78</w:t>
            </w:r>
          </w:p>
        </w:tc>
        <w:tc>
          <w:tcPr>
            <w:tcW w:w="1690" w:type="dxa"/>
            <w:tcBorders>
              <w:top w:val="nil"/>
              <w:left w:val="nil"/>
              <w:bottom w:val="single" w:sz="4" w:space="0" w:color="A4185B"/>
              <w:right w:val="single" w:sz="4" w:space="0" w:color="A4185B"/>
            </w:tcBorders>
            <w:shd w:val="clear" w:color="auto" w:fill="auto"/>
            <w:noWrap/>
            <w:hideMark/>
          </w:tcPr>
          <w:p w14:paraId="3E19B342" w14:textId="77777777" w:rsidR="009D5CE2" w:rsidRPr="000E1B7E" w:rsidRDefault="009D5CE2" w:rsidP="005959B5">
            <w:pPr>
              <w:jc w:val="both"/>
              <w:rPr>
                <w:color w:val="000000"/>
                <w:sz w:val="20"/>
                <w:szCs w:val="20"/>
                <w:lang w:val="en-US"/>
              </w:rPr>
            </w:pPr>
            <w:r w:rsidRPr="000E1B7E">
              <w:rPr>
                <w:color w:val="000000"/>
                <w:sz w:val="20"/>
                <w:szCs w:val="20"/>
                <w:lang w:val="en-US"/>
              </w:rPr>
              <w:t>45</w:t>
            </w:r>
          </w:p>
        </w:tc>
      </w:tr>
      <w:tr w:rsidR="009D5CE2" w:rsidRPr="000E1B7E" w14:paraId="01A67380" w14:textId="77777777" w:rsidTr="00762261">
        <w:trPr>
          <w:trHeight w:val="602"/>
        </w:trPr>
        <w:tc>
          <w:tcPr>
            <w:tcW w:w="560" w:type="dxa"/>
            <w:tcBorders>
              <w:top w:val="nil"/>
              <w:left w:val="single" w:sz="4" w:space="0" w:color="A4185B"/>
              <w:bottom w:val="single" w:sz="4" w:space="0" w:color="A4185B"/>
              <w:right w:val="single" w:sz="4" w:space="0" w:color="A4185B"/>
            </w:tcBorders>
            <w:shd w:val="clear" w:color="000000" w:fill="F3E3EA"/>
            <w:noWrap/>
            <w:vAlign w:val="center"/>
            <w:hideMark/>
          </w:tcPr>
          <w:p w14:paraId="1C0AA981" w14:textId="77777777" w:rsidR="009D5CE2" w:rsidRPr="000E1B7E" w:rsidRDefault="009D5CE2" w:rsidP="005959B5">
            <w:pPr>
              <w:jc w:val="both"/>
              <w:rPr>
                <w:color w:val="000000"/>
                <w:sz w:val="20"/>
                <w:szCs w:val="20"/>
                <w:lang w:val="en-US"/>
              </w:rPr>
            </w:pPr>
            <w:r w:rsidRPr="000E1B7E">
              <w:rPr>
                <w:color w:val="000000"/>
                <w:sz w:val="20"/>
                <w:szCs w:val="20"/>
                <w:lang w:val="en-US"/>
              </w:rPr>
              <w:t>41</w:t>
            </w:r>
          </w:p>
        </w:tc>
        <w:tc>
          <w:tcPr>
            <w:tcW w:w="9805" w:type="dxa"/>
            <w:tcBorders>
              <w:top w:val="nil"/>
              <w:left w:val="nil"/>
              <w:bottom w:val="single" w:sz="4" w:space="0" w:color="A4185B"/>
              <w:right w:val="nil"/>
            </w:tcBorders>
            <w:shd w:val="clear" w:color="000000" w:fill="F3E3EA"/>
            <w:hideMark/>
          </w:tcPr>
          <w:p w14:paraId="60157821" w14:textId="77777777" w:rsidR="009D5CE2" w:rsidRPr="000E1B7E" w:rsidRDefault="009D5CE2" w:rsidP="005959B5">
            <w:pPr>
              <w:jc w:val="both"/>
              <w:rPr>
                <w:sz w:val="20"/>
                <w:szCs w:val="20"/>
                <w:lang w:val="en-US"/>
              </w:rPr>
            </w:pPr>
            <w:r w:rsidRPr="000E1B7E">
              <w:rPr>
                <w:sz w:val="20"/>
                <w:szCs w:val="20"/>
                <w:lang w:val="en-US"/>
              </w:rPr>
              <w:t>Provision of services of road construction equipment hire facilities for UNRA for four years Lot 3 western region Fort Portal, Hoima and Masindi</w:t>
            </w:r>
          </w:p>
        </w:tc>
        <w:tc>
          <w:tcPr>
            <w:tcW w:w="1820" w:type="dxa"/>
            <w:tcBorders>
              <w:top w:val="nil"/>
              <w:left w:val="single" w:sz="4" w:space="0" w:color="A4185B"/>
              <w:bottom w:val="single" w:sz="4" w:space="0" w:color="A4185B"/>
              <w:right w:val="single" w:sz="4" w:space="0" w:color="A4185B"/>
            </w:tcBorders>
            <w:shd w:val="clear" w:color="000000" w:fill="F3E3EA"/>
            <w:noWrap/>
            <w:vAlign w:val="center"/>
            <w:hideMark/>
          </w:tcPr>
          <w:p w14:paraId="32AE61A8" w14:textId="77777777" w:rsidR="009D5CE2" w:rsidRPr="000E1B7E" w:rsidRDefault="009D5CE2" w:rsidP="005959B5">
            <w:pPr>
              <w:jc w:val="both"/>
              <w:rPr>
                <w:color w:val="000000"/>
                <w:sz w:val="20"/>
                <w:szCs w:val="20"/>
                <w:lang w:val="en-US"/>
              </w:rPr>
            </w:pPr>
            <w:r w:rsidRPr="000E1B7E">
              <w:rPr>
                <w:color w:val="000000"/>
                <w:sz w:val="20"/>
                <w:szCs w:val="20"/>
                <w:lang w:val="en-US"/>
              </w:rPr>
              <w:t>92</w:t>
            </w:r>
          </w:p>
        </w:tc>
        <w:tc>
          <w:tcPr>
            <w:tcW w:w="1690" w:type="dxa"/>
            <w:tcBorders>
              <w:top w:val="nil"/>
              <w:left w:val="nil"/>
              <w:bottom w:val="single" w:sz="4" w:space="0" w:color="A4185B"/>
              <w:right w:val="single" w:sz="4" w:space="0" w:color="A4185B"/>
            </w:tcBorders>
            <w:shd w:val="clear" w:color="000000" w:fill="F3E3EA"/>
            <w:noWrap/>
            <w:vAlign w:val="center"/>
            <w:hideMark/>
          </w:tcPr>
          <w:p w14:paraId="66E53170" w14:textId="77777777" w:rsidR="009D5CE2" w:rsidRPr="000E1B7E" w:rsidRDefault="009D5CE2" w:rsidP="005959B5">
            <w:pPr>
              <w:jc w:val="both"/>
              <w:rPr>
                <w:color w:val="000000"/>
                <w:sz w:val="20"/>
                <w:szCs w:val="20"/>
                <w:lang w:val="en-US"/>
              </w:rPr>
            </w:pPr>
            <w:r w:rsidRPr="000E1B7E">
              <w:rPr>
                <w:color w:val="000000"/>
                <w:sz w:val="20"/>
                <w:szCs w:val="20"/>
                <w:lang w:val="en-US"/>
              </w:rPr>
              <w:t>84</w:t>
            </w:r>
          </w:p>
        </w:tc>
      </w:tr>
      <w:tr w:rsidR="009D5CE2" w:rsidRPr="000E1B7E" w14:paraId="185B7C4D"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69A9B8DC" w14:textId="77777777" w:rsidR="009D5CE2" w:rsidRPr="000E1B7E" w:rsidRDefault="009D5CE2" w:rsidP="005959B5">
            <w:pPr>
              <w:jc w:val="both"/>
              <w:rPr>
                <w:color w:val="000000"/>
                <w:sz w:val="20"/>
                <w:szCs w:val="20"/>
                <w:lang w:val="en-US"/>
              </w:rPr>
            </w:pPr>
            <w:r w:rsidRPr="000E1B7E">
              <w:rPr>
                <w:color w:val="000000"/>
                <w:sz w:val="20"/>
                <w:szCs w:val="20"/>
                <w:lang w:val="en-US"/>
              </w:rPr>
              <w:t>42</w:t>
            </w:r>
          </w:p>
        </w:tc>
        <w:tc>
          <w:tcPr>
            <w:tcW w:w="9805" w:type="dxa"/>
            <w:tcBorders>
              <w:top w:val="nil"/>
              <w:left w:val="nil"/>
              <w:bottom w:val="single" w:sz="4" w:space="0" w:color="A4185B"/>
              <w:right w:val="nil"/>
            </w:tcBorders>
            <w:shd w:val="clear" w:color="auto" w:fill="auto"/>
            <w:hideMark/>
          </w:tcPr>
          <w:p w14:paraId="2F25B514" w14:textId="77777777" w:rsidR="009D5CE2" w:rsidRPr="000E1B7E" w:rsidRDefault="009D5CE2" w:rsidP="005959B5">
            <w:pPr>
              <w:jc w:val="both"/>
              <w:rPr>
                <w:sz w:val="20"/>
                <w:szCs w:val="20"/>
                <w:lang w:val="en-US"/>
              </w:rPr>
            </w:pPr>
            <w:r w:rsidRPr="000E1B7E">
              <w:rPr>
                <w:sz w:val="20"/>
                <w:szCs w:val="20"/>
                <w:lang w:val="en-US"/>
              </w:rPr>
              <w:t>Adjumani - Mungula - Amuru Road (88Km)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54A08772"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2D790FAF" w14:textId="77777777" w:rsidR="009D5CE2" w:rsidRPr="000E1B7E" w:rsidRDefault="009D5CE2" w:rsidP="005959B5">
            <w:pPr>
              <w:jc w:val="both"/>
              <w:rPr>
                <w:color w:val="000000"/>
                <w:sz w:val="20"/>
                <w:szCs w:val="20"/>
                <w:lang w:val="en-US"/>
              </w:rPr>
            </w:pPr>
            <w:r w:rsidRPr="000E1B7E">
              <w:rPr>
                <w:color w:val="000000"/>
                <w:sz w:val="20"/>
                <w:szCs w:val="20"/>
                <w:lang w:val="en-US"/>
              </w:rPr>
              <w:t>93</w:t>
            </w:r>
          </w:p>
        </w:tc>
      </w:tr>
      <w:tr w:rsidR="009D5CE2" w:rsidRPr="000E1B7E" w14:paraId="38EBF4C5"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08BC53A4" w14:textId="77777777" w:rsidR="009D5CE2" w:rsidRPr="000E1B7E" w:rsidRDefault="009D5CE2" w:rsidP="005959B5">
            <w:pPr>
              <w:jc w:val="both"/>
              <w:rPr>
                <w:color w:val="000000"/>
                <w:sz w:val="20"/>
                <w:szCs w:val="20"/>
                <w:lang w:val="en-US"/>
              </w:rPr>
            </w:pPr>
            <w:r w:rsidRPr="000E1B7E">
              <w:rPr>
                <w:color w:val="000000"/>
                <w:sz w:val="20"/>
                <w:szCs w:val="20"/>
                <w:lang w:val="en-US"/>
              </w:rPr>
              <w:t>43</w:t>
            </w:r>
          </w:p>
        </w:tc>
        <w:tc>
          <w:tcPr>
            <w:tcW w:w="9805" w:type="dxa"/>
            <w:tcBorders>
              <w:top w:val="nil"/>
              <w:left w:val="nil"/>
              <w:bottom w:val="single" w:sz="4" w:space="0" w:color="A4185B"/>
              <w:right w:val="nil"/>
            </w:tcBorders>
            <w:shd w:val="clear" w:color="000000" w:fill="F3E3EA"/>
            <w:hideMark/>
          </w:tcPr>
          <w:p w14:paraId="3BE180DD" w14:textId="77777777" w:rsidR="009D5CE2" w:rsidRPr="000E1B7E" w:rsidRDefault="009D5CE2" w:rsidP="005959B5">
            <w:pPr>
              <w:jc w:val="both"/>
              <w:rPr>
                <w:sz w:val="20"/>
                <w:szCs w:val="20"/>
                <w:lang w:val="en-US"/>
              </w:rPr>
            </w:pPr>
            <w:r w:rsidRPr="000E1B7E">
              <w:rPr>
                <w:sz w:val="20"/>
                <w:szCs w:val="20"/>
                <w:lang w:val="en-US"/>
              </w:rPr>
              <w:t>Obongi - Kulikulinga (45km)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5519604C"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49901E6C" w14:textId="77777777" w:rsidR="009D5CE2" w:rsidRPr="000E1B7E" w:rsidRDefault="009D5CE2" w:rsidP="005959B5">
            <w:pPr>
              <w:jc w:val="both"/>
              <w:rPr>
                <w:color w:val="000000"/>
                <w:sz w:val="20"/>
                <w:szCs w:val="20"/>
                <w:lang w:val="en-US"/>
              </w:rPr>
            </w:pPr>
            <w:r w:rsidRPr="000E1B7E">
              <w:rPr>
                <w:color w:val="000000"/>
                <w:sz w:val="20"/>
                <w:szCs w:val="20"/>
                <w:lang w:val="en-US"/>
              </w:rPr>
              <w:t>90</w:t>
            </w:r>
          </w:p>
        </w:tc>
      </w:tr>
      <w:tr w:rsidR="009D5CE2" w:rsidRPr="000E1B7E" w14:paraId="23A01A7C"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auto" w:fill="auto"/>
            <w:noWrap/>
            <w:hideMark/>
          </w:tcPr>
          <w:p w14:paraId="4F19F3BF" w14:textId="77777777" w:rsidR="009D5CE2" w:rsidRPr="000E1B7E" w:rsidRDefault="009D5CE2" w:rsidP="005959B5">
            <w:pPr>
              <w:jc w:val="both"/>
              <w:rPr>
                <w:color w:val="000000"/>
                <w:sz w:val="20"/>
                <w:szCs w:val="20"/>
                <w:lang w:val="en-US"/>
              </w:rPr>
            </w:pPr>
            <w:r w:rsidRPr="000E1B7E">
              <w:rPr>
                <w:color w:val="000000"/>
                <w:sz w:val="20"/>
                <w:szCs w:val="20"/>
                <w:lang w:val="en-US"/>
              </w:rPr>
              <w:lastRenderedPageBreak/>
              <w:t>44</w:t>
            </w:r>
          </w:p>
        </w:tc>
        <w:tc>
          <w:tcPr>
            <w:tcW w:w="9805" w:type="dxa"/>
            <w:tcBorders>
              <w:top w:val="nil"/>
              <w:left w:val="nil"/>
              <w:bottom w:val="single" w:sz="4" w:space="0" w:color="A4185B"/>
              <w:right w:val="nil"/>
            </w:tcBorders>
            <w:shd w:val="clear" w:color="auto" w:fill="auto"/>
            <w:hideMark/>
          </w:tcPr>
          <w:p w14:paraId="31A8B97C" w14:textId="77777777" w:rsidR="009D5CE2" w:rsidRPr="000E1B7E" w:rsidRDefault="009D5CE2" w:rsidP="005959B5">
            <w:pPr>
              <w:jc w:val="both"/>
              <w:rPr>
                <w:sz w:val="20"/>
                <w:szCs w:val="20"/>
                <w:lang w:val="en-US"/>
              </w:rPr>
            </w:pPr>
            <w:r w:rsidRPr="000E1B7E">
              <w:rPr>
                <w:sz w:val="20"/>
                <w:szCs w:val="20"/>
                <w:lang w:val="en-US"/>
              </w:rPr>
              <w:t>Obongi - Kulikulinga (45km), Adjumani - Sinyanya (33km) and  Dzai- pi - Tete - Nimule (35km)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0E08E62"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31C31241" w14:textId="77777777" w:rsidR="009D5CE2" w:rsidRPr="000E1B7E" w:rsidRDefault="009D5CE2" w:rsidP="005959B5">
            <w:pPr>
              <w:jc w:val="both"/>
              <w:rPr>
                <w:color w:val="000000"/>
                <w:sz w:val="20"/>
                <w:szCs w:val="20"/>
                <w:lang w:val="en-US"/>
              </w:rPr>
            </w:pPr>
            <w:r w:rsidRPr="000E1B7E">
              <w:rPr>
                <w:color w:val="000000"/>
                <w:sz w:val="20"/>
                <w:szCs w:val="20"/>
                <w:lang w:val="en-US"/>
              </w:rPr>
              <w:t>34</w:t>
            </w:r>
          </w:p>
        </w:tc>
      </w:tr>
      <w:tr w:rsidR="009D5CE2" w:rsidRPr="000E1B7E" w14:paraId="54DDCF3F"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5024DCD7" w14:textId="77777777" w:rsidR="009D5CE2" w:rsidRPr="000E1B7E" w:rsidRDefault="009D5CE2" w:rsidP="005959B5">
            <w:pPr>
              <w:jc w:val="both"/>
              <w:rPr>
                <w:color w:val="000000"/>
                <w:sz w:val="20"/>
                <w:szCs w:val="20"/>
                <w:lang w:val="en-US"/>
              </w:rPr>
            </w:pPr>
            <w:r w:rsidRPr="000E1B7E">
              <w:rPr>
                <w:color w:val="000000"/>
                <w:sz w:val="20"/>
                <w:szCs w:val="20"/>
                <w:lang w:val="en-US"/>
              </w:rPr>
              <w:t>45</w:t>
            </w:r>
          </w:p>
        </w:tc>
        <w:tc>
          <w:tcPr>
            <w:tcW w:w="9805" w:type="dxa"/>
            <w:tcBorders>
              <w:top w:val="nil"/>
              <w:left w:val="nil"/>
              <w:bottom w:val="single" w:sz="4" w:space="0" w:color="A4185B"/>
              <w:right w:val="nil"/>
            </w:tcBorders>
            <w:shd w:val="clear" w:color="000000" w:fill="F3E3EA"/>
            <w:hideMark/>
          </w:tcPr>
          <w:p w14:paraId="3138FD1F" w14:textId="77777777" w:rsidR="009D5CE2" w:rsidRPr="000E1B7E" w:rsidRDefault="009D5CE2" w:rsidP="005959B5">
            <w:pPr>
              <w:jc w:val="both"/>
              <w:rPr>
                <w:sz w:val="20"/>
                <w:szCs w:val="20"/>
                <w:lang w:val="en-US"/>
              </w:rPr>
            </w:pPr>
            <w:r w:rsidRPr="000E1B7E">
              <w:rPr>
                <w:sz w:val="20"/>
                <w:szCs w:val="20"/>
                <w:lang w:val="en-US"/>
              </w:rPr>
              <w:t>Moyo-Obongi Road (28km)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72536001"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03970D17" w14:textId="77777777" w:rsidR="009D5CE2" w:rsidRPr="000E1B7E" w:rsidRDefault="009D5CE2" w:rsidP="005959B5">
            <w:pPr>
              <w:jc w:val="both"/>
              <w:rPr>
                <w:color w:val="000000"/>
                <w:sz w:val="20"/>
                <w:szCs w:val="20"/>
                <w:lang w:val="en-US"/>
              </w:rPr>
            </w:pPr>
            <w:r w:rsidRPr="000E1B7E">
              <w:rPr>
                <w:color w:val="000000"/>
                <w:sz w:val="20"/>
                <w:szCs w:val="20"/>
                <w:lang w:val="en-US"/>
              </w:rPr>
              <w:t>93.2</w:t>
            </w:r>
          </w:p>
        </w:tc>
      </w:tr>
      <w:tr w:rsidR="009D5CE2" w:rsidRPr="000E1B7E" w14:paraId="15174FA9"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5C647DF3" w14:textId="77777777" w:rsidR="009D5CE2" w:rsidRPr="000E1B7E" w:rsidRDefault="009D5CE2" w:rsidP="005959B5">
            <w:pPr>
              <w:jc w:val="both"/>
              <w:rPr>
                <w:color w:val="000000"/>
                <w:sz w:val="20"/>
                <w:szCs w:val="20"/>
                <w:lang w:val="en-US"/>
              </w:rPr>
            </w:pPr>
            <w:r w:rsidRPr="000E1B7E">
              <w:rPr>
                <w:color w:val="000000"/>
                <w:sz w:val="20"/>
                <w:szCs w:val="20"/>
                <w:lang w:val="en-US"/>
              </w:rPr>
              <w:t>46</w:t>
            </w:r>
          </w:p>
        </w:tc>
        <w:tc>
          <w:tcPr>
            <w:tcW w:w="9805" w:type="dxa"/>
            <w:tcBorders>
              <w:top w:val="nil"/>
              <w:left w:val="nil"/>
              <w:bottom w:val="single" w:sz="4" w:space="0" w:color="A4185B"/>
              <w:right w:val="nil"/>
            </w:tcBorders>
            <w:shd w:val="clear" w:color="auto" w:fill="auto"/>
            <w:hideMark/>
          </w:tcPr>
          <w:p w14:paraId="1640B9DB" w14:textId="77777777" w:rsidR="009D5CE2" w:rsidRPr="000E1B7E" w:rsidRDefault="009D5CE2" w:rsidP="005959B5">
            <w:pPr>
              <w:jc w:val="both"/>
              <w:rPr>
                <w:sz w:val="20"/>
                <w:szCs w:val="20"/>
                <w:lang w:val="en-US"/>
              </w:rPr>
            </w:pPr>
            <w:r w:rsidRPr="000E1B7E">
              <w:rPr>
                <w:sz w:val="20"/>
                <w:szCs w:val="20"/>
                <w:lang w:val="en-US"/>
              </w:rPr>
              <w:t>Pakele-Pabbo Road (32.0km)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4C26D396" w14:textId="77777777" w:rsidR="009D5CE2" w:rsidRPr="000E1B7E" w:rsidRDefault="009D5CE2" w:rsidP="005959B5">
            <w:pPr>
              <w:jc w:val="both"/>
              <w:rPr>
                <w:color w:val="000000"/>
                <w:sz w:val="20"/>
                <w:szCs w:val="20"/>
                <w:lang w:val="en-US"/>
              </w:rPr>
            </w:pPr>
            <w:r w:rsidRPr="000E1B7E">
              <w:rPr>
                <w:color w:val="000000"/>
                <w:sz w:val="20"/>
                <w:szCs w:val="20"/>
                <w:lang w:val="en-US"/>
              </w:rPr>
              <w:t>45.16</w:t>
            </w:r>
          </w:p>
        </w:tc>
        <w:tc>
          <w:tcPr>
            <w:tcW w:w="1690" w:type="dxa"/>
            <w:tcBorders>
              <w:top w:val="nil"/>
              <w:left w:val="nil"/>
              <w:bottom w:val="single" w:sz="4" w:space="0" w:color="A4185B"/>
              <w:right w:val="single" w:sz="4" w:space="0" w:color="A4185B"/>
            </w:tcBorders>
            <w:shd w:val="clear" w:color="auto" w:fill="auto"/>
            <w:noWrap/>
            <w:hideMark/>
          </w:tcPr>
          <w:p w14:paraId="088FF0D8" w14:textId="77777777" w:rsidR="009D5CE2" w:rsidRPr="000E1B7E" w:rsidRDefault="009D5CE2" w:rsidP="005959B5">
            <w:pPr>
              <w:jc w:val="both"/>
              <w:rPr>
                <w:color w:val="000000"/>
                <w:sz w:val="20"/>
                <w:szCs w:val="20"/>
                <w:lang w:val="en-US"/>
              </w:rPr>
            </w:pPr>
            <w:r w:rsidRPr="000E1B7E">
              <w:rPr>
                <w:color w:val="000000"/>
                <w:sz w:val="20"/>
                <w:szCs w:val="20"/>
                <w:lang w:val="en-US"/>
              </w:rPr>
              <w:t>12.5</w:t>
            </w:r>
          </w:p>
        </w:tc>
      </w:tr>
      <w:tr w:rsidR="009D5CE2" w:rsidRPr="000E1B7E" w14:paraId="7DE78E12"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A57BAEC" w14:textId="77777777" w:rsidR="009D5CE2" w:rsidRPr="000E1B7E" w:rsidRDefault="009D5CE2" w:rsidP="005959B5">
            <w:pPr>
              <w:jc w:val="both"/>
              <w:rPr>
                <w:color w:val="000000"/>
                <w:sz w:val="20"/>
                <w:szCs w:val="20"/>
                <w:lang w:val="en-US"/>
              </w:rPr>
            </w:pPr>
            <w:r w:rsidRPr="000E1B7E">
              <w:rPr>
                <w:color w:val="000000"/>
                <w:sz w:val="20"/>
                <w:szCs w:val="20"/>
                <w:lang w:val="en-US"/>
              </w:rPr>
              <w:t>47</w:t>
            </w:r>
          </w:p>
        </w:tc>
        <w:tc>
          <w:tcPr>
            <w:tcW w:w="9805" w:type="dxa"/>
            <w:tcBorders>
              <w:top w:val="nil"/>
              <w:left w:val="nil"/>
              <w:bottom w:val="single" w:sz="4" w:space="0" w:color="A4185B"/>
              <w:right w:val="nil"/>
            </w:tcBorders>
            <w:shd w:val="clear" w:color="000000" w:fill="F3E3EA"/>
            <w:hideMark/>
          </w:tcPr>
          <w:p w14:paraId="52AAAFDF" w14:textId="77777777" w:rsidR="009D5CE2" w:rsidRPr="000E1B7E" w:rsidRDefault="009D5CE2" w:rsidP="005959B5">
            <w:pPr>
              <w:jc w:val="both"/>
              <w:rPr>
                <w:sz w:val="20"/>
                <w:szCs w:val="20"/>
                <w:lang w:val="en-US"/>
              </w:rPr>
            </w:pPr>
            <w:r w:rsidRPr="000E1B7E">
              <w:rPr>
                <w:sz w:val="20"/>
                <w:szCs w:val="20"/>
                <w:lang w:val="en-US"/>
              </w:rPr>
              <w:t>Lira Town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7929EA6E"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581377CB" w14:textId="77777777" w:rsidR="009D5CE2" w:rsidRPr="000E1B7E" w:rsidRDefault="009D5CE2" w:rsidP="005959B5">
            <w:pPr>
              <w:jc w:val="both"/>
              <w:rPr>
                <w:color w:val="000000"/>
                <w:sz w:val="20"/>
                <w:szCs w:val="20"/>
                <w:lang w:val="en-US"/>
              </w:rPr>
            </w:pPr>
            <w:r w:rsidRPr="000E1B7E">
              <w:rPr>
                <w:color w:val="000000"/>
                <w:sz w:val="20"/>
                <w:szCs w:val="20"/>
                <w:lang w:val="en-US"/>
              </w:rPr>
              <w:t>99.99</w:t>
            </w:r>
          </w:p>
        </w:tc>
      </w:tr>
      <w:tr w:rsidR="009D5CE2" w:rsidRPr="000E1B7E" w14:paraId="598FEA70"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374234E3" w14:textId="77777777" w:rsidR="009D5CE2" w:rsidRPr="000E1B7E" w:rsidRDefault="009D5CE2" w:rsidP="005959B5">
            <w:pPr>
              <w:jc w:val="both"/>
              <w:rPr>
                <w:color w:val="000000"/>
                <w:sz w:val="20"/>
                <w:szCs w:val="20"/>
                <w:lang w:val="en-US"/>
              </w:rPr>
            </w:pPr>
            <w:r w:rsidRPr="000E1B7E">
              <w:rPr>
                <w:color w:val="000000"/>
                <w:sz w:val="20"/>
                <w:szCs w:val="20"/>
                <w:lang w:val="en-US"/>
              </w:rPr>
              <w:t>48</w:t>
            </w:r>
          </w:p>
        </w:tc>
        <w:tc>
          <w:tcPr>
            <w:tcW w:w="9805" w:type="dxa"/>
            <w:tcBorders>
              <w:top w:val="nil"/>
              <w:left w:val="nil"/>
              <w:bottom w:val="single" w:sz="4" w:space="0" w:color="A4185B"/>
              <w:right w:val="nil"/>
            </w:tcBorders>
            <w:shd w:val="clear" w:color="auto" w:fill="auto"/>
            <w:hideMark/>
          </w:tcPr>
          <w:p w14:paraId="01F3B51F" w14:textId="77777777" w:rsidR="009D5CE2" w:rsidRPr="000E1B7E" w:rsidRDefault="009D5CE2" w:rsidP="005959B5">
            <w:pPr>
              <w:jc w:val="both"/>
              <w:rPr>
                <w:sz w:val="20"/>
                <w:szCs w:val="20"/>
                <w:lang w:val="en-US"/>
              </w:rPr>
            </w:pPr>
            <w:r w:rsidRPr="000E1B7E">
              <w:rPr>
                <w:sz w:val="20"/>
                <w:szCs w:val="20"/>
                <w:lang w:val="en-US"/>
              </w:rPr>
              <w:t>Lira-Aduku-Apac,&amp;Ngetta- Puranga (91.8km)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7D7812C4" w14:textId="77777777" w:rsidR="009D5CE2" w:rsidRPr="000E1B7E" w:rsidRDefault="009D5CE2" w:rsidP="005959B5">
            <w:pPr>
              <w:jc w:val="both"/>
              <w:rPr>
                <w:color w:val="000000"/>
                <w:sz w:val="20"/>
                <w:szCs w:val="20"/>
                <w:lang w:val="en-US"/>
              </w:rPr>
            </w:pPr>
            <w:r w:rsidRPr="000E1B7E">
              <w:rPr>
                <w:color w:val="000000"/>
                <w:sz w:val="20"/>
                <w:szCs w:val="20"/>
                <w:lang w:val="en-US"/>
              </w:rPr>
              <w:t>58.33</w:t>
            </w:r>
          </w:p>
        </w:tc>
        <w:tc>
          <w:tcPr>
            <w:tcW w:w="1690" w:type="dxa"/>
            <w:tcBorders>
              <w:top w:val="nil"/>
              <w:left w:val="nil"/>
              <w:bottom w:val="single" w:sz="4" w:space="0" w:color="A4185B"/>
              <w:right w:val="single" w:sz="4" w:space="0" w:color="A4185B"/>
            </w:tcBorders>
            <w:shd w:val="clear" w:color="auto" w:fill="auto"/>
            <w:noWrap/>
            <w:hideMark/>
          </w:tcPr>
          <w:p w14:paraId="0274E55E" w14:textId="77777777" w:rsidR="009D5CE2" w:rsidRPr="000E1B7E" w:rsidRDefault="009D5CE2" w:rsidP="005959B5">
            <w:pPr>
              <w:jc w:val="both"/>
              <w:rPr>
                <w:color w:val="000000"/>
                <w:sz w:val="20"/>
                <w:szCs w:val="20"/>
                <w:lang w:val="en-US"/>
              </w:rPr>
            </w:pPr>
            <w:r w:rsidRPr="000E1B7E">
              <w:rPr>
                <w:color w:val="000000"/>
                <w:sz w:val="20"/>
                <w:szCs w:val="20"/>
                <w:lang w:val="en-US"/>
              </w:rPr>
              <w:t>57.15</w:t>
            </w:r>
          </w:p>
        </w:tc>
      </w:tr>
      <w:tr w:rsidR="009D5CE2" w:rsidRPr="000E1B7E" w14:paraId="5C6943C4"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0121B9BD" w14:textId="77777777" w:rsidR="009D5CE2" w:rsidRPr="000E1B7E" w:rsidRDefault="009D5CE2" w:rsidP="005959B5">
            <w:pPr>
              <w:jc w:val="both"/>
              <w:rPr>
                <w:color w:val="000000"/>
                <w:sz w:val="20"/>
                <w:szCs w:val="20"/>
                <w:lang w:val="en-US"/>
              </w:rPr>
            </w:pPr>
            <w:r w:rsidRPr="000E1B7E">
              <w:rPr>
                <w:color w:val="000000"/>
                <w:sz w:val="20"/>
                <w:szCs w:val="20"/>
                <w:lang w:val="en-US"/>
              </w:rPr>
              <w:t>49</w:t>
            </w:r>
          </w:p>
        </w:tc>
        <w:tc>
          <w:tcPr>
            <w:tcW w:w="9805" w:type="dxa"/>
            <w:tcBorders>
              <w:top w:val="nil"/>
              <w:left w:val="nil"/>
              <w:bottom w:val="single" w:sz="4" w:space="0" w:color="A4185B"/>
              <w:right w:val="nil"/>
            </w:tcBorders>
            <w:shd w:val="clear" w:color="000000" w:fill="F3E3EA"/>
            <w:hideMark/>
          </w:tcPr>
          <w:p w14:paraId="05DF331F" w14:textId="77777777" w:rsidR="009D5CE2" w:rsidRPr="000E1B7E" w:rsidRDefault="009D5CE2" w:rsidP="005959B5">
            <w:pPr>
              <w:jc w:val="both"/>
              <w:rPr>
                <w:sz w:val="20"/>
                <w:szCs w:val="20"/>
                <w:lang w:val="en-US"/>
              </w:rPr>
            </w:pPr>
            <w:r w:rsidRPr="000E1B7E">
              <w:rPr>
                <w:sz w:val="20"/>
                <w:szCs w:val="20"/>
                <w:lang w:val="en-US"/>
              </w:rPr>
              <w:t>Apac- Akokoro-Masindi Port (91km)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5EB8ED39" w14:textId="77777777" w:rsidR="009D5CE2" w:rsidRPr="000E1B7E" w:rsidRDefault="009D5CE2" w:rsidP="005959B5">
            <w:pPr>
              <w:jc w:val="both"/>
              <w:rPr>
                <w:color w:val="000000"/>
                <w:sz w:val="20"/>
                <w:szCs w:val="20"/>
                <w:lang w:val="en-US"/>
              </w:rPr>
            </w:pPr>
            <w:r w:rsidRPr="000E1B7E">
              <w:rPr>
                <w:color w:val="000000"/>
                <w:sz w:val="20"/>
                <w:szCs w:val="20"/>
                <w:lang w:val="en-US"/>
              </w:rPr>
              <w:t>52.77</w:t>
            </w:r>
          </w:p>
        </w:tc>
        <w:tc>
          <w:tcPr>
            <w:tcW w:w="1690" w:type="dxa"/>
            <w:tcBorders>
              <w:top w:val="nil"/>
              <w:left w:val="nil"/>
              <w:bottom w:val="single" w:sz="4" w:space="0" w:color="A4185B"/>
              <w:right w:val="single" w:sz="4" w:space="0" w:color="A4185B"/>
            </w:tcBorders>
            <w:shd w:val="clear" w:color="000000" w:fill="F3E3EA"/>
            <w:noWrap/>
            <w:hideMark/>
          </w:tcPr>
          <w:p w14:paraId="77719B8C" w14:textId="77777777" w:rsidR="009D5CE2" w:rsidRPr="000E1B7E" w:rsidRDefault="009D5CE2" w:rsidP="005959B5">
            <w:pPr>
              <w:jc w:val="both"/>
              <w:rPr>
                <w:color w:val="000000"/>
                <w:sz w:val="20"/>
                <w:szCs w:val="20"/>
                <w:lang w:val="en-US"/>
              </w:rPr>
            </w:pPr>
            <w:r w:rsidRPr="000E1B7E">
              <w:rPr>
                <w:color w:val="000000"/>
                <w:sz w:val="20"/>
                <w:szCs w:val="20"/>
                <w:lang w:val="en-US"/>
              </w:rPr>
              <w:t>55.6</w:t>
            </w:r>
          </w:p>
        </w:tc>
      </w:tr>
      <w:tr w:rsidR="009D5CE2" w:rsidRPr="000E1B7E" w14:paraId="692C4009"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4D59A46C" w14:textId="77777777" w:rsidR="009D5CE2" w:rsidRPr="000E1B7E" w:rsidRDefault="009D5CE2" w:rsidP="005959B5">
            <w:pPr>
              <w:jc w:val="both"/>
              <w:rPr>
                <w:color w:val="000000"/>
                <w:sz w:val="20"/>
                <w:szCs w:val="20"/>
                <w:lang w:val="en-US"/>
              </w:rPr>
            </w:pPr>
            <w:r w:rsidRPr="000E1B7E">
              <w:rPr>
                <w:color w:val="000000"/>
                <w:sz w:val="20"/>
                <w:szCs w:val="20"/>
                <w:lang w:val="en-US"/>
              </w:rPr>
              <w:t>50</w:t>
            </w:r>
          </w:p>
        </w:tc>
        <w:tc>
          <w:tcPr>
            <w:tcW w:w="9805" w:type="dxa"/>
            <w:tcBorders>
              <w:top w:val="nil"/>
              <w:left w:val="nil"/>
              <w:bottom w:val="single" w:sz="4" w:space="0" w:color="A4185B"/>
              <w:right w:val="nil"/>
            </w:tcBorders>
            <w:shd w:val="clear" w:color="auto" w:fill="auto"/>
            <w:hideMark/>
          </w:tcPr>
          <w:p w14:paraId="0305A47F" w14:textId="77777777" w:rsidR="009D5CE2" w:rsidRPr="000E1B7E" w:rsidRDefault="009D5CE2" w:rsidP="005959B5">
            <w:pPr>
              <w:jc w:val="both"/>
              <w:rPr>
                <w:sz w:val="20"/>
                <w:szCs w:val="20"/>
                <w:lang w:val="en-US"/>
              </w:rPr>
            </w:pPr>
            <w:r w:rsidRPr="000E1B7E">
              <w:rPr>
                <w:sz w:val="20"/>
                <w:szCs w:val="20"/>
                <w:lang w:val="en-US"/>
              </w:rPr>
              <w:t>Apac-Cegere – Teboke Road (28km)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0A8446C6" w14:textId="77777777" w:rsidR="009D5CE2" w:rsidRPr="000E1B7E" w:rsidRDefault="009D5CE2" w:rsidP="005959B5">
            <w:pPr>
              <w:jc w:val="both"/>
              <w:rPr>
                <w:color w:val="000000"/>
                <w:sz w:val="20"/>
                <w:szCs w:val="20"/>
                <w:lang w:val="en-US"/>
              </w:rPr>
            </w:pPr>
            <w:r w:rsidRPr="000E1B7E">
              <w:rPr>
                <w:color w:val="000000"/>
                <w:sz w:val="20"/>
                <w:szCs w:val="20"/>
                <w:lang w:val="en-US"/>
              </w:rPr>
              <w:t>100.0</w:t>
            </w:r>
          </w:p>
        </w:tc>
        <w:tc>
          <w:tcPr>
            <w:tcW w:w="1690" w:type="dxa"/>
            <w:tcBorders>
              <w:top w:val="nil"/>
              <w:left w:val="nil"/>
              <w:bottom w:val="single" w:sz="4" w:space="0" w:color="A4185B"/>
              <w:right w:val="single" w:sz="4" w:space="0" w:color="A4185B"/>
            </w:tcBorders>
            <w:shd w:val="clear" w:color="auto" w:fill="auto"/>
            <w:noWrap/>
            <w:hideMark/>
          </w:tcPr>
          <w:p w14:paraId="0F9BDAF9" w14:textId="77777777" w:rsidR="009D5CE2" w:rsidRPr="000E1B7E" w:rsidRDefault="009D5CE2" w:rsidP="005959B5">
            <w:pPr>
              <w:jc w:val="both"/>
              <w:rPr>
                <w:color w:val="000000"/>
                <w:sz w:val="20"/>
                <w:szCs w:val="20"/>
                <w:lang w:val="en-US"/>
              </w:rPr>
            </w:pPr>
            <w:r w:rsidRPr="000E1B7E">
              <w:rPr>
                <w:color w:val="000000"/>
                <w:sz w:val="20"/>
                <w:szCs w:val="20"/>
                <w:lang w:val="en-US"/>
              </w:rPr>
              <w:t>100.0</w:t>
            </w:r>
          </w:p>
        </w:tc>
      </w:tr>
      <w:tr w:rsidR="009D5CE2" w:rsidRPr="000E1B7E" w14:paraId="2E65DA18"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61A19610" w14:textId="77777777" w:rsidR="009D5CE2" w:rsidRPr="000E1B7E" w:rsidRDefault="009D5CE2" w:rsidP="005959B5">
            <w:pPr>
              <w:jc w:val="both"/>
              <w:rPr>
                <w:color w:val="000000"/>
                <w:sz w:val="20"/>
                <w:szCs w:val="20"/>
                <w:lang w:val="en-US"/>
              </w:rPr>
            </w:pPr>
            <w:r w:rsidRPr="000E1B7E">
              <w:rPr>
                <w:color w:val="000000"/>
                <w:sz w:val="20"/>
                <w:szCs w:val="20"/>
                <w:lang w:val="en-US"/>
              </w:rPr>
              <w:t>51</w:t>
            </w:r>
          </w:p>
        </w:tc>
        <w:tc>
          <w:tcPr>
            <w:tcW w:w="9805" w:type="dxa"/>
            <w:tcBorders>
              <w:top w:val="nil"/>
              <w:left w:val="nil"/>
              <w:bottom w:val="single" w:sz="4" w:space="0" w:color="A4185B"/>
              <w:right w:val="nil"/>
            </w:tcBorders>
            <w:shd w:val="clear" w:color="000000" w:fill="F3E3EA"/>
            <w:hideMark/>
          </w:tcPr>
          <w:p w14:paraId="0F06BE7B" w14:textId="77777777" w:rsidR="009D5CE2" w:rsidRPr="000E1B7E" w:rsidRDefault="009D5CE2" w:rsidP="005959B5">
            <w:pPr>
              <w:jc w:val="both"/>
              <w:rPr>
                <w:sz w:val="20"/>
                <w:szCs w:val="20"/>
                <w:lang w:val="en-US"/>
              </w:rPr>
            </w:pPr>
            <w:r w:rsidRPr="000E1B7E">
              <w:rPr>
                <w:sz w:val="20"/>
                <w:szCs w:val="20"/>
                <w:lang w:val="en-US"/>
              </w:rPr>
              <w:t>Ogur -  Apala  Road (217km)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10C61FEC" w14:textId="77777777" w:rsidR="009D5CE2" w:rsidRPr="000E1B7E" w:rsidRDefault="009D5CE2" w:rsidP="005959B5">
            <w:pPr>
              <w:jc w:val="both"/>
              <w:rPr>
                <w:color w:val="000000"/>
                <w:sz w:val="20"/>
                <w:szCs w:val="20"/>
                <w:lang w:val="en-US"/>
              </w:rPr>
            </w:pPr>
            <w:r w:rsidRPr="000E1B7E">
              <w:rPr>
                <w:color w:val="000000"/>
                <w:sz w:val="20"/>
                <w:szCs w:val="20"/>
                <w:lang w:val="en-US"/>
              </w:rPr>
              <w:t>108</w:t>
            </w:r>
          </w:p>
        </w:tc>
        <w:tc>
          <w:tcPr>
            <w:tcW w:w="1690" w:type="dxa"/>
            <w:tcBorders>
              <w:top w:val="nil"/>
              <w:left w:val="nil"/>
              <w:bottom w:val="single" w:sz="4" w:space="0" w:color="A4185B"/>
              <w:right w:val="single" w:sz="4" w:space="0" w:color="A4185B"/>
            </w:tcBorders>
            <w:shd w:val="clear" w:color="000000" w:fill="F3E3EA"/>
            <w:noWrap/>
            <w:hideMark/>
          </w:tcPr>
          <w:p w14:paraId="1BC34CCB" w14:textId="77777777" w:rsidR="009D5CE2" w:rsidRPr="000E1B7E" w:rsidRDefault="009D5CE2" w:rsidP="005959B5">
            <w:pPr>
              <w:jc w:val="both"/>
              <w:rPr>
                <w:color w:val="000000"/>
                <w:sz w:val="20"/>
                <w:szCs w:val="20"/>
                <w:lang w:val="en-US"/>
              </w:rPr>
            </w:pPr>
            <w:r w:rsidRPr="000E1B7E">
              <w:rPr>
                <w:color w:val="000000"/>
                <w:sz w:val="20"/>
                <w:szCs w:val="20"/>
                <w:lang w:val="en-US"/>
              </w:rPr>
              <w:t>99</w:t>
            </w:r>
          </w:p>
        </w:tc>
      </w:tr>
      <w:tr w:rsidR="009D5CE2" w:rsidRPr="000E1B7E" w14:paraId="4559D23B"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146C9619" w14:textId="77777777" w:rsidR="009D5CE2" w:rsidRPr="000E1B7E" w:rsidRDefault="009D5CE2" w:rsidP="005959B5">
            <w:pPr>
              <w:jc w:val="both"/>
              <w:rPr>
                <w:color w:val="000000"/>
                <w:sz w:val="20"/>
                <w:szCs w:val="20"/>
                <w:lang w:val="en-US"/>
              </w:rPr>
            </w:pPr>
            <w:r w:rsidRPr="000E1B7E">
              <w:rPr>
                <w:color w:val="000000"/>
                <w:sz w:val="20"/>
                <w:szCs w:val="20"/>
                <w:lang w:val="en-US"/>
              </w:rPr>
              <w:t>52</w:t>
            </w:r>
          </w:p>
        </w:tc>
        <w:tc>
          <w:tcPr>
            <w:tcW w:w="9805" w:type="dxa"/>
            <w:tcBorders>
              <w:top w:val="nil"/>
              <w:left w:val="nil"/>
              <w:bottom w:val="single" w:sz="4" w:space="0" w:color="A4185B"/>
              <w:right w:val="nil"/>
            </w:tcBorders>
            <w:shd w:val="clear" w:color="auto" w:fill="auto"/>
            <w:hideMark/>
          </w:tcPr>
          <w:p w14:paraId="24C70C95" w14:textId="77777777" w:rsidR="009D5CE2" w:rsidRPr="000E1B7E" w:rsidRDefault="009D5CE2" w:rsidP="005959B5">
            <w:pPr>
              <w:jc w:val="both"/>
              <w:rPr>
                <w:sz w:val="20"/>
                <w:szCs w:val="20"/>
                <w:lang w:val="en-US"/>
              </w:rPr>
            </w:pPr>
            <w:r w:rsidRPr="000E1B7E">
              <w:rPr>
                <w:sz w:val="20"/>
                <w:szCs w:val="20"/>
                <w:lang w:val="en-US"/>
              </w:rPr>
              <w:t>Aduku – Teboke – Loro road (35Km)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033A7F42"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7630B342" w14:textId="77777777" w:rsidR="009D5CE2" w:rsidRPr="000E1B7E" w:rsidRDefault="009D5CE2" w:rsidP="005959B5">
            <w:pPr>
              <w:jc w:val="both"/>
              <w:rPr>
                <w:color w:val="000000"/>
                <w:sz w:val="20"/>
                <w:szCs w:val="20"/>
                <w:lang w:val="en-US"/>
              </w:rPr>
            </w:pPr>
            <w:r w:rsidRPr="000E1B7E">
              <w:rPr>
                <w:color w:val="000000"/>
                <w:sz w:val="20"/>
                <w:szCs w:val="20"/>
                <w:lang w:val="en-US"/>
              </w:rPr>
              <w:t>99.9</w:t>
            </w:r>
          </w:p>
        </w:tc>
      </w:tr>
      <w:tr w:rsidR="009D5CE2" w:rsidRPr="000E1B7E" w14:paraId="6E128C65"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21E2F787" w14:textId="77777777" w:rsidR="009D5CE2" w:rsidRPr="000E1B7E" w:rsidRDefault="009D5CE2" w:rsidP="005959B5">
            <w:pPr>
              <w:jc w:val="both"/>
              <w:rPr>
                <w:color w:val="000000"/>
                <w:sz w:val="20"/>
                <w:szCs w:val="20"/>
                <w:lang w:val="en-US"/>
              </w:rPr>
            </w:pPr>
            <w:r w:rsidRPr="000E1B7E">
              <w:rPr>
                <w:color w:val="000000"/>
                <w:sz w:val="20"/>
                <w:szCs w:val="20"/>
                <w:lang w:val="en-US"/>
              </w:rPr>
              <w:t>53</w:t>
            </w:r>
          </w:p>
        </w:tc>
        <w:tc>
          <w:tcPr>
            <w:tcW w:w="9805" w:type="dxa"/>
            <w:tcBorders>
              <w:top w:val="nil"/>
              <w:left w:val="nil"/>
              <w:bottom w:val="single" w:sz="4" w:space="0" w:color="A4185B"/>
              <w:right w:val="nil"/>
            </w:tcBorders>
            <w:shd w:val="clear" w:color="000000" w:fill="F3E3EA"/>
            <w:hideMark/>
          </w:tcPr>
          <w:p w14:paraId="1B3EC492" w14:textId="77777777" w:rsidR="009D5CE2" w:rsidRPr="000E1B7E" w:rsidRDefault="009D5CE2" w:rsidP="005959B5">
            <w:pPr>
              <w:jc w:val="both"/>
              <w:rPr>
                <w:sz w:val="20"/>
                <w:szCs w:val="20"/>
                <w:lang w:val="en-US"/>
              </w:rPr>
            </w:pPr>
            <w:r w:rsidRPr="000E1B7E">
              <w:rPr>
                <w:sz w:val="20"/>
                <w:szCs w:val="20"/>
                <w:lang w:val="en-US"/>
              </w:rPr>
              <w:t>WANDI - YUMBE Road(70km)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5207D64D"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11B529D5"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54B8A616" w14:textId="77777777" w:rsidTr="00762261">
        <w:trPr>
          <w:trHeight w:val="215"/>
        </w:trPr>
        <w:tc>
          <w:tcPr>
            <w:tcW w:w="560" w:type="dxa"/>
            <w:tcBorders>
              <w:top w:val="nil"/>
              <w:left w:val="single" w:sz="4" w:space="0" w:color="A4185B"/>
              <w:bottom w:val="single" w:sz="4" w:space="0" w:color="A4185B"/>
              <w:right w:val="single" w:sz="4" w:space="0" w:color="A4185B"/>
            </w:tcBorders>
            <w:shd w:val="clear" w:color="auto" w:fill="auto"/>
            <w:noWrap/>
            <w:hideMark/>
          </w:tcPr>
          <w:p w14:paraId="58A0EB7C" w14:textId="77777777" w:rsidR="009D5CE2" w:rsidRPr="000E1B7E" w:rsidRDefault="009D5CE2" w:rsidP="005959B5">
            <w:pPr>
              <w:jc w:val="both"/>
              <w:rPr>
                <w:color w:val="000000"/>
                <w:sz w:val="20"/>
                <w:szCs w:val="20"/>
                <w:lang w:val="en-US"/>
              </w:rPr>
            </w:pPr>
            <w:r w:rsidRPr="000E1B7E">
              <w:rPr>
                <w:color w:val="000000"/>
                <w:sz w:val="20"/>
                <w:szCs w:val="20"/>
                <w:lang w:val="en-US"/>
              </w:rPr>
              <w:t>54</w:t>
            </w:r>
          </w:p>
        </w:tc>
        <w:tc>
          <w:tcPr>
            <w:tcW w:w="9805" w:type="dxa"/>
            <w:tcBorders>
              <w:top w:val="nil"/>
              <w:left w:val="nil"/>
              <w:bottom w:val="single" w:sz="4" w:space="0" w:color="A4185B"/>
              <w:right w:val="nil"/>
            </w:tcBorders>
            <w:shd w:val="clear" w:color="auto" w:fill="auto"/>
            <w:hideMark/>
          </w:tcPr>
          <w:p w14:paraId="3076EA5C" w14:textId="77777777" w:rsidR="009D5CE2" w:rsidRPr="000E1B7E" w:rsidRDefault="009D5CE2" w:rsidP="005959B5">
            <w:pPr>
              <w:jc w:val="both"/>
              <w:rPr>
                <w:sz w:val="20"/>
                <w:szCs w:val="20"/>
                <w:lang w:val="en-US"/>
              </w:rPr>
            </w:pPr>
            <w:r w:rsidRPr="000E1B7E">
              <w:rPr>
                <w:sz w:val="20"/>
                <w:szCs w:val="20"/>
                <w:lang w:val="en-US"/>
              </w:rPr>
              <w:t>Wandi – Rhino Camp (51km), KobokoLodonga – Yumbe  (36km)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5D099DFE" w14:textId="77777777" w:rsidR="009D5CE2" w:rsidRPr="000E1B7E" w:rsidRDefault="009D5CE2" w:rsidP="005959B5">
            <w:pPr>
              <w:jc w:val="both"/>
              <w:rPr>
                <w:color w:val="000000"/>
                <w:sz w:val="20"/>
                <w:szCs w:val="20"/>
                <w:lang w:val="en-US"/>
              </w:rPr>
            </w:pPr>
            <w:r w:rsidRPr="000E1B7E">
              <w:rPr>
                <w:color w:val="000000"/>
                <w:sz w:val="20"/>
                <w:szCs w:val="20"/>
                <w:lang w:val="en-US"/>
              </w:rPr>
              <w:t>99.9</w:t>
            </w:r>
          </w:p>
        </w:tc>
        <w:tc>
          <w:tcPr>
            <w:tcW w:w="1690" w:type="dxa"/>
            <w:tcBorders>
              <w:top w:val="nil"/>
              <w:left w:val="nil"/>
              <w:bottom w:val="single" w:sz="4" w:space="0" w:color="A4185B"/>
              <w:right w:val="single" w:sz="4" w:space="0" w:color="A4185B"/>
            </w:tcBorders>
            <w:shd w:val="clear" w:color="auto" w:fill="auto"/>
            <w:noWrap/>
            <w:hideMark/>
          </w:tcPr>
          <w:p w14:paraId="54FEF98E" w14:textId="77777777" w:rsidR="009D5CE2" w:rsidRPr="000E1B7E" w:rsidRDefault="009D5CE2" w:rsidP="005959B5">
            <w:pPr>
              <w:jc w:val="both"/>
              <w:rPr>
                <w:color w:val="000000"/>
                <w:sz w:val="20"/>
                <w:szCs w:val="20"/>
                <w:lang w:val="en-US"/>
              </w:rPr>
            </w:pPr>
            <w:r w:rsidRPr="000E1B7E">
              <w:rPr>
                <w:color w:val="000000"/>
                <w:sz w:val="20"/>
                <w:szCs w:val="20"/>
                <w:lang w:val="en-US"/>
              </w:rPr>
              <w:t>99.9</w:t>
            </w:r>
          </w:p>
        </w:tc>
      </w:tr>
      <w:tr w:rsidR="009D5CE2" w:rsidRPr="000E1B7E" w14:paraId="6149E35C" w14:textId="77777777" w:rsidTr="00762261">
        <w:trPr>
          <w:trHeight w:val="323"/>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4AC86A3D" w14:textId="77777777" w:rsidR="009D5CE2" w:rsidRPr="000E1B7E" w:rsidRDefault="009D5CE2" w:rsidP="005959B5">
            <w:pPr>
              <w:jc w:val="both"/>
              <w:rPr>
                <w:color w:val="000000"/>
                <w:sz w:val="20"/>
                <w:szCs w:val="20"/>
                <w:lang w:val="en-US"/>
              </w:rPr>
            </w:pPr>
            <w:r w:rsidRPr="000E1B7E">
              <w:rPr>
                <w:color w:val="000000"/>
                <w:sz w:val="20"/>
                <w:szCs w:val="20"/>
                <w:lang w:val="en-US"/>
              </w:rPr>
              <w:t>55</w:t>
            </w:r>
          </w:p>
        </w:tc>
        <w:tc>
          <w:tcPr>
            <w:tcW w:w="9805" w:type="dxa"/>
            <w:tcBorders>
              <w:top w:val="nil"/>
              <w:left w:val="nil"/>
              <w:bottom w:val="single" w:sz="4" w:space="0" w:color="A4185B"/>
              <w:right w:val="nil"/>
            </w:tcBorders>
            <w:shd w:val="clear" w:color="000000" w:fill="F3E3EA"/>
            <w:hideMark/>
          </w:tcPr>
          <w:p w14:paraId="05A0949C" w14:textId="77777777" w:rsidR="009D5CE2" w:rsidRPr="000E1B7E" w:rsidRDefault="009D5CE2" w:rsidP="005959B5">
            <w:pPr>
              <w:jc w:val="both"/>
              <w:rPr>
                <w:sz w:val="20"/>
                <w:szCs w:val="20"/>
                <w:lang w:val="en-US"/>
              </w:rPr>
            </w:pPr>
            <w:r w:rsidRPr="000E1B7E">
              <w:rPr>
                <w:sz w:val="20"/>
                <w:szCs w:val="20"/>
                <w:lang w:val="en-US"/>
              </w:rPr>
              <w:t>Panyimur – Eruss – Goli - Paidah (61Km), Paidah - Anyavu-Vu- ra(65Km) and  Anyavu - Vura (27Km)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7C71CE1B" w14:textId="77777777" w:rsidR="009D5CE2" w:rsidRPr="000E1B7E" w:rsidRDefault="009D5CE2" w:rsidP="005959B5">
            <w:pPr>
              <w:jc w:val="both"/>
              <w:rPr>
                <w:color w:val="000000"/>
                <w:sz w:val="20"/>
                <w:szCs w:val="20"/>
                <w:lang w:val="en-US"/>
              </w:rPr>
            </w:pPr>
            <w:r w:rsidRPr="000E1B7E">
              <w:rPr>
                <w:color w:val="000000"/>
                <w:sz w:val="20"/>
                <w:szCs w:val="20"/>
                <w:lang w:val="en-US"/>
              </w:rPr>
              <w:t>86</w:t>
            </w:r>
          </w:p>
        </w:tc>
        <w:tc>
          <w:tcPr>
            <w:tcW w:w="1690" w:type="dxa"/>
            <w:tcBorders>
              <w:top w:val="nil"/>
              <w:left w:val="nil"/>
              <w:bottom w:val="single" w:sz="4" w:space="0" w:color="A4185B"/>
              <w:right w:val="single" w:sz="4" w:space="0" w:color="A4185B"/>
            </w:tcBorders>
            <w:shd w:val="clear" w:color="000000" w:fill="F3E3EA"/>
            <w:noWrap/>
            <w:hideMark/>
          </w:tcPr>
          <w:p w14:paraId="34FCCCCF" w14:textId="77777777" w:rsidR="009D5CE2" w:rsidRPr="000E1B7E" w:rsidRDefault="009D5CE2" w:rsidP="005959B5">
            <w:pPr>
              <w:jc w:val="both"/>
              <w:rPr>
                <w:color w:val="000000"/>
                <w:sz w:val="20"/>
                <w:szCs w:val="20"/>
                <w:lang w:val="en-US"/>
              </w:rPr>
            </w:pPr>
            <w:r w:rsidRPr="000E1B7E">
              <w:rPr>
                <w:color w:val="000000"/>
                <w:sz w:val="20"/>
                <w:szCs w:val="20"/>
                <w:lang w:val="en-US"/>
              </w:rPr>
              <w:t>80</w:t>
            </w:r>
          </w:p>
        </w:tc>
      </w:tr>
      <w:tr w:rsidR="009D5CE2" w:rsidRPr="000E1B7E" w14:paraId="0FC61ED5"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auto" w:fill="auto"/>
            <w:noWrap/>
            <w:hideMark/>
          </w:tcPr>
          <w:p w14:paraId="6AA4292B" w14:textId="77777777" w:rsidR="009D5CE2" w:rsidRPr="000E1B7E" w:rsidRDefault="009D5CE2" w:rsidP="005959B5">
            <w:pPr>
              <w:jc w:val="both"/>
              <w:rPr>
                <w:color w:val="000000"/>
                <w:sz w:val="20"/>
                <w:szCs w:val="20"/>
                <w:lang w:val="en-US"/>
              </w:rPr>
            </w:pPr>
            <w:r w:rsidRPr="000E1B7E">
              <w:rPr>
                <w:color w:val="000000"/>
                <w:sz w:val="20"/>
                <w:szCs w:val="20"/>
                <w:lang w:val="en-US"/>
              </w:rPr>
              <w:t>56</w:t>
            </w:r>
          </w:p>
        </w:tc>
        <w:tc>
          <w:tcPr>
            <w:tcW w:w="9805" w:type="dxa"/>
            <w:tcBorders>
              <w:top w:val="nil"/>
              <w:left w:val="nil"/>
              <w:bottom w:val="single" w:sz="4" w:space="0" w:color="A4185B"/>
              <w:right w:val="nil"/>
            </w:tcBorders>
            <w:shd w:val="clear" w:color="auto" w:fill="auto"/>
            <w:hideMark/>
          </w:tcPr>
          <w:p w14:paraId="36CC5447" w14:textId="77777777" w:rsidR="009D5CE2" w:rsidRPr="000E1B7E" w:rsidRDefault="009D5CE2" w:rsidP="005959B5">
            <w:pPr>
              <w:jc w:val="both"/>
              <w:rPr>
                <w:sz w:val="20"/>
                <w:szCs w:val="20"/>
                <w:lang w:val="en-US"/>
              </w:rPr>
            </w:pPr>
            <w:r w:rsidRPr="000E1B7E">
              <w:rPr>
                <w:sz w:val="20"/>
                <w:szCs w:val="20"/>
                <w:lang w:val="en-US"/>
              </w:rPr>
              <w:t>Owaffa – Kubala – Omugo Road (Section 8+000 – 12+000) – 4.1Km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57C9F2B8"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79716F42" w14:textId="77777777" w:rsidR="009D5CE2" w:rsidRPr="000E1B7E" w:rsidRDefault="009D5CE2" w:rsidP="005959B5">
            <w:pPr>
              <w:jc w:val="both"/>
              <w:rPr>
                <w:color w:val="000000"/>
                <w:sz w:val="20"/>
                <w:szCs w:val="20"/>
                <w:lang w:val="en-US"/>
              </w:rPr>
            </w:pPr>
            <w:r w:rsidRPr="000E1B7E">
              <w:rPr>
                <w:color w:val="000000"/>
                <w:sz w:val="20"/>
                <w:szCs w:val="20"/>
                <w:lang w:val="en-US"/>
              </w:rPr>
              <w:t>30</w:t>
            </w:r>
          </w:p>
        </w:tc>
      </w:tr>
      <w:tr w:rsidR="009D5CE2" w:rsidRPr="000E1B7E" w14:paraId="5B1590BC"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E997B90" w14:textId="77777777" w:rsidR="009D5CE2" w:rsidRPr="000E1B7E" w:rsidRDefault="009D5CE2" w:rsidP="005959B5">
            <w:pPr>
              <w:jc w:val="both"/>
              <w:rPr>
                <w:color w:val="000000"/>
                <w:sz w:val="20"/>
                <w:szCs w:val="20"/>
                <w:lang w:val="en-US"/>
              </w:rPr>
            </w:pPr>
            <w:r w:rsidRPr="000E1B7E">
              <w:rPr>
                <w:color w:val="000000"/>
                <w:sz w:val="20"/>
                <w:szCs w:val="20"/>
                <w:lang w:val="en-US"/>
              </w:rPr>
              <w:t>57</w:t>
            </w:r>
          </w:p>
        </w:tc>
        <w:tc>
          <w:tcPr>
            <w:tcW w:w="9805" w:type="dxa"/>
            <w:tcBorders>
              <w:top w:val="nil"/>
              <w:left w:val="nil"/>
              <w:bottom w:val="single" w:sz="4" w:space="0" w:color="A4185B"/>
              <w:right w:val="nil"/>
            </w:tcBorders>
            <w:shd w:val="clear" w:color="000000" w:fill="F3E3EA"/>
            <w:hideMark/>
          </w:tcPr>
          <w:p w14:paraId="21262745" w14:textId="77777777" w:rsidR="009D5CE2" w:rsidRPr="000E1B7E" w:rsidRDefault="009D5CE2" w:rsidP="005959B5">
            <w:pPr>
              <w:jc w:val="both"/>
              <w:rPr>
                <w:sz w:val="20"/>
                <w:szCs w:val="20"/>
                <w:lang w:val="en-US"/>
              </w:rPr>
            </w:pPr>
            <w:r w:rsidRPr="000E1B7E">
              <w:rPr>
                <w:sz w:val="20"/>
                <w:szCs w:val="20"/>
                <w:lang w:val="en-US"/>
              </w:rPr>
              <w:t>Kitgum-Orom Road (90km) &amp;Palabek-Atiak Road (64km)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4FBD4161" w14:textId="77777777" w:rsidR="009D5CE2" w:rsidRPr="000E1B7E" w:rsidRDefault="009D5CE2" w:rsidP="005959B5">
            <w:pPr>
              <w:jc w:val="both"/>
              <w:rPr>
                <w:color w:val="000000"/>
                <w:sz w:val="20"/>
                <w:szCs w:val="20"/>
                <w:lang w:val="en-US"/>
              </w:rPr>
            </w:pPr>
            <w:r w:rsidRPr="000E1B7E">
              <w:rPr>
                <w:color w:val="000000"/>
                <w:sz w:val="20"/>
                <w:szCs w:val="20"/>
                <w:lang w:val="en-US"/>
              </w:rPr>
              <w:t>91.31</w:t>
            </w:r>
          </w:p>
        </w:tc>
        <w:tc>
          <w:tcPr>
            <w:tcW w:w="1690" w:type="dxa"/>
            <w:tcBorders>
              <w:top w:val="nil"/>
              <w:left w:val="nil"/>
              <w:bottom w:val="single" w:sz="4" w:space="0" w:color="A4185B"/>
              <w:right w:val="single" w:sz="4" w:space="0" w:color="A4185B"/>
            </w:tcBorders>
            <w:shd w:val="clear" w:color="000000" w:fill="F3E3EA"/>
            <w:noWrap/>
            <w:hideMark/>
          </w:tcPr>
          <w:p w14:paraId="2A8212BC" w14:textId="77777777" w:rsidR="009D5CE2" w:rsidRPr="000E1B7E" w:rsidRDefault="009D5CE2" w:rsidP="005959B5">
            <w:pPr>
              <w:jc w:val="both"/>
              <w:rPr>
                <w:color w:val="000000"/>
                <w:sz w:val="20"/>
                <w:szCs w:val="20"/>
                <w:lang w:val="en-US"/>
              </w:rPr>
            </w:pPr>
            <w:r w:rsidRPr="000E1B7E">
              <w:rPr>
                <w:color w:val="000000"/>
                <w:sz w:val="20"/>
                <w:szCs w:val="20"/>
                <w:lang w:val="en-US"/>
              </w:rPr>
              <w:t>85.33</w:t>
            </w:r>
          </w:p>
        </w:tc>
      </w:tr>
      <w:tr w:rsidR="009D5CE2" w:rsidRPr="000E1B7E" w14:paraId="242830A9"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auto" w:fill="auto"/>
            <w:noWrap/>
            <w:hideMark/>
          </w:tcPr>
          <w:p w14:paraId="655E5F5A" w14:textId="77777777" w:rsidR="009D5CE2" w:rsidRPr="000E1B7E" w:rsidRDefault="009D5CE2" w:rsidP="005959B5">
            <w:pPr>
              <w:jc w:val="both"/>
              <w:rPr>
                <w:color w:val="000000"/>
                <w:sz w:val="20"/>
                <w:szCs w:val="20"/>
                <w:lang w:val="en-US"/>
              </w:rPr>
            </w:pPr>
            <w:r w:rsidRPr="000E1B7E">
              <w:rPr>
                <w:color w:val="000000"/>
                <w:sz w:val="20"/>
                <w:szCs w:val="20"/>
                <w:lang w:val="en-US"/>
              </w:rPr>
              <w:t>58</w:t>
            </w:r>
          </w:p>
        </w:tc>
        <w:tc>
          <w:tcPr>
            <w:tcW w:w="9805" w:type="dxa"/>
            <w:tcBorders>
              <w:top w:val="nil"/>
              <w:left w:val="nil"/>
              <w:bottom w:val="single" w:sz="4" w:space="0" w:color="A4185B"/>
              <w:right w:val="nil"/>
            </w:tcBorders>
            <w:shd w:val="clear" w:color="auto" w:fill="auto"/>
            <w:hideMark/>
          </w:tcPr>
          <w:p w14:paraId="707CDE7A" w14:textId="77777777" w:rsidR="009D5CE2" w:rsidRPr="000E1B7E" w:rsidRDefault="009D5CE2" w:rsidP="005959B5">
            <w:pPr>
              <w:jc w:val="both"/>
              <w:rPr>
                <w:sz w:val="20"/>
                <w:szCs w:val="20"/>
                <w:lang w:val="en-US"/>
              </w:rPr>
            </w:pPr>
            <w:r w:rsidRPr="000E1B7E">
              <w:rPr>
                <w:sz w:val="20"/>
                <w:szCs w:val="20"/>
                <w:lang w:val="en-US"/>
              </w:rPr>
              <w:t>Pajule-Pader-Kwonkic (27 km) &amp;Namokora-Lokapel-Adilang (74km) Roads.</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016FE5E9" w14:textId="77777777" w:rsidR="009D5CE2" w:rsidRPr="000E1B7E" w:rsidRDefault="009D5CE2" w:rsidP="005959B5">
            <w:pPr>
              <w:jc w:val="both"/>
              <w:rPr>
                <w:color w:val="000000"/>
                <w:sz w:val="20"/>
                <w:szCs w:val="20"/>
                <w:lang w:val="en-US"/>
              </w:rPr>
            </w:pPr>
            <w:r w:rsidRPr="000E1B7E">
              <w:rPr>
                <w:color w:val="000000"/>
                <w:sz w:val="20"/>
                <w:szCs w:val="20"/>
                <w:lang w:val="en-US"/>
              </w:rPr>
              <w:t>94.18</w:t>
            </w:r>
          </w:p>
        </w:tc>
        <w:tc>
          <w:tcPr>
            <w:tcW w:w="1690" w:type="dxa"/>
            <w:tcBorders>
              <w:top w:val="nil"/>
              <w:left w:val="nil"/>
              <w:bottom w:val="single" w:sz="4" w:space="0" w:color="A4185B"/>
              <w:right w:val="single" w:sz="4" w:space="0" w:color="A4185B"/>
            </w:tcBorders>
            <w:shd w:val="clear" w:color="auto" w:fill="auto"/>
            <w:noWrap/>
            <w:hideMark/>
          </w:tcPr>
          <w:p w14:paraId="3CD3CB39" w14:textId="77777777" w:rsidR="009D5CE2" w:rsidRPr="000E1B7E" w:rsidRDefault="009D5CE2" w:rsidP="005959B5">
            <w:pPr>
              <w:jc w:val="both"/>
              <w:rPr>
                <w:color w:val="000000"/>
                <w:sz w:val="20"/>
                <w:szCs w:val="20"/>
                <w:lang w:val="en-US"/>
              </w:rPr>
            </w:pPr>
            <w:r w:rsidRPr="000E1B7E">
              <w:rPr>
                <w:color w:val="000000"/>
                <w:sz w:val="20"/>
                <w:szCs w:val="20"/>
                <w:lang w:val="en-US"/>
              </w:rPr>
              <w:t>87.46</w:t>
            </w:r>
          </w:p>
        </w:tc>
      </w:tr>
      <w:tr w:rsidR="009D5CE2" w:rsidRPr="000E1B7E" w14:paraId="79D02D4F"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4DF985D" w14:textId="77777777" w:rsidR="009D5CE2" w:rsidRPr="000E1B7E" w:rsidRDefault="009D5CE2" w:rsidP="005959B5">
            <w:pPr>
              <w:jc w:val="both"/>
              <w:rPr>
                <w:color w:val="000000"/>
                <w:sz w:val="20"/>
                <w:szCs w:val="20"/>
                <w:lang w:val="en-US"/>
              </w:rPr>
            </w:pPr>
            <w:r w:rsidRPr="000E1B7E">
              <w:rPr>
                <w:color w:val="000000"/>
                <w:sz w:val="20"/>
                <w:szCs w:val="20"/>
                <w:lang w:val="en-US"/>
              </w:rPr>
              <w:t>59</w:t>
            </w:r>
          </w:p>
        </w:tc>
        <w:tc>
          <w:tcPr>
            <w:tcW w:w="9805" w:type="dxa"/>
            <w:tcBorders>
              <w:top w:val="nil"/>
              <w:left w:val="nil"/>
              <w:bottom w:val="single" w:sz="4" w:space="0" w:color="A4185B"/>
              <w:right w:val="nil"/>
            </w:tcBorders>
            <w:shd w:val="clear" w:color="000000" w:fill="F3E3EA"/>
            <w:hideMark/>
          </w:tcPr>
          <w:p w14:paraId="00E500E1" w14:textId="77777777" w:rsidR="009D5CE2" w:rsidRPr="000E1B7E" w:rsidRDefault="009D5CE2" w:rsidP="005959B5">
            <w:pPr>
              <w:jc w:val="both"/>
              <w:rPr>
                <w:sz w:val="20"/>
                <w:szCs w:val="20"/>
                <w:lang w:val="en-US"/>
              </w:rPr>
            </w:pPr>
            <w:r w:rsidRPr="000E1B7E">
              <w:rPr>
                <w:sz w:val="20"/>
                <w:szCs w:val="20"/>
                <w:lang w:val="en-US"/>
              </w:rPr>
              <w:t>Acholibur - Puranga road (62 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6C5F6A16" w14:textId="77777777" w:rsidR="009D5CE2" w:rsidRPr="000E1B7E" w:rsidRDefault="009D5CE2" w:rsidP="005959B5">
            <w:pPr>
              <w:jc w:val="both"/>
              <w:rPr>
                <w:color w:val="000000"/>
                <w:sz w:val="20"/>
                <w:szCs w:val="20"/>
                <w:lang w:val="en-US"/>
              </w:rPr>
            </w:pPr>
            <w:r w:rsidRPr="000E1B7E">
              <w:rPr>
                <w:color w:val="000000"/>
                <w:sz w:val="20"/>
                <w:szCs w:val="20"/>
                <w:lang w:val="en-US"/>
              </w:rPr>
              <w:t>48.08</w:t>
            </w:r>
          </w:p>
        </w:tc>
        <w:tc>
          <w:tcPr>
            <w:tcW w:w="1690" w:type="dxa"/>
            <w:tcBorders>
              <w:top w:val="nil"/>
              <w:left w:val="nil"/>
              <w:bottom w:val="single" w:sz="4" w:space="0" w:color="A4185B"/>
              <w:right w:val="single" w:sz="4" w:space="0" w:color="A4185B"/>
            </w:tcBorders>
            <w:shd w:val="clear" w:color="000000" w:fill="F3E3EA"/>
            <w:noWrap/>
            <w:hideMark/>
          </w:tcPr>
          <w:p w14:paraId="2375D098" w14:textId="77777777" w:rsidR="009D5CE2" w:rsidRPr="000E1B7E" w:rsidRDefault="009D5CE2" w:rsidP="005959B5">
            <w:pPr>
              <w:jc w:val="both"/>
              <w:rPr>
                <w:color w:val="000000"/>
                <w:sz w:val="20"/>
                <w:szCs w:val="20"/>
                <w:lang w:val="en-US"/>
              </w:rPr>
            </w:pPr>
            <w:r w:rsidRPr="000E1B7E">
              <w:rPr>
                <w:color w:val="000000"/>
                <w:sz w:val="20"/>
                <w:szCs w:val="20"/>
                <w:lang w:val="en-US"/>
              </w:rPr>
              <w:t>39.12</w:t>
            </w:r>
          </w:p>
        </w:tc>
      </w:tr>
      <w:tr w:rsidR="009D5CE2" w:rsidRPr="000E1B7E" w14:paraId="0A595293"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auto" w:fill="auto"/>
            <w:noWrap/>
            <w:hideMark/>
          </w:tcPr>
          <w:p w14:paraId="42672496" w14:textId="77777777" w:rsidR="009D5CE2" w:rsidRPr="000E1B7E" w:rsidRDefault="009D5CE2" w:rsidP="005959B5">
            <w:pPr>
              <w:jc w:val="both"/>
              <w:rPr>
                <w:color w:val="000000"/>
                <w:sz w:val="20"/>
                <w:szCs w:val="20"/>
                <w:lang w:val="en-US"/>
              </w:rPr>
            </w:pPr>
            <w:r w:rsidRPr="000E1B7E">
              <w:rPr>
                <w:color w:val="000000"/>
                <w:sz w:val="20"/>
                <w:szCs w:val="20"/>
                <w:lang w:val="en-US"/>
              </w:rPr>
              <w:t>60</w:t>
            </w:r>
          </w:p>
        </w:tc>
        <w:tc>
          <w:tcPr>
            <w:tcW w:w="9805" w:type="dxa"/>
            <w:tcBorders>
              <w:top w:val="nil"/>
              <w:left w:val="nil"/>
              <w:bottom w:val="single" w:sz="4" w:space="0" w:color="A4185B"/>
              <w:right w:val="nil"/>
            </w:tcBorders>
            <w:shd w:val="clear" w:color="auto" w:fill="auto"/>
            <w:hideMark/>
          </w:tcPr>
          <w:p w14:paraId="09F3761F" w14:textId="77777777" w:rsidR="009D5CE2" w:rsidRPr="000E1B7E" w:rsidRDefault="009D5CE2" w:rsidP="005959B5">
            <w:pPr>
              <w:jc w:val="both"/>
              <w:rPr>
                <w:sz w:val="20"/>
                <w:szCs w:val="20"/>
                <w:lang w:val="en-US"/>
              </w:rPr>
            </w:pPr>
            <w:r w:rsidRPr="000E1B7E">
              <w:rPr>
                <w:sz w:val="20"/>
                <w:szCs w:val="20"/>
                <w:lang w:val="en-US"/>
              </w:rPr>
              <w:t>Kitgum-Kalongo-Patongo (77km) &amp;Patongo-Lukee (20km) Roads</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5C073EC1"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1CFF547F" w14:textId="77777777" w:rsidR="009D5CE2" w:rsidRPr="000E1B7E" w:rsidRDefault="009D5CE2" w:rsidP="005959B5">
            <w:pPr>
              <w:jc w:val="both"/>
              <w:rPr>
                <w:color w:val="000000"/>
                <w:sz w:val="20"/>
                <w:szCs w:val="20"/>
                <w:lang w:val="en-US"/>
              </w:rPr>
            </w:pPr>
            <w:r w:rsidRPr="000E1B7E">
              <w:rPr>
                <w:color w:val="000000"/>
                <w:sz w:val="20"/>
                <w:szCs w:val="20"/>
                <w:lang w:val="en-US"/>
              </w:rPr>
              <w:t>47</w:t>
            </w:r>
          </w:p>
        </w:tc>
      </w:tr>
      <w:tr w:rsidR="009D5CE2" w:rsidRPr="000E1B7E" w14:paraId="237944AF"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1FC17AFD" w14:textId="77777777" w:rsidR="009D5CE2" w:rsidRPr="000E1B7E" w:rsidRDefault="009D5CE2" w:rsidP="005959B5">
            <w:pPr>
              <w:jc w:val="both"/>
              <w:rPr>
                <w:color w:val="000000"/>
                <w:sz w:val="20"/>
                <w:szCs w:val="20"/>
                <w:lang w:val="en-US"/>
              </w:rPr>
            </w:pPr>
            <w:r w:rsidRPr="000E1B7E">
              <w:rPr>
                <w:color w:val="000000"/>
                <w:sz w:val="20"/>
                <w:szCs w:val="20"/>
                <w:lang w:val="en-US"/>
              </w:rPr>
              <w:t>61</w:t>
            </w:r>
          </w:p>
        </w:tc>
        <w:tc>
          <w:tcPr>
            <w:tcW w:w="9805" w:type="dxa"/>
            <w:tcBorders>
              <w:top w:val="nil"/>
              <w:left w:val="nil"/>
              <w:bottom w:val="single" w:sz="4" w:space="0" w:color="A4185B"/>
              <w:right w:val="nil"/>
            </w:tcBorders>
            <w:shd w:val="clear" w:color="000000" w:fill="F3E3EA"/>
            <w:hideMark/>
          </w:tcPr>
          <w:p w14:paraId="5C980E7B" w14:textId="77777777" w:rsidR="009D5CE2" w:rsidRPr="000E1B7E" w:rsidRDefault="009D5CE2" w:rsidP="005959B5">
            <w:pPr>
              <w:jc w:val="both"/>
              <w:rPr>
                <w:sz w:val="20"/>
                <w:szCs w:val="20"/>
                <w:lang w:val="en-US"/>
              </w:rPr>
            </w:pPr>
            <w:r w:rsidRPr="000E1B7E">
              <w:rPr>
                <w:sz w:val="20"/>
                <w:szCs w:val="20"/>
                <w:lang w:val="en-US"/>
              </w:rPr>
              <w:t>Ngomoromo - Nyimur - Bibia (36Km)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507064F7"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02DE413C"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051B8E30"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7E4CB5A7" w14:textId="77777777" w:rsidR="009D5CE2" w:rsidRPr="000E1B7E" w:rsidRDefault="009D5CE2" w:rsidP="005959B5">
            <w:pPr>
              <w:jc w:val="both"/>
              <w:rPr>
                <w:color w:val="000000"/>
                <w:sz w:val="20"/>
                <w:szCs w:val="20"/>
                <w:lang w:val="en-US"/>
              </w:rPr>
            </w:pPr>
            <w:r w:rsidRPr="000E1B7E">
              <w:rPr>
                <w:color w:val="000000"/>
                <w:sz w:val="20"/>
                <w:szCs w:val="20"/>
                <w:lang w:val="en-US"/>
              </w:rPr>
              <w:t>62</w:t>
            </w:r>
          </w:p>
        </w:tc>
        <w:tc>
          <w:tcPr>
            <w:tcW w:w="9805" w:type="dxa"/>
            <w:tcBorders>
              <w:top w:val="nil"/>
              <w:left w:val="nil"/>
              <w:bottom w:val="single" w:sz="4" w:space="0" w:color="A4185B"/>
              <w:right w:val="nil"/>
            </w:tcBorders>
            <w:shd w:val="clear" w:color="auto" w:fill="auto"/>
            <w:hideMark/>
          </w:tcPr>
          <w:p w14:paraId="5FE1D4D5" w14:textId="77777777" w:rsidR="009D5CE2" w:rsidRPr="000E1B7E" w:rsidRDefault="009D5CE2" w:rsidP="005959B5">
            <w:pPr>
              <w:jc w:val="both"/>
              <w:rPr>
                <w:sz w:val="20"/>
                <w:szCs w:val="20"/>
                <w:lang w:val="en-US"/>
              </w:rPr>
            </w:pPr>
            <w:r w:rsidRPr="000E1B7E">
              <w:rPr>
                <w:sz w:val="20"/>
                <w:szCs w:val="20"/>
                <w:lang w:val="en-US"/>
              </w:rPr>
              <w:t>Kitgum-Palabek (44 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75AED14F" w14:textId="77777777" w:rsidR="009D5CE2" w:rsidRPr="000E1B7E" w:rsidRDefault="009D5CE2" w:rsidP="005959B5">
            <w:pPr>
              <w:jc w:val="both"/>
              <w:rPr>
                <w:color w:val="000000"/>
                <w:sz w:val="20"/>
                <w:szCs w:val="20"/>
                <w:lang w:val="en-US"/>
              </w:rPr>
            </w:pPr>
            <w:r w:rsidRPr="000E1B7E">
              <w:rPr>
                <w:color w:val="000000"/>
                <w:sz w:val="20"/>
                <w:szCs w:val="20"/>
                <w:lang w:val="en-US"/>
              </w:rPr>
              <w:t>48.95</w:t>
            </w:r>
          </w:p>
        </w:tc>
        <w:tc>
          <w:tcPr>
            <w:tcW w:w="1690" w:type="dxa"/>
            <w:tcBorders>
              <w:top w:val="nil"/>
              <w:left w:val="nil"/>
              <w:bottom w:val="single" w:sz="4" w:space="0" w:color="A4185B"/>
              <w:right w:val="single" w:sz="4" w:space="0" w:color="A4185B"/>
            </w:tcBorders>
            <w:shd w:val="clear" w:color="auto" w:fill="auto"/>
            <w:noWrap/>
            <w:hideMark/>
          </w:tcPr>
          <w:p w14:paraId="4EA0AD0C" w14:textId="77777777" w:rsidR="009D5CE2" w:rsidRPr="000E1B7E" w:rsidRDefault="009D5CE2" w:rsidP="005959B5">
            <w:pPr>
              <w:jc w:val="both"/>
              <w:rPr>
                <w:color w:val="000000"/>
                <w:sz w:val="20"/>
                <w:szCs w:val="20"/>
                <w:lang w:val="en-US"/>
              </w:rPr>
            </w:pPr>
            <w:r w:rsidRPr="000E1B7E">
              <w:rPr>
                <w:color w:val="000000"/>
                <w:sz w:val="20"/>
                <w:szCs w:val="20"/>
                <w:lang w:val="en-US"/>
              </w:rPr>
              <w:t>26</w:t>
            </w:r>
          </w:p>
        </w:tc>
      </w:tr>
      <w:tr w:rsidR="009D5CE2" w:rsidRPr="000E1B7E" w14:paraId="40C87082"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0D2A7F56" w14:textId="77777777" w:rsidR="009D5CE2" w:rsidRPr="000E1B7E" w:rsidRDefault="009D5CE2" w:rsidP="005959B5">
            <w:pPr>
              <w:jc w:val="both"/>
              <w:rPr>
                <w:color w:val="000000"/>
                <w:sz w:val="20"/>
                <w:szCs w:val="20"/>
                <w:lang w:val="en-US"/>
              </w:rPr>
            </w:pPr>
            <w:r w:rsidRPr="000E1B7E">
              <w:rPr>
                <w:color w:val="000000"/>
                <w:sz w:val="20"/>
                <w:szCs w:val="20"/>
                <w:lang w:val="en-US"/>
              </w:rPr>
              <w:t>63</w:t>
            </w:r>
          </w:p>
        </w:tc>
        <w:tc>
          <w:tcPr>
            <w:tcW w:w="9805" w:type="dxa"/>
            <w:tcBorders>
              <w:top w:val="nil"/>
              <w:left w:val="nil"/>
              <w:bottom w:val="single" w:sz="4" w:space="0" w:color="A4185B"/>
              <w:right w:val="nil"/>
            </w:tcBorders>
            <w:shd w:val="clear" w:color="000000" w:fill="F3E3EA"/>
            <w:hideMark/>
          </w:tcPr>
          <w:p w14:paraId="3263CD0D" w14:textId="77777777" w:rsidR="009D5CE2" w:rsidRPr="000E1B7E" w:rsidRDefault="009D5CE2" w:rsidP="005959B5">
            <w:pPr>
              <w:jc w:val="both"/>
              <w:rPr>
                <w:sz w:val="20"/>
                <w:szCs w:val="20"/>
                <w:lang w:val="en-US"/>
              </w:rPr>
            </w:pPr>
            <w:r w:rsidRPr="000E1B7E">
              <w:rPr>
                <w:sz w:val="20"/>
                <w:szCs w:val="20"/>
                <w:lang w:val="en-US"/>
              </w:rPr>
              <w:t>Term Mantainance of Gulu - Rackoko (90km)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39BE3826"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517CEE22" w14:textId="77777777" w:rsidR="009D5CE2" w:rsidRPr="000E1B7E" w:rsidRDefault="009D5CE2" w:rsidP="005959B5">
            <w:pPr>
              <w:jc w:val="both"/>
              <w:rPr>
                <w:color w:val="000000"/>
                <w:sz w:val="20"/>
                <w:szCs w:val="20"/>
                <w:lang w:val="en-US"/>
              </w:rPr>
            </w:pPr>
            <w:r w:rsidRPr="000E1B7E">
              <w:rPr>
                <w:color w:val="000000"/>
                <w:sz w:val="20"/>
                <w:szCs w:val="20"/>
                <w:lang w:val="en-US"/>
              </w:rPr>
              <w:t>71</w:t>
            </w:r>
          </w:p>
        </w:tc>
      </w:tr>
      <w:tr w:rsidR="009D5CE2" w:rsidRPr="000E1B7E" w14:paraId="2A0D68FC"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auto" w:fill="auto"/>
            <w:noWrap/>
            <w:hideMark/>
          </w:tcPr>
          <w:p w14:paraId="6491031E" w14:textId="77777777" w:rsidR="009D5CE2" w:rsidRPr="000E1B7E" w:rsidRDefault="009D5CE2" w:rsidP="005959B5">
            <w:pPr>
              <w:jc w:val="both"/>
              <w:rPr>
                <w:color w:val="000000"/>
                <w:sz w:val="20"/>
                <w:szCs w:val="20"/>
                <w:lang w:val="en-US"/>
              </w:rPr>
            </w:pPr>
            <w:r w:rsidRPr="000E1B7E">
              <w:rPr>
                <w:color w:val="000000"/>
                <w:sz w:val="20"/>
                <w:szCs w:val="20"/>
                <w:lang w:val="en-US"/>
              </w:rPr>
              <w:t>64</w:t>
            </w:r>
          </w:p>
        </w:tc>
        <w:tc>
          <w:tcPr>
            <w:tcW w:w="9805" w:type="dxa"/>
            <w:tcBorders>
              <w:top w:val="nil"/>
              <w:left w:val="nil"/>
              <w:bottom w:val="single" w:sz="4" w:space="0" w:color="A4185B"/>
              <w:right w:val="nil"/>
            </w:tcBorders>
            <w:shd w:val="clear" w:color="auto" w:fill="auto"/>
            <w:hideMark/>
          </w:tcPr>
          <w:p w14:paraId="2A317236" w14:textId="77777777" w:rsidR="009D5CE2" w:rsidRPr="000E1B7E" w:rsidRDefault="009D5CE2" w:rsidP="005959B5">
            <w:pPr>
              <w:jc w:val="both"/>
              <w:rPr>
                <w:sz w:val="20"/>
                <w:szCs w:val="20"/>
                <w:lang w:val="en-US"/>
              </w:rPr>
            </w:pPr>
            <w:r w:rsidRPr="000E1B7E">
              <w:rPr>
                <w:sz w:val="20"/>
                <w:szCs w:val="20"/>
                <w:lang w:val="en-US"/>
              </w:rPr>
              <w:t>Aber – Anyeke- Ngai – Atwal - Aromo - Awere ( 100Km)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45F75310"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3C3A77A9"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0D1DE170"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5F81562D" w14:textId="77777777" w:rsidR="009D5CE2" w:rsidRPr="000E1B7E" w:rsidRDefault="009D5CE2" w:rsidP="005959B5">
            <w:pPr>
              <w:jc w:val="both"/>
              <w:rPr>
                <w:color w:val="000000"/>
                <w:sz w:val="20"/>
                <w:szCs w:val="20"/>
                <w:lang w:val="en-US"/>
              </w:rPr>
            </w:pPr>
            <w:r w:rsidRPr="000E1B7E">
              <w:rPr>
                <w:color w:val="000000"/>
                <w:sz w:val="20"/>
                <w:szCs w:val="20"/>
                <w:lang w:val="en-US"/>
              </w:rPr>
              <w:t>65</w:t>
            </w:r>
          </w:p>
        </w:tc>
        <w:tc>
          <w:tcPr>
            <w:tcW w:w="9805" w:type="dxa"/>
            <w:tcBorders>
              <w:top w:val="nil"/>
              <w:left w:val="nil"/>
              <w:bottom w:val="single" w:sz="4" w:space="0" w:color="A4185B"/>
              <w:right w:val="nil"/>
            </w:tcBorders>
            <w:shd w:val="clear" w:color="000000" w:fill="F3E3EA"/>
            <w:hideMark/>
          </w:tcPr>
          <w:p w14:paraId="7FD3D2E3" w14:textId="77777777" w:rsidR="009D5CE2" w:rsidRPr="000E1B7E" w:rsidRDefault="009D5CE2" w:rsidP="005959B5">
            <w:pPr>
              <w:jc w:val="both"/>
              <w:rPr>
                <w:sz w:val="20"/>
                <w:szCs w:val="20"/>
                <w:lang w:val="en-US"/>
              </w:rPr>
            </w:pPr>
            <w:r w:rsidRPr="000E1B7E">
              <w:rPr>
                <w:sz w:val="20"/>
                <w:szCs w:val="20"/>
                <w:lang w:val="en-US"/>
              </w:rPr>
              <w:t>Loro – Anyeke – Minakulu (32km)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7C4E46CC"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61FEF585" w14:textId="77777777" w:rsidR="009D5CE2" w:rsidRPr="000E1B7E" w:rsidRDefault="009D5CE2" w:rsidP="005959B5">
            <w:pPr>
              <w:jc w:val="both"/>
              <w:rPr>
                <w:color w:val="000000"/>
                <w:sz w:val="20"/>
                <w:szCs w:val="20"/>
                <w:lang w:val="en-US"/>
              </w:rPr>
            </w:pPr>
            <w:r w:rsidRPr="000E1B7E">
              <w:rPr>
                <w:color w:val="000000"/>
                <w:sz w:val="20"/>
                <w:szCs w:val="20"/>
                <w:lang w:val="en-US"/>
              </w:rPr>
              <w:t>62</w:t>
            </w:r>
          </w:p>
        </w:tc>
      </w:tr>
      <w:tr w:rsidR="009D5CE2" w:rsidRPr="000E1B7E" w14:paraId="64453CB9"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4E5E2B4D" w14:textId="77777777" w:rsidR="009D5CE2" w:rsidRPr="000E1B7E" w:rsidRDefault="009D5CE2" w:rsidP="005959B5">
            <w:pPr>
              <w:jc w:val="both"/>
              <w:rPr>
                <w:color w:val="000000"/>
                <w:sz w:val="20"/>
                <w:szCs w:val="20"/>
                <w:lang w:val="en-US"/>
              </w:rPr>
            </w:pPr>
            <w:r w:rsidRPr="000E1B7E">
              <w:rPr>
                <w:color w:val="000000"/>
                <w:sz w:val="20"/>
                <w:szCs w:val="20"/>
                <w:lang w:val="en-US"/>
              </w:rPr>
              <w:t>66</w:t>
            </w:r>
          </w:p>
        </w:tc>
        <w:tc>
          <w:tcPr>
            <w:tcW w:w="9805" w:type="dxa"/>
            <w:tcBorders>
              <w:top w:val="nil"/>
              <w:left w:val="nil"/>
              <w:bottom w:val="single" w:sz="4" w:space="0" w:color="A4185B"/>
              <w:right w:val="nil"/>
            </w:tcBorders>
            <w:shd w:val="clear" w:color="auto" w:fill="auto"/>
            <w:hideMark/>
          </w:tcPr>
          <w:p w14:paraId="0DB009DC" w14:textId="77777777" w:rsidR="009D5CE2" w:rsidRPr="000E1B7E" w:rsidRDefault="009D5CE2" w:rsidP="005959B5">
            <w:pPr>
              <w:jc w:val="both"/>
              <w:rPr>
                <w:sz w:val="20"/>
                <w:szCs w:val="20"/>
                <w:lang w:val="en-US"/>
              </w:rPr>
            </w:pPr>
            <w:r w:rsidRPr="000E1B7E">
              <w:rPr>
                <w:sz w:val="20"/>
                <w:szCs w:val="20"/>
                <w:lang w:val="en-US"/>
              </w:rPr>
              <w:t>Katine-Ochero (70km)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576EB14"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2E2533E9" w14:textId="77777777" w:rsidR="009D5CE2" w:rsidRPr="000E1B7E" w:rsidRDefault="009D5CE2" w:rsidP="005959B5">
            <w:pPr>
              <w:jc w:val="both"/>
              <w:rPr>
                <w:color w:val="000000"/>
                <w:sz w:val="20"/>
                <w:szCs w:val="20"/>
                <w:lang w:val="en-US"/>
              </w:rPr>
            </w:pPr>
            <w:r w:rsidRPr="000E1B7E">
              <w:rPr>
                <w:color w:val="000000"/>
                <w:sz w:val="20"/>
                <w:szCs w:val="20"/>
                <w:lang w:val="en-US"/>
              </w:rPr>
              <w:t>91</w:t>
            </w:r>
          </w:p>
        </w:tc>
      </w:tr>
      <w:tr w:rsidR="009D5CE2" w:rsidRPr="000E1B7E" w14:paraId="28886A62"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4F375F32" w14:textId="77777777" w:rsidR="009D5CE2" w:rsidRPr="000E1B7E" w:rsidRDefault="009D5CE2" w:rsidP="005959B5">
            <w:pPr>
              <w:jc w:val="both"/>
              <w:rPr>
                <w:color w:val="000000"/>
                <w:sz w:val="20"/>
                <w:szCs w:val="20"/>
                <w:lang w:val="en-US"/>
              </w:rPr>
            </w:pPr>
            <w:r w:rsidRPr="000E1B7E">
              <w:rPr>
                <w:color w:val="000000"/>
                <w:sz w:val="20"/>
                <w:szCs w:val="20"/>
                <w:lang w:val="en-US"/>
              </w:rPr>
              <w:t>67</w:t>
            </w:r>
          </w:p>
        </w:tc>
        <w:tc>
          <w:tcPr>
            <w:tcW w:w="9805" w:type="dxa"/>
            <w:tcBorders>
              <w:top w:val="nil"/>
              <w:left w:val="nil"/>
              <w:bottom w:val="single" w:sz="4" w:space="0" w:color="A4185B"/>
              <w:right w:val="nil"/>
            </w:tcBorders>
            <w:shd w:val="clear" w:color="000000" w:fill="F3E3EA"/>
            <w:hideMark/>
          </w:tcPr>
          <w:p w14:paraId="1A4BE0C6" w14:textId="77777777" w:rsidR="009D5CE2" w:rsidRPr="000E1B7E" w:rsidRDefault="009D5CE2" w:rsidP="005959B5">
            <w:pPr>
              <w:jc w:val="both"/>
              <w:rPr>
                <w:sz w:val="20"/>
                <w:szCs w:val="20"/>
                <w:lang w:val="en-US"/>
              </w:rPr>
            </w:pPr>
            <w:r w:rsidRPr="000E1B7E">
              <w:rPr>
                <w:sz w:val="20"/>
                <w:szCs w:val="20"/>
                <w:lang w:val="en-US"/>
              </w:rPr>
              <w:t>Kumi-Ladot (26km) &amp;Ladot-Palisa (22km)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6BFADD13"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1200173E" w14:textId="77777777" w:rsidR="009D5CE2" w:rsidRPr="000E1B7E" w:rsidRDefault="009D5CE2" w:rsidP="005959B5">
            <w:pPr>
              <w:jc w:val="both"/>
              <w:rPr>
                <w:color w:val="000000"/>
                <w:sz w:val="20"/>
                <w:szCs w:val="20"/>
                <w:lang w:val="en-US"/>
              </w:rPr>
            </w:pPr>
            <w:r w:rsidRPr="000E1B7E">
              <w:rPr>
                <w:color w:val="000000"/>
                <w:sz w:val="20"/>
                <w:szCs w:val="20"/>
                <w:lang w:val="en-US"/>
              </w:rPr>
              <w:t>90</w:t>
            </w:r>
          </w:p>
        </w:tc>
      </w:tr>
      <w:tr w:rsidR="009D5CE2" w:rsidRPr="000E1B7E" w14:paraId="1F9EFC60"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auto" w:fill="auto"/>
            <w:noWrap/>
            <w:hideMark/>
          </w:tcPr>
          <w:p w14:paraId="146608AC" w14:textId="77777777" w:rsidR="009D5CE2" w:rsidRPr="000E1B7E" w:rsidRDefault="009D5CE2" w:rsidP="005959B5">
            <w:pPr>
              <w:jc w:val="both"/>
              <w:rPr>
                <w:color w:val="000000"/>
                <w:sz w:val="20"/>
                <w:szCs w:val="20"/>
                <w:lang w:val="en-US"/>
              </w:rPr>
            </w:pPr>
            <w:r w:rsidRPr="000E1B7E">
              <w:rPr>
                <w:color w:val="000000"/>
                <w:sz w:val="20"/>
                <w:szCs w:val="20"/>
                <w:lang w:val="en-US"/>
              </w:rPr>
              <w:t>68</w:t>
            </w:r>
          </w:p>
        </w:tc>
        <w:tc>
          <w:tcPr>
            <w:tcW w:w="9805" w:type="dxa"/>
            <w:tcBorders>
              <w:top w:val="nil"/>
              <w:left w:val="nil"/>
              <w:bottom w:val="single" w:sz="4" w:space="0" w:color="A4185B"/>
              <w:right w:val="nil"/>
            </w:tcBorders>
            <w:shd w:val="clear" w:color="auto" w:fill="auto"/>
            <w:hideMark/>
          </w:tcPr>
          <w:p w14:paraId="29676482" w14:textId="77777777" w:rsidR="009D5CE2" w:rsidRPr="000E1B7E" w:rsidRDefault="009D5CE2" w:rsidP="005959B5">
            <w:pPr>
              <w:jc w:val="both"/>
              <w:rPr>
                <w:sz w:val="20"/>
                <w:szCs w:val="20"/>
                <w:lang w:val="en-US"/>
              </w:rPr>
            </w:pPr>
            <w:r w:rsidRPr="000E1B7E">
              <w:rPr>
                <w:sz w:val="20"/>
                <w:szCs w:val="20"/>
                <w:lang w:val="en-US"/>
              </w:rPr>
              <w:t>Serere-Pingire-Arapo-Mugarama&amp;Arapo-Mulondo</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7E87A7A3" w14:textId="77777777" w:rsidR="009D5CE2" w:rsidRPr="000E1B7E" w:rsidRDefault="009D5CE2" w:rsidP="005959B5">
            <w:pPr>
              <w:jc w:val="both"/>
              <w:rPr>
                <w:color w:val="000000"/>
                <w:sz w:val="20"/>
                <w:szCs w:val="20"/>
                <w:lang w:val="en-US"/>
              </w:rPr>
            </w:pPr>
            <w:r w:rsidRPr="000E1B7E">
              <w:rPr>
                <w:color w:val="000000"/>
                <w:sz w:val="20"/>
                <w:szCs w:val="20"/>
                <w:lang w:val="en-US"/>
              </w:rPr>
              <w:t>60</w:t>
            </w:r>
          </w:p>
        </w:tc>
        <w:tc>
          <w:tcPr>
            <w:tcW w:w="1690" w:type="dxa"/>
            <w:tcBorders>
              <w:top w:val="nil"/>
              <w:left w:val="nil"/>
              <w:bottom w:val="single" w:sz="4" w:space="0" w:color="A4185B"/>
              <w:right w:val="single" w:sz="4" w:space="0" w:color="A4185B"/>
            </w:tcBorders>
            <w:shd w:val="clear" w:color="auto" w:fill="auto"/>
            <w:noWrap/>
            <w:hideMark/>
          </w:tcPr>
          <w:p w14:paraId="3537254E" w14:textId="77777777" w:rsidR="009D5CE2" w:rsidRPr="000E1B7E" w:rsidRDefault="009D5CE2" w:rsidP="005959B5">
            <w:pPr>
              <w:jc w:val="both"/>
              <w:rPr>
                <w:color w:val="000000"/>
                <w:sz w:val="20"/>
                <w:szCs w:val="20"/>
                <w:lang w:val="en-US"/>
              </w:rPr>
            </w:pPr>
            <w:r w:rsidRPr="000E1B7E">
              <w:rPr>
                <w:color w:val="000000"/>
                <w:sz w:val="20"/>
                <w:szCs w:val="20"/>
                <w:lang w:val="en-US"/>
              </w:rPr>
              <w:t>38</w:t>
            </w:r>
          </w:p>
        </w:tc>
      </w:tr>
      <w:tr w:rsidR="009D5CE2" w:rsidRPr="000E1B7E" w14:paraId="0FF9B83F" w14:textId="77777777" w:rsidTr="00762261">
        <w:trPr>
          <w:trHeight w:val="332"/>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144BCF4" w14:textId="77777777" w:rsidR="009D5CE2" w:rsidRPr="000E1B7E" w:rsidRDefault="009D5CE2" w:rsidP="005959B5">
            <w:pPr>
              <w:jc w:val="both"/>
              <w:rPr>
                <w:color w:val="000000"/>
                <w:sz w:val="20"/>
                <w:szCs w:val="20"/>
                <w:lang w:val="en-US"/>
              </w:rPr>
            </w:pPr>
            <w:r w:rsidRPr="000E1B7E">
              <w:rPr>
                <w:color w:val="000000"/>
                <w:sz w:val="20"/>
                <w:szCs w:val="20"/>
                <w:lang w:val="en-US"/>
              </w:rPr>
              <w:t>69</w:t>
            </w:r>
          </w:p>
        </w:tc>
        <w:tc>
          <w:tcPr>
            <w:tcW w:w="9805" w:type="dxa"/>
            <w:tcBorders>
              <w:top w:val="nil"/>
              <w:left w:val="nil"/>
              <w:bottom w:val="single" w:sz="4" w:space="0" w:color="A4185B"/>
              <w:right w:val="nil"/>
            </w:tcBorders>
            <w:shd w:val="clear" w:color="000000" w:fill="F3E3EA"/>
            <w:hideMark/>
          </w:tcPr>
          <w:p w14:paraId="35119A75" w14:textId="77777777" w:rsidR="009D5CE2" w:rsidRPr="000E1B7E" w:rsidRDefault="009D5CE2" w:rsidP="005959B5">
            <w:pPr>
              <w:jc w:val="both"/>
              <w:rPr>
                <w:sz w:val="20"/>
                <w:szCs w:val="20"/>
                <w:lang w:val="en-US"/>
              </w:rPr>
            </w:pPr>
            <w:r w:rsidRPr="000E1B7E">
              <w:rPr>
                <w:sz w:val="20"/>
                <w:szCs w:val="20"/>
                <w:lang w:val="en-US"/>
              </w:rPr>
              <w:t>Amuria-Acowa-Usuk (38km) and Katakwi-Usuk-Orungo (33km)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7F5F4EB8" w14:textId="77777777" w:rsidR="009D5CE2" w:rsidRPr="000E1B7E" w:rsidRDefault="009D5CE2" w:rsidP="005959B5">
            <w:pPr>
              <w:jc w:val="both"/>
              <w:rPr>
                <w:color w:val="000000"/>
                <w:sz w:val="20"/>
                <w:szCs w:val="20"/>
                <w:lang w:val="en-US"/>
              </w:rPr>
            </w:pPr>
            <w:r w:rsidRPr="000E1B7E">
              <w:rPr>
                <w:color w:val="000000"/>
                <w:sz w:val="20"/>
                <w:szCs w:val="20"/>
                <w:lang w:val="en-US"/>
              </w:rPr>
              <w:t>92</w:t>
            </w:r>
          </w:p>
        </w:tc>
        <w:tc>
          <w:tcPr>
            <w:tcW w:w="1690" w:type="dxa"/>
            <w:tcBorders>
              <w:top w:val="nil"/>
              <w:left w:val="nil"/>
              <w:bottom w:val="single" w:sz="4" w:space="0" w:color="A4185B"/>
              <w:right w:val="single" w:sz="4" w:space="0" w:color="A4185B"/>
            </w:tcBorders>
            <w:shd w:val="clear" w:color="000000" w:fill="F3E3EA"/>
            <w:noWrap/>
            <w:hideMark/>
          </w:tcPr>
          <w:p w14:paraId="065BEF58" w14:textId="77777777" w:rsidR="009D5CE2" w:rsidRPr="000E1B7E" w:rsidRDefault="009D5CE2" w:rsidP="005959B5">
            <w:pPr>
              <w:jc w:val="both"/>
              <w:rPr>
                <w:color w:val="000000"/>
                <w:sz w:val="20"/>
                <w:szCs w:val="20"/>
                <w:lang w:val="en-US"/>
              </w:rPr>
            </w:pPr>
            <w:r w:rsidRPr="000E1B7E">
              <w:rPr>
                <w:color w:val="000000"/>
                <w:sz w:val="20"/>
                <w:szCs w:val="20"/>
                <w:lang w:val="en-US"/>
              </w:rPr>
              <w:t>91</w:t>
            </w:r>
          </w:p>
        </w:tc>
      </w:tr>
      <w:tr w:rsidR="009D5CE2" w:rsidRPr="000E1B7E" w14:paraId="34E12410"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auto" w:fill="auto"/>
            <w:noWrap/>
            <w:hideMark/>
          </w:tcPr>
          <w:p w14:paraId="7A1E01FB" w14:textId="77777777" w:rsidR="009D5CE2" w:rsidRPr="000E1B7E" w:rsidRDefault="009D5CE2" w:rsidP="005959B5">
            <w:pPr>
              <w:jc w:val="both"/>
              <w:rPr>
                <w:color w:val="000000"/>
                <w:sz w:val="20"/>
                <w:szCs w:val="20"/>
                <w:lang w:val="en-US"/>
              </w:rPr>
            </w:pPr>
            <w:r w:rsidRPr="000E1B7E">
              <w:rPr>
                <w:color w:val="000000"/>
                <w:sz w:val="20"/>
                <w:szCs w:val="20"/>
                <w:lang w:val="en-US"/>
              </w:rPr>
              <w:t>70</w:t>
            </w:r>
          </w:p>
        </w:tc>
        <w:tc>
          <w:tcPr>
            <w:tcW w:w="9805" w:type="dxa"/>
            <w:tcBorders>
              <w:top w:val="nil"/>
              <w:left w:val="nil"/>
              <w:bottom w:val="single" w:sz="4" w:space="0" w:color="A4185B"/>
              <w:right w:val="nil"/>
            </w:tcBorders>
            <w:shd w:val="clear" w:color="auto" w:fill="auto"/>
            <w:hideMark/>
          </w:tcPr>
          <w:p w14:paraId="6C3EE3C1" w14:textId="77777777" w:rsidR="009D5CE2" w:rsidRPr="000E1B7E" w:rsidRDefault="009D5CE2" w:rsidP="005959B5">
            <w:pPr>
              <w:jc w:val="both"/>
              <w:rPr>
                <w:sz w:val="20"/>
                <w:szCs w:val="20"/>
                <w:lang w:val="en-US"/>
              </w:rPr>
            </w:pPr>
            <w:r w:rsidRPr="000E1B7E">
              <w:rPr>
                <w:sz w:val="20"/>
                <w:szCs w:val="20"/>
                <w:lang w:val="en-US"/>
              </w:rPr>
              <w:t>Soroti-Gweri-Toroma-Magoro (54.0km) &amp;Magoro-Ngariam (27.0km)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43B460C5"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79F13091"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36E21AD2" w14:textId="77777777" w:rsidTr="00762261">
        <w:trPr>
          <w:trHeight w:val="422"/>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3C31372E" w14:textId="77777777" w:rsidR="009D5CE2" w:rsidRPr="000E1B7E" w:rsidRDefault="009D5CE2" w:rsidP="005959B5">
            <w:pPr>
              <w:jc w:val="both"/>
              <w:rPr>
                <w:color w:val="000000"/>
                <w:sz w:val="20"/>
                <w:szCs w:val="20"/>
                <w:lang w:val="en-US"/>
              </w:rPr>
            </w:pPr>
            <w:r w:rsidRPr="000E1B7E">
              <w:rPr>
                <w:color w:val="000000"/>
                <w:sz w:val="20"/>
                <w:szCs w:val="20"/>
                <w:lang w:val="en-US"/>
              </w:rPr>
              <w:t>71</w:t>
            </w:r>
          </w:p>
        </w:tc>
        <w:tc>
          <w:tcPr>
            <w:tcW w:w="9805" w:type="dxa"/>
            <w:tcBorders>
              <w:top w:val="nil"/>
              <w:left w:val="nil"/>
              <w:bottom w:val="single" w:sz="4" w:space="0" w:color="A4185B"/>
              <w:right w:val="nil"/>
            </w:tcBorders>
            <w:shd w:val="clear" w:color="000000" w:fill="F3E3EA"/>
            <w:hideMark/>
          </w:tcPr>
          <w:p w14:paraId="471EB07C" w14:textId="77777777" w:rsidR="009D5CE2" w:rsidRPr="000E1B7E" w:rsidRDefault="009D5CE2" w:rsidP="005959B5">
            <w:pPr>
              <w:jc w:val="both"/>
              <w:rPr>
                <w:sz w:val="20"/>
                <w:szCs w:val="20"/>
                <w:lang w:val="en-US"/>
              </w:rPr>
            </w:pPr>
            <w:r w:rsidRPr="000E1B7E">
              <w:rPr>
                <w:sz w:val="20"/>
                <w:szCs w:val="20"/>
                <w:lang w:val="en-US"/>
              </w:rPr>
              <w:t>Kapir - Ngora - Mukongoro (44km), Mukongoro - Kidongole (14km), Soroti - Brooks Corner (25km)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7F65578A" w14:textId="77777777" w:rsidR="009D5CE2" w:rsidRPr="000E1B7E" w:rsidRDefault="009D5CE2" w:rsidP="005959B5">
            <w:pPr>
              <w:jc w:val="both"/>
              <w:rPr>
                <w:color w:val="000000"/>
                <w:sz w:val="20"/>
                <w:szCs w:val="20"/>
                <w:lang w:val="en-US"/>
              </w:rPr>
            </w:pPr>
            <w:r w:rsidRPr="000E1B7E">
              <w:rPr>
                <w:color w:val="000000"/>
                <w:sz w:val="20"/>
                <w:szCs w:val="20"/>
                <w:lang w:val="en-US"/>
              </w:rPr>
              <w:t>56</w:t>
            </w:r>
          </w:p>
        </w:tc>
        <w:tc>
          <w:tcPr>
            <w:tcW w:w="1690" w:type="dxa"/>
            <w:tcBorders>
              <w:top w:val="nil"/>
              <w:left w:val="nil"/>
              <w:bottom w:val="single" w:sz="4" w:space="0" w:color="A4185B"/>
              <w:right w:val="single" w:sz="4" w:space="0" w:color="A4185B"/>
            </w:tcBorders>
            <w:shd w:val="clear" w:color="000000" w:fill="F3E3EA"/>
            <w:noWrap/>
            <w:hideMark/>
          </w:tcPr>
          <w:p w14:paraId="6DDC48CF" w14:textId="77777777" w:rsidR="009D5CE2" w:rsidRPr="000E1B7E" w:rsidRDefault="009D5CE2" w:rsidP="005959B5">
            <w:pPr>
              <w:jc w:val="both"/>
              <w:rPr>
                <w:color w:val="000000"/>
                <w:sz w:val="20"/>
                <w:szCs w:val="20"/>
                <w:lang w:val="en-US"/>
              </w:rPr>
            </w:pPr>
            <w:r w:rsidRPr="000E1B7E">
              <w:rPr>
                <w:color w:val="000000"/>
                <w:sz w:val="20"/>
                <w:szCs w:val="20"/>
                <w:lang w:val="en-US"/>
              </w:rPr>
              <w:t>49</w:t>
            </w:r>
          </w:p>
        </w:tc>
      </w:tr>
      <w:tr w:rsidR="009D5CE2" w:rsidRPr="000E1B7E" w14:paraId="2CAC87CE"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auto" w:fill="auto"/>
            <w:noWrap/>
            <w:hideMark/>
          </w:tcPr>
          <w:p w14:paraId="1B2BBA3D" w14:textId="77777777" w:rsidR="009D5CE2" w:rsidRPr="000E1B7E" w:rsidRDefault="009D5CE2" w:rsidP="005959B5">
            <w:pPr>
              <w:jc w:val="both"/>
              <w:rPr>
                <w:color w:val="000000"/>
                <w:sz w:val="20"/>
                <w:szCs w:val="20"/>
                <w:lang w:val="en-US"/>
              </w:rPr>
            </w:pPr>
            <w:r w:rsidRPr="000E1B7E">
              <w:rPr>
                <w:color w:val="000000"/>
                <w:sz w:val="20"/>
                <w:szCs w:val="20"/>
                <w:lang w:val="en-US"/>
              </w:rPr>
              <w:lastRenderedPageBreak/>
              <w:t>72</w:t>
            </w:r>
          </w:p>
        </w:tc>
        <w:tc>
          <w:tcPr>
            <w:tcW w:w="9805" w:type="dxa"/>
            <w:tcBorders>
              <w:top w:val="nil"/>
              <w:left w:val="nil"/>
              <w:bottom w:val="single" w:sz="4" w:space="0" w:color="A4185B"/>
              <w:right w:val="nil"/>
            </w:tcBorders>
            <w:shd w:val="clear" w:color="auto" w:fill="auto"/>
            <w:hideMark/>
          </w:tcPr>
          <w:p w14:paraId="779488BA" w14:textId="77777777" w:rsidR="009D5CE2" w:rsidRPr="000E1B7E" w:rsidRDefault="009D5CE2" w:rsidP="005959B5">
            <w:pPr>
              <w:jc w:val="both"/>
              <w:rPr>
                <w:sz w:val="20"/>
                <w:szCs w:val="20"/>
                <w:lang w:val="en-US"/>
              </w:rPr>
            </w:pPr>
            <w:r w:rsidRPr="000E1B7E">
              <w:rPr>
                <w:sz w:val="20"/>
                <w:szCs w:val="20"/>
                <w:lang w:val="en-US"/>
              </w:rPr>
              <w:t>Chosan-Amudat (30.8 km) and Chosan-Angatun- Namalu (33km)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84E4E38" w14:textId="77777777" w:rsidR="009D5CE2" w:rsidRPr="000E1B7E" w:rsidRDefault="009D5CE2" w:rsidP="005959B5">
            <w:pPr>
              <w:jc w:val="both"/>
              <w:rPr>
                <w:color w:val="000000"/>
                <w:sz w:val="20"/>
                <w:szCs w:val="20"/>
                <w:lang w:val="en-US"/>
              </w:rPr>
            </w:pPr>
            <w:r w:rsidRPr="000E1B7E">
              <w:rPr>
                <w:color w:val="000000"/>
                <w:sz w:val="20"/>
                <w:szCs w:val="20"/>
                <w:lang w:val="en-US"/>
              </w:rPr>
              <w:t>101</w:t>
            </w:r>
          </w:p>
        </w:tc>
        <w:tc>
          <w:tcPr>
            <w:tcW w:w="1690" w:type="dxa"/>
            <w:tcBorders>
              <w:top w:val="nil"/>
              <w:left w:val="nil"/>
              <w:bottom w:val="single" w:sz="4" w:space="0" w:color="A4185B"/>
              <w:right w:val="single" w:sz="4" w:space="0" w:color="A4185B"/>
            </w:tcBorders>
            <w:shd w:val="clear" w:color="auto" w:fill="auto"/>
            <w:noWrap/>
            <w:hideMark/>
          </w:tcPr>
          <w:p w14:paraId="0F1B7D8F" w14:textId="77777777" w:rsidR="009D5CE2" w:rsidRPr="000E1B7E" w:rsidRDefault="009D5CE2" w:rsidP="005959B5">
            <w:pPr>
              <w:jc w:val="both"/>
              <w:rPr>
                <w:color w:val="000000"/>
                <w:sz w:val="20"/>
                <w:szCs w:val="20"/>
                <w:lang w:val="en-US"/>
              </w:rPr>
            </w:pPr>
            <w:r w:rsidRPr="000E1B7E">
              <w:rPr>
                <w:color w:val="000000"/>
                <w:sz w:val="20"/>
                <w:szCs w:val="20"/>
                <w:lang w:val="en-US"/>
              </w:rPr>
              <w:t>93</w:t>
            </w:r>
          </w:p>
        </w:tc>
      </w:tr>
      <w:tr w:rsidR="009D5CE2" w:rsidRPr="000E1B7E" w14:paraId="2867D5F9"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71E2ADCB" w14:textId="77777777" w:rsidR="009D5CE2" w:rsidRPr="000E1B7E" w:rsidRDefault="009D5CE2" w:rsidP="005959B5">
            <w:pPr>
              <w:jc w:val="both"/>
              <w:rPr>
                <w:color w:val="000000"/>
                <w:sz w:val="20"/>
                <w:szCs w:val="20"/>
                <w:lang w:val="en-US"/>
              </w:rPr>
            </w:pPr>
            <w:r w:rsidRPr="000E1B7E">
              <w:rPr>
                <w:color w:val="000000"/>
                <w:sz w:val="20"/>
                <w:szCs w:val="20"/>
                <w:lang w:val="en-US"/>
              </w:rPr>
              <w:t>73</w:t>
            </w:r>
          </w:p>
        </w:tc>
        <w:tc>
          <w:tcPr>
            <w:tcW w:w="9805" w:type="dxa"/>
            <w:tcBorders>
              <w:top w:val="nil"/>
              <w:left w:val="nil"/>
              <w:bottom w:val="single" w:sz="4" w:space="0" w:color="A4185B"/>
              <w:right w:val="nil"/>
            </w:tcBorders>
            <w:shd w:val="clear" w:color="000000" w:fill="F3E3EA"/>
            <w:hideMark/>
          </w:tcPr>
          <w:p w14:paraId="20323B49" w14:textId="77777777" w:rsidR="009D5CE2" w:rsidRPr="000E1B7E" w:rsidRDefault="009D5CE2" w:rsidP="005959B5">
            <w:pPr>
              <w:jc w:val="both"/>
              <w:rPr>
                <w:sz w:val="20"/>
                <w:szCs w:val="20"/>
                <w:lang w:val="en-US"/>
              </w:rPr>
            </w:pPr>
            <w:r w:rsidRPr="000E1B7E">
              <w:rPr>
                <w:sz w:val="20"/>
                <w:szCs w:val="20"/>
                <w:lang w:val="en-US"/>
              </w:rPr>
              <w:t>Moroto-Lokitanyala Road (44km)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421920C8" w14:textId="77777777" w:rsidR="009D5CE2" w:rsidRPr="000E1B7E" w:rsidRDefault="009D5CE2" w:rsidP="005959B5">
            <w:pPr>
              <w:jc w:val="both"/>
              <w:rPr>
                <w:color w:val="000000"/>
                <w:sz w:val="20"/>
                <w:szCs w:val="20"/>
                <w:lang w:val="en-US"/>
              </w:rPr>
            </w:pPr>
            <w:r w:rsidRPr="000E1B7E">
              <w:rPr>
                <w:color w:val="000000"/>
                <w:sz w:val="20"/>
                <w:szCs w:val="20"/>
                <w:lang w:val="en-US"/>
              </w:rPr>
              <w:t>63</w:t>
            </w:r>
          </w:p>
        </w:tc>
        <w:tc>
          <w:tcPr>
            <w:tcW w:w="1690" w:type="dxa"/>
            <w:tcBorders>
              <w:top w:val="nil"/>
              <w:left w:val="nil"/>
              <w:bottom w:val="single" w:sz="4" w:space="0" w:color="A4185B"/>
              <w:right w:val="single" w:sz="4" w:space="0" w:color="A4185B"/>
            </w:tcBorders>
            <w:shd w:val="clear" w:color="000000" w:fill="F3E3EA"/>
            <w:noWrap/>
            <w:hideMark/>
          </w:tcPr>
          <w:p w14:paraId="590B7A83" w14:textId="77777777" w:rsidR="009D5CE2" w:rsidRPr="000E1B7E" w:rsidRDefault="009D5CE2" w:rsidP="005959B5">
            <w:pPr>
              <w:jc w:val="both"/>
              <w:rPr>
                <w:color w:val="000000"/>
                <w:sz w:val="20"/>
                <w:szCs w:val="20"/>
                <w:lang w:val="en-US"/>
              </w:rPr>
            </w:pPr>
            <w:r w:rsidRPr="000E1B7E">
              <w:rPr>
                <w:color w:val="000000"/>
                <w:sz w:val="20"/>
                <w:szCs w:val="20"/>
                <w:lang w:val="en-US"/>
              </w:rPr>
              <w:t>56</w:t>
            </w:r>
          </w:p>
        </w:tc>
      </w:tr>
      <w:tr w:rsidR="009D5CE2" w:rsidRPr="000E1B7E" w14:paraId="4C9FB72D"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auto" w:fill="auto"/>
            <w:noWrap/>
            <w:hideMark/>
          </w:tcPr>
          <w:p w14:paraId="328877E4" w14:textId="77777777" w:rsidR="009D5CE2" w:rsidRPr="000E1B7E" w:rsidRDefault="009D5CE2" w:rsidP="005959B5">
            <w:pPr>
              <w:jc w:val="both"/>
              <w:rPr>
                <w:color w:val="000000"/>
                <w:sz w:val="20"/>
                <w:szCs w:val="20"/>
                <w:lang w:val="en-US"/>
              </w:rPr>
            </w:pPr>
            <w:r w:rsidRPr="000E1B7E">
              <w:rPr>
                <w:color w:val="000000"/>
                <w:sz w:val="20"/>
                <w:szCs w:val="20"/>
                <w:lang w:val="en-US"/>
              </w:rPr>
              <w:t>74</w:t>
            </w:r>
          </w:p>
        </w:tc>
        <w:tc>
          <w:tcPr>
            <w:tcW w:w="9805" w:type="dxa"/>
            <w:tcBorders>
              <w:top w:val="nil"/>
              <w:left w:val="nil"/>
              <w:bottom w:val="single" w:sz="4" w:space="0" w:color="A4185B"/>
              <w:right w:val="nil"/>
            </w:tcBorders>
            <w:shd w:val="clear" w:color="auto" w:fill="auto"/>
            <w:hideMark/>
          </w:tcPr>
          <w:p w14:paraId="386C35C7" w14:textId="77777777" w:rsidR="009D5CE2" w:rsidRPr="000E1B7E" w:rsidRDefault="009D5CE2" w:rsidP="005959B5">
            <w:pPr>
              <w:jc w:val="both"/>
              <w:rPr>
                <w:sz w:val="20"/>
                <w:szCs w:val="20"/>
                <w:lang w:val="en-US"/>
              </w:rPr>
            </w:pPr>
            <w:r w:rsidRPr="000E1B7E">
              <w:rPr>
                <w:sz w:val="20"/>
                <w:szCs w:val="20"/>
                <w:lang w:val="en-US"/>
              </w:rPr>
              <w:t>Matany – Lokupo-Turtuko (32km) and Turtuko-Apeitolim(37km)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2A57E5DE" w14:textId="77777777" w:rsidR="009D5CE2" w:rsidRPr="000E1B7E" w:rsidRDefault="009D5CE2" w:rsidP="005959B5">
            <w:pPr>
              <w:jc w:val="both"/>
              <w:rPr>
                <w:color w:val="000000"/>
                <w:sz w:val="20"/>
                <w:szCs w:val="20"/>
                <w:lang w:val="en-US"/>
              </w:rPr>
            </w:pPr>
            <w:r w:rsidRPr="000E1B7E">
              <w:rPr>
                <w:color w:val="000000"/>
                <w:sz w:val="20"/>
                <w:szCs w:val="20"/>
                <w:lang w:val="en-US"/>
              </w:rPr>
              <w:t>62</w:t>
            </w:r>
          </w:p>
        </w:tc>
        <w:tc>
          <w:tcPr>
            <w:tcW w:w="1690" w:type="dxa"/>
            <w:tcBorders>
              <w:top w:val="nil"/>
              <w:left w:val="nil"/>
              <w:bottom w:val="single" w:sz="4" w:space="0" w:color="A4185B"/>
              <w:right w:val="single" w:sz="4" w:space="0" w:color="A4185B"/>
            </w:tcBorders>
            <w:shd w:val="clear" w:color="auto" w:fill="auto"/>
            <w:noWrap/>
            <w:hideMark/>
          </w:tcPr>
          <w:p w14:paraId="091A2F92" w14:textId="77777777" w:rsidR="009D5CE2" w:rsidRPr="000E1B7E" w:rsidRDefault="009D5CE2" w:rsidP="005959B5">
            <w:pPr>
              <w:jc w:val="both"/>
              <w:rPr>
                <w:color w:val="000000"/>
                <w:sz w:val="20"/>
                <w:szCs w:val="20"/>
                <w:lang w:val="en-US"/>
              </w:rPr>
            </w:pPr>
            <w:r w:rsidRPr="000E1B7E">
              <w:rPr>
                <w:color w:val="000000"/>
                <w:sz w:val="20"/>
                <w:szCs w:val="20"/>
                <w:lang w:val="en-US"/>
              </w:rPr>
              <w:t>47</w:t>
            </w:r>
          </w:p>
        </w:tc>
      </w:tr>
      <w:tr w:rsidR="009D5CE2" w:rsidRPr="000E1B7E" w14:paraId="07667988"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26430999" w14:textId="77777777" w:rsidR="009D5CE2" w:rsidRPr="000E1B7E" w:rsidRDefault="009D5CE2" w:rsidP="005959B5">
            <w:pPr>
              <w:jc w:val="both"/>
              <w:rPr>
                <w:color w:val="000000"/>
                <w:sz w:val="20"/>
                <w:szCs w:val="20"/>
                <w:lang w:val="en-US"/>
              </w:rPr>
            </w:pPr>
            <w:r w:rsidRPr="000E1B7E">
              <w:rPr>
                <w:color w:val="000000"/>
                <w:sz w:val="20"/>
                <w:szCs w:val="20"/>
                <w:lang w:val="en-US"/>
              </w:rPr>
              <w:t>75</w:t>
            </w:r>
          </w:p>
        </w:tc>
        <w:tc>
          <w:tcPr>
            <w:tcW w:w="9805" w:type="dxa"/>
            <w:tcBorders>
              <w:top w:val="nil"/>
              <w:left w:val="nil"/>
              <w:bottom w:val="single" w:sz="4" w:space="0" w:color="A4185B"/>
              <w:right w:val="nil"/>
            </w:tcBorders>
            <w:shd w:val="clear" w:color="000000" w:fill="F3E3EA"/>
            <w:hideMark/>
          </w:tcPr>
          <w:p w14:paraId="74D3FAA9" w14:textId="77777777" w:rsidR="009D5CE2" w:rsidRPr="000E1B7E" w:rsidRDefault="009D5CE2" w:rsidP="005959B5">
            <w:pPr>
              <w:jc w:val="both"/>
              <w:rPr>
                <w:sz w:val="20"/>
                <w:szCs w:val="20"/>
                <w:lang w:val="en-US"/>
              </w:rPr>
            </w:pPr>
            <w:r w:rsidRPr="000E1B7E">
              <w:rPr>
                <w:sz w:val="20"/>
                <w:szCs w:val="20"/>
                <w:lang w:val="en-US"/>
              </w:rPr>
              <w:t>Kanawat-Kaabong, Kaabong-Kapeedo, &amp;Kapeedo-Karenga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03441B8F"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66E201A8" w14:textId="77777777" w:rsidR="009D5CE2" w:rsidRPr="000E1B7E" w:rsidRDefault="009D5CE2" w:rsidP="005959B5">
            <w:pPr>
              <w:jc w:val="both"/>
              <w:rPr>
                <w:color w:val="000000"/>
                <w:sz w:val="20"/>
                <w:szCs w:val="20"/>
                <w:lang w:val="en-US"/>
              </w:rPr>
            </w:pPr>
            <w:r w:rsidRPr="000E1B7E">
              <w:rPr>
                <w:color w:val="000000"/>
                <w:sz w:val="20"/>
                <w:szCs w:val="20"/>
                <w:lang w:val="en-US"/>
              </w:rPr>
              <w:t>95</w:t>
            </w:r>
          </w:p>
        </w:tc>
      </w:tr>
      <w:tr w:rsidR="009D5CE2" w:rsidRPr="000E1B7E" w14:paraId="191D38E3"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auto" w:fill="auto"/>
            <w:noWrap/>
            <w:hideMark/>
          </w:tcPr>
          <w:p w14:paraId="01510551" w14:textId="77777777" w:rsidR="009D5CE2" w:rsidRPr="000E1B7E" w:rsidRDefault="009D5CE2" w:rsidP="005959B5">
            <w:pPr>
              <w:jc w:val="both"/>
              <w:rPr>
                <w:color w:val="000000"/>
                <w:sz w:val="20"/>
                <w:szCs w:val="20"/>
                <w:lang w:val="en-US"/>
              </w:rPr>
            </w:pPr>
            <w:r w:rsidRPr="000E1B7E">
              <w:rPr>
                <w:color w:val="000000"/>
                <w:sz w:val="20"/>
                <w:szCs w:val="20"/>
                <w:lang w:val="en-US"/>
              </w:rPr>
              <w:t>76</w:t>
            </w:r>
          </w:p>
        </w:tc>
        <w:tc>
          <w:tcPr>
            <w:tcW w:w="9805" w:type="dxa"/>
            <w:tcBorders>
              <w:top w:val="nil"/>
              <w:left w:val="nil"/>
              <w:bottom w:val="single" w:sz="4" w:space="0" w:color="A4185B"/>
              <w:right w:val="nil"/>
            </w:tcBorders>
            <w:shd w:val="clear" w:color="auto" w:fill="auto"/>
            <w:hideMark/>
          </w:tcPr>
          <w:p w14:paraId="1C459CAA" w14:textId="77777777" w:rsidR="009D5CE2" w:rsidRPr="000E1B7E" w:rsidRDefault="009D5CE2" w:rsidP="005959B5">
            <w:pPr>
              <w:jc w:val="both"/>
              <w:rPr>
                <w:sz w:val="20"/>
                <w:szCs w:val="20"/>
                <w:lang w:val="en-US"/>
              </w:rPr>
            </w:pPr>
            <w:r w:rsidRPr="000E1B7E">
              <w:rPr>
                <w:sz w:val="20"/>
                <w:szCs w:val="20"/>
                <w:lang w:val="en-US"/>
              </w:rPr>
              <w:t>Ariamoi-Lopei&amp;Kotido-Kapelimoru-Lopei</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597EDFE"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2091EC26" w14:textId="77777777" w:rsidR="009D5CE2" w:rsidRPr="000E1B7E" w:rsidRDefault="009D5CE2" w:rsidP="005959B5">
            <w:pPr>
              <w:jc w:val="both"/>
              <w:rPr>
                <w:color w:val="000000"/>
                <w:sz w:val="20"/>
                <w:szCs w:val="20"/>
                <w:lang w:val="en-US"/>
              </w:rPr>
            </w:pPr>
            <w:r w:rsidRPr="000E1B7E">
              <w:rPr>
                <w:color w:val="000000"/>
                <w:sz w:val="20"/>
                <w:szCs w:val="20"/>
                <w:lang w:val="en-US"/>
              </w:rPr>
              <w:t>74.4</w:t>
            </w:r>
          </w:p>
        </w:tc>
      </w:tr>
      <w:tr w:rsidR="009D5CE2" w:rsidRPr="000E1B7E" w14:paraId="7E8BD822" w14:textId="77777777" w:rsidTr="00762261">
        <w:trPr>
          <w:trHeight w:val="35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111C1018" w14:textId="77777777" w:rsidR="009D5CE2" w:rsidRPr="000E1B7E" w:rsidRDefault="009D5CE2" w:rsidP="005959B5">
            <w:pPr>
              <w:jc w:val="both"/>
              <w:rPr>
                <w:color w:val="000000"/>
                <w:sz w:val="20"/>
                <w:szCs w:val="20"/>
                <w:lang w:val="en-US"/>
              </w:rPr>
            </w:pPr>
            <w:r w:rsidRPr="000E1B7E">
              <w:rPr>
                <w:color w:val="000000"/>
                <w:sz w:val="20"/>
                <w:szCs w:val="20"/>
                <w:lang w:val="en-US"/>
              </w:rPr>
              <w:t>77</w:t>
            </w:r>
          </w:p>
        </w:tc>
        <w:tc>
          <w:tcPr>
            <w:tcW w:w="9805" w:type="dxa"/>
            <w:tcBorders>
              <w:top w:val="nil"/>
              <w:left w:val="nil"/>
              <w:bottom w:val="single" w:sz="4" w:space="0" w:color="A4185B"/>
              <w:right w:val="nil"/>
            </w:tcBorders>
            <w:shd w:val="clear" w:color="000000" w:fill="F3E3EA"/>
            <w:hideMark/>
          </w:tcPr>
          <w:p w14:paraId="7CA221F6" w14:textId="77777777" w:rsidR="009D5CE2" w:rsidRPr="000E1B7E" w:rsidRDefault="009D5CE2" w:rsidP="005959B5">
            <w:pPr>
              <w:jc w:val="both"/>
              <w:rPr>
                <w:sz w:val="20"/>
                <w:szCs w:val="20"/>
                <w:lang w:val="en-US"/>
              </w:rPr>
            </w:pPr>
            <w:r w:rsidRPr="000E1B7E">
              <w:rPr>
                <w:sz w:val="20"/>
                <w:szCs w:val="20"/>
                <w:lang w:val="en-US"/>
              </w:rPr>
              <w:t>Muyembe - Namalu (65km), Girik River - Bukwo  (30km), Chepsikun- ya – Girik River (26.1km)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72FDD1E0" w14:textId="77777777" w:rsidR="009D5CE2" w:rsidRPr="000E1B7E" w:rsidRDefault="009D5CE2" w:rsidP="005959B5">
            <w:pPr>
              <w:jc w:val="both"/>
              <w:rPr>
                <w:color w:val="000000"/>
                <w:sz w:val="20"/>
                <w:szCs w:val="20"/>
                <w:lang w:val="en-US"/>
              </w:rPr>
            </w:pPr>
            <w:r w:rsidRPr="000E1B7E">
              <w:rPr>
                <w:color w:val="000000"/>
                <w:sz w:val="20"/>
                <w:szCs w:val="20"/>
                <w:lang w:val="en-US"/>
              </w:rPr>
              <w:t>94.44</w:t>
            </w:r>
          </w:p>
        </w:tc>
        <w:tc>
          <w:tcPr>
            <w:tcW w:w="1690" w:type="dxa"/>
            <w:tcBorders>
              <w:top w:val="nil"/>
              <w:left w:val="nil"/>
              <w:bottom w:val="single" w:sz="4" w:space="0" w:color="A4185B"/>
              <w:right w:val="single" w:sz="4" w:space="0" w:color="A4185B"/>
            </w:tcBorders>
            <w:shd w:val="clear" w:color="000000" w:fill="F3E3EA"/>
            <w:noWrap/>
            <w:hideMark/>
          </w:tcPr>
          <w:p w14:paraId="0E6973CA" w14:textId="77777777" w:rsidR="009D5CE2" w:rsidRPr="000E1B7E" w:rsidRDefault="009D5CE2" w:rsidP="005959B5">
            <w:pPr>
              <w:jc w:val="both"/>
              <w:rPr>
                <w:color w:val="000000"/>
                <w:sz w:val="20"/>
                <w:szCs w:val="20"/>
                <w:lang w:val="en-US"/>
              </w:rPr>
            </w:pPr>
            <w:r w:rsidRPr="000E1B7E">
              <w:rPr>
                <w:color w:val="000000"/>
                <w:sz w:val="20"/>
                <w:szCs w:val="20"/>
                <w:lang w:val="en-US"/>
              </w:rPr>
              <w:t>84</w:t>
            </w:r>
          </w:p>
        </w:tc>
      </w:tr>
      <w:tr w:rsidR="009D5CE2" w:rsidRPr="000E1B7E" w14:paraId="112F71C6"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auto" w:fill="auto"/>
            <w:noWrap/>
            <w:hideMark/>
          </w:tcPr>
          <w:p w14:paraId="55EF82B1" w14:textId="77777777" w:rsidR="009D5CE2" w:rsidRPr="000E1B7E" w:rsidRDefault="009D5CE2" w:rsidP="005959B5">
            <w:pPr>
              <w:jc w:val="both"/>
              <w:rPr>
                <w:color w:val="000000"/>
                <w:sz w:val="20"/>
                <w:szCs w:val="20"/>
                <w:lang w:val="en-US"/>
              </w:rPr>
            </w:pPr>
            <w:r w:rsidRPr="000E1B7E">
              <w:rPr>
                <w:color w:val="000000"/>
                <w:sz w:val="20"/>
                <w:szCs w:val="20"/>
                <w:lang w:val="en-US"/>
              </w:rPr>
              <w:t>78</w:t>
            </w:r>
          </w:p>
        </w:tc>
        <w:tc>
          <w:tcPr>
            <w:tcW w:w="9805" w:type="dxa"/>
            <w:tcBorders>
              <w:top w:val="nil"/>
              <w:left w:val="nil"/>
              <w:bottom w:val="single" w:sz="4" w:space="0" w:color="A4185B"/>
              <w:right w:val="nil"/>
            </w:tcBorders>
            <w:shd w:val="clear" w:color="auto" w:fill="auto"/>
            <w:hideMark/>
          </w:tcPr>
          <w:p w14:paraId="6075A155" w14:textId="77777777" w:rsidR="009D5CE2" w:rsidRPr="000E1B7E" w:rsidRDefault="009D5CE2" w:rsidP="005959B5">
            <w:pPr>
              <w:jc w:val="both"/>
              <w:rPr>
                <w:sz w:val="20"/>
                <w:szCs w:val="20"/>
                <w:lang w:val="en-US"/>
              </w:rPr>
            </w:pPr>
            <w:r w:rsidRPr="000E1B7E">
              <w:rPr>
                <w:sz w:val="20"/>
                <w:szCs w:val="20"/>
                <w:lang w:val="en-US"/>
              </w:rPr>
              <w:t>Kapenguria - Kwoti (15km), Budaka – Kadeluna - Butebo  (21.7km) and Bugusege - Buteza (9.3km)</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1BBB1C56"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743ADCA4" w14:textId="77777777" w:rsidR="009D5CE2" w:rsidRPr="000E1B7E" w:rsidRDefault="009D5CE2" w:rsidP="005959B5">
            <w:pPr>
              <w:jc w:val="both"/>
              <w:rPr>
                <w:color w:val="000000"/>
                <w:sz w:val="20"/>
                <w:szCs w:val="20"/>
                <w:lang w:val="en-US"/>
              </w:rPr>
            </w:pPr>
            <w:r w:rsidRPr="000E1B7E">
              <w:rPr>
                <w:color w:val="000000"/>
                <w:sz w:val="20"/>
                <w:szCs w:val="20"/>
                <w:lang w:val="en-US"/>
              </w:rPr>
              <w:t>98</w:t>
            </w:r>
          </w:p>
        </w:tc>
      </w:tr>
      <w:tr w:rsidR="009D5CE2" w:rsidRPr="000E1B7E" w14:paraId="676941A8" w14:textId="77777777" w:rsidTr="00762261">
        <w:trPr>
          <w:trHeight w:val="260"/>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642C6583" w14:textId="77777777" w:rsidR="009D5CE2" w:rsidRPr="000E1B7E" w:rsidRDefault="009D5CE2" w:rsidP="005959B5">
            <w:pPr>
              <w:jc w:val="both"/>
              <w:rPr>
                <w:color w:val="000000"/>
                <w:sz w:val="20"/>
                <w:szCs w:val="20"/>
                <w:lang w:val="en-US"/>
              </w:rPr>
            </w:pPr>
            <w:r w:rsidRPr="000E1B7E">
              <w:rPr>
                <w:color w:val="000000"/>
                <w:sz w:val="20"/>
                <w:szCs w:val="20"/>
                <w:lang w:val="en-US"/>
              </w:rPr>
              <w:t>79</w:t>
            </w:r>
          </w:p>
        </w:tc>
        <w:tc>
          <w:tcPr>
            <w:tcW w:w="9805" w:type="dxa"/>
            <w:tcBorders>
              <w:top w:val="nil"/>
              <w:left w:val="nil"/>
              <w:bottom w:val="single" w:sz="4" w:space="0" w:color="A4185B"/>
              <w:right w:val="nil"/>
            </w:tcBorders>
            <w:shd w:val="clear" w:color="000000" w:fill="F3E3EA"/>
            <w:hideMark/>
          </w:tcPr>
          <w:p w14:paraId="163F2F5B" w14:textId="77777777" w:rsidR="009D5CE2" w:rsidRPr="000E1B7E" w:rsidRDefault="009D5CE2" w:rsidP="005959B5">
            <w:pPr>
              <w:jc w:val="both"/>
              <w:rPr>
                <w:sz w:val="20"/>
                <w:szCs w:val="20"/>
                <w:lang w:val="en-US"/>
              </w:rPr>
            </w:pPr>
            <w:r w:rsidRPr="000E1B7E">
              <w:rPr>
                <w:sz w:val="20"/>
                <w:szCs w:val="20"/>
                <w:lang w:val="en-US"/>
              </w:rPr>
              <w:t>Malukhu – Musoto – Nabiganda - Naboa (29.2km),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11086498"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0A07C6FB" w14:textId="77777777" w:rsidR="009D5CE2" w:rsidRPr="000E1B7E" w:rsidRDefault="009D5CE2" w:rsidP="005959B5">
            <w:pPr>
              <w:jc w:val="both"/>
              <w:rPr>
                <w:color w:val="000000"/>
                <w:sz w:val="20"/>
                <w:szCs w:val="20"/>
                <w:lang w:val="en-US"/>
              </w:rPr>
            </w:pPr>
            <w:r w:rsidRPr="000E1B7E">
              <w:rPr>
                <w:color w:val="000000"/>
                <w:sz w:val="20"/>
                <w:szCs w:val="20"/>
                <w:lang w:val="en-US"/>
              </w:rPr>
              <w:t>91.4</w:t>
            </w:r>
          </w:p>
        </w:tc>
      </w:tr>
      <w:tr w:rsidR="009D5CE2" w:rsidRPr="000E1B7E" w14:paraId="33A79EB9" w14:textId="77777777" w:rsidTr="00762261">
        <w:trPr>
          <w:trHeight w:val="548"/>
        </w:trPr>
        <w:tc>
          <w:tcPr>
            <w:tcW w:w="560" w:type="dxa"/>
            <w:tcBorders>
              <w:top w:val="nil"/>
              <w:left w:val="single" w:sz="4" w:space="0" w:color="A4185B"/>
              <w:bottom w:val="single" w:sz="4" w:space="0" w:color="A4185B"/>
              <w:right w:val="single" w:sz="4" w:space="0" w:color="A4185B"/>
            </w:tcBorders>
            <w:shd w:val="clear" w:color="auto" w:fill="auto"/>
            <w:noWrap/>
            <w:hideMark/>
          </w:tcPr>
          <w:p w14:paraId="4C08A5E5" w14:textId="77777777" w:rsidR="009D5CE2" w:rsidRPr="000E1B7E" w:rsidRDefault="009D5CE2" w:rsidP="005959B5">
            <w:pPr>
              <w:jc w:val="both"/>
              <w:rPr>
                <w:color w:val="000000"/>
                <w:sz w:val="20"/>
                <w:szCs w:val="20"/>
                <w:lang w:val="en-US"/>
              </w:rPr>
            </w:pPr>
            <w:r w:rsidRPr="000E1B7E">
              <w:rPr>
                <w:color w:val="000000"/>
                <w:sz w:val="20"/>
                <w:szCs w:val="20"/>
                <w:lang w:val="en-US"/>
              </w:rPr>
              <w:t>80</w:t>
            </w:r>
          </w:p>
        </w:tc>
        <w:tc>
          <w:tcPr>
            <w:tcW w:w="9805" w:type="dxa"/>
            <w:tcBorders>
              <w:top w:val="nil"/>
              <w:left w:val="nil"/>
              <w:bottom w:val="single" w:sz="4" w:space="0" w:color="A4185B"/>
              <w:right w:val="nil"/>
            </w:tcBorders>
            <w:shd w:val="clear" w:color="auto" w:fill="auto"/>
            <w:hideMark/>
          </w:tcPr>
          <w:p w14:paraId="02D11032" w14:textId="77777777" w:rsidR="009D5CE2" w:rsidRPr="000E1B7E" w:rsidRDefault="009D5CE2" w:rsidP="005959B5">
            <w:pPr>
              <w:jc w:val="both"/>
              <w:rPr>
                <w:sz w:val="20"/>
                <w:szCs w:val="20"/>
                <w:lang w:val="en-US"/>
              </w:rPr>
            </w:pPr>
            <w:r w:rsidRPr="000E1B7E">
              <w:rPr>
                <w:sz w:val="20"/>
                <w:szCs w:val="20"/>
                <w:lang w:val="en-US"/>
              </w:rPr>
              <w:t>Tororo-Nagongera (20km), Nagongera-Busolwe- Busaba (24km), Bu- solwe- Nabumali (35km) and Busolwe - Budumba (17.5km) roads</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29670503"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70381C6E"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r>
      <w:tr w:rsidR="009D5CE2" w:rsidRPr="000E1B7E" w14:paraId="29E9650C" w14:textId="77777777" w:rsidTr="00762261">
        <w:trPr>
          <w:trHeight w:val="242"/>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4080F54D" w14:textId="77777777" w:rsidR="009D5CE2" w:rsidRPr="000E1B7E" w:rsidRDefault="009D5CE2" w:rsidP="005959B5">
            <w:pPr>
              <w:jc w:val="both"/>
              <w:rPr>
                <w:color w:val="000000"/>
                <w:sz w:val="20"/>
                <w:szCs w:val="20"/>
                <w:lang w:val="en-US"/>
              </w:rPr>
            </w:pPr>
            <w:r w:rsidRPr="000E1B7E">
              <w:rPr>
                <w:color w:val="000000"/>
                <w:sz w:val="20"/>
                <w:szCs w:val="20"/>
                <w:lang w:val="en-US"/>
              </w:rPr>
              <w:t>81</w:t>
            </w:r>
          </w:p>
        </w:tc>
        <w:tc>
          <w:tcPr>
            <w:tcW w:w="9805" w:type="dxa"/>
            <w:tcBorders>
              <w:top w:val="nil"/>
              <w:left w:val="nil"/>
              <w:bottom w:val="single" w:sz="4" w:space="0" w:color="A4185B"/>
              <w:right w:val="nil"/>
            </w:tcBorders>
            <w:shd w:val="clear" w:color="000000" w:fill="F3E3EA"/>
            <w:hideMark/>
          </w:tcPr>
          <w:p w14:paraId="2E4F5980" w14:textId="77777777" w:rsidR="009D5CE2" w:rsidRPr="000E1B7E" w:rsidRDefault="009D5CE2" w:rsidP="005959B5">
            <w:pPr>
              <w:jc w:val="both"/>
              <w:rPr>
                <w:sz w:val="20"/>
                <w:szCs w:val="20"/>
                <w:lang w:val="en-US"/>
              </w:rPr>
            </w:pPr>
            <w:r w:rsidRPr="000E1B7E">
              <w:rPr>
                <w:sz w:val="20"/>
                <w:szCs w:val="20"/>
                <w:lang w:val="en-US"/>
              </w:rPr>
              <w:t>Kamuli - Kaliro (46 Km) And Kamuli - Bukungu  (68 Km) – Roads</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352944C3"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000000" w:fill="F3E3EA"/>
            <w:noWrap/>
            <w:hideMark/>
          </w:tcPr>
          <w:p w14:paraId="0B3FCEB3" w14:textId="77777777" w:rsidR="009D5CE2" w:rsidRPr="000E1B7E" w:rsidRDefault="009D5CE2" w:rsidP="005959B5">
            <w:pPr>
              <w:jc w:val="both"/>
              <w:rPr>
                <w:color w:val="000000"/>
                <w:sz w:val="20"/>
                <w:szCs w:val="20"/>
                <w:lang w:val="en-US"/>
              </w:rPr>
            </w:pPr>
            <w:r w:rsidRPr="000E1B7E">
              <w:rPr>
                <w:color w:val="000000"/>
                <w:sz w:val="20"/>
                <w:szCs w:val="20"/>
                <w:lang w:val="en-US"/>
              </w:rPr>
              <w:t>96</w:t>
            </w:r>
          </w:p>
        </w:tc>
      </w:tr>
      <w:tr w:rsidR="009D5CE2" w:rsidRPr="000E1B7E" w14:paraId="56D389A7" w14:textId="77777777" w:rsidTr="00762261">
        <w:trPr>
          <w:trHeight w:val="278"/>
        </w:trPr>
        <w:tc>
          <w:tcPr>
            <w:tcW w:w="560" w:type="dxa"/>
            <w:tcBorders>
              <w:top w:val="nil"/>
              <w:left w:val="single" w:sz="4" w:space="0" w:color="A4185B"/>
              <w:bottom w:val="single" w:sz="4" w:space="0" w:color="A4185B"/>
              <w:right w:val="single" w:sz="4" w:space="0" w:color="A4185B"/>
            </w:tcBorders>
            <w:shd w:val="clear" w:color="auto" w:fill="auto"/>
            <w:noWrap/>
            <w:hideMark/>
          </w:tcPr>
          <w:p w14:paraId="79D643CA" w14:textId="77777777" w:rsidR="009D5CE2" w:rsidRPr="000E1B7E" w:rsidRDefault="009D5CE2" w:rsidP="005959B5">
            <w:pPr>
              <w:jc w:val="both"/>
              <w:rPr>
                <w:color w:val="000000"/>
                <w:sz w:val="20"/>
                <w:szCs w:val="20"/>
                <w:lang w:val="en-US"/>
              </w:rPr>
            </w:pPr>
            <w:r w:rsidRPr="000E1B7E">
              <w:rPr>
                <w:color w:val="000000"/>
                <w:sz w:val="20"/>
                <w:szCs w:val="20"/>
                <w:lang w:val="en-US"/>
              </w:rPr>
              <w:t>82</w:t>
            </w:r>
          </w:p>
        </w:tc>
        <w:tc>
          <w:tcPr>
            <w:tcW w:w="9805" w:type="dxa"/>
            <w:tcBorders>
              <w:top w:val="nil"/>
              <w:left w:val="nil"/>
              <w:bottom w:val="single" w:sz="4" w:space="0" w:color="A4185B"/>
              <w:right w:val="nil"/>
            </w:tcBorders>
            <w:shd w:val="clear" w:color="auto" w:fill="auto"/>
            <w:hideMark/>
          </w:tcPr>
          <w:p w14:paraId="2BF392B2" w14:textId="77777777" w:rsidR="009D5CE2" w:rsidRPr="000E1B7E" w:rsidRDefault="009D5CE2" w:rsidP="005959B5">
            <w:pPr>
              <w:jc w:val="both"/>
              <w:rPr>
                <w:sz w:val="20"/>
                <w:szCs w:val="20"/>
                <w:lang w:val="en-US"/>
              </w:rPr>
            </w:pPr>
            <w:r w:rsidRPr="000E1B7E">
              <w:rPr>
                <w:sz w:val="20"/>
                <w:szCs w:val="20"/>
                <w:lang w:val="en-US"/>
              </w:rPr>
              <w:t>Iganga - Bulopa - Kamuli (58 Km) And Buwenge - Nakabugu - Kaliro (48 Km) Roads</w:t>
            </w:r>
          </w:p>
        </w:tc>
        <w:tc>
          <w:tcPr>
            <w:tcW w:w="1820" w:type="dxa"/>
            <w:tcBorders>
              <w:top w:val="nil"/>
              <w:left w:val="single" w:sz="4" w:space="0" w:color="A4185B"/>
              <w:bottom w:val="single" w:sz="4" w:space="0" w:color="A4185B"/>
              <w:right w:val="single" w:sz="4" w:space="0" w:color="A4185B"/>
            </w:tcBorders>
            <w:shd w:val="clear" w:color="auto" w:fill="auto"/>
            <w:noWrap/>
            <w:hideMark/>
          </w:tcPr>
          <w:p w14:paraId="3A4F8950" w14:textId="77777777" w:rsidR="009D5CE2" w:rsidRPr="000E1B7E" w:rsidRDefault="009D5CE2" w:rsidP="005959B5">
            <w:pPr>
              <w:jc w:val="both"/>
              <w:rPr>
                <w:color w:val="000000"/>
                <w:sz w:val="20"/>
                <w:szCs w:val="20"/>
                <w:lang w:val="en-US"/>
              </w:rPr>
            </w:pPr>
            <w:r w:rsidRPr="000E1B7E">
              <w:rPr>
                <w:color w:val="000000"/>
                <w:sz w:val="20"/>
                <w:szCs w:val="20"/>
                <w:lang w:val="en-US"/>
              </w:rPr>
              <w:t>100</w:t>
            </w:r>
          </w:p>
        </w:tc>
        <w:tc>
          <w:tcPr>
            <w:tcW w:w="1690" w:type="dxa"/>
            <w:tcBorders>
              <w:top w:val="nil"/>
              <w:left w:val="nil"/>
              <w:bottom w:val="single" w:sz="4" w:space="0" w:color="A4185B"/>
              <w:right w:val="single" w:sz="4" w:space="0" w:color="A4185B"/>
            </w:tcBorders>
            <w:shd w:val="clear" w:color="auto" w:fill="auto"/>
            <w:noWrap/>
            <w:hideMark/>
          </w:tcPr>
          <w:p w14:paraId="185382F4" w14:textId="77777777" w:rsidR="009D5CE2" w:rsidRPr="000E1B7E" w:rsidRDefault="009D5CE2" w:rsidP="005959B5">
            <w:pPr>
              <w:jc w:val="both"/>
              <w:rPr>
                <w:color w:val="000000"/>
                <w:sz w:val="20"/>
                <w:szCs w:val="20"/>
                <w:lang w:val="en-US"/>
              </w:rPr>
            </w:pPr>
            <w:r w:rsidRPr="000E1B7E">
              <w:rPr>
                <w:color w:val="000000"/>
                <w:sz w:val="20"/>
                <w:szCs w:val="20"/>
                <w:lang w:val="en-US"/>
              </w:rPr>
              <w:t>96</w:t>
            </w:r>
          </w:p>
        </w:tc>
      </w:tr>
      <w:tr w:rsidR="009D5CE2" w:rsidRPr="000E1B7E" w14:paraId="73ADFE5E" w14:textId="77777777" w:rsidTr="009D5CE2">
        <w:trPr>
          <w:trHeight w:val="255"/>
        </w:trPr>
        <w:tc>
          <w:tcPr>
            <w:tcW w:w="560" w:type="dxa"/>
            <w:tcBorders>
              <w:top w:val="nil"/>
              <w:left w:val="single" w:sz="4" w:space="0" w:color="A4185B"/>
              <w:bottom w:val="single" w:sz="4" w:space="0" w:color="A4185B"/>
              <w:right w:val="single" w:sz="4" w:space="0" w:color="A4185B"/>
            </w:tcBorders>
            <w:shd w:val="clear" w:color="000000" w:fill="F3E3EA"/>
            <w:noWrap/>
            <w:hideMark/>
          </w:tcPr>
          <w:p w14:paraId="0C54C2A8" w14:textId="77777777" w:rsidR="009D5CE2" w:rsidRPr="000E1B7E" w:rsidRDefault="009D5CE2" w:rsidP="005959B5">
            <w:pPr>
              <w:jc w:val="both"/>
              <w:rPr>
                <w:color w:val="000000"/>
                <w:sz w:val="20"/>
                <w:szCs w:val="20"/>
                <w:lang w:val="en-US"/>
              </w:rPr>
            </w:pPr>
            <w:r w:rsidRPr="000E1B7E">
              <w:rPr>
                <w:color w:val="000000"/>
                <w:sz w:val="20"/>
                <w:szCs w:val="20"/>
                <w:lang w:val="en-US"/>
              </w:rPr>
              <w:t>83</w:t>
            </w:r>
          </w:p>
        </w:tc>
        <w:tc>
          <w:tcPr>
            <w:tcW w:w="9805" w:type="dxa"/>
            <w:tcBorders>
              <w:top w:val="nil"/>
              <w:left w:val="nil"/>
              <w:bottom w:val="single" w:sz="4" w:space="0" w:color="A4185B"/>
              <w:right w:val="nil"/>
            </w:tcBorders>
            <w:shd w:val="clear" w:color="000000" w:fill="F3E3EA"/>
            <w:hideMark/>
          </w:tcPr>
          <w:p w14:paraId="2ABC6B98" w14:textId="77777777" w:rsidR="009D5CE2" w:rsidRPr="000E1B7E" w:rsidRDefault="009D5CE2" w:rsidP="005959B5">
            <w:pPr>
              <w:jc w:val="both"/>
              <w:rPr>
                <w:sz w:val="20"/>
                <w:szCs w:val="20"/>
                <w:lang w:val="en-US"/>
              </w:rPr>
            </w:pPr>
            <w:r w:rsidRPr="000E1B7E">
              <w:rPr>
                <w:sz w:val="20"/>
                <w:szCs w:val="20"/>
                <w:lang w:val="en-US"/>
              </w:rPr>
              <w:t>Kaliro - Nawaikoke - Irundu Road – (26.0 Km)</w:t>
            </w:r>
          </w:p>
        </w:tc>
        <w:tc>
          <w:tcPr>
            <w:tcW w:w="1820" w:type="dxa"/>
            <w:tcBorders>
              <w:top w:val="nil"/>
              <w:left w:val="single" w:sz="4" w:space="0" w:color="A4185B"/>
              <w:bottom w:val="single" w:sz="4" w:space="0" w:color="A4185B"/>
              <w:right w:val="single" w:sz="4" w:space="0" w:color="A4185B"/>
            </w:tcBorders>
            <w:shd w:val="clear" w:color="000000" w:fill="F3E3EA"/>
            <w:noWrap/>
            <w:hideMark/>
          </w:tcPr>
          <w:p w14:paraId="1978616A" w14:textId="77777777" w:rsidR="009D5CE2" w:rsidRPr="000E1B7E" w:rsidRDefault="009D5CE2" w:rsidP="005959B5">
            <w:pPr>
              <w:jc w:val="both"/>
              <w:rPr>
                <w:color w:val="000000"/>
                <w:sz w:val="20"/>
                <w:szCs w:val="20"/>
                <w:lang w:val="en-US"/>
              </w:rPr>
            </w:pPr>
            <w:r w:rsidRPr="000E1B7E">
              <w:rPr>
                <w:color w:val="000000"/>
                <w:sz w:val="20"/>
                <w:szCs w:val="20"/>
                <w:lang w:val="en-US"/>
              </w:rPr>
              <w:t>213.08</w:t>
            </w:r>
          </w:p>
        </w:tc>
        <w:tc>
          <w:tcPr>
            <w:tcW w:w="1690" w:type="dxa"/>
            <w:tcBorders>
              <w:top w:val="nil"/>
              <w:left w:val="nil"/>
              <w:bottom w:val="single" w:sz="4" w:space="0" w:color="A4185B"/>
              <w:right w:val="single" w:sz="4" w:space="0" w:color="A4185B"/>
            </w:tcBorders>
            <w:shd w:val="clear" w:color="000000" w:fill="F3E3EA"/>
            <w:noWrap/>
            <w:hideMark/>
          </w:tcPr>
          <w:p w14:paraId="3A3DE604" w14:textId="77777777" w:rsidR="009D5CE2" w:rsidRPr="000E1B7E" w:rsidRDefault="009D5CE2" w:rsidP="005959B5">
            <w:pPr>
              <w:jc w:val="both"/>
              <w:rPr>
                <w:color w:val="000000"/>
                <w:sz w:val="20"/>
                <w:szCs w:val="20"/>
                <w:lang w:val="en-US"/>
              </w:rPr>
            </w:pPr>
            <w:r w:rsidRPr="000E1B7E">
              <w:rPr>
                <w:color w:val="000000"/>
                <w:sz w:val="20"/>
                <w:szCs w:val="20"/>
                <w:lang w:val="en-US"/>
              </w:rPr>
              <w:t>100.0</w:t>
            </w:r>
          </w:p>
        </w:tc>
      </w:tr>
    </w:tbl>
    <w:p w14:paraId="750450F5" w14:textId="77777777" w:rsidR="00240DEA" w:rsidRPr="000E1B7E" w:rsidRDefault="00240DEA" w:rsidP="005959B5">
      <w:pPr>
        <w:jc w:val="both"/>
        <w:rPr>
          <w:b/>
        </w:rPr>
      </w:pPr>
    </w:p>
    <w:p w14:paraId="41A2CE1A" w14:textId="77777777" w:rsidR="009D5CE2" w:rsidRPr="000E1B7E" w:rsidRDefault="00514856" w:rsidP="00C044D4">
      <w:pPr>
        <w:pStyle w:val="Heading2"/>
      </w:pPr>
      <w:bookmarkStart w:id="170" w:name="_Toc3478407"/>
      <w:bookmarkStart w:id="171" w:name="_Toc11956287"/>
      <w:r w:rsidRPr="000E1B7E">
        <w:t>Appendix 4</w:t>
      </w:r>
      <w:r w:rsidR="00240DEA" w:rsidRPr="000E1B7E">
        <w:t xml:space="preserve">: Implementation status </w:t>
      </w:r>
      <w:r w:rsidR="00240DEA" w:rsidRPr="000E1B7E">
        <w:rPr>
          <w:rFonts w:eastAsia="Times New Roman"/>
          <w:sz w:val="20"/>
          <w:szCs w:val="20"/>
          <w:lang w:val="en-US"/>
        </w:rPr>
        <w:t>of Works on Bridges, March, 2018</w:t>
      </w:r>
      <w:bookmarkEnd w:id="170"/>
      <w:bookmarkEnd w:id="171"/>
    </w:p>
    <w:tbl>
      <w:tblPr>
        <w:tblW w:w="13736" w:type="dxa"/>
        <w:tblInd w:w="93" w:type="dxa"/>
        <w:tblLook w:val="04A0" w:firstRow="1" w:lastRow="0" w:firstColumn="1" w:lastColumn="0" w:noHBand="0" w:noVBand="1"/>
      </w:tblPr>
      <w:tblGrid>
        <w:gridCol w:w="804"/>
        <w:gridCol w:w="3891"/>
        <w:gridCol w:w="9041"/>
      </w:tblGrid>
      <w:tr w:rsidR="00782820" w:rsidRPr="000E1B7E" w14:paraId="1298FA1F" w14:textId="77777777" w:rsidTr="00240DEA">
        <w:trPr>
          <w:trHeight w:val="345"/>
          <w:tblHeader/>
        </w:trPr>
        <w:tc>
          <w:tcPr>
            <w:tcW w:w="804" w:type="dxa"/>
            <w:tcBorders>
              <w:top w:val="nil"/>
              <w:left w:val="nil"/>
              <w:bottom w:val="nil"/>
              <w:right w:val="nil"/>
            </w:tcBorders>
            <w:shd w:val="clear" w:color="000000" w:fill="A4185B"/>
            <w:hideMark/>
          </w:tcPr>
          <w:p w14:paraId="1DC9821B" w14:textId="77777777" w:rsidR="00782820" w:rsidRPr="000E1B7E" w:rsidRDefault="00782820" w:rsidP="005959B5">
            <w:pPr>
              <w:jc w:val="both"/>
              <w:rPr>
                <w:color w:val="FFFFFF" w:themeColor="background1"/>
                <w:sz w:val="20"/>
                <w:szCs w:val="20"/>
                <w:lang w:val="en-US"/>
              </w:rPr>
            </w:pPr>
            <w:r w:rsidRPr="000E1B7E">
              <w:rPr>
                <w:b/>
                <w:bCs/>
                <w:color w:val="FFFFFF" w:themeColor="background1"/>
                <w:sz w:val="20"/>
                <w:szCs w:val="20"/>
                <w:vertAlign w:val="superscript"/>
                <w:lang w:val="en-US"/>
              </w:rPr>
              <w:t xml:space="preserve">S/N  </w:t>
            </w:r>
          </w:p>
        </w:tc>
        <w:tc>
          <w:tcPr>
            <w:tcW w:w="3891" w:type="dxa"/>
            <w:tcBorders>
              <w:top w:val="nil"/>
              <w:left w:val="nil"/>
              <w:bottom w:val="nil"/>
              <w:right w:val="nil"/>
            </w:tcBorders>
            <w:shd w:val="clear" w:color="000000" w:fill="A4185B"/>
            <w:hideMark/>
          </w:tcPr>
          <w:p w14:paraId="5691044C" w14:textId="77777777" w:rsidR="00782820" w:rsidRPr="000E1B7E" w:rsidRDefault="00782820" w:rsidP="005959B5">
            <w:pPr>
              <w:jc w:val="both"/>
              <w:rPr>
                <w:color w:val="FFFFFF" w:themeColor="background1"/>
                <w:sz w:val="20"/>
                <w:szCs w:val="20"/>
                <w:lang w:val="en-US"/>
              </w:rPr>
            </w:pPr>
            <w:r w:rsidRPr="000E1B7E">
              <w:rPr>
                <w:color w:val="FFFFFF" w:themeColor="background1"/>
                <w:sz w:val="20"/>
                <w:szCs w:val="20"/>
                <w:lang w:val="en-US"/>
              </w:rPr>
              <w:t> </w:t>
            </w:r>
            <w:r w:rsidRPr="000E1B7E">
              <w:rPr>
                <w:b/>
                <w:bCs/>
                <w:color w:val="FFFFFF" w:themeColor="background1"/>
                <w:sz w:val="20"/>
                <w:szCs w:val="20"/>
                <w:lang w:val="en-US"/>
              </w:rPr>
              <w:t xml:space="preserve">Bridge Name                                            </w:t>
            </w:r>
          </w:p>
        </w:tc>
        <w:tc>
          <w:tcPr>
            <w:tcW w:w="9041" w:type="dxa"/>
            <w:tcBorders>
              <w:top w:val="nil"/>
              <w:left w:val="nil"/>
              <w:bottom w:val="nil"/>
              <w:right w:val="nil"/>
            </w:tcBorders>
            <w:shd w:val="clear" w:color="000000" w:fill="A4185B"/>
            <w:hideMark/>
          </w:tcPr>
          <w:p w14:paraId="145EC42F" w14:textId="77777777" w:rsidR="00782820" w:rsidRPr="000E1B7E" w:rsidRDefault="00782820" w:rsidP="005959B5">
            <w:pPr>
              <w:jc w:val="both"/>
              <w:rPr>
                <w:color w:val="FFFFFF" w:themeColor="background1"/>
                <w:sz w:val="20"/>
                <w:szCs w:val="20"/>
                <w:lang w:val="en-US"/>
              </w:rPr>
            </w:pPr>
            <w:r w:rsidRPr="000E1B7E">
              <w:rPr>
                <w:color w:val="FFFFFF" w:themeColor="background1"/>
                <w:sz w:val="20"/>
                <w:szCs w:val="20"/>
                <w:lang w:val="en-US"/>
              </w:rPr>
              <w:t> Implementation Progress</w:t>
            </w:r>
          </w:p>
        </w:tc>
      </w:tr>
      <w:tr w:rsidR="00782820" w:rsidRPr="000E1B7E" w14:paraId="465E0714" w14:textId="77777777" w:rsidTr="00172330">
        <w:trPr>
          <w:trHeight w:val="660"/>
        </w:trPr>
        <w:tc>
          <w:tcPr>
            <w:tcW w:w="804" w:type="dxa"/>
            <w:tcBorders>
              <w:top w:val="single" w:sz="4" w:space="0" w:color="A4185B"/>
              <w:left w:val="single" w:sz="4" w:space="0" w:color="A4185B"/>
              <w:bottom w:val="single" w:sz="4" w:space="0" w:color="A4185B"/>
              <w:right w:val="single" w:sz="4" w:space="0" w:color="A4185B"/>
            </w:tcBorders>
            <w:shd w:val="clear" w:color="000000" w:fill="F3E3EA"/>
            <w:noWrap/>
            <w:hideMark/>
          </w:tcPr>
          <w:p w14:paraId="11C02FD6" w14:textId="77777777" w:rsidR="00782820" w:rsidRPr="000E1B7E" w:rsidRDefault="00782820" w:rsidP="005959B5">
            <w:pPr>
              <w:jc w:val="both"/>
              <w:rPr>
                <w:color w:val="000000"/>
                <w:sz w:val="20"/>
                <w:szCs w:val="20"/>
                <w:lang w:val="en-US"/>
              </w:rPr>
            </w:pPr>
            <w:r w:rsidRPr="000E1B7E">
              <w:rPr>
                <w:color w:val="000000"/>
                <w:sz w:val="20"/>
                <w:szCs w:val="20"/>
                <w:lang w:val="en-US"/>
              </w:rPr>
              <w:t>1</w:t>
            </w:r>
          </w:p>
        </w:tc>
        <w:tc>
          <w:tcPr>
            <w:tcW w:w="3891" w:type="dxa"/>
            <w:tcBorders>
              <w:top w:val="single" w:sz="4" w:space="0" w:color="A4185B"/>
              <w:left w:val="nil"/>
              <w:bottom w:val="single" w:sz="4" w:space="0" w:color="A4185B"/>
              <w:right w:val="nil"/>
            </w:tcBorders>
            <w:shd w:val="clear" w:color="000000" w:fill="F3E3EA"/>
            <w:hideMark/>
          </w:tcPr>
          <w:p w14:paraId="14F7DD8A" w14:textId="77777777" w:rsidR="00782820" w:rsidRPr="000E1B7E" w:rsidRDefault="00782820" w:rsidP="005959B5">
            <w:pPr>
              <w:jc w:val="both"/>
              <w:rPr>
                <w:color w:val="000000"/>
                <w:sz w:val="20"/>
                <w:szCs w:val="20"/>
                <w:lang w:val="en-US"/>
              </w:rPr>
            </w:pPr>
            <w:r w:rsidRPr="000E1B7E">
              <w:rPr>
                <w:sz w:val="20"/>
                <w:szCs w:val="20"/>
                <w:lang w:val="en-US"/>
              </w:rPr>
              <w:t>2</w:t>
            </w:r>
            <w:r w:rsidRPr="000E1B7E">
              <w:rPr>
                <w:sz w:val="20"/>
                <w:szCs w:val="20"/>
                <w:vertAlign w:val="superscript"/>
                <w:lang w:val="en-US"/>
              </w:rPr>
              <w:t xml:space="preserve">nd </w:t>
            </w:r>
            <w:r w:rsidRPr="000E1B7E">
              <w:rPr>
                <w:sz w:val="20"/>
                <w:szCs w:val="20"/>
                <w:lang w:val="en-US"/>
              </w:rPr>
              <w:t>Nile bridge at Jinja</w:t>
            </w:r>
            <w:r w:rsidRPr="000E1B7E">
              <w:rPr>
                <w:sz w:val="20"/>
                <w:szCs w:val="20"/>
                <w:lang w:val="en-US"/>
              </w:rPr>
              <w:br/>
              <w:t>Span 525m cable stayed bridge</w:t>
            </w:r>
          </w:p>
        </w:tc>
        <w:tc>
          <w:tcPr>
            <w:tcW w:w="9041" w:type="dxa"/>
            <w:tcBorders>
              <w:top w:val="single" w:sz="4" w:space="0" w:color="A4185B"/>
              <w:left w:val="single" w:sz="4" w:space="0" w:color="A4185B"/>
              <w:bottom w:val="single" w:sz="4" w:space="0" w:color="A4185B"/>
              <w:right w:val="nil"/>
            </w:tcBorders>
            <w:shd w:val="clear" w:color="000000" w:fill="F3E3EA"/>
            <w:hideMark/>
          </w:tcPr>
          <w:p w14:paraId="03FAC4D6" w14:textId="77777777" w:rsidR="00782820" w:rsidRPr="000E1B7E" w:rsidRDefault="00782820" w:rsidP="005959B5">
            <w:pPr>
              <w:jc w:val="both"/>
              <w:rPr>
                <w:sz w:val="20"/>
                <w:szCs w:val="20"/>
                <w:lang w:val="en-US"/>
              </w:rPr>
            </w:pPr>
            <w:r w:rsidRPr="000E1B7E">
              <w:rPr>
                <w:sz w:val="20"/>
                <w:szCs w:val="20"/>
                <w:lang w:val="en-US"/>
              </w:rPr>
              <w:t>Physical progress is estimated at 62.9 percent versus 92.84 percent planned.</w:t>
            </w:r>
          </w:p>
        </w:tc>
      </w:tr>
      <w:tr w:rsidR="00782820" w:rsidRPr="000E1B7E" w14:paraId="2F8DF0AF" w14:textId="77777777" w:rsidTr="00172330">
        <w:trPr>
          <w:trHeight w:val="23"/>
        </w:trPr>
        <w:tc>
          <w:tcPr>
            <w:tcW w:w="804" w:type="dxa"/>
            <w:tcBorders>
              <w:top w:val="nil"/>
              <w:left w:val="nil"/>
              <w:bottom w:val="nil"/>
              <w:right w:val="nil"/>
            </w:tcBorders>
            <w:shd w:val="clear" w:color="auto" w:fill="auto"/>
            <w:noWrap/>
            <w:hideMark/>
          </w:tcPr>
          <w:p w14:paraId="20427318" w14:textId="77777777" w:rsidR="00782820" w:rsidRPr="000E1B7E" w:rsidRDefault="00782820" w:rsidP="005959B5">
            <w:pPr>
              <w:jc w:val="both"/>
              <w:rPr>
                <w:color w:val="000000"/>
                <w:sz w:val="20"/>
                <w:szCs w:val="20"/>
                <w:lang w:val="en-US"/>
              </w:rPr>
            </w:pPr>
          </w:p>
        </w:tc>
        <w:tc>
          <w:tcPr>
            <w:tcW w:w="3891" w:type="dxa"/>
            <w:tcBorders>
              <w:top w:val="nil"/>
              <w:left w:val="nil"/>
              <w:bottom w:val="nil"/>
              <w:right w:val="nil"/>
            </w:tcBorders>
            <w:shd w:val="clear" w:color="auto" w:fill="auto"/>
            <w:noWrap/>
            <w:hideMark/>
          </w:tcPr>
          <w:p w14:paraId="3046179E" w14:textId="77777777" w:rsidR="00782820" w:rsidRPr="000E1B7E" w:rsidRDefault="00782820" w:rsidP="005959B5">
            <w:pPr>
              <w:jc w:val="both"/>
              <w:rPr>
                <w:color w:val="000000"/>
                <w:sz w:val="20"/>
                <w:szCs w:val="20"/>
                <w:lang w:val="en-US"/>
              </w:rPr>
            </w:pPr>
          </w:p>
        </w:tc>
        <w:tc>
          <w:tcPr>
            <w:tcW w:w="9041" w:type="dxa"/>
            <w:tcBorders>
              <w:top w:val="nil"/>
              <w:left w:val="nil"/>
              <w:bottom w:val="nil"/>
              <w:right w:val="nil"/>
            </w:tcBorders>
            <w:shd w:val="clear" w:color="auto" w:fill="auto"/>
            <w:noWrap/>
            <w:hideMark/>
          </w:tcPr>
          <w:p w14:paraId="0C04CF36" w14:textId="77777777" w:rsidR="00782820" w:rsidRPr="000E1B7E" w:rsidRDefault="00782820" w:rsidP="005959B5">
            <w:pPr>
              <w:jc w:val="both"/>
              <w:rPr>
                <w:color w:val="000000"/>
                <w:sz w:val="20"/>
                <w:szCs w:val="20"/>
                <w:lang w:val="en-US"/>
              </w:rPr>
            </w:pPr>
          </w:p>
        </w:tc>
      </w:tr>
      <w:tr w:rsidR="00782820" w:rsidRPr="000E1B7E" w14:paraId="010B9110" w14:textId="77777777" w:rsidTr="00172330">
        <w:trPr>
          <w:trHeight w:val="728"/>
        </w:trPr>
        <w:tc>
          <w:tcPr>
            <w:tcW w:w="804" w:type="dxa"/>
            <w:tcBorders>
              <w:top w:val="single" w:sz="4" w:space="0" w:color="A4185B"/>
              <w:left w:val="single" w:sz="4" w:space="0" w:color="A4185B"/>
              <w:bottom w:val="single" w:sz="4" w:space="0" w:color="A4185B"/>
              <w:right w:val="single" w:sz="4" w:space="0" w:color="A4185B"/>
            </w:tcBorders>
            <w:shd w:val="clear" w:color="auto" w:fill="auto"/>
            <w:noWrap/>
            <w:hideMark/>
          </w:tcPr>
          <w:p w14:paraId="7357278A" w14:textId="77777777" w:rsidR="00782820" w:rsidRPr="000E1B7E" w:rsidRDefault="00782820" w:rsidP="005959B5">
            <w:pPr>
              <w:jc w:val="both"/>
              <w:rPr>
                <w:color w:val="000000"/>
                <w:sz w:val="20"/>
                <w:szCs w:val="20"/>
                <w:lang w:val="en-US"/>
              </w:rPr>
            </w:pPr>
            <w:r w:rsidRPr="000E1B7E">
              <w:rPr>
                <w:color w:val="000000"/>
                <w:sz w:val="20"/>
                <w:szCs w:val="20"/>
                <w:lang w:val="en-US"/>
              </w:rPr>
              <w:t>2</w:t>
            </w:r>
          </w:p>
        </w:tc>
        <w:tc>
          <w:tcPr>
            <w:tcW w:w="3891" w:type="dxa"/>
            <w:tcBorders>
              <w:top w:val="single" w:sz="4" w:space="0" w:color="A4185B"/>
              <w:left w:val="nil"/>
              <w:bottom w:val="single" w:sz="4" w:space="0" w:color="A4185B"/>
              <w:right w:val="nil"/>
            </w:tcBorders>
            <w:shd w:val="clear" w:color="auto" w:fill="auto"/>
            <w:hideMark/>
          </w:tcPr>
          <w:p w14:paraId="7194BB49" w14:textId="77777777" w:rsidR="00782820" w:rsidRPr="000E1B7E" w:rsidRDefault="00782820" w:rsidP="005959B5">
            <w:pPr>
              <w:jc w:val="both"/>
              <w:rPr>
                <w:sz w:val="20"/>
                <w:szCs w:val="20"/>
                <w:lang w:val="en-US"/>
              </w:rPr>
            </w:pPr>
            <w:r w:rsidRPr="000E1B7E">
              <w:rPr>
                <w:sz w:val="20"/>
                <w:szCs w:val="20"/>
                <w:lang w:val="en-US"/>
              </w:rPr>
              <w:t>Aswa Bridge 55.2m (18.4+18.4+18.4)</w:t>
            </w:r>
          </w:p>
        </w:tc>
        <w:tc>
          <w:tcPr>
            <w:tcW w:w="9041" w:type="dxa"/>
            <w:tcBorders>
              <w:top w:val="single" w:sz="4" w:space="0" w:color="A4185B"/>
              <w:left w:val="single" w:sz="4" w:space="0" w:color="A4185B"/>
              <w:bottom w:val="single" w:sz="4" w:space="0" w:color="A4185B"/>
              <w:right w:val="single" w:sz="4" w:space="0" w:color="A4185B"/>
            </w:tcBorders>
            <w:shd w:val="clear" w:color="auto" w:fill="auto"/>
            <w:hideMark/>
          </w:tcPr>
          <w:p w14:paraId="71E1DDEC" w14:textId="77777777" w:rsidR="00782820" w:rsidRPr="000E1B7E" w:rsidRDefault="00782820" w:rsidP="005959B5">
            <w:pPr>
              <w:jc w:val="both"/>
              <w:rPr>
                <w:sz w:val="20"/>
                <w:szCs w:val="20"/>
                <w:lang w:val="en-US"/>
              </w:rPr>
            </w:pPr>
            <w:r w:rsidRPr="000E1B7E">
              <w:rPr>
                <w:sz w:val="20"/>
                <w:szCs w:val="20"/>
                <w:lang w:val="en-US"/>
              </w:rPr>
              <w:t>Physical  progress  is  99  percent.  Time  progress  is  100%  incl.  time extension. The bridge structure is complete and open to traffic. Joint inspection of works to be carried out before issuance of a substantial completion certificate</w:t>
            </w:r>
          </w:p>
        </w:tc>
      </w:tr>
      <w:tr w:rsidR="00782820" w:rsidRPr="000E1B7E" w14:paraId="76920D46" w14:textId="77777777" w:rsidTr="00172330">
        <w:trPr>
          <w:trHeight w:val="602"/>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33C8BCB3" w14:textId="77777777" w:rsidR="00782820" w:rsidRPr="000E1B7E" w:rsidRDefault="00782820" w:rsidP="005959B5">
            <w:pPr>
              <w:jc w:val="both"/>
              <w:rPr>
                <w:color w:val="000000"/>
                <w:sz w:val="20"/>
                <w:szCs w:val="20"/>
                <w:lang w:val="en-US"/>
              </w:rPr>
            </w:pPr>
            <w:r w:rsidRPr="000E1B7E">
              <w:rPr>
                <w:color w:val="000000"/>
                <w:sz w:val="20"/>
                <w:szCs w:val="20"/>
                <w:lang w:val="en-US"/>
              </w:rPr>
              <w:t>3</w:t>
            </w:r>
          </w:p>
        </w:tc>
        <w:tc>
          <w:tcPr>
            <w:tcW w:w="3891" w:type="dxa"/>
            <w:tcBorders>
              <w:top w:val="nil"/>
              <w:left w:val="nil"/>
              <w:bottom w:val="single" w:sz="4" w:space="0" w:color="A4185B"/>
              <w:right w:val="nil"/>
            </w:tcBorders>
            <w:shd w:val="clear" w:color="000000" w:fill="F3E3EA"/>
            <w:hideMark/>
          </w:tcPr>
          <w:p w14:paraId="36FBE71C" w14:textId="77777777" w:rsidR="00782820" w:rsidRPr="000E1B7E" w:rsidRDefault="00782820" w:rsidP="005959B5">
            <w:pPr>
              <w:jc w:val="both"/>
              <w:rPr>
                <w:sz w:val="20"/>
                <w:szCs w:val="20"/>
                <w:lang w:val="en-US"/>
              </w:rPr>
            </w:pPr>
            <w:r w:rsidRPr="000E1B7E">
              <w:rPr>
                <w:sz w:val="20"/>
                <w:szCs w:val="20"/>
                <w:lang w:val="en-US"/>
              </w:rPr>
              <w:t>Goli (20m) and Nyagak (3 lines of 4.5m dia turbo sider culverts) Bridges in Nebbi</w:t>
            </w:r>
          </w:p>
        </w:tc>
        <w:tc>
          <w:tcPr>
            <w:tcW w:w="9041" w:type="dxa"/>
            <w:tcBorders>
              <w:top w:val="nil"/>
              <w:left w:val="single" w:sz="4" w:space="0" w:color="A4185B"/>
              <w:bottom w:val="single" w:sz="4" w:space="0" w:color="A4185B"/>
              <w:right w:val="single" w:sz="4" w:space="0" w:color="A4185B"/>
            </w:tcBorders>
            <w:shd w:val="clear" w:color="000000" w:fill="F3E3EA"/>
            <w:hideMark/>
          </w:tcPr>
          <w:p w14:paraId="78DDF878" w14:textId="77777777" w:rsidR="00782820" w:rsidRPr="000E1B7E" w:rsidRDefault="00782820" w:rsidP="005959B5">
            <w:pPr>
              <w:jc w:val="both"/>
              <w:rPr>
                <w:sz w:val="20"/>
                <w:szCs w:val="20"/>
                <w:lang w:val="en-US"/>
              </w:rPr>
            </w:pPr>
            <w:r w:rsidRPr="000E1B7E">
              <w:rPr>
                <w:sz w:val="20"/>
                <w:szCs w:val="20"/>
                <w:lang w:val="en-US"/>
              </w:rPr>
              <w:t>Substantially completed and in use by the public. Bridges under DLP.</w:t>
            </w:r>
          </w:p>
        </w:tc>
      </w:tr>
      <w:tr w:rsidR="00782820" w:rsidRPr="000E1B7E" w14:paraId="60AAC508" w14:textId="77777777" w:rsidTr="00172330">
        <w:trPr>
          <w:trHeight w:val="1070"/>
        </w:trPr>
        <w:tc>
          <w:tcPr>
            <w:tcW w:w="804" w:type="dxa"/>
            <w:tcBorders>
              <w:top w:val="nil"/>
              <w:left w:val="single" w:sz="4" w:space="0" w:color="A4185B"/>
              <w:bottom w:val="single" w:sz="4" w:space="0" w:color="A4185B"/>
              <w:right w:val="single" w:sz="4" w:space="0" w:color="A4185B"/>
            </w:tcBorders>
            <w:shd w:val="clear" w:color="auto" w:fill="auto"/>
            <w:noWrap/>
            <w:vAlign w:val="center"/>
            <w:hideMark/>
          </w:tcPr>
          <w:p w14:paraId="5C143608" w14:textId="77777777" w:rsidR="00782820" w:rsidRPr="000E1B7E" w:rsidRDefault="00782820" w:rsidP="005959B5">
            <w:pPr>
              <w:jc w:val="both"/>
              <w:rPr>
                <w:color w:val="000000"/>
                <w:sz w:val="20"/>
                <w:szCs w:val="20"/>
                <w:lang w:val="en-US"/>
              </w:rPr>
            </w:pPr>
            <w:r w:rsidRPr="000E1B7E">
              <w:rPr>
                <w:color w:val="000000"/>
                <w:sz w:val="20"/>
                <w:szCs w:val="20"/>
                <w:lang w:val="en-US"/>
              </w:rPr>
              <w:t>4</w:t>
            </w:r>
          </w:p>
        </w:tc>
        <w:tc>
          <w:tcPr>
            <w:tcW w:w="3891" w:type="dxa"/>
            <w:tcBorders>
              <w:top w:val="nil"/>
              <w:left w:val="nil"/>
              <w:bottom w:val="single" w:sz="4" w:space="0" w:color="A4185B"/>
              <w:right w:val="nil"/>
            </w:tcBorders>
            <w:shd w:val="clear" w:color="auto" w:fill="auto"/>
            <w:vAlign w:val="center"/>
            <w:hideMark/>
          </w:tcPr>
          <w:p w14:paraId="0E69B7A3" w14:textId="77777777" w:rsidR="00782820" w:rsidRPr="000E1B7E" w:rsidRDefault="00782820" w:rsidP="005959B5">
            <w:pPr>
              <w:jc w:val="both"/>
              <w:rPr>
                <w:sz w:val="20"/>
                <w:szCs w:val="20"/>
                <w:lang w:val="en-US"/>
              </w:rPr>
            </w:pPr>
            <w:r w:rsidRPr="000E1B7E">
              <w:rPr>
                <w:sz w:val="20"/>
                <w:szCs w:val="20"/>
                <w:lang w:val="en-US"/>
              </w:rPr>
              <w:t>Nyalit  (15m)  and  Seretiyo  Bridges  on Kapchorwa – Suam</w:t>
            </w:r>
          </w:p>
        </w:tc>
        <w:tc>
          <w:tcPr>
            <w:tcW w:w="9041" w:type="dxa"/>
            <w:tcBorders>
              <w:top w:val="nil"/>
              <w:left w:val="single" w:sz="4" w:space="0" w:color="A4185B"/>
              <w:bottom w:val="single" w:sz="4" w:space="0" w:color="A4185B"/>
              <w:right w:val="single" w:sz="4" w:space="0" w:color="A4185B"/>
            </w:tcBorders>
            <w:shd w:val="clear" w:color="auto" w:fill="auto"/>
            <w:hideMark/>
          </w:tcPr>
          <w:p w14:paraId="08B69CD1" w14:textId="77777777" w:rsidR="00782820" w:rsidRPr="000E1B7E" w:rsidRDefault="00782820" w:rsidP="005959B5">
            <w:pPr>
              <w:jc w:val="both"/>
              <w:rPr>
                <w:color w:val="000000"/>
                <w:sz w:val="20"/>
                <w:szCs w:val="20"/>
                <w:lang w:val="en-US"/>
              </w:rPr>
            </w:pPr>
            <w:r w:rsidRPr="000E1B7E">
              <w:rPr>
                <w:sz w:val="20"/>
                <w:szCs w:val="20"/>
                <w:lang w:val="en-US"/>
              </w:rPr>
              <w:t>Overall physical progress is 90 percent. Time progress is at 118 percent.</w:t>
            </w:r>
            <w:r w:rsidRPr="000E1B7E">
              <w:rPr>
                <w:sz w:val="20"/>
                <w:szCs w:val="20"/>
                <w:lang w:val="en-US"/>
              </w:rPr>
              <w:br/>
            </w:r>
            <w:r w:rsidRPr="000E1B7E">
              <w:rPr>
                <w:b/>
                <w:bCs/>
                <w:sz w:val="20"/>
                <w:szCs w:val="20"/>
                <w:lang w:val="en-US"/>
              </w:rPr>
              <w:t xml:space="preserve">Nyalit bridge </w:t>
            </w:r>
            <w:r w:rsidRPr="000E1B7E">
              <w:rPr>
                <w:sz w:val="20"/>
                <w:szCs w:val="20"/>
                <w:lang w:val="en-US"/>
              </w:rPr>
              <w:t>– The Bridge structure is complete. Work on approach roads has delayed because the contractor has not yet submitted gravel test results despite numerous reminders.</w:t>
            </w:r>
            <w:r w:rsidRPr="000E1B7E">
              <w:rPr>
                <w:sz w:val="20"/>
                <w:szCs w:val="20"/>
                <w:lang w:val="en-US"/>
              </w:rPr>
              <w:br/>
            </w:r>
            <w:r w:rsidRPr="000E1B7E">
              <w:rPr>
                <w:b/>
                <w:bCs/>
                <w:sz w:val="20"/>
                <w:szCs w:val="20"/>
                <w:lang w:val="en-US"/>
              </w:rPr>
              <w:t xml:space="preserve">Seretiyo Bridge </w:t>
            </w:r>
            <w:r w:rsidRPr="000E1B7E">
              <w:rPr>
                <w:sz w:val="20"/>
                <w:szCs w:val="20"/>
                <w:lang w:val="en-US"/>
              </w:rPr>
              <w:t>–  progress at 90 percent</w:t>
            </w:r>
            <w:r w:rsidRPr="000E1B7E">
              <w:rPr>
                <w:sz w:val="20"/>
                <w:szCs w:val="20"/>
                <w:lang w:val="en-US"/>
              </w:rPr>
              <w:br/>
            </w:r>
            <w:r w:rsidRPr="000E1B7E">
              <w:rPr>
                <w:sz w:val="20"/>
                <w:szCs w:val="20"/>
                <w:lang w:val="en-US"/>
              </w:rPr>
              <w:lastRenderedPageBreak/>
              <w:t>Construction of approach roads on Muyembe side is on-going. Con- struction of approach road on Namalu side has been delayed by claims of graves in the area.</w:t>
            </w:r>
          </w:p>
        </w:tc>
      </w:tr>
      <w:tr w:rsidR="00782820" w:rsidRPr="000E1B7E" w14:paraId="0A0BFF9E" w14:textId="77777777" w:rsidTr="00172330">
        <w:trPr>
          <w:trHeight w:val="593"/>
        </w:trPr>
        <w:tc>
          <w:tcPr>
            <w:tcW w:w="804" w:type="dxa"/>
            <w:tcBorders>
              <w:top w:val="nil"/>
              <w:left w:val="single" w:sz="4" w:space="0" w:color="A4185B"/>
              <w:bottom w:val="single" w:sz="4" w:space="0" w:color="A4185B"/>
              <w:right w:val="single" w:sz="4" w:space="0" w:color="A4185B"/>
            </w:tcBorders>
            <w:shd w:val="clear" w:color="000000" w:fill="F3E3EA"/>
            <w:noWrap/>
            <w:vAlign w:val="center"/>
            <w:hideMark/>
          </w:tcPr>
          <w:p w14:paraId="1255AC36" w14:textId="77777777" w:rsidR="00782820" w:rsidRPr="000E1B7E" w:rsidRDefault="00782820" w:rsidP="005959B5">
            <w:pPr>
              <w:jc w:val="both"/>
              <w:rPr>
                <w:color w:val="000000"/>
                <w:sz w:val="20"/>
                <w:szCs w:val="20"/>
                <w:lang w:val="en-US"/>
              </w:rPr>
            </w:pPr>
            <w:r w:rsidRPr="000E1B7E">
              <w:rPr>
                <w:color w:val="000000"/>
                <w:sz w:val="20"/>
                <w:szCs w:val="20"/>
                <w:lang w:val="en-US"/>
              </w:rPr>
              <w:lastRenderedPageBreak/>
              <w:t>5</w:t>
            </w:r>
          </w:p>
        </w:tc>
        <w:tc>
          <w:tcPr>
            <w:tcW w:w="3891" w:type="dxa"/>
            <w:tcBorders>
              <w:top w:val="nil"/>
              <w:left w:val="nil"/>
              <w:bottom w:val="single" w:sz="4" w:space="0" w:color="A4185B"/>
              <w:right w:val="nil"/>
            </w:tcBorders>
            <w:shd w:val="clear" w:color="000000" w:fill="F3E3EA"/>
            <w:hideMark/>
          </w:tcPr>
          <w:p w14:paraId="7BBC4118" w14:textId="77777777" w:rsidR="00782820" w:rsidRPr="000E1B7E" w:rsidRDefault="00782820" w:rsidP="005959B5">
            <w:pPr>
              <w:jc w:val="both"/>
              <w:rPr>
                <w:sz w:val="20"/>
                <w:szCs w:val="20"/>
                <w:lang w:val="en-US"/>
              </w:rPr>
            </w:pPr>
            <w:r w:rsidRPr="000E1B7E">
              <w:rPr>
                <w:sz w:val="20"/>
                <w:szCs w:val="20"/>
                <w:lang w:val="en-US"/>
              </w:rPr>
              <w:t>Kabaale Bridge (linking Kyankwanzi to Ngoma in Nakaseke)</w:t>
            </w:r>
          </w:p>
        </w:tc>
        <w:tc>
          <w:tcPr>
            <w:tcW w:w="9041" w:type="dxa"/>
            <w:tcBorders>
              <w:top w:val="nil"/>
              <w:left w:val="single" w:sz="4" w:space="0" w:color="A4185B"/>
              <w:bottom w:val="single" w:sz="4" w:space="0" w:color="A4185B"/>
              <w:right w:val="single" w:sz="4" w:space="0" w:color="A4185B"/>
            </w:tcBorders>
            <w:shd w:val="clear" w:color="000000" w:fill="F3E3EA"/>
            <w:hideMark/>
          </w:tcPr>
          <w:p w14:paraId="001A3FBE" w14:textId="77777777" w:rsidR="00782820" w:rsidRPr="000E1B7E" w:rsidRDefault="00782820" w:rsidP="005959B5">
            <w:pPr>
              <w:jc w:val="both"/>
              <w:rPr>
                <w:sz w:val="20"/>
                <w:szCs w:val="20"/>
                <w:lang w:val="en-US"/>
              </w:rPr>
            </w:pPr>
            <w:r w:rsidRPr="000E1B7E">
              <w:rPr>
                <w:sz w:val="20"/>
                <w:szCs w:val="20"/>
                <w:lang w:val="en-US"/>
              </w:rPr>
              <w:t>Substantially  completed  and  bridge  is  being  used  by  public.  Current physical  progress  is  at  98  percent.  Project  started  its  12-month  DLP (ending 15 May 2018)</w:t>
            </w:r>
          </w:p>
        </w:tc>
      </w:tr>
      <w:tr w:rsidR="00782820" w:rsidRPr="000E1B7E" w14:paraId="083DB9C1" w14:textId="77777777" w:rsidTr="00240DEA">
        <w:trPr>
          <w:trHeight w:val="260"/>
        </w:trPr>
        <w:tc>
          <w:tcPr>
            <w:tcW w:w="804" w:type="dxa"/>
            <w:tcBorders>
              <w:top w:val="nil"/>
              <w:left w:val="single" w:sz="4" w:space="0" w:color="A4185B"/>
              <w:bottom w:val="single" w:sz="4" w:space="0" w:color="A4185B"/>
              <w:right w:val="single" w:sz="4" w:space="0" w:color="A4185B"/>
            </w:tcBorders>
            <w:shd w:val="clear" w:color="auto" w:fill="auto"/>
            <w:noWrap/>
            <w:vAlign w:val="center"/>
            <w:hideMark/>
          </w:tcPr>
          <w:p w14:paraId="095A0E98" w14:textId="77777777" w:rsidR="00782820" w:rsidRPr="000E1B7E" w:rsidRDefault="00782820" w:rsidP="005959B5">
            <w:pPr>
              <w:jc w:val="both"/>
              <w:rPr>
                <w:color w:val="000000"/>
                <w:sz w:val="20"/>
                <w:szCs w:val="20"/>
                <w:lang w:val="en-US"/>
              </w:rPr>
            </w:pPr>
            <w:r w:rsidRPr="000E1B7E">
              <w:rPr>
                <w:color w:val="000000"/>
                <w:sz w:val="20"/>
                <w:szCs w:val="20"/>
                <w:lang w:val="en-US"/>
              </w:rPr>
              <w:t>6</w:t>
            </w:r>
          </w:p>
        </w:tc>
        <w:tc>
          <w:tcPr>
            <w:tcW w:w="3891" w:type="dxa"/>
            <w:tcBorders>
              <w:top w:val="nil"/>
              <w:left w:val="nil"/>
              <w:bottom w:val="single" w:sz="4" w:space="0" w:color="A4185B"/>
              <w:right w:val="nil"/>
            </w:tcBorders>
            <w:shd w:val="clear" w:color="auto" w:fill="auto"/>
            <w:hideMark/>
          </w:tcPr>
          <w:p w14:paraId="5EEE95EE" w14:textId="77777777" w:rsidR="00782820" w:rsidRPr="000E1B7E" w:rsidRDefault="00782820" w:rsidP="005959B5">
            <w:pPr>
              <w:jc w:val="both"/>
              <w:rPr>
                <w:sz w:val="20"/>
                <w:szCs w:val="20"/>
                <w:lang w:val="en-US"/>
              </w:rPr>
            </w:pPr>
            <w:r w:rsidRPr="000E1B7E">
              <w:rPr>
                <w:sz w:val="20"/>
                <w:szCs w:val="20"/>
                <w:lang w:val="en-US"/>
              </w:rPr>
              <w:t>Design  &amp;  Build  of  Nalakasi  Bridge  on Nalakasi-Arimoi-Kaabong Road in Kar- amojaSub-region</w:t>
            </w:r>
          </w:p>
        </w:tc>
        <w:tc>
          <w:tcPr>
            <w:tcW w:w="9041" w:type="dxa"/>
            <w:tcBorders>
              <w:top w:val="nil"/>
              <w:left w:val="single" w:sz="4" w:space="0" w:color="A4185B"/>
              <w:bottom w:val="single" w:sz="4" w:space="0" w:color="A4185B"/>
              <w:right w:val="single" w:sz="4" w:space="0" w:color="A4185B"/>
            </w:tcBorders>
            <w:shd w:val="clear" w:color="auto" w:fill="auto"/>
            <w:hideMark/>
          </w:tcPr>
          <w:p w14:paraId="01FAA94E" w14:textId="77777777" w:rsidR="00782820" w:rsidRPr="000E1B7E" w:rsidRDefault="00782820" w:rsidP="005959B5">
            <w:pPr>
              <w:jc w:val="both"/>
              <w:rPr>
                <w:sz w:val="20"/>
                <w:szCs w:val="20"/>
                <w:lang w:val="en-US"/>
              </w:rPr>
            </w:pPr>
            <w:r w:rsidRPr="000E1B7E">
              <w:rPr>
                <w:sz w:val="20"/>
                <w:szCs w:val="20"/>
                <w:lang w:val="en-US"/>
              </w:rPr>
              <w:t>The final detailed design report was accepted and physical works are now on progress. Currently physical progress is 52 percent.</w:t>
            </w:r>
          </w:p>
        </w:tc>
      </w:tr>
      <w:tr w:rsidR="00782820" w:rsidRPr="000E1B7E" w14:paraId="34EEF297" w14:textId="77777777" w:rsidTr="00172330">
        <w:trPr>
          <w:trHeight w:val="765"/>
        </w:trPr>
        <w:tc>
          <w:tcPr>
            <w:tcW w:w="804" w:type="dxa"/>
            <w:tcBorders>
              <w:top w:val="nil"/>
              <w:left w:val="single" w:sz="4" w:space="0" w:color="A4185B"/>
              <w:bottom w:val="single" w:sz="4" w:space="0" w:color="A4185B"/>
              <w:right w:val="single" w:sz="4" w:space="0" w:color="A4185B"/>
            </w:tcBorders>
            <w:shd w:val="clear" w:color="000000" w:fill="F3E3EA"/>
            <w:noWrap/>
            <w:vAlign w:val="center"/>
            <w:hideMark/>
          </w:tcPr>
          <w:p w14:paraId="430BDF3B" w14:textId="77777777" w:rsidR="00782820" w:rsidRPr="000E1B7E" w:rsidRDefault="00782820" w:rsidP="005959B5">
            <w:pPr>
              <w:jc w:val="both"/>
              <w:rPr>
                <w:color w:val="000000"/>
                <w:sz w:val="20"/>
                <w:szCs w:val="20"/>
                <w:lang w:val="en-US"/>
              </w:rPr>
            </w:pPr>
            <w:r w:rsidRPr="000E1B7E">
              <w:rPr>
                <w:color w:val="000000"/>
                <w:sz w:val="20"/>
                <w:szCs w:val="20"/>
                <w:lang w:val="en-US"/>
              </w:rPr>
              <w:t>7</w:t>
            </w:r>
          </w:p>
        </w:tc>
        <w:tc>
          <w:tcPr>
            <w:tcW w:w="3891" w:type="dxa"/>
            <w:tcBorders>
              <w:top w:val="nil"/>
              <w:left w:val="nil"/>
              <w:bottom w:val="single" w:sz="4" w:space="0" w:color="A4185B"/>
              <w:right w:val="nil"/>
            </w:tcBorders>
            <w:shd w:val="clear" w:color="000000" w:fill="F3E3EA"/>
            <w:hideMark/>
          </w:tcPr>
          <w:p w14:paraId="397FBB28" w14:textId="77777777" w:rsidR="00782820" w:rsidRPr="000E1B7E" w:rsidRDefault="00782820" w:rsidP="005959B5">
            <w:pPr>
              <w:jc w:val="both"/>
              <w:rPr>
                <w:sz w:val="20"/>
                <w:szCs w:val="20"/>
                <w:lang w:val="en-US"/>
              </w:rPr>
            </w:pPr>
            <w:r w:rsidRPr="000E1B7E">
              <w:rPr>
                <w:sz w:val="20"/>
                <w:szCs w:val="20"/>
                <w:lang w:val="en-US"/>
              </w:rPr>
              <w:t>Design  &amp;  Build  of  Kaabong  Bridge  on Kaabong-Kotido    Road    in    Karamoja Sub-region</w:t>
            </w:r>
          </w:p>
        </w:tc>
        <w:tc>
          <w:tcPr>
            <w:tcW w:w="9041" w:type="dxa"/>
            <w:tcBorders>
              <w:top w:val="nil"/>
              <w:left w:val="single" w:sz="4" w:space="0" w:color="A4185B"/>
              <w:bottom w:val="single" w:sz="4" w:space="0" w:color="A4185B"/>
              <w:right w:val="single" w:sz="4" w:space="0" w:color="A4185B"/>
            </w:tcBorders>
            <w:shd w:val="clear" w:color="000000" w:fill="F3E3EA"/>
            <w:hideMark/>
          </w:tcPr>
          <w:p w14:paraId="743BCB30" w14:textId="77777777" w:rsidR="00782820" w:rsidRPr="000E1B7E" w:rsidRDefault="00782820" w:rsidP="005959B5">
            <w:pPr>
              <w:jc w:val="both"/>
              <w:rPr>
                <w:sz w:val="20"/>
                <w:szCs w:val="20"/>
                <w:lang w:val="en-US"/>
              </w:rPr>
            </w:pPr>
            <w:r w:rsidRPr="000E1B7E">
              <w:rPr>
                <w:sz w:val="20"/>
                <w:szCs w:val="20"/>
                <w:lang w:val="en-US"/>
              </w:rPr>
              <w:t xml:space="preserve">The final detailed design report was accepted and physical works are now on progress. Currently physical progress is 55.77 percent </w:t>
            </w:r>
          </w:p>
        </w:tc>
      </w:tr>
      <w:tr w:rsidR="00782820" w:rsidRPr="000E1B7E" w14:paraId="705AF062" w14:textId="77777777" w:rsidTr="00172330">
        <w:trPr>
          <w:trHeight w:val="575"/>
        </w:trPr>
        <w:tc>
          <w:tcPr>
            <w:tcW w:w="804" w:type="dxa"/>
            <w:tcBorders>
              <w:top w:val="nil"/>
              <w:left w:val="single" w:sz="4" w:space="0" w:color="A4185B"/>
              <w:bottom w:val="single" w:sz="4" w:space="0" w:color="A4185B"/>
              <w:right w:val="single" w:sz="4" w:space="0" w:color="A4185B"/>
            </w:tcBorders>
            <w:shd w:val="clear" w:color="auto" w:fill="auto"/>
            <w:noWrap/>
            <w:vAlign w:val="center"/>
            <w:hideMark/>
          </w:tcPr>
          <w:p w14:paraId="4DDD51F6" w14:textId="77777777" w:rsidR="00782820" w:rsidRPr="000E1B7E" w:rsidRDefault="00782820" w:rsidP="005959B5">
            <w:pPr>
              <w:jc w:val="both"/>
              <w:rPr>
                <w:color w:val="000000"/>
                <w:sz w:val="20"/>
                <w:szCs w:val="20"/>
                <w:lang w:val="en-US"/>
              </w:rPr>
            </w:pPr>
            <w:r w:rsidRPr="000E1B7E">
              <w:rPr>
                <w:color w:val="000000"/>
                <w:sz w:val="20"/>
                <w:szCs w:val="20"/>
                <w:lang w:val="en-US"/>
              </w:rPr>
              <w:t>8</w:t>
            </w:r>
          </w:p>
        </w:tc>
        <w:tc>
          <w:tcPr>
            <w:tcW w:w="3891" w:type="dxa"/>
            <w:tcBorders>
              <w:top w:val="nil"/>
              <w:left w:val="nil"/>
              <w:bottom w:val="single" w:sz="4" w:space="0" w:color="A4185B"/>
              <w:right w:val="nil"/>
            </w:tcBorders>
            <w:shd w:val="clear" w:color="auto" w:fill="auto"/>
            <w:hideMark/>
          </w:tcPr>
          <w:p w14:paraId="3E9E32AB" w14:textId="77777777" w:rsidR="00782820" w:rsidRPr="000E1B7E" w:rsidRDefault="00782820" w:rsidP="005959B5">
            <w:pPr>
              <w:jc w:val="both"/>
              <w:rPr>
                <w:sz w:val="20"/>
                <w:szCs w:val="20"/>
                <w:lang w:val="en-US"/>
              </w:rPr>
            </w:pPr>
            <w:r w:rsidRPr="000E1B7E">
              <w:rPr>
                <w:sz w:val="20"/>
                <w:szCs w:val="20"/>
                <w:lang w:val="en-US"/>
              </w:rPr>
              <w:t>Design  &amp;  Build  of  Lopei  Bridge  on Kaabong-Kotido Road in Karamoja Sub- region</w:t>
            </w:r>
          </w:p>
        </w:tc>
        <w:tc>
          <w:tcPr>
            <w:tcW w:w="9041" w:type="dxa"/>
            <w:tcBorders>
              <w:top w:val="nil"/>
              <w:left w:val="single" w:sz="4" w:space="0" w:color="A4185B"/>
              <w:bottom w:val="single" w:sz="4" w:space="0" w:color="A4185B"/>
              <w:right w:val="single" w:sz="4" w:space="0" w:color="A4185B"/>
            </w:tcBorders>
            <w:shd w:val="clear" w:color="auto" w:fill="auto"/>
            <w:hideMark/>
          </w:tcPr>
          <w:p w14:paraId="560A9DF7" w14:textId="77777777" w:rsidR="00782820" w:rsidRPr="000E1B7E" w:rsidRDefault="00782820" w:rsidP="005959B5">
            <w:pPr>
              <w:jc w:val="both"/>
              <w:rPr>
                <w:sz w:val="20"/>
                <w:szCs w:val="20"/>
                <w:lang w:val="en-US"/>
              </w:rPr>
            </w:pPr>
            <w:r w:rsidRPr="000E1B7E">
              <w:rPr>
                <w:sz w:val="20"/>
                <w:szCs w:val="20"/>
                <w:lang w:val="en-US"/>
              </w:rPr>
              <w:t>The draft design report was accepted and currently, the final design re- port is under preparation. Mobilization on site is on progress and Road diversion works are on progress. Physical progress is at 25.33 percent</w:t>
            </w:r>
          </w:p>
        </w:tc>
      </w:tr>
      <w:tr w:rsidR="00782820" w:rsidRPr="000E1B7E" w14:paraId="0B26C912"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6BC4CFC4" w14:textId="77777777" w:rsidR="00782820" w:rsidRPr="000E1B7E" w:rsidRDefault="00782820" w:rsidP="005959B5">
            <w:pPr>
              <w:jc w:val="both"/>
              <w:rPr>
                <w:color w:val="000000"/>
                <w:sz w:val="20"/>
                <w:szCs w:val="20"/>
                <w:lang w:val="en-US"/>
              </w:rPr>
            </w:pPr>
            <w:r w:rsidRPr="000E1B7E">
              <w:rPr>
                <w:color w:val="000000"/>
                <w:sz w:val="20"/>
                <w:szCs w:val="20"/>
                <w:lang w:val="en-US"/>
              </w:rPr>
              <w:t>9</w:t>
            </w:r>
          </w:p>
        </w:tc>
        <w:tc>
          <w:tcPr>
            <w:tcW w:w="3891" w:type="dxa"/>
            <w:tcBorders>
              <w:top w:val="nil"/>
              <w:left w:val="nil"/>
              <w:bottom w:val="single" w:sz="4" w:space="0" w:color="A4185B"/>
              <w:right w:val="nil"/>
            </w:tcBorders>
            <w:shd w:val="clear" w:color="000000" w:fill="F3E3EA"/>
            <w:hideMark/>
          </w:tcPr>
          <w:p w14:paraId="78638F41" w14:textId="77777777" w:rsidR="00782820" w:rsidRPr="000E1B7E" w:rsidRDefault="00782820" w:rsidP="005959B5">
            <w:pPr>
              <w:jc w:val="both"/>
              <w:rPr>
                <w:sz w:val="20"/>
                <w:szCs w:val="20"/>
                <w:lang w:val="en-US"/>
              </w:rPr>
            </w:pPr>
            <w:r w:rsidRPr="000E1B7E">
              <w:rPr>
                <w:sz w:val="20"/>
                <w:szCs w:val="20"/>
                <w:lang w:val="en-US"/>
              </w:rPr>
              <w:t>Apak bridge in Lira</w:t>
            </w:r>
          </w:p>
        </w:tc>
        <w:tc>
          <w:tcPr>
            <w:tcW w:w="9041" w:type="dxa"/>
            <w:tcBorders>
              <w:top w:val="nil"/>
              <w:left w:val="single" w:sz="4" w:space="0" w:color="A4185B"/>
              <w:bottom w:val="single" w:sz="4" w:space="0" w:color="A4185B"/>
              <w:right w:val="single" w:sz="4" w:space="0" w:color="A4185B"/>
            </w:tcBorders>
            <w:shd w:val="clear" w:color="000000" w:fill="F3E3EA"/>
            <w:hideMark/>
          </w:tcPr>
          <w:p w14:paraId="1E7BB6F6" w14:textId="77777777" w:rsidR="00782820" w:rsidRPr="000E1B7E" w:rsidRDefault="00782820" w:rsidP="005959B5">
            <w:pPr>
              <w:jc w:val="both"/>
              <w:rPr>
                <w:sz w:val="20"/>
                <w:szCs w:val="20"/>
                <w:lang w:val="en-US"/>
              </w:rPr>
            </w:pPr>
            <w:r w:rsidRPr="000E1B7E">
              <w:rPr>
                <w:sz w:val="20"/>
                <w:szCs w:val="20"/>
                <w:lang w:val="en-US"/>
              </w:rPr>
              <w:t>Substantially completed and is operational and under DLP</w:t>
            </w:r>
          </w:p>
        </w:tc>
      </w:tr>
      <w:tr w:rsidR="00782820" w:rsidRPr="000E1B7E" w14:paraId="62286830"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auto" w:fill="auto"/>
            <w:noWrap/>
            <w:vAlign w:val="center"/>
            <w:hideMark/>
          </w:tcPr>
          <w:p w14:paraId="69FC78E0" w14:textId="77777777" w:rsidR="00782820" w:rsidRPr="000E1B7E" w:rsidRDefault="00782820" w:rsidP="005959B5">
            <w:pPr>
              <w:jc w:val="both"/>
              <w:rPr>
                <w:color w:val="000000"/>
                <w:sz w:val="20"/>
                <w:szCs w:val="20"/>
                <w:lang w:val="en-US"/>
              </w:rPr>
            </w:pPr>
            <w:r w:rsidRPr="000E1B7E">
              <w:rPr>
                <w:color w:val="000000"/>
                <w:sz w:val="20"/>
                <w:szCs w:val="20"/>
                <w:lang w:val="en-US"/>
              </w:rPr>
              <w:t>10</w:t>
            </w:r>
          </w:p>
        </w:tc>
        <w:tc>
          <w:tcPr>
            <w:tcW w:w="3891" w:type="dxa"/>
            <w:tcBorders>
              <w:top w:val="nil"/>
              <w:left w:val="nil"/>
              <w:bottom w:val="single" w:sz="4" w:space="0" w:color="A4185B"/>
              <w:right w:val="nil"/>
            </w:tcBorders>
            <w:shd w:val="clear" w:color="auto" w:fill="auto"/>
            <w:hideMark/>
          </w:tcPr>
          <w:p w14:paraId="15B61234" w14:textId="77777777" w:rsidR="00782820" w:rsidRPr="000E1B7E" w:rsidRDefault="00782820" w:rsidP="005959B5">
            <w:pPr>
              <w:jc w:val="both"/>
              <w:rPr>
                <w:sz w:val="20"/>
                <w:szCs w:val="20"/>
                <w:lang w:val="en-US"/>
              </w:rPr>
            </w:pPr>
            <w:r w:rsidRPr="000E1B7E">
              <w:rPr>
                <w:sz w:val="20"/>
                <w:szCs w:val="20"/>
                <w:lang w:val="en-US"/>
              </w:rPr>
              <w:t>Design   and   build   Manafa   bridge   on Tororo- Mbale Rd</w:t>
            </w:r>
          </w:p>
        </w:tc>
        <w:tc>
          <w:tcPr>
            <w:tcW w:w="9041" w:type="dxa"/>
            <w:tcBorders>
              <w:top w:val="nil"/>
              <w:left w:val="single" w:sz="4" w:space="0" w:color="A4185B"/>
              <w:bottom w:val="single" w:sz="4" w:space="0" w:color="A4185B"/>
              <w:right w:val="single" w:sz="4" w:space="0" w:color="A4185B"/>
            </w:tcBorders>
            <w:shd w:val="clear" w:color="auto" w:fill="auto"/>
            <w:vAlign w:val="center"/>
            <w:hideMark/>
          </w:tcPr>
          <w:p w14:paraId="04E50CCB" w14:textId="77777777" w:rsidR="00782820" w:rsidRPr="000E1B7E" w:rsidRDefault="00782820" w:rsidP="005959B5">
            <w:pPr>
              <w:jc w:val="both"/>
              <w:rPr>
                <w:sz w:val="20"/>
                <w:szCs w:val="20"/>
                <w:lang w:val="en-US"/>
              </w:rPr>
            </w:pPr>
            <w:r w:rsidRPr="000E1B7E">
              <w:rPr>
                <w:sz w:val="20"/>
                <w:szCs w:val="20"/>
                <w:lang w:val="en-US"/>
              </w:rPr>
              <w:t>Completed and is operational and under DLP</w:t>
            </w:r>
          </w:p>
        </w:tc>
      </w:tr>
      <w:tr w:rsidR="00782820" w:rsidRPr="000E1B7E" w14:paraId="54FF27A8"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4331EC3A" w14:textId="77777777" w:rsidR="00782820" w:rsidRPr="000E1B7E" w:rsidRDefault="00782820" w:rsidP="005959B5">
            <w:pPr>
              <w:jc w:val="both"/>
              <w:rPr>
                <w:color w:val="000000"/>
                <w:sz w:val="20"/>
                <w:szCs w:val="20"/>
                <w:lang w:val="en-US"/>
              </w:rPr>
            </w:pPr>
            <w:r w:rsidRPr="000E1B7E">
              <w:rPr>
                <w:color w:val="000000"/>
                <w:sz w:val="20"/>
                <w:szCs w:val="20"/>
                <w:lang w:val="en-US"/>
              </w:rPr>
              <w:t>11</w:t>
            </w:r>
          </w:p>
        </w:tc>
        <w:tc>
          <w:tcPr>
            <w:tcW w:w="3891" w:type="dxa"/>
            <w:tcBorders>
              <w:top w:val="nil"/>
              <w:left w:val="nil"/>
              <w:bottom w:val="single" w:sz="4" w:space="0" w:color="A4185B"/>
              <w:right w:val="nil"/>
            </w:tcBorders>
            <w:shd w:val="clear" w:color="000000" w:fill="F3E3EA"/>
            <w:hideMark/>
          </w:tcPr>
          <w:p w14:paraId="6D405166" w14:textId="77777777" w:rsidR="00782820" w:rsidRPr="000E1B7E" w:rsidRDefault="00782820" w:rsidP="005959B5">
            <w:pPr>
              <w:jc w:val="both"/>
              <w:rPr>
                <w:sz w:val="20"/>
                <w:szCs w:val="20"/>
                <w:lang w:val="en-US"/>
              </w:rPr>
            </w:pPr>
            <w:r w:rsidRPr="000E1B7E">
              <w:rPr>
                <w:sz w:val="20"/>
                <w:szCs w:val="20"/>
                <w:lang w:val="en-US"/>
              </w:rPr>
              <w:t>Aswa bridge 55.2m</w:t>
            </w:r>
          </w:p>
        </w:tc>
        <w:tc>
          <w:tcPr>
            <w:tcW w:w="9041" w:type="dxa"/>
            <w:tcBorders>
              <w:top w:val="nil"/>
              <w:left w:val="single" w:sz="4" w:space="0" w:color="A4185B"/>
              <w:bottom w:val="single" w:sz="4" w:space="0" w:color="A4185B"/>
              <w:right w:val="single" w:sz="4" w:space="0" w:color="A4185B"/>
            </w:tcBorders>
            <w:shd w:val="clear" w:color="000000" w:fill="F3E3EA"/>
            <w:hideMark/>
          </w:tcPr>
          <w:p w14:paraId="577F9836" w14:textId="77777777" w:rsidR="00782820" w:rsidRPr="000E1B7E" w:rsidRDefault="00782820" w:rsidP="005959B5">
            <w:pPr>
              <w:jc w:val="both"/>
              <w:rPr>
                <w:sz w:val="20"/>
                <w:szCs w:val="20"/>
                <w:lang w:val="en-US"/>
              </w:rPr>
            </w:pPr>
            <w:r w:rsidRPr="000E1B7E">
              <w:rPr>
                <w:sz w:val="20"/>
                <w:szCs w:val="20"/>
                <w:lang w:val="en-US"/>
              </w:rPr>
              <w:t>Completed and is operational and under DLP</w:t>
            </w:r>
          </w:p>
        </w:tc>
      </w:tr>
      <w:tr w:rsidR="00782820" w:rsidRPr="000E1B7E" w14:paraId="705F095C"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auto" w:fill="auto"/>
            <w:noWrap/>
            <w:hideMark/>
          </w:tcPr>
          <w:p w14:paraId="5BA14247" w14:textId="77777777" w:rsidR="00782820" w:rsidRPr="000E1B7E" w:rsidRDefault="00782820" w:rsidP="005959B5">
            <w:pPr>
              <w:jc w:val="both"/>
              <w:rPr>
                <w:color w:val="000000"/>
                <w:sz w:val="20"/>
                <w:szCs w:val="20"/>
                <w:lang w:val="en-US"/>
              </w:rPr>
            </w:pPr>
            <w:r w:rsidRPr="000E1B7E">
              <w:rPr>
                <w:color w:val="000000"/>
                <w:sz w:val="20"/>
                <w:szCs w:val="20"/>
                <w:lang w:val="en-US"/>
              </w:rPr>
              <w:t>12</w:t>
            </w:r>
          </w:p>
        </w:tc>
        <w:tc>
          <w:tcPr>
            <w:tcW w:w="3891" w:type="dxa"/>
            <w:tcBorders>
              <w:top w:val="nil"/>
              <w:left w:val="nil"/>
              <w:bottom w:val="single" w:sz="4" w:space="0" w:color="A4185B"/>
              <w:right w:val="nil"/>
            </w:tcBorders>
            <w:shd w:val="clear" w:color="auto" w:fill="auto"/>
            <w:hideMark/>
          </w:tcPr>
          <w:p w14:paraId="54788D5C" w14:textId="77777777" w:rsidR="00782820" w:rsidRPr="000E1B7E" w:rsidRDefault="00782820" w:rsidP="005959B5">
            <w:pPr>
              <w:jc w:val="both"/>
              <w:rPr>
                <w:sz w:val="20"/>
                <w:szCs w:val="20"/>
                <w:lang w:val="en-US"/>
              </w:rPr>
            </w:pPr>
            <w:r w:rsidRPr="000E1B7E">
              <w:rPr>
                <w:sz w:val="20"/>
                <w:szCs w:val="20"/>
                <w:lang w:val="en-US"/>
              </w:rPr>
              <w:t>Goli  20m  and  Nyagak3  line  bridge  in Nebbi</w:t>
            </w:r>
          </w:p>
        </w:tc>
        <w:tc>
          <w:tcPr>
            <w:tcW w:w="9041" w:type="dxa"/>
            <w:tcBorders>
              <w:top w:val="nil"/>
              <w:left w:val="single" w:sz="4" w:space="0" w:color="A4185B"/>
              <w:bottom w:val="single" w:sz="4" w:space="0" w:color="A4185B"/>
              <w:right w:val="single" w:sz="4" w:space="0" w:color="A4185B"/>
            </w:tcBorders>
            <w:shd w:val="clear" w:color="auto" w:fill="auto"/>
            <w:hideMark/>
          </w:tcPr>
          <w:p w14:paraId="2FD3EE05" w14:textId="77777777" w:rsidR="00782820" w:rsidRPr="000E1B7E" w:rsidRDefault="00782820" w:rsidP="005959B5">
            <w:pPr>
              <w:jc w:val="both"/>
              <w:rPr>
                <w:sz w:val="20"/>
                <w:szCs w:val="20"/>
                <w:lang w:val="en-US"/>
              </w:rPr>
            </w:pPr>
            <w:r w:rsidRPr="000E1B7E">
              <w:rPr>
                <w:sz w:val="20"/>
                <w:szCs w:val="20"/>
                <w:lang w:val="en-US"/>
              </w:rPr>
              <w:t>Substantially completed and is operational and under DLP</w:t>
            </w:r>
          </w:p>
        </w:tc>
      </w:tr>
      <w:tr w:rsidR="00782820" w:rsidRPr="000E1B7E" w14:paraId="5602D7A4" w14:textId="77777777" w:rsidTr="00172330">
        <w:trPr>
          <w:trHeight w:val="255"/>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08F6FC92" w14:textId="77777777" w:rsidR="00782820" w:rsidRPr="000E1B7E" w:rsidRDefault="00782820" w:rsidP="005959B5">
            <w:pPr>
              <w:jc w:val="both"/>
              <w:rPr>
                <w:color w:val="000000"/>
                <w:sz w:val="20"/>
                <w:szCs w:val="20"/>
                <w:lang w:val="en-US"/>
              </w:rPr>
            </w:pPr>
            <w:r w:rsidRPr="000E1B7E">
              <w:rPr>
                <w:color w:val="000000"/>
                <w:sz w:val="20"/>
                <w:szCs w:val="20"/>
                <w:lang w:val="en-US"/>
              </w:rPr>
              <w:t>13</w:t>
            </w:r>
          </w:p>
        </w:tc>
        <w:tc>
          <w:tcPr>
            <w:tcW w:w="3891" w:type="dxa"/>
            <w:tcBorders>
              <w:top w:val="nil"/>
              <w:left w:val="nil"/>
              <w:bottom w:val="single" w:sz="4" w:space="0" w:color="A4185B"/>
              <w:right w:val="nil"/>
            </w:tcBorders>
            <w:shd w:val="clear" w:color="000000" w:fill="F3E3EA"/>
            <w:hideMark/>
          </w:tcPr>
          <w:p w14:paraId="0644211E" w14:textId="77777777" w:rsidR="00782820" w:rsidRPr="000E1B7E" w:rsidRDefault="00782820" w:rsidP="005959B5">
            <w:pPr>
              <w:jc w:val="both"/>
              <w:rPr>
                <w:sz w:val="20"/>
                <w:szCs w:val="20"/>
                <w:lang w:val="en-US"/>
              </w:rPr>
            </w:pPr>
            <w:r w:rsidRPr="000E1B7E">
              <w:rPr>
                <w:sz w:val="20"/>
                <w:szCs w:val="20"/>
                <w:lang w:val="en-US"/>
              </w:rPr>
              <w:t>Cido bridge 15m on Nebbi – Goli road</w:t>
            </w:r>
          </w:p>
        </w:tc>
        <w:tc>
          <w:tcPr>
            <w:tcW w:w="9041" w:type="dxa"/>
            <w:tcBorders>
              <w:top w:val="nil"/>
              <w:left w:val="single" w:sz="4" w:space="0" w:color="A4185B"/>
              <w:bottom w:val="single" w:sz="4" w:space="0" w:color="A4185B"/>
              <w:right w:val="single" w:sz="4" w:space="0" w:color="A4185B"/>
            </w:tcBorders>
            <w:shd w:val="clear" w:color="000000" w:fill="F3E3EA"/>
            <w:hideMark/>
          </w:tcPr>
          <w:p w14:paraId="7EB73896" w14:textId="77777777" w:rsidR="00782820" w:rsidRPr="000E1B7E" w:rsidRDefault="00782820" w:rsidP="005959B5">
            <w:pPr>
              <w:jc w:val="both"/>
              <w:rPr>
                <w:sz w:val="20"/>
                <w:szCs w:val="20"/>
                <w:lang w:val="en-US"/>
              </w:rPr>
            </w:pPr>
            <w:r w:rsidRPr="000E1B7E">
              <w:rPr>
                <w:sz w:val="20"/>
                <w:szCs w:val="20"/>
                <w:lang w:val="en-US"/>
              </w:rPr>
              <w:t>Substantially completed</w:t>
            </w:r>
          </w:p>
        </w:tc>
      </w:tr>
      <w:tr w:rsidR="00782820" w:rsidRPr="000E1B7E" w14:paraId="136BC694"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auto" w:fill="auto"/>
            <w:noWrap/>
            <w:hideMark/>
          </w:tcPr>
          <w:p w14:paraId="46177FE0" w14:textId="77777777" w:rsidR="00782820" w:rsidRPr="000E1B7E" w:rsidRDefault="00782820" w:rsidP="005959B5">
            <w:pPr>
              <w:jc w:val="both"/>
              <w:rPr>
                <w:color w:val="000000"/>
                <w:sz w:val="20"/>
                <w:szCs w:val="20"/>
                <w:lang w:val="en-US"/>
              </w:rPr>
            </w:pPr>
            <w:r w:rsidRPr="000E1B7E">
              <w:rPr>
                <w:color w:val="000000"/>
                <w:sz w:val="20"/>
                <w:szCs w:val="20"/>
                <w:lang w:val="en-US"/>
              </w:rPr>
              <w:t>14</w:t>
            </w:r>
          </w:p>
        </w:tc>
        <w:tc>
          <w:tcPr>
            <w:tcW w:w="3891" w:type="dxa"/>
            <w:tcBorders>
              <w:top w:val="nil"/>
              <w:left w:val="nil"/>
              <w:bottom w:val="single" w:sz="4" w:space="0" w:color="A4185B"/>
              <w:right w:val="nil"/>
            </w:tcBorders>
            <w:shd w:val="clear" w:color="auto" w:fill="auto"/>
            <w:hideMark/>
          </w:tcPr>
          <w:p w14:paraId="0E91914A" w14:textId="77777777" w:rsidR="00782820" w:rsidRPr="000E1B7E" w:rsidRDefault="00782820" w:rsidP="005959B5">
            <w:pPr>
              <w:jc w:val="both"/>
              <w:rPr>
                <w:sz w:val="20"/>
                <w:szCs w:val="20"/>
                <w:lang w:val="en-US"/>
              </w:rPr>
            </w:pPr>
            <w:r w:rsidRPr="000E1B7E">
              <w:rPr>
                <w:sz w:val="20"/>
                <w:szCs w:val="20"/>
                <w:lang w:val="en-US"/>
              </w:rPr>
              <w:t>Nyalit 15m and seretiyo bridges on Kap- chorwa –Suam</w:t>
            </w:r>
          </w:p>
        </w:tc>
        <w:tc>
          <w:tcPr>
            <w:tcW w:w="9041" w:type="dxa"/>
            <w:tcBorders>
              <w:top w:val="nil"/>
              <w:left w:val="single" w:sz="4" w:space="0" w:color="A4185B"/>
              <w:bottom w:val="single" w:sz="4" w:space="0" w:color="A4185B"/>
              <w:right w:val="single" w:sz="4" w:space="0" w:color="A4185B"/>
            </w:tcBorders>
            <w:shd w:val="clear" w:color="auto" w:fill="auto"/>
            <w:hideMark/>
          </w:tcPr>
          <w:p w14:paraId="017F805B" w14:textId="77777777" w:rsidR="00782820" w:rsidRPr="000E1B7E" w:rsidRDefault="00782820" w:rsidP="005959B5">
            <w:pPr>
              <w:jc w:val="both"/>
              <w:rPr>
                <w:sz w:val="20"/>
                <w:szCs w:val="20"/>
                <w:lang w:val="en-US"/>
              </w:rPr>
            </w:pPr>
            <w:r w:rsidRPr="000E1B7E">
              <w:rPr>
                <w:sz w:val="20"/>
                <w:szCs w:val="20"/>
                <w:lang w:val="en-US"/>
              </w:rPr>
              <w:t>Under liquidated damage, progress is 80 percent</w:t>
            </w:r>
          </w:p>
        </w:tc>
      </w:tr>
      <w:tr w:rsidR="00782820" w:rsidRPr="000E1B7E" w14:paraId="67B4E02A"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28ADD2FE" w14:textId="77777777" w:rsidR="00782820" w:rsidRPr="000E1B7E" w:rsidRDefault="00782820" w:rsidP="005959B5">
            <w:pPr>
              <w:jc w:val="both"/>
              <w:rPr>
                <w:color w:val="000000"/>
                <w:sz w:val="20"/>
                <w:szCs w:val="20"/>
                <w:lang w:val="en-US"/>
              </w:rPr>
            </w:pPr>
            <w:r w:rsidRPr="000E1B7E">
              <w:rPr>
                <w:color w:val="000000"/>
                <w:sz w:val="20"/>
                <w:szCs w:val="20"/>
                <w:lang w:val="en-US"/>
              </w:rPr>
              <w:t>15</w:t>
            </w:r>
          </w:p>
        </w:tc>
        <w:tc>
          <w:tcPr>
            <w:tcW w:w="3891" w:type="dxa"/>
            <w:tcBorders>
              <w:top w:val="nil"/>
              <w:left w:val="nil"/>
              <w:bottom w:val="single" w:sz="4" w:space="0" w:color="A4185B"/>
              <w:right w:val="nil"/>
            </w:tcBorders>
            <w:shd w:val="clear" w:color="000000" w:fill="F3E3EA"/>
            <w:hideMark/>
          </w:tcPr>
          <w:p w14:paraId="2F84143B" w14:textId="77777777" w:rsidR="00782820" w:rsidRPr="000E1B7E" w:rsidRDefault="00782820" w:rsidP="005959B5">
            <w:pPr>
              <w:jc w:val="both"/>
              <w:rPr>
                <w:sz w:val="20"/>
                <w:szCs w:val="20"/>
                <w:lang w:val="en-US"/>
              </w:rPr>
            </w:pPr>
            <w:r w:rsidRPr="000E1B7E">
              <w:rPr>
                <w:sz w:val="20"/>
                <w:szCs w:val="20"/>
                <w:lang w:val="en-US"/>
              </w:rPr>
              <w:t>Leresi Bridge in  Butalejaleresi- Budaka road</w:t>
            </w:r>
          </w:p>
        </w:tc>
        <w:tc>
          <w:tcPr>
            <w:tcW w:w="9041" w:type="dxa"/>
            <w:tcBorders>
              <w:top w:val="nil"/>
              <w:left w:val="single" w:sz="4" w:space="0" w:color="A4185B"/>
              <w:bottom w:val="single" w:sz="4" w:space="0" w:color="A4185B"/>
              <w:right w:val="single" w:sz="4" w:space="0" w:color="A4185B"/>
            </w:tcBorders>
            <w:shd w:val="clear" w:color="000000" w:fill="F3E3EA"/>
            <w:hideMark/>
          </w:tcPr>
          <w:p w14:paraId="7908F53B" w14:textId="77777777" w:rsidR="00782820" w:rsidRPr="000E1B7E" w:rsidRDefault="00782820" w:rsidP="005959B5">
            <w:pPr>
              <w:jc w:val="both"/>
              <w:rPr>
                <w:sz w:val="20"/>
                <w:szCs w:val="20"/>
                <w:lang w:val="en-US"/>
              </w:rPr>
            </w:pPr>
            <w:r w:rsidRPr="000E1B7E">
              <w:rPr>
                <w:sz w:val="20"/>
                <w:szCs w:val="20"/>
                <w:lang w:val="en-US"/>
              </w:rPr>
              <w:t>Substantially completed and is operational and under DLP</w:t>
            </w:r>
          </w:p>
        </w:tc>
      </w:tr>
      <w:tr w:rsidR="00782820" w:rsidRPr="000E1B7E" w14:paraId="17CD7576" w14:textId="77777777" w:rsidTr="00172330">
        <w:trPr>
          <w:trHeight w:val="323"/>
        </w:trPr>
        <w:tc>
          <w:tcPr>
            <w:tcW w:w="804" w:type="dxa"/>
            <w:tcBorders>
              <w:top w:val="nil"/>
              <w:left w:val="single" w:sz="4" w:space="0" w:color="A4185B"/>
              <w:bottom w:val="single" w:sz="4" w:space="0" w:color="A4185B"/>
              <w:right w:val="single" w:sz="4" w:space="0" w:color="A4185B"/>
            </w:tcBorders>
            <w:shd w:val="clear" w:color="auto" w:fill="auto"/>
            <w:noWrap/>
            <w:hideMark/>
          </w:tcPr>
          <w:p w14:paraId="210899EE" w14:textId="77777777" w:rsidR="00782820" w:rsidRPr="000E1B7E" w:rsidRDefault="00782820" w:rsidP="005959B5">
            <w:pPr>
              <w:jc w:val="both"/>
              <w:rPr>
                <w:color w:val="000000"/>
                <w:sz w:val="20"/>
                <w:szCs w:val="20"/>
                <w:lang w:val="en-US"/>
              </w:rPr>
            </w:pPr>
            <w:r w:rsidRPr="000E1B7E">
              <w:rPr>
                <w:color w:val="000000"/>
                <w:sz w:val="20"/>
                <w:szCs w:val="20"/>
                <w:lang w:val="en-US"/>
              </w:rPr>
              <w:t>16</w:t>
            </w:r>
          </w:p>
        </w:tc>
        <w:tc>
          <w:tcPr>
            <w:tcW w:w="3891" w:type="dxa"/>
            <w:tcBorders>
              <w:top w:val="nil"/>
              <w:left w:val="nil"/>
              <w:bottom w:val="single" w:sz="4" w:space="0" w:color="A4185B"/>
              <w:right w:val="nil"/>
            </w:tcBorders>
            <w:shd w:val="clear" w:color="auto" w:fill="auto"/>
            <w:hideMark/>
          </w:tcPr>
          <w:p w14:paraId="6205FDCD" w14:textId="77777777" w:rsidR="00782820" w:rsidRPr="000E1B7E" w:rsidRDefault="00782820" w:rsidP="005959B5">
            <w:pPr>
              <w:jc w:val="both"/>
              <w:rPr>
                <w:sz w:val="20"/>
                <w:szCs w:val="20"/>
                <w:lang w:val="en-US"/>
              </w:rPr>
            </w:pPr>
            <w:r w:rsidRPr="000E1B7E">
              <w:rPr>
                <w:sz w:val="20"/>
                <w:szCs w:val="20"/>
                <w:lang w:val="en-US"/>
              </w:rPr>
              <w:t>Ndaiga bridge on Bugiri –Malaba road</w:t>
            </w:r>
          </w:p>
        </w:tc>
        <w:tc>
          <w:tcPr>
            <w:tcW w:w="9041" w:type="dxa"/>
            <w:tcBorders>
              <w:top w:val="nil"/>
              <w:left w:val="single" w:sz="4" w:space="0" w:color="A4185B"/>
              <w:bottom w:val="single" w:sz="4" w:space="0" w:color="A4185B"/>
              <w:right w:val="single" w:sz="4" w:space="0" w:color="A4185B"/>
            </w:tcBorders>
            <w:shd w:val="clear" w:color="auto" w:fill="auto"/>
            <w:hideMark/>
          </w:tcPr>
          <w:p w14:paraId="1AE6801C" w14:textId="77777777" w:rsidR="00782820" w:rsidRPr="000E1B7E" w:rsidRDefault="00782820" w:rsidP="005959B5">
            <w:pPr>
              <w:jc w:val="both"/>
              <w:rPr>
                <w:sz w:val="20"/>
                <w:szCs w:val="20"/>
                <w:lang w:val="en-US"/>
              </w:rPr>
            </w:pPr>
            <w:r w:rsidRPr="000E1B7E">
              <w:rPr>
                <w:sz w:val="20"/>
                <w:szCs w:val="20"/>
                <w:lang w:val="en-US"/>
              </w:rPr>
              <w:t>Substantially completed and is operational since march 2016 and DLP expired</w:t>
            </w:r>
          </w:p>
        </w:tc>
      </w:tr>
      <w:tr w:rsidR="00782820" w:rsidRPr="000E1B7E" w14:paraId="413B9814" w14:textId="77777777" w:rsidTr="00172330">
        <w:trPr>
          <w:trHeight w:val="765"/>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401FE7B0" w14:textId="77777777" w:rsidR="00782820" w:rsidRPr="000E1B7E" w:rsidRDefault="00782820" w:rsidP="005959B5">
            <w:pPr>
              <w:jc w:val="both"/>
              <w:rPr>
                <w:color w:val="000000"/>
                <w:sz w:val="20"/>
                <w:szCs w:val="20"/>
                <w:lang w:val="en-US"/>
              </w:rPr>
            </w:pPr>
            <w:r w:rsidRPr="000E1B7E">
              <w:rPr>
                <w:color w:val="000000"/>
                <w:sz w:val="20"/>
                <w:szCs w:val="20"/>
                <w:lang w:val="en-US"/>
              </w:rPr>
              <w:t>17</w:t>
            </w:r>
          </w:p>
        </w:tc>
        <w:tc>
          <w:tcPr>
            <w:tcW w:w="3891" w:type="dxa"/>
            <w:tcBorders>
              <w:top w:val="nil"/>
              <w:left w:val="nil"/>
              <w:bottom w:val="single" w:sz="4" w:space="0" w:color="A4185B"/>
              <w:right w:val="nil"/>
            </w:tcBorders>
            <w:shd w:val="clear" w:color="000000" w:fill="F3E3EA"/>
            <w:hideMark/>
          </w:tcPr>
          <w:p w14:paraId="23083124" w14:textId="77777777" w:rsidR="00782820" w:rsidRPr="000E1B7E" w:rsidRDefault="00782820" w:rsidP="005959B5">
            <w:pPr>
              <w:jc w:val="both"/>
              <w:rPr>
                <w:sz w:val="20"/>
                <w:szCs w:val="20"/>
                <w:lang w:val="en-US"/>
              </w:rPr>
            </w:pPr>
            <w:r w:rsidRPr="000E1B7E">
              <w:rPr>
                <w:sz w:val="20"/>
                <w:szCs w:val="20"/>
                <w:lang w:val="en-US"/>
              </w:rPr>
              <w:t>Kabaale bridge – on Kyankwanzi Ngo- ma link in Nakaseke 100m</w:t>
            </w:r>
          </w:p>
        </w:tc>
        <w:tc>
          <w:tcPr>
            <w:tcW w:w="9041" w:type="dxa"/>
            <w:tcBorders>
              <w:top w:val="nil"/>
              <w:left w:val="single" w:sz="4" w:space="0" w:color="A4185B"/>
              <w:bottom w:val="single" w:sz="4" w:space="0" w:color="A4185B"/>
              <w:right w:val="single" w:sz="4" w:space="0" w:color="A4185B"/>
            </w:tcBorders>
            <w:shd w:val="clear" w:color="000000" w:fill="F3E3EA"/>
            <w:hideMark/>
          </w:tcPr>
          <w:p w14:paraId="0C5202A1" w14:textId="77777777" w:rsidR="00782820" w:rsidRPr="000E1B7E" w:rsidRDefault="00782820" w:rsidP="005959B5">
            <w:pPr>
              <w:jc w:val="both"/>
              <w:rPr>
                <w:sz w:val="20"/>
                <w:szCs w:val="20"/>
                <w:lang w:val="en-US"/>
              </w:rPr>
            </w:pPr>
            <w:r w:rsidRPr="000E1B7E">
              <w:rPr>
                <w:sz w:val="20"/>
                <w:szCs w:val="20"/>
                <w:lang w:val="en-US"/>
              </w:rPr>
              <w:t>Substantially completed and is operational and under DLP ending May, 2018</w:t>
            </w:r>
          </w:p>
        </w:tc>
      </w:tr>
      <w:tr w:rsidR="00782820" w:rsidRPr="000E1B7E" w14:paraId="3943293E"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auto" w:fill="auto"/>
            <w:noWrap/>
            <w:hideMark/>
          </w:tcPr>
          <w:p w14:paraId="26461CF2" w14:textId="77777777" w:rsidR="00782820" w:rsidRPr="000E1B7E" w:rsidRDefault="00782820" w:rsidP="005959B5">
            <w:pPr>
              <w:jc w:val="both"/>
              <w:rPr>
                <w:color w:val="000000"/>
                <w:sz w:val="20"/>
                <w:szCs w:val="20"/>
                <w:lang w:val="en-US"/>
              </w:rPr>
            </w:pPr>
            <w:r w:rsidRPr="000E1B7E">
              <w:rPr>
                <w:color w:val="000000"/>
                <w:sz w:val="20"/>
                <w:szCs w:val="20"/>
                <w:lang w:val="en-US"/>
              </w:rPr>
              <w:lastRenderedPageBreak/>
              <w:t>18</w:t>
            </w:r>
          </w:p>
        </w:tc>
        <w:tc>
          <w:tcPr>
            <w:tcW w:w="3891" w:type="dxa"/>
            <w:tcBorders>
              <w:top w:val="nil"/>
              <w:left w:val="nil"/>
              <w:bottom w:val="single" w:sz="4" w:space="0" w:color="A4185B"/>
              <w:right w:val="nil"/>
            </w:tcBorders>
            <w:shd w:val="clear" w:color="auto" w:fill="auto"/>
            <w:hideMark/>
          </w:tcPr>
          <w:p w14:paraId="6AD1360B" w14:textId="77777777" w:rsidR="00782820" w:rsidRPr="000E1B7E" w:rsidRDefault="00782820" w:rsidP="005959B5">
            <w:pPr>
              <w:jc w:val="both"/>
              <w:rPr>
                <w:sz w:val="20"/>
                <w:szCs w:val="20"/>
                <w:lang w:val="en-US"/>
              </w:rPr>
            </w:pPr>
            <w:r w:rsidRPr="000E1B7E">
              <w:rPr>
                <w:sz w:val="20"/>
                <w:szCs w:val="20"/>
                <w:lang w:val="en-US"/>
              </w:rPr>
              <w:t>Ruboni access bridge on Mt Magaritta in Kasese</w:t>
            </w:r>
          </w:p>
        </w:tc>
        <w:tc>
          <w:tcPr>
            <w:tcW w:w="9041" w:type="dxa"/>
            <w:tcBorders>
              <w:top w:val="nil"/>
              <w:left w:val="single" w:sz="4" w:space="0" w:color="A4185B"/>
              <w:bottom w:val="single" w:sz="4" w:space="0" w:color="A4185B"/>
              <w:right w:val="single" w:sz="4" w:space="0" w:color="A4185B"/>
            </w:tcBorders>
            <w:shd w:val="clear" w:color="auto" w:fill="auto"/>
            <w:hideMark/>
          </w:tcPr>
          <w:p w14:paraId="771344CB" w14:textId="77777777" w:rsidR="00782820" w:rsidRPr="000E1B7E" w:rsidRDefault="00782820" w:rsidP="005959B5">
            <w:pPr>
              <w:jc w:val="both"/>
              <w:rPr>
                <w:sz w:val="20"/>
                <w:szCs w:val="20"/>
                <w:lang w:val="en-US"/>
              </w:rPr>
            </w:pPr>
            <w:r w:rsidRPr="000E1B7E">
              <w:rPr>
                <w:sz w:val="20"/>
                <w:szCs w:val="20"/>
                <w:lang w:val="en-US"/>
              </w:rPr>
              <w:t>Completed and is operational and DLP expired</w:t>
            </w:r>
          </w:p>
        </w:tc>
      </w:tr>
      <w:tr w:rsidR="00782820" w:rsidRPr="000E1B7E" w14:paraId="5B10CB0B" w14:textId="77777777" w:rsidTr="00172330">
        <w:trPr>
          <w:trHeight w:val="510"/>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6091EEFC" w14:textId="77777777" w:rsidR="00782820" w:rsidRPr="000E1B7E" w:rsidRDefault="00782820" w:rsidP="005959B5">
            <w:pPr>
              <w:jc w:val="both"/>
              <w:rPr>
                <w:color w:val="000000"/>
                <w:sz w:val="20"/>
                <w:szCs w:val="20"/>
                <w:lang w:val="en-US"/>
              </w:rPr>
            </w:pPr>
            <w:r w:rsidRPr="000E1B7E">
              <w:rPr>
                <w:color w:val="000000"/>
                <w:sz w:val="20"/>
                <w:szCs w:val="20"/>
                <w:lang w:val="en-US"/>
              </w:rPr>
              <w:t>19</w:t>
            </w:r>
          </w:p>
        </w:tc>
        <w:tc>
          <w:tcPr>
            <w:tcW w:w="3891" w:type="dxa"/>
            <w:tcBorders>
              <w:top w:val="nil"/>
              <w:left w:val="nil"/>
              <w:bottom w:val="single" w:sz="4" w:space="0" w:color="A4185B"/>
              <w:right w:val="nil"/>
            </w:tcBorders>
            <w:shd w:val="clear" w:color="000000" w:fill="F3E3EA"/>
            <w:hideMark/>
          </w:tcPr>
          <w:p w14:paraId="598A33FA" w14:textId="77777777" w:rsidR="00782820" w:rsidRPr="000E1B7E" w:rsidRDefault="00782820" w:rsidP="005959B5">
            <w:pPr>
              <w:jc w:val="both"/>
              <w:rPr>
                <w:sz w:val="20"/>
                <w:szCs w:val="20"/>
                <w:lang w:val="en-US"/>
              </w:rPr>
            </w:pPr>
            <w:r w:rsidRPr="000E1B7E">
              <w:rPr>
                <w:sz w:val="20"/>
                <w:szCs w:val="20"/>
                <w:lang w:val="en-US"/>
              </w:rPr>
              <w:t>Namugasane bridge in Kasese</w:t>
            </w:r>
          </w:p>
        </w:tc>
        <w:tc>
          <w:tcPr>
            <w:tcW w:w="9041" w:type="dxa"/>
            <w:tcBorders>
              <w:top w:val="nil"/>
              <w:left w:val="single" w:sz="4" w:space="0" w:color="A4185B"/>
              <w:bottom w:val="single" w:sz="4" w:space="0" w:color="A4185B"/>
              <w:right w:val="single" w:sz="4" w:space="0" w:color="A4185B"/>
            </w:tcBorders>
            <w:shd w:val="clear" w:color="000000" w:fill="F3E3EA"/>
            <w:hideMark/>
          </w:tcPr>
          <w:p w14:paraId="25F8F662" w14:textId="77777777" w:rsidR="00782820" w:rsidRPr="000E1B7E" w:rsidRDefault="00782820" w:rsidP="005959B5">
            <w:pPr>
              <w:jc w:val="both"/>
              <w:rPr>
                <w:sz w:val="20"/>
                <w:szCs w:val="20"/>
                <w:lang w:val="en-US"/>
              </w:rPr>
            </w:pPr>
            <w:r w:rsidRPr="000E1B7E">
              <w:rPr>
                <w:sz w:val="20"/>
                <w:szCs w:val="20"/>
                <w:lang w:val="en-US"/>
              </w:rPr>
              <w:t>Completed and is operational and DLP expired</w:t>
            </w:r>
          </w:p>
        </w:tc>
      </w:tr>
      <w:tr w:rsidR="00782820" w:rsidRPr="000E1B7E" w14:paraId="34C0E02E" w14:textId="77777777" w:rsidTr="00172330">
        <w:trPr>
          <w:trHeight w:val="615"/>
        </w:trPr>
        <w:tc>
          <w:tcPr>
            <w:tcW w:w="804" w:type="dxa"/>
            <w:tcBorders>
              <w:top w:val="nil"/>
              <w:left w:val="single" w:sz="4" w:space="0" w:color="A4185B"/>
              <w:bottom w:val="single" w:sz="4" w:space="0" w:color="A4185B"/>
              <w:right w:val="single" w:sz="4" w:space="0" w:color="A4185B"/>
            </w:tcBorders>
            <w:shd w:val="clear" w:color="auto" w:fill="auto"/>
            <w:noWrap/>
            <w:hideMark/>
          </w:tcPr>
          <w:p w14:paraId="2E4A3CBD" w14:textId="77777777" w:rsidR="00782820" w:rsidRPr="000E1B7E" w:rsidRDefault="00782820" w:rsidP="005959B5">
            <w:pPr>
              <w:jc w:val="both"/>
              <w:rPr>
                <w:color w:val="000000"/>
                <w:sz w:val="20"/>
                <w:szCs w:val="20"/>
                <w:lang w:val="en-US"/>
              </w:rPr>
            </w:pPr>
            <w:r w:rsidRPr="000E1B7E">
              <w:rPr>
                <w:color w:val="000000"/>
                <w:sz w:val="20"/>
                <w:szCs w:val="20"/>
                <w:lang w:val="en-US"/>
              </w:rPr>
              <w:t>20</w:t>
            </w:r>
          </w:p>
        </w:tc>
        <w:tc>
          <w:tcPr>
            <w:tcW w:w="3891" w:type="dxa"/>
            <w:tcBorders>
              <w:top w:val="nil"/>
              <w:left w:val="nil"/>
              <w:bottom w:val="single" w:sz="4" w:space="0" w:color="A4185B"/>
              <w:right w:val="nil"/>
            </w:tcBorders>
            <w:shd w:val="clear" w:color="auto" w:fill="auto"/>
            <w:hideMark/>
          </w:tcPr>
          <w:p w14:paraId="7108ED08" w14:textId="77777777" w:rsidR="00782820" w:rsidRPr="000E1B7E" w:rsidRDefault="00782820" w:rsidP="005959B5">
            <w:pPr>
              <w:jc w:val="both"/>
              <w:rPr>
                <w:sz w:val="20"/>
                <w:szCs w:val="20"/>
                <w:lang w:val="en-US"/>
              </w:rPr>
            </w:pPr>
            <w:r w:rsidRPr="000E1B7E">
              <w:rPr>
                <w:sz w:val="20"/>
                <w:szCs w:val="20"/>
                <w:lang w:val="en-US"/>
              </w:rPr>
              <w:t>Design build of Nalakasi bridge on Ari- mo- kaboong road in Karamoja</w:t>
            </w:r>
          </w:p>
        </w:tc>
        <w:tc>
          <w:tcPr>
            <w:tcW w:w="9041" w:type="dxa"/>
            <w:tcBorders>
              <w:top w:val="nil"/>
              <w:left w:val="single" w:sz="4" w:space="0" w:color="A4185B"/>
              <w:bottom w:val="single" w:sz="4" w:space="0" w:color="A4185B"/>
              <w:right w:val="single" w:sz="4" w:space="0" w:color="A4185B"/>
            </w:tcBorders>
            <w:shd w:val="clear" w:color="auto" w:fill="auto"/>
            <w:hideMark/>
          </w:tcPr>
          <w:p w14:paraId="7E7A4BF5" w14:textId="77777777" w:rsidR="00782820" w:rsidRPr="000E1B7E" w:rsidRDefault="00782820" w:rsidP="005959B5">
            <w:pPr>
              <w:jc w:val="both"/>
              <w:rPr>
                <w:sz w:val="20"/>
                <w:szCs w:val="20"/>
                <w:lang w:val="en-US"/>
              </w:rPr>
            </w:pPr>
            <w:r w:rsidRPr="000E1B7E">
              <w:rPr>
                <w:sz w:val="20"/>
                <w:szCs w:val="20"/>
                <w:lang w:val="en-US"/>
              </w:rPr>
              <w:t>Progress by December at 15 percent commenced January, 2017 and due completion July, 2018</w:t>
            </w:r>
          </w:p>
        </w:tc>
      </w:tr>
      <w:tr w:rsidR="00782820" w:rsidRPr="000E1B7E" w14:paraId="14A19CB0" w14:textId="77777777" w:rsidTr="00172330">
        <w:trPr>
          <w:trHeight w:val="530"/>
        </w:trPr>
        <w:tc>
          <w:tcPr>
            <w:tcW w:w="804" w:type="dxa"/>
            <w:tcBorders>
              <w:top w:val="nil"/>
              <w:left w:val="single" w:sz="4" w:space="0" w:color="A4185B"/>
              <w:bottom w:val="single" w:sz="4" w:space="0" w:color="A4185B"/>
              <w:right w:val="single" w:sz="4" w:space="0" w:color="A4185B"/>
            </w:tcBorders>
            <w:shd w:val="clear" w:color="000000" w:fill="F3E3EA"/>
            <w:noWrap/>
            <w:hideMark/>
          </w:tcPr>
          <w:p w14:paraId="66650705" w14:textId="77777777" w:rsidR="00782820" w:rsidRPr="000E1B7E" w:rsidRDefault="00782820" w:rsidP="005959B5">
            <w:pPr>
              <w:jc w:val="both"/>
              <w:rPr>
                <w:color w:val="000000"/>
                <w:sz w:val="20"/>
                <w:szCs w:val="20"/>
                <w:lang w:val="en-US"/>
              </w:rPr>
            </w:pPr>
            <w:r w:rsidRPr="000E1B7E">
              <w:rPr>
                <w:color w:val="000000"/>
                <w:sz w:val="20"/>
                <w:szCs w:val="20"/>
                <w:lang w:val="en-US"/>
              </w:rPr>
              <w:t>21</w:t>
            </w:r>
          </w:p>
        </w:tc>
        <w:tc>
          <w:tcPr>
            <w:tcW w:w="3891" w:type="dxa"/>
            <w:tcBorders>
              <w:top w:val="nil"/>
              <w:left w:val="nil"/>
              <w:bottom w:val="single" w:sz="4" w:space="0" w:color="A4185B"/>
              <w:right w:val="nil"/>
            </w:tcBorders>
            <w:shd w:val="clear" w:color="000000" w:fill="F3E3EA"/>
            <w:hideMark/>
          </w:tcPr>
          <w:p w14:paraId="4CCB4181" w14:textId="77777777" w:rsidR="00782820" w:rsidRPr="000E1B7E" w:rsidRDefault="00782820" w:rsidP="005959B5">
            <w:pPr>
              <w:jc w:val="both"/>
              <w:rPr>
                <w:sz w:val="20"/>
                <w:szCs w:val="20"/>
                <w:lang w:val="en-US"/>
              </w:rPr>
            </w:pPr>
            <w:r w:rsidRPr="000E1B7E">
              <w:rPr>
                <w:sz w:val="20"/>
                <w:szCs w:val="20"/>
                <w:lang w:val="en-US"/>
              </w:rPr>
              <w:t>Design  build  of  kaboong  bridge  on  ka- boong –Kotido road in Karamoja</w:t>
            </w:r>
          </w:p>
        </w:tc>
        <w:tc>
          <w:tcPr>
            <w:tcW w:w="9041" w:type="dxa"/>
            <w:tcBorders>
              <w:top w:val="nil"/>
              <w:left w:val="single" w:sz="4" w:space="0" w:color="A4185B"/>
              <w:bottom w:val="single" w:sz="4" w:space="0" w:color="A4185B"/>
              <w:right w:val="single" w:sz="4" w:space="0" w:color="A4185B"/>
            </w:tcBorders>
            <w:shd w:val="clear" w:color="000000" w:fill="F3E3EA"/>
            <w:hideMark/>
          </w:tcPr>
          <w:p w14:paraId="2C9CC0EA" w14:textId="77777777" w:rsidR="00782820" w:rsidRPr="000E1B7E" w:rsidRDefault="00782820" w:rsidP="005959B5">
            <w:pPr>
              <w:jc w:val="both"/>
              <w:rPr>
                <w:sz w:val="20"/>
                <w:szCs w:val="20"/>
                <w:lang w:val="en-US"/>
              </w:rPr>
            </w:pPr>
            <w:r w:rsidRPr="000E1B7E">
              <w:rPr>
                <w:sz w:val="20"/>
                <w:szCs w:val="20"/>
                <w:lang w:val="en-US"/>
              </w:rPr>
              <w:t>Progress by December at 28 percent commenced January, 2017 and due completion July, 2018</w:t>
            </w:r>
          </w:p>
        </w:tc>
      </w:tr>
      <w:tr w:rsidR="00782820" w:rsidRPr="000E1B7E" w14:paraId="1852E385" w14:textId="77777777" w:rsidTr="00172330">
        <w:trPr>
          <w:trHeight w:val="255"/>
        </w:trPr>
        <w:tc>
          <w:tcPr>
            <w:tcW w:w="4695" w:type="dxa"/>
            <w:gridSpan w:val="2"/>
            <w:tcBorders>
              <w:top w:val="nil"/>
              <w:left w:val="nil"/>
              <w:bottom w:val="nil"/>
              <w:right w:val="nil"/>
            </w:tcBorders>
            <w:shd w:val="clear" w:color="auto" w:fill="auto"/>
            <w:noWrap/>
            <w:hideMark/>
          </w:tcPr>
          <w:p w14:paraId="1704D0F3" w14:textId="77777777" w:rsidR="00782820" w:rsidRPr="000E1B7E" w:rsidRDefault="00782820" w:rsidP="005959B5">
            <w:pPr>
              <w:jc w:val="both"/>
              <w:rPr>
                <w:sz w:val="20"/>
                <w:szCs w:val="20"/>
                <w:lang w:val="en-US"/>
              </w:rPr>
            </w:pPr>
            <w:r w:rsidRPr="000E1B7E">
              <w:rPr>
                <w:sz w:val="20"/>
                <w:szCs w:val="20"/>
                <w:lang w:val="en-US"/>
              </w:rPr>
              <w:t>Source: UNRA Q3 performance report</w:t>
            </w:r>
          </w:p>
        </w:tc>
        <w:tc>
          <w:tcPr>
            <w:tcW w:w="9041" w:type="dxa"/>
            <w:tcBorders>
              <w:top w:val="nil"/>
              <w:left w:val="nil"/>
              <w:bottom w:val="nil"/>
              <w:right w:val="nil"/>
            </w:tcBorders>
            <w:shd w:val="clear" w:color="auto" w:fill="auto"/>
            <w:noWrap/>
            <w:hideMark/>
          </w:tcPr>
          <w:p w14:paraId="2ED0B8EB" w14:textId="77777777" w:rsidR="00782820" w:rsidRPr="000E1B7E" w:rsidRDefault="00782820" w:rsidP="005959B5">
            <w:pPr>
              <w:jc w:val="both"/>
              <w:rPr>
                <w:color w:val="000000"/>
                <w:sz w:val="20"/>
                <w:szCs w:val="20"/>
                <w:lang w:val="en-US"/>
              </w:rPr>
            </w:pPr>
          </w:p>
        </w:tc>
      </w:tr>
    </w:tbl>
    <w:p w14:paraId="3EEF181E" w14:textId="77777777" w:rsidR="00240DEA" w:rsidRPr="000E1B7E" w:rsidRDefault="00240DEA" w:rsidP="005959B5">
      <w:pPr>
        <w:jc w:val="both"/>
        <w:rPr>
          <w:b/>
        </w:rPr>
      </w:pPr>
    </w:p>
    <w:p w14:paraId="757D1694" w14:textId="77777777" w:rsidR="00782820" w:rsidRPr="000E1B7E" w:rsidRDefault="00514856" w:rsidP="00C044D4">
      <w:pPr>
        <w:pStyle w:val="Heading2"/>
      </w:pPr>
      <w:bookmarkStart w:id="172" w:name="_Toc3478408"/>
      <w:bookmarkStart w:id="173" w:name="_Toc11956288"/>
      <w:r w:rsidRPr="000E1B7E">
        <w:t>Appendix 5</w:t>
      </w:r>
      <w:r w:rsidR="00172330" w:rsidRPr="000E1B7E">
        <w:t xml:space="preserve">: </w:t>
      </w:r>
      <w:r w:rsidR="00172330" w:rsidRPr="000E1B7E">
        <w:rPr>
          <w:lang w:val="en-US"/>
        </w:rPr>
        <w:t>Implementation Status of Expressways</w:t>
      </w:r>
      <w:bookmarkEnd w:id="172"/>
      <w:bookmarkEnd w:id="173"/>
    </w:p>
    <w:tbl>
      <w:tblPr>
        <w:tblW w:w="13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40"/>
        <w:gridCol w:w="1236"/>
        <w:gridCol w:w="7719"/>
      </w:tblGrid>
      <w:tr w:rsidR="00172330" w:rsidRPr="000E1B7E" w14:paraId="670DA2C1" w14:textId="77777777" w:rsidTr="00401E81">
        <w:trPr>
          <w:trHeight w:val="503"/>
        </w:trPr>
        <w:tc>
          <w:tcPr>
            <w:tcW w:w="560" w:type="dxa"/>
            <w:shd w:val="clear" w:color="000000" w:fill="A4185B"/>
            <w:hideMark/>
          </w:tcPr>
          <w:p w14:paraId="5AD82A3E" w14:textId="77777777" w:rsidR="00172330" w:rsidRPr="000E1B7E" w:rsidRDefault="00172330" w:rsidP="005959B5">
            <w:pPr>
              <w:jc w:val="both"/>
              <w:rPr>
                <w:b/>
                <w:bCs/>
                <w:color w:val="FFFFFF"/>
                <w:sz w:val="20"/>
                <w:szCs w:val="20"/>
                <w:lang w:val="en-US"/>
              </w:rPr>
            </w:pPr>
            <w:r w:rsidRPr="000E1B7E">
              <w:rPr>
                <w:b/>
                <w:bCs/>
                <w:color w:val="FFFFFF"/>
                <w:sz w:val="20"/>
                <w:szCs w:val="20"/>
                <w:lang w:val="en-US"/>
              </w:rPr>
              <w:t>S/N</w:t>
            </w:r>
          </w:p>
        </w:tc>
        <w:tc>
          <w:tcPr>
            <w:tcW w:w="3640" w:type="dxa"/>
            <w:shd w:val="clear" w:color="000000" w:fill="A4185B"/>
            <w:hideMark/>
          </w:tcPr>
          <w:p w14:paraId="31D97DBE" w14:textId="77777777" w:rsidR="00172330" w:rsidRPr="000E1B7E" w:rsidRDefault="00172330" w:rsidP="005959B5">
            <w:pPr>
              <w:jc w:val="both"/>
              <w:rPr>
                <w:b/>
                <w:bCs/>
                <w:sz w:val="20"/>
                <w:szCs w:val="20"/>
                <w:lang w:val="en-US"/>
              </w:rPr>
            </w:pPr>
            <w:r w:rsidRPr="000E1B7E">
              <w:rPr>
                <w:b/>
                <w:bCs/>
                <w:sz w:val="20"/>
                <w:szCs w:val="20"/>
                <w:lang w:val="en-US"/>
              </w:rPr>
              <w:t>Expressway</w:t>
            </w:r>
          </w:p>
        </w:tc>
        <w:tc>
          <w:tcPr>
            <w:tcW w:w="1236" w:type="dxa"/>
            <w:shd w:val="clear" w:color="000000" w:fill="A4185B"/>
            <w:hideMark/>
          </w:tcPr>
          <w:p w14:paraId="7FB9A71B" w14:textId="77777777" w:rsidR="00172330" w:rsidRPr="000E1B7E" w:rsidRDefault="00172330" w:rsidP="005959B5">
            <w:pPr>
              <w:jc w:val="both"/>
              <w:rPr>
                <w:b/>
                <w:bCs/>
                <w:sz w:val="20"/>
                <w:szCs w:val="20"/>
                <w:lang w:val="en-US"/>
              </w:rPr>
            </w:pPr>
            <w:r w:rsidRPr="000E1B7E">
              <w:rPr>
                <w:b/>
                <w:bCs/>
                <w:sz w:val="20"/>
                <w:szCs w:val="20"/>
                <w:lang w:val="en-US"/>
              </w:rPr>
              <w:t>Length, km</w:t>
            </w:r>
          </w:p>
        </w:tc>
        <w:tc>
          <w:tcPr>
            <w:tcW w:w="7719" w:type="dxa"/>
            <w:shd w:val="clear" w:color="000000" w:fill="A4185B"/>
            <w:hideMark/>
          </w:tcPr>
          <w:p w14:paraId="104CA2C9" w14:textId="77777777" w:rsidR="00172330" w:rsidRPr="000E1B7E" w:rsidRDefault="00172330" w:rsidP="005959B5">
            <w:pPr>
              <w:jc w:val="both"/>
              <w:rPr>
                <w:b/>
                <w:bCs/>
                <w:sz w:val="20"/>
                <w:szCs w:val="20"/>
                <w:lang w:val="en-US"/>
              </w:rPr>
            </w:pPr>
            <w:r w:rsidRPr="000E1B7E">
              <w:rPr>
                <w:b/>
                <w:bCs/>
                <w:sz w:val="20"/>
                <w:szCs w:val="20"/>
                <w:lang w:val="en-US"/>
              </w:rPr>
              <w:t>Status</w:t>
            </w:r>
          </w:p>
        </w:tc>
      </w:tr>
      <w:tr w:rsidR="00172330" w:rsidRPr="000E1B7E" w14:paraId="0915F0D2" w14:textId="77777777" w:rsidTr="00401E81">
        <w:trPr>
          <w:trHeight w:val="710"/>
        </w:trPr>
        <w:tc>
          <w:tcPr>
            <w:tcW w:w="560" w:type="dxa"/>
            <w:shd w:val="clear" w:color="000000" w:fill="F3E3EA"/>
            <w:noWrap/>
            <w:vAlign w:val="center"/>
            <w:hideMark/>
          </w:tcPr>
          <w:p w14:paraId="1129A6A0" w14:textId="77777777" w:rsidR="00172330" w:rsidRPr="000E1B7E" w:rsidRDefault="00172330" w:rsidP="005959B5">
            <w:pPr>
              <w:jc w:val="both"/>
              <w:rPr>
                <w:color w:val="000000"/>
                <w:sz w:val="20"/>
                <w:szCs w:val="20"/>
                <w:lang w:val="en-US"/>
              </w:rPr>
            </w:pPr>
            <w:r w:rsidRPr="000E1B7E">
              <w:rPr>
                <w:color w:val="000000"/>
                <w:sz w:val="20"/>
                <w:szCs w:val="20"/>
                <w:lang w:val="en-US"/>
              </w:rPr>
              <w:t>1</w:t>
            </w:r>
          </w:p>
        </w:tc>
        <w:tc>
          <w:tcPr>
            <w:tcW w:w="3640" w:type="dxa"/>
            <w:shd w:val="clear" w:color="000000" w:fill="F3E3EA"/>
            <w:vAlign w:val="center"/>
            <w:hideMark/>
          </w:tcPr>
          <w:p w14:paraId="05E9F9CE" w14:textId="77777777" w:rsidR="00172330" w:rsidRPr="000E1B7E" w:rsidRDefault="00172330" w:rsidP="005959B5">
            <w:pPr>
              <w:jc w:val="both"/>
              <w:rPr>
                <w:sz w:val="20"/>
                <w:szCs w:val="20"/>
                <w:lang w:val="en-US"/>
              </w:rPr>
            </w:pPr>
            <w:r w:rsidRPr="000E1B7E">
              <w:rPr>
                <w:sz w:val="20"/>
                <w:szCs w:val="20"/>
                <w:lang w:val="en-US"/>
              </w:rPr>
              <w:t>Kampala-Entebbe</w:t>
            </w:r>
          </w:p>
        </w:tc>
        <w:tc>
          <w:tcPr>
            <w:tcW w:w="1236" w:type="dxa"/>
            <w:shd w:val="clear" w:color="000000" w:fill="F3E3EA"/>
            <w:noWrap/>
            <w:vAlign w:val="center"/>
            <w:hideMark/>
          </w:tcPr>
          <w:p w14:paraId="7C2117B8" w14:textId="77777777" w:rsidR="00172330" w:rsidRPr="000E1B7E" w:rsidRDefault="00172330" w:rsidP="005959B5">
            <w:pPr>
              <w:jc w:val="both"/>
              <w:rPr>
                <w:color w:val="000000"/>
                <w:sz w:val="20"/>
                <w:szCs w:val="20"/>
                <w:lang w:val="en-US"/>
              </w:rPr>
            </w:pPr>
            <w:r w:rsidRPr="000E1B7E">
              <w:rPr>
                <w:color w:val="000000"/>
                <w:sz w:val="20"/>
                <w:szCs w:val="20"/>
                <w:lang w:val="en-US"/>
              </w:rPr>
              <w:t>51</w:t>
            </w:r>
          </w:p>
        </w:tc>
        <w:tc>
          <w:tcPr>
            <w:tcW w:w="7719" w:type="dxa"/>
            <w:shd w:val="clear" w:color="000000" w:fill="F3E3EA"/>
            <w:hideMark/>
          </w:tcPr>
          <w:p w14:paraId="1C97DD6A" w14:textId="77777777" w:rsidR="00172330" w:rsidRPr="000E1B7E" w:rsidRDefault="00172330" w:rsidP="005959B5">
            <w:pPr>
              <w:jc w:val="both"/>
              <w:rPr>
                <w:sz w:val="20"/>
                <w:szCs w:val="20"/>
                <w:lang w:val="en-US"/>
              </w:rPr>
            </w:pPr>
            <w:r w:rsidRPr="000E1B7E">
              <w:rPr>
                <w:sz w:val="20"/>
                <w:szCs w:val="20"/>
                <w:lang w:val="en-US"/>
              </w:rPr>
              <w:t>Cumulative progress by end of March, 2018 was 92 percent against the programmed 97.45 percent. Time elapsed was 93.43 percent.  Land compensation remains the major issue affecting project progress</w:t>
            </w:r>
          </w:p>
        </w:tc>
      </w:tr>
      <w:tr w:rsidR="00172330" w:rsidRPr="000E1B7E" w14:paraId="30BC67C7" w14:textId="77777777" w:rsidTr="00240DEA">
        <w:trPr>
          <w:trHeight w:val="620"/>
        </w:trPr>
        <w:tc>
          <w:tcPr>
            <w:tcW w:w="560" w:type="dxa"/>
            <w:shd w:val="clear" w:color="auto" w:fill="auto"/>
            <w:noWrap/>
            <w:vAlign w:val="center"/>
            <w:hideMark/>
          </w:tcPr>
          <w:p w14:paraId="29C45C71" w14:textId="77777777" w:rsidR="00172330" w:rsidRPr="000E1B7E" w:rsidRDefault="00172330" w:rsidP="005959B5">
            <w:pPr>
              <w:jc w:val="both"/>
              <w:rPr>
                <w:color w:val="000000"/>
                <w:sz w:val="20"/>
                <w:szCs w:val="20"/>
                <w:lang w:val="en-US"/>
              </w:rPr>
            </w:pPr>
            <w:r w:rsidRPr="000E1B7E">
              <w:rPr>
                <w:color w:val="000000"/>
                <w:sz w:val="20"/>
                <w:szCs w:val="20"/>
                <w:lang w:val="en-US"/>
              </w:rPr>
              <w:t>2</w:t>
            </w:r>
          </w:p>
        </w:tc>
        <w:tc>
          <w:tcPr>
            <w:tcW w:w="3640" w:type="dxa"/>
            <w:shd w:val="clear" w:color="auto" w:fill="auto"/>
            <w:hideMark/>
          </w:tcPr>
          <w:p w14:paraId="6D1B1EB5" w14:textId="77777777" w:rsidR="00172330" w:rsidRPr="000E1B7E" w:rsidRDefault="00172330" w:rsidP="005959B5">
            <w:pPr>
              <w:jc w:val="both"/>
              <w:rPr>
                <w:color w:val="000000"/>
                <w:sz w:val="20"/>
                <w:szCs w:val="20"/>
                <w:lang w:val="en-US"/>
              </w:rPr>
            </w:pPr>
            <w:r w:rsidRPr="000E1B7E">
              <w:rPr>
                <w:sz w:val="20"/>
                <w:szCs w:val="20"/>
                <w:lang w:val="en-US"/>
              </w:rPr>
              <w:t>Kampala – Mpigi,</w:t>
            </w:r>
            <w:r w:rsidRPr="000E1B7E">
              <w:rPr>
                <w:sz w:val="20"/>
                <w:szCs w:val="20"/>
                <w:lang w:val="en-US"/>
              </w:rPr>
              <w:br/>
              <w:t>Queesnsway    –    Busega&amp;Busega – Mpigi</w:t>
            </w:r>
          </w:p>
        </w:tc>
        <w:tc>
          <w:tcPr>
            <w:tcW w:w="1236" w:type="dxa"/>
            <w:shd w:val="clear" w:color="auto" w:fill="auto"/>
            <w:noWrap/>
            <w:vAlign w:val="center"/>
            <w:hideMark/>
          </w:tcPr>
          <w:p w14:paraId="447606C8" w14:textId="77777777" w:rsidR="00172330" w:rsidRPr="000E1B7E" w:rsidRDefault="00172330" w:rsidP="005959B5">
            <w:pPr>
              <w:jc w:val="both"/>
              <w:rPr>
                <w:color w:val="000000"/>
                <w:sz w:val="20"/>
                <w:szCs w:val="20"/>
                <w:lang w:val="en-US"/>
              </w:rPr>
            </w:pPr>
            <w:r w:rsidRPr="000E1B7E">
              <w:rPr>
                <w:color w:val="000000"/>
                <w:sz w:val="20"/>
                <w:szCs w:val="20"/>
                <w:lang w:val="en-US"/>
              </w:rPr>
              <w:t>32</w:t>
            </w:r>
          </w:p>
        </w:tc>
        <w:tc>
          <w:tcPr>
            <w:tcW w:w="7719" w:type="dxa"/>
            <w:shd w:val="clear" w:color="auto" w:fill="auto"/>
            <w:hideMark/>
          </w:tcPr>
          <w:p w14:paraId="7EEEF866" w14:textId="77777777" w:rsidR="00172330" w:rsidRPr="000E1B7E" w:rsidRDefault="00172330" w:rsidP="005959B5">
            <w:pPr>
              <w:jc w:val="both"/>
              <w:rPr>
                <w:sz w:val="20"/>
                <w:szCs w:val="20"/>
                <w:lang w:val="en-US"/>
              </w:rPr>
            </w:pPr>
            <w:r w:rsidRPr="000E1B7E">
              <w:rPr>
                <w:sz w:val="20"/>
                <w:szCs w:val="20"/>
                <w:lang w:val="en-US"/>
              </w:rPr>
              <w:t>Civil works and supervision contracts for Busega - Mpigi Expressway (23.7Km)  are  currently  under  procurement  and  Financing  was secured  through AfDB.  The  Technical  Evaluation  report  and  Due diligence report were submitted for CC approval on 9th March 2018.</w:t>
            </w:r>
          </w:p>
        </w:tc>
      </w:tr>
      <w:tr w:rsidR="00172330" w:rsidRPr="000E1B7E" w14:paraId="580CF9B5" w14:textId="77777777" w:rsidTr="00401E81">
        <w:trPr>
          <w:trHeight w:val="1673"/>
        </w:trPr>
        <w:tc>
          <w:tcPr>
            <w:tcW w:w="560" w:type="dxa"/>
            <w:shd w:val="clear" w:color="000000" w:fill="F3E3EA"/>
            <w:noWrap/>
            <w:vAlign w:val="center"/>
            <w:hideMark/>
          </w:tcPr>
          <w:p w14:paraId="46E6078C" w14:textId="77777777" w:rsidR="00172330" w:rsidRPr="000E1B7E" w:rsidRDefault="00172330" w:rsidP="005959B5">
            <w:pPr>
              <w:jc w:val="both"/>
              <w:rPr>
                <w:color w:val="000000"/>
                <w:sz w:val="20"/>
                <w:szCs w:val="20"/>
                <w:lang w:val="en-US"/>
              </w:rPr>
            </w:pPr>
            <w:r w:rsidRPr="000E1B7E">
              <w:rPr>
                <w:color w:val="000000"/>
                <w:sz w:val="20"/>
                <w:szCs w:val="20"/>
                <w:lang w:val="en-US"/>
              </w:rPr>
              <w:t>3</w:t>
            </w:r>
          </w:p>
        </w:tc>
        <w:tc>
          <w:tcPr>
            <w:tcW w:w="3640" w:type="dxa"/>
            <w:shd w:val="clear" w:color="000000" w:fill="F3E3EA"/>
            <w:vAlign w:val="center"/>
            <w:hideMark/>
          </w:tcPr>
          <w:p w14:paraId="01BC5FED" w14:textId="77777777" w:rsidR="00172330" w:rsidRPr="000E1B7E" w:rsidRDefault="00172330" w:rsidP="005959B5">
            <w:pPr>
              <w:jc w:val="both"/>
              <w:rPr>
                <w:sz w:val="20"/>
                <w:szCs w:val="20"/>
                <w:lang w:val="en-US"/>
              </w:rPr>
            </w:pPr>
            <w:r w:rsidRPr="000E1B7E">
              <w:rPr>
                <w:sz w:val="20"/>
                <w:szCs w:val="20"/>
                <w:lang w:val="en-US"/>
              </w:rPr>
              <w:t>Kampala-Jinja Expressway</w:t>
            </w:r>
          </w:p>
        </w:tc>
        <w:tc>
          <w:tcPr>
            <w:tcW w:w="1236" w:type="dxa"/>
            <w:shd w:val="clear" w:color="000000" w:fill="F3E3EA"/>
            <w:noWrap/>
            <w:vAlign w:val="center"/>
            <w:hideMark/>
          </w:tcPr>
          <w:p w14:paraId="32B8C750" w14:textId="77777777" w:rsidR="00172330" w:rsidRPr="000E1B7E" w:rsidRDefault="00172330" w:rsidP="005959B5">
            <w:pPr>
              <w:jc w:val="both"/>
              <w:rPr>
                <w:color w:val="000000"/>
                <w:sz w:val="20"/>
                <w:szCs w:val="20"/>
                <w:lang w:val="en-US"/>
              </w:rPr>
            </w:pPr>
            <w:r w:rsidRPr="000E1B7E">
              <w:rPr>
                <w:color w:val="000000"/>
                <w:sz w:val="20"/>
                <w:szCs w:val="20"/>
                <w:lang w:val="en-US"/>
              </w:rPr>
              <w:t>77</w:t>
            </w:r>
          </w:p>
        </w:tc>
        <w:tc>
          <w:tcPr>
            <w:tcW w:w="7719" w:type="dxa"/>
            <w:shd w:val="clear" w:color="000000" w:fill="F3E3EA"/>
            <w:hideMark/>
          </w:tcPr>
          <w:p w14:paraId="75C31517" w14:textId="77777777" w:rsidR="00172330" w:rsidRPr="000E1B7E" w:rsidRDefault="00172330" w:rsidP="005959B5">
            <w:pPr>
              <w:jc w:val="both"/>
              <w:rPr>
                <w:color w:val="000000"/>
                <w:sz w:val="20"/>
                <w:szCs w:val="20"/>
                <w:lang w:val="en-US"/>
              </w:rPr>
            </w:pPr>
            <w:r w:rsidRPr="000E1B7E">
              <w:rPr>
                <w:sz w:val="20"/>
                <w:szCs w:val="20"/>
                <w:lang w:val="en-US"/>
              </w:rPr>
              <w:t>Revised  Feasibility  study  report,  prequalification  documents  and Request for proposal were submitted to PPP.</w:t>
            </w:r>
            <w:r w:rsidRPr="000E1B7E">
              <w:rPr>
                <w:sz w:val="20"/>
                <w:szCs w:val="20"/>
                <w:lang w:val="en-US"/>
              </w:rPr>
              <w:br/>
              <w:t>Committee and approved. Preparations are ongoing for launching the project RFQ documents by Mid May 2018.</w:t>
            </w:r>
            <w:r w:rsidRPr="000E1B7E">
              <w:rPr>
                <w:sz w:val="20"/>
                <w:szCs w:val="20"/>
                <w:lang w:val="en-US"/>
              </w:rPr>
              <w:br/>
              <w:t>Invitation  for  the  pre-qualifications  exercise  was  initiated  for  the design, build, finance, operate maintain and transfer of the project. IFC in this regard is the Lead Transaction Advisor to UNRA</w:t>
            </w:r>
          </w:p>
        </w:tc>
      </w:tr>
      <w:tr w:rsidR="00172330" w:rsidRPr="000E1B7E" w14:paraId="1177986A" w14:textId="77777777" w:rsidTr="00401E81">
        <w:trPr>
          <w:trHeight w:val="2483"/>
        </w:trPr>
        <w:tc>
          <w:tcPr>
            <w:tcW w:w="560" w:type="dxa"/>
            <w:shd w:val="clear" w:color="auto" w:fill="auto"/>
            <w:hideMark/>
          </w:tcPr>
          <w:p w14:paraId="04D47364" w14:textId="77777777" w:rsidR="00172330" w:rsidRPr="000E1B7E" w:rsidRDefault="00172330" w:rsidP="005959B5">
            <w:pPr>
              <w:jc w:val="both"/>
              <w:rPr>
                <w:color w:val="000000"/>
                <w:sz w:val="20"/>
                <w:szCs w:val="20"/>
                <w:lang w:val="en-US"/>
              </w:rPr>
            </w:pPr>
            <w:r w:rsidRPr="000E1B7E">
              <w:rPr>
                <w:color w:val="000000"/>
                <w:sz w:val="20"/>
                <w:szCs w:val="20"/>
                <w:lang w:val="en-US"/>
              </w:rPr>
              <w:lastRenderedPageBreak/>
              <w:t> </w:t>
            </w:r>
          </w:p>
        </w:tc>
        <w:tc>
          <w:tcPr>
            <w:tcW w:w="3640" w:type="dxa"/>
            <w:shd w:val="clear" w:color="auto" w:fill="auto"/>
            <w:vAlign w:val="center"/>
            <w:hideMark/>
          </w:tcPr>
          <w:p w14:paraId="655B869D" w14:textId="77777777" w:rsidR="00172330" w:rsidRPr="000E1B7E" w:rsidRDefault="00172330" w:rsidP="005959B5">
            <w:pPr>
              <w:jc w:val="both"/>
              <w:rPr>
                <w:sz w:val="20"/>
                <w:szCs w:val="20"/>
                <w:lang w:val="en-US"/>
              </w:rPr>
            </w:pPr>
            <w:r w:rsidRPr="000E1B7E">
              <w:rPr>
                <w:sz w:val="20"/>
                <w:szCs w:val="20"/>
                <w:lang w:val="en-US"/>
              </w:rPr>
              <w:t>Kampala Outer Beltway</w:t>
            </w:r>
          </w:p>
        </w:tc>
        <w:tc>
          <w:tcPr>
            <w:tcW w:w="1236" w:type="dxa"/>
            <w:shd w:val="clear" w:color="auto" w:fill="auto"/>
            <w:hideMark/>
          </w:tcPr>
          <w:p w14:paraId="03481339" w14:textId="77777777" w:rsidR="00172330" w:rsidRPr="000E1B7E" w:rsidRDefault="00172330" w:rsidP="005959B5">
            <w:pPr>
              <w:jc w:val="both"/>
              <w:rPr>
                <w:color w:val="000000"/>
                <w:sz w:val="20"/>
                <w:szCs w:val="20"/>
                <w:lang w:val="en-US"/>
              </w:rPr>
            </w:pPr>
            <w:r w:rsidRPr="000E1B7E">
              <w:rPr>
                <w:color w:val="000000"/>
                <w:sz w:val="20"/>
                <w:szCs w:val="20"/>
                <w:lang w:val="en-US"/>
              </w:rPr>
              <w:t> </w:t>
            </w:r>
          </w:p>
        </w:tc>
        <w:tc>
          <w:tcPr>
            <w:tcW w:w="7719" w:type="dxa"/>
            <w:shd w:val="clear" w:color="auto" w:fill="auto"/>
            <w:hideMark/>
          </w:tcPr>
          <w:p w14:paraId="7F16318B" w14:textId="77777777" w:rsidR="00172330" w:rsidRPr="000E1B7E" w:rsidRDefault="00172330" w:rsidP="005959B5">
            <w:pPr>
              <w:jc w:val="both"/>
              <w:rPr>
                <w:color w:val="000000"/>
                <w:sz w:val="20"/>
                <w:szCs w:val="20"/>
                <w:lang w:val="en-US"/>
              </w:rPr>
            </w:pPr>
            <w:r w:rsidRPr="000E1B7E">
              <w:rPr>
                <w:sz w:val="20"/>
                <w:szCs w:val="20"/>
                <w:lang w:val="en-US"/>
              </w:rPr>
              <w:t>Inception Report submitted by the consultant.</w:t>
            </w:r>
            <w:r w:rsidRPr="000E1B7E">
              <w:rPr>
                <w:sz w:val="20"/>
                <w:szCs w:val="20"/>
                <w:lang w:val="en-US"/>
              </w:rPr>
              <w:br/>
              <w:t>Route  Alignment  Options  report  was  submitted  and  consultant presented report to UNRA DNPE.</w:t>
            </w:r>
            <w:r w:rsidRPr="000E1B7E">
              <w:rPr>
                <w:sz w:val="20"/>
                <w:szCs w:val="20"/>
                <w:lang w:val="en-US"/>
              </w:rPr>
              <w:br/>
              <w:t>Materials Investigation for Prelim. Design completed in Sept 2017</w:t>
            </w:r>
            <w:r w:rsidRPr="000E1B7E">
              <w:rPr>
                <w:sz w:val="20"/>
                <w:szCs w:val="20"/>
                <w:lang w:val="en-US"/>
              </w:rPr>
              <w:br/>
              <w:t>Draft Feasibility study submitted and presented to UNRA in October 2017.</w:t>
            </w:r>
            <w:r w:rsidRPr="000E1B7E">
              <w:rPr>
                <w:sz w:val="20"/>
                <w:szCs w:val="20"/>
                <w:lang w:val="en-US"/>
              </w:rPr>
              <w:br/>
              <w:t>Draft Preliminary design report submitted on 8</w:t>
            </w:r>
            <w:r w:rsidRPr="000E1B7E">
              <w:rPr>
                <w:sz w:val="20"/>
                <w:szCs w:val="20"/>
                <w:vertAlign w:val="superscript"/>
                <w:lang w:val="en-US"/>
              </w:rPr>
              <w:t xml:space="preserve">th </w:t>
            </w:r>
            <w:r w:rsidRPr="000E1B7E">
              <w:rPr>
                <w:sz w:val="20"/>
                <w:szCs w:val="20"/>
                <w:lang w:val="en-US"/>
              </w:rPr>
              <w:t>December 2017.</w:t>
            </w:r>
            <w:r w:rsidRPr="000E1B7E">
              <w:rPr>
                <w:sz w:val="20"/>
                <w:szCs w:val="20"/>
                <w:lang w:val="en-US"/>
              </w:rPr>
              <w:br/>
              <w:t>Draft Feasibility Study Report and Preliminary Design were reviewed and comments sent to the consultant.</w:t>
            </w:r>
            <w:r w:rsidRPr="000E1B7E">
              <w:rPr>
                <w:sz w:val="20"/>
                <w:szCs w:val="20"/>
                <w:lang w:val="en-US"/>
              </w:rPr>
              <w:br/>
              <w:t>The  preferred  alignment  was  approved  and  the  consultant  has commenced phase 2 activities.</w:t>
            </w:r>
          </w:p>
        </w:tc>
      </w:tr>
      <w:tr w:rsidR="00172330" w:rsidRPr="000E1B7E" w14:paraId="1FDFF9C1" w14:textId="77777777" w:rsidTr="00401E81">
        <w:trPr>
          <w:trHeight w:val="260"/>
        </w:trPr>
        <w:tc>
          <w:tcPr>
            <w:tcW w:w="560" w:type="dxa"/>
            <w:shd w:val="clear" w:color="000000" w:fill="F3E3EA"/>
            <w:noWrap/>
            <w:hideMark/>
          </w:tcPr>
          <w:p w14:paraId="341EC8BD" w14:textId="77777777" w:rsidR="00172330" w:rsidRPr="000E1B7E" w:rsidRDefault="00172330" w:rsidP="005959B5">
            <w:pPr>
              <w:jc w:val="both"/>
              <w:rPr>
                <w:color w:val="000000"/>
                <w:sz w:val="20"/>
                <w:szCs w:val="20"/>
                <w:lang w:val="en-US"/>
              </w:rPr>
            </w:pPr>
            <w:r w:rsidRPr="000E1B7E">
              <w:rPr>
                <w:color w:val="000000"/>
                <w:sz w:val="20"/>
                <w:szCs w:val="20"/>
                <w:lang w:val="en-US"/>
              </w:rPr>
              <w:t>4</w:t>
            </w:r>
          </w:p>
        </w:tc>
        <w:tc>
          <w:tcPr>
            <w:tcW w:w="3640" w:type="dxa"/>
            <w:shd w:val="clear" w:color="000000" w:fill="F3E3EA"/>
            <w:hideMark/>
          </w:tcPr>
          <w:p w14:paraId="1C07D746" w14:textId="77777777" w:rsidR="00172330" w:rsidRPr="000E1B7E" w:rsidRDefault="00172330" w:rsidP="005959B5">
            <w:pPr>
              <w:jc w:val="both"/>
              <w:rPr>
                <w:sz w:val="20"/>
                <w:szCs w:val="20"/>
                <w:lang w:val="en-US"/>
              </w:rPr>
            </w:pPr>
            <w:r w:rsidRPr="000E1B7E">
              <w:rPr>
                <w:sz w:val="20"/>
                <w:szCs w:val="20"/>
                <w:lang w:val="en-US"/>
              </w:rPr>
              <w:t>Kampala-Busunju Expressway</w:t>
            </w:r>
          </w:p>
        </w:tc>
        <w:tc>
          <w:tcPr>
            <w:tcW w:w="1236" w:type="dxa"/>
            <w:shd w:val="clear" w:color="000000" w:fill="F3E3EA"/>
            <w:noWrap/>
            <w:hideMark/>
          </w:tcPr>
          <w:p w14:paraId="73DA5F62" w14:textId="77777777" w:rsidR="00172330" w:rsidRPr="000E1B7E" w:rsidRDefault="00172330" w:rsidP="005959B5">
            <w:pPr>
              <w:jc w:val="both"/>
              <w:rPr>
                <w:color w:val="000000"/>
                <w:sz w:val="20"/>
                <w:szCs w:val="20"/>
                <w:lang w:val="en-US"/>
              </w:rPr>
            </w:pPr>
            <w:r w:rsidRPr="000E1B7E">
              <w:rPr>
                <w:color w:val="000000"/>
                <w:sz w:val="20"/>
                <w:szCs w:val="20"/>
                <w:lang w:val="en-US"/>
              </w:rPr>
              <w:t>55</w:t>
            </w:r>
          </w:p>
        </w:tc>
        <w:tc>
          <w:tcPr>
            <w:tcW w:w="7719" w:type="dxa"/>
            <w:shd w:val="clear" w:color="000000" w:fill="F3E3EA"/>
            <w:hideMark/>
          </w:tcPr>
          <w:p w14:paraId="1B8A3355" w14:textId="77777777" w:rsidR="00172330" w:rsidRPr="000E1B7E" w:rsidRDefault="00172330" w:rsidP="005959B5">
            <w:pPr>
              <w:jc w:val="both"/>
              <w:rPr>
                <w:sz w:val="20"/>
                <w:szCs w:val="20"/>
                <w:lang w:val="en-US"/>
              </w:rPr>
            </w:pPr>
            <w:r w:rsidRPr="000E1B7E">
              <w:rPr>
                <w:sz w:val="20"/>
                <w:szCs w:val="20"/>
                <w:lang w:val="en-US"/>
              </w:rPr>
              <w:t>Under procurement, Technical evaluation of proposal is completed in January 2018.</w:t>
            </w:r>
          </w:p>
        </w:tc>
      </w:tr>
      <w:tr w:rsidR="00172330" w:rsidRPr="000E1B7E" w14:paraId="0F438F27" w14:textId="77777777" w:rsidTr="00401E81">
        <w:trPr>
          <w:trHeight w:val="440"/>
        </w:trPr>
        <w:tc>
          <w:tcPr>
            <w:tcW w:w="560" w:type="dxa"/>
            <w:shd w:val="clear" w:color="auto" w:fill="auto"/>
            <w:noWrap/>
            <w:hideMark/>
          </w:tcPr>
          <w:p w14:paraId="6E7D2B97" w14:textId="77777777" w:rsidR="00172330" w:rsidRPr="000E1B7E" w:rsidRDefault="00172330" w:rsidP="005959B5">
            <w:pPr>
              <w:jc w:val="both"/>
              <w:rPr>
                <w:color w:val="000000"/>
                <w:sz w:val="20"/>
                <w:szCs w:val="20"/>
                <w:lang w:val="en-US"/>
              </w:rPr>
            </w:pPr>
            <w:r w:rsidRPr="000E1B7E">
              <w:rPr>
                <w:color w:val="000000"/>
                <w:sz w:val="20"/>
                <w:szCs w:val="20"/>
                <w:lang w:val="en-US"/>
              </w:rPr>
              <w:t>5</w:t>
            </w:r>
          </w:p>
        </w:tc>
        <w:tc>
          <w:tcPr>
            <w:tcW w:w="3640" w:type="dxa"/>
            <w:shd w:val="clear" w:color="auto" w:fill="auto"/>
            <w:vAlign w:val="center"/>
            <w:hideMark/>
          </w:tcPr>
          <w:p w14:paraId="52FE2ED3" w14:textId="77777777" w:rsidR="00172330" w:rsidRPr="000E1B7E" w:rsidRDefault="00172330" w:rsidP="005959B5">
            <w:pPr>
              <w:jc w:val="both"/>
              <w:rPr>
                <w:sz w:val="20"/>
                <w:szCs w:val="20"/>
                <w:lang w:val="en-US"/>
              </w:rPr>
            </w:pPr>
            <w:r w:rsidRPr="000E1B7E">
              <w:rPr>
                <w:sz w:val="20"/>
                <w:szCs w:val="20"/>
                <w:lang w:val="en-US"/>
              </w:rPr>
              <w:t>Nakasero-Northern      Bypass Express Route (VVIP)</w:t>
            </w:r>
          </w:p>
        </w:tc>
        <w:tc>
          <w:tcPr>
            <w:tcW w:w="1236" w:type="dxa"/>
            <w:shd w:val="clear" w:color="auto" w:fill="auto"/>
            <w:noWrap/>
            <w:hideMark/>
          </w:tcPr>
          <w:p w14:paraId="7C572EF0" w14:textId="77777777" w:rsidR="00172330" w:rsidRPr="000E1B7E" w:rsidRDefault="00172330" w:rsidP="005959B5">
            <w:pPr>
              <w:jc w:val="both"/>
              <w:rPr>
                <w:color w:val="000000"/>
                <w:sz w:val="20"/>
                <w:szCs w:val="20"/>
                <w:lang w:val="en-US"/>
              </w:rPr>
            </w:pPr>
            <w:r w:rsidRPr="000E1B7E">
              <w:rPr>
                <w:color w:val="000000"/>
                <w:sz w:val="20"/>
                <w:szCs w:val="20"/>
                <w:lang w:val="en-US"/>
              </w:rPr>
              <w:t>5</w:t>
            </w:r>
          </w:p>
        </w:tc>
        <w:tc>
          <w:tcPr>
            <w:tcW w:w="7719" w:type="dxa"/>
            <w:shd w:val="clear" w:color="auto" w:fill="auto"/>
            <w:hideMark/>
          </w:tcPr>
          <w:p w14:paraId="37B0A8AC" w14:textId="77777777" w:rsidR="00172330" w:rsidRPr="000E1B7E" w:rsidRDefault="00172330" w:rsidP="005959B5">
            <w:pPr>
              <w:jc w:val="both"/>
              <w:rPr>
                <w:color w:val="000000"/>
                <w:sz w:val="20"/>
                <w:szCs w:val="20"/>
                <w:lang w:val="en-US"/>
              </w:rPr>
            </w:pPr>
            <w:r w:rsidRPr="000E1B7E">
              <w:rPr>
                <w:sz w:val="20"/>
                <w:szCs w:val="20"/>
                <w:lang w:val="en-US"/>
              </w:rPr>
              <w:t>Design commenced in December 2016; Inception and Design Base Statement submitted;</w:t>
            </w:r>
            <w:r w:rsidRPr="000E1B7E">
              <w:rPr>
                <w:sz w:val="20"/>
                <w:szCs w:val="20"/>
                <w:lang w:val="en-US"/>
              </w:rPr>
              <w:br/>
              <w:t>Draft Feasibility Study and Preliminary report expected by April 2018</w:t>
            </w:r>
          </w:p>
        </w:tc>
      </w:tr>
      <w:tr w:rsidR="00172330" w:rsidRPr="000E1B7E" w14:paraId="23CDED48" w14:textId="77777777" w:rsidTr="00401E81">
        <w:trPr>
          <w:trHeight w:val="710"/>
        </w:trPr>
        <w:tc>
          <w:tcPr>
            <w:tcW w:w="560" w:type="dxa"/>
            <w:shd w:val="clear" w:color="000000" w:fill="F3E3EA"/>
            <w:noWrap/>
            <w:hideMark/>
          </w:tcPr>
          <w:p w14:paraId="2DD77547" w14:textId="77777777" w:rsidR="00172330" w:rsidRPr="000E1B7E" w:rsidRDefault="00172330" w:rsidP="005959B5">
            <w:pPr>
              <w:jc w:val="both"/>
              <w:rPr>
                <w:color w:val="000000"/>
                <w:sz w:val="20"/>
                <w:szCs w:val="20"/>
                <w:lang w:val="en-US"/>
              </w:rPr>
            </w:pPr>
            <w:r w:rsidRPr="000E1B7E">
              <w:rPr>
                <w:color w:val="000000"/>
                <w:sz w:val="20"/>
                <w:szCs w:val="20"/>
                <w:lang w:val="en-US"/>
              </w:rPr>
              <w:t>6</w:t>
            </w:r>
          </w:p>
        </w:tc>
        <w:tc>
          <w:tcPr>
            <w:tcW w:w="3640" w:type="dxa"/>
            <w:shd w:val="clear" w:color="000000" w:fill="F3E3EA"/>
            <w:hideMark/>
          </w:tcPr>
          <w:p w14:paraId="3DBB01C8" w14:textId="77777777" w:rsidR="00172330" w:rsidRPr="000E1B7E" w:rsidRDefault="00172330" w:rsidP="005959B5">
            <w:pPr>
              <w:jc w:val="both"/>
              <w:rPr>
                <w:sz w:val="20"/>
                <w:szCs w:val="20"/>
                <w:lang w:val="en-US"/>
              </w:rPr>
            </w:pPr>
            <w:r w:rsidRPr="000E1B7E">
              <w:rPr>
                <w:sz w:val="20"/>
                <w:szCs w:val="20"/>
                <w:lang w:val="en-US"/>
              </w:rPr>
              <w:t>Kampala-Bombo</w:t>
            </w:r>
          </w:p>
        </w:tc>
        <w:tc>
          <w:tcPr>
            <w:tcW w:w="1236" w:type="dxa"/>
            <w:shd w:val="clear" w:color="000000" w:fill="F3E3EA"/>
            <w:noWrap/>
            <w:hideMark/>
          </w:tcPr>
          <w:p w14:paraId="4A401917" w14:textId="77777777" w:rsidR="00172330" w:rsidRPr="000E1B7E" w:rsidRDefault="00172330" w:rsidP="005959B5">
            <w:pPr>
              <w:jc w:val="both"/>
              <w:rPr>
                <w:color w:val="000000"/>
                <w:sz w:val="20"/>
                <w:szCs w:val="20"/>
                <w:lang w:val="en-US"/>
              </w:rPr>
            </w:pPr>
            <w:r w:rsidRPr="000E1B7E">
              <w:rPr>
                <w:color w:val="000000"/>
                <w:sz w:val="20"/>
                <w:szCs w:val="20"/>
                <w:lang w:val="en-US"/>
              </w:rPr>
              <w:t>50</w:t>
            </w:r>
          </w:p>
        </w:tc>
        <w:tc>
          <w:tcPr>
            <w:tcW w:w="7719" w:type="dxa"/>
            <w:shd w:val="clear" w:color="000000" w:fill="F3E3EA"/>
            <w:hideMark/>
          </w:tcPr>
          <w:p w14:paraId="180F737B" w14:textId="77777777" w:rsidR="00172330" w:rsidRPr="000E1B7E" w:rsidRDefault="00172330" w:rsidP="005959B5">
            <w:pPr>
              <w:jc w:val="both"/>
              <w:rPr>
                <w:color w:val="000000"/>
                <w:sz w:val="20"/>
                <w:szCs w:val="20"/>
                <w:lang w:val="en-US"/>
              </w:rPr>
            </w:pPr>
            <w:r w:rsidRPr="000E1B7E">
              <w:rPr>
                <w:sz w:val="20"/>
                <w:szCs w:val="20"/>
                <w:lang w:val="en-US"/>
              </w:rPr>
              <w:t>Geotechnical investigations for alignment materials, borrow areas and quarries is ongoing</w:t>
            </w:r>
            <w:r w:rsidRPr="000E1B7E">
              <w:rPr>
                <w:sz w:val="20"/>
                <w:szCs w:val="20"/>
                <w:lang w:val="en-US"/>
              </w:rPr>
              <w:br/>
              <w:t>Draft Feasibility study and preliminary design has been submitted by and final Feasibility study is expected by April 2018.</w:t>
            </w:r>
          </w:p>
        </w:tc>
      </w:tr>
      <w:tr w:rsidR="00172330" w:rsidRPr="000E1B7E" w14:paraId="358B0C8E" w14:textId="77777777" w:rsidTr="00401E81">
        <w:trPr>
          <w:trHeight w:val="285"/>
        </w:trPr>
        <w:tc>
          <w:tcPr>
            <w:tcW w:w="5436" w:type="dxa"/>
            <w:gridSpan w:val="3"/>
            <w:shd w:val="clear" w:color="auto" w:fill="auto"/>
            <w:noWrap/>
            <w:hideMark/>
          </w:tcPr>
          <w:p w14:paraId="2E14B474" w14:textId="77777777" w:rsidR="00172330" w:rsidRPr="000E1B7E" w:rsidRDefault="00172330" w:rsidP="005959B5">
            <w:pPr>
              <w:jc w:val="both"/>
              <w:rPr>
                <w:sz w:val="20"/>
                <w:szCs w:val="20"/>
                <w:lang w:val="en-US"/>
              </w:rPr>
            </w:pPr>
            <w:r w:rsidRPr="000E1B7E">
              <w:rPr>
                <w:sz w:val="20"/>
                <w:szCs w:val="20"/>
                <w:lang w:val="en-US"/>
              </w:rPr>
              <w:t>Source: UNRA Projects Status Report for March 2018</w:t>
            </w:r>
          </w:p>
        </w:tc>
        <w:tc>
          <w:tcPr>
            <w:tcW w:w="7719" w:type="dxa"/>
            <w:shd w:val="clear" w:color="auto" w:fill="auto"/>
            <w:noWrap/>
            <w:hideMark/>
          </w:tcPr>
          <w:p w14:paraId="6B5BA30D" w14:textId="77777777" w:rsidR="00172330" w:rsidRPr="000E1B7E" w:rsidRDefault="00172330" w:rsidP="005959B5">
            <w:pPr>
              <w:jc w:val="both"/>
              <w:rPr>
                <w:color w:val="000000"/>
                <w:sz w:val="20"/>
                <w:szCs w:val="20"/>
                <w:lang w:val="en-US"/>
              </w:rPr>
            </w:pPr>
          </w:p>
        </w:tc>
      </w:tr>
    </w:tbl>
    <w:p w14:paraId="326D6D8B" w14:textId="77777777" w:rsidR="002075C8" w:rsidRPr="000E1B7E" w:rsidRDefault="002075C8" w:rsidP="00C044D4">
      <w:pPr>
        <w:pStyle w:val="Heading2"/>
      </w:pPr>
    </w:p>
    <w:p w14:paraId="2B102BB0" w14:textId="77777777" w:rsidR="00675F39" w:rsidRPr="000E1B7E" w:rsidRDefault="00514856" w:rsidP="00C044D4">
      <w:pPr>
        <w:pStyle w:val="Heading2"/>
      </w:pPr>
      <w:bookmarkStart w:id="174" w:name="_Toc3478409"/>
      <w:bookmarkStart w:id="175" w:name="_Toc11956289"/>
      <w:r w:rsidRPr="000E1B7E">
        <w:t>Appendix 6</w:t>
      </w:r>
      <w:r w:rsidR="00675F39" w:rsidRPr="000E1B7E">
        <w:t>:</w:t>
      </w:r>
      <w:r w:rsidR="00675F39" w:rsidRPr="000E1B7E">
        <w:rPr>
          <w:lang w:val="en-US"/>
        </w:rPr>
        <w:t xml:space="preserve"> Planned and on-going Energy Projects</w:t>
      </w:r>
      <w:bookmarkEnd w:id="174"/>
      <w:bookmarkEnd w:id="175"/>
    </w:p>
    <w:tbl>
      <w:tblPr>
        <w:tblW w:w="13245" w:type="dxa"/>
        <w:tblInd w:w="93" w:type="dxa"/>
        <w:tblLook w:val="04A0" w:firstRow="1" w:lastRow="0" w:firstColumn="1" w:lastColumn="0" w:noHBand="0" w:noVBand="1"/>
      </w:tblPr>
      <w:tblGrid>
        <w:gridCol w:w="3255"/>
        <w:gridCol w:w="3150"/>
        <w:gridCol w:w="6480"/>
        <w:gridCol w:w="360"/>
      </w:tblGrid>
      <w:tr w:rsidR="00675F39" w:rsidRPr="000E1B7E" w14:paraId="781C3575" w14:textId="77777777" w:rsidTr="00E7540C">
        <w:trPr>
          <w:trHeight w:val="255"/>
        </w:trPr>
        <w:tc>
          <w:tcPr>
            <w:tcW w:w="3255" w:type="dxa"/>
            <w:tcBorders>
              <w:top w:val="nil"/>
              <w:left w:val="nil"/>
              <w:bottom w:val="nil"/>
              <w:right w:val="nil"/>
            </w:tcBorders>
            <w:shd w:val="clear" w:color="000000" w:fill="A4185B"/>
            <w:hideMark/>
          </w:tcPr>
          <w:p w14:paraId="2668CFA3" w14:textId="77777777" w:rsidR="00675F39" w:rsidRPr="000E1B7E" w:rsidRDefault="00675F39" w:rsidP="005959B5">
            <w:pPr>
              <w:jc w:val="both"/>
              <w:rPr>
                <w:b/>
                <w:bCs/>
                <w:color w:val="FFFFFF"/>
                <w:sz w:val="20"/>
                <w:szCs w:val="20"/>
                <w:lang w:val="en-US"/>
              </w:rPr>
            </w:pPr>
            <w:r w:rsidRPr="000E1B7E">
              <w:rPr>
                <w:b/>
                <w:bCs/>
                <w:color w:val="FFFFFF"/>
                <w:sz w:val="20"/>
                <w:szCs w:val="20"/>
                <w:lang w:val="en-US"/>
              </w:rPr>
              <w:t xml:space="preserve">Project Category                                     </w:t>
            </w:r>
          </w:p>
        </w:tc>
        <w:tc>
          <w:tcPr>
            <w:tcW w:w="9990" w:type="dxa"/>
            <w:gridSpan w:val="3"/>
            <w:tcBorders>
              <w:top w:val="nil"/>
              <w:left w:val="nil"/>
              <w:bottom w:val="nil"/>
              <w:right w:val="nil"/>
            </w:tcBorders>
            <w:shd w:val="clear" w:color="000000" w:fill="A4185B"/>
            <w:hideMark/>
          </w:tcPr>
          <w:p w14:paraId="1DF26BBF" w14:textId="77777777" w:rsidR="00675F39" w:rsidRPr="000E1B7E" w:rsidRDefault="00675F39" w:rsidP="005959B5">
            <w:pPr>
              <w:jc w:val="both"/>
              <w:rPr>
                <w:b/>
                <w:bCs/>
                <w:color w:val="FFFFFF"/>
                <w:sz w:val="20"/>
                <w:szCs w:val="20"/>
                <w:lang w:val="en-US"/>
              </w:rPr>
            </w:pPr>
            <w:r w:rsidRPr="000E1B7E">
              <w:rPr>
                <w:b/>
                <w:bCs/>
                <w:color w:val="FFFFFF"/>
                <w:sz w:val="20"/>
                <w:szCs w:val="20"/>
                <w:lang w:val="en-US"/>
              </w:rPr>
              <w:t xml:space="preserve"> Project Description</w:t>
            </w:r>
          </w:p>
        </w:tc>
      </w:tr>
      <w:tr w:rsidR="00675F39" w:rsidRPr="000E1B7E" w14:paraId="492AA677" w14:textId="77777777" w:rsidTr="00E7540C">
        <w:trPr>
          <w:trHeight w:val="765"/>
        </w:trPr>
        <w:tc>
          <w:tcPr>
            <w:tcW w:w="3255" w:type="dxa"/>
            <w:tcBorders>
              <w:top w:val="single" w:sz="4" w:space="0" w:color="A4185B"/>
              <w:left w:val="single" w:sz="4" w:space="0" w:color="A4185B"/>
              <w:bottom w:val="single" w:sz="4" w:space="0" w:color="A4185B"/>
              <w:right w:val="nil"/>
            </w:tcBorders>
            <w:shd w:val="clear" w:color="000000" w:fill="F3E3EA"/>
            <w:vAlign w:val="center"/>
            <w:hideMark/>
          </w:tcPr>
          <w:p w14:paraId="6D3BB6BF" w14:textId="77777777" w:rsidR="00675F39" w:rsidRPr="000E1B7E" w:rsidRDefault="00675F39" w:rsidP="005959B5">
            <w:pPr>
              <w:jc w:val="both"/>
              <w:rPr>
                <w:sz w:val="20"/>
                <w:szCs w:val="20"/>
                <w:lang w:val="en-US"/>
              </w:rPr>
            </w:pPr>
            <w:r w:rsidRPr="000E1B7E">
              <w:rPr>
                <w:sz w:val="20"/>
                <w:szCs w:val="20"/>
                <w:lang w:val="en-US"/>
              </w:rPr>
              <w:t>Power evacuation</w:t>
            </w:r>
          </w:p>
        </w:tc>
        <w:tc>
          <w:tcPr>
            <w:tcW w:w="9990" w:type="dxa"/>
            <w:gridSpan w:val="3"/>
            <w:tcBorders>
              <w:top w:val="single" w:sz="4" w:space="0" w:color="A4185B"/>
              <w:left w:val="single" w:sz="4" w:space="0" w:color="A4185B"/>
              <w:bottom w:val="single" w:sz="4" w:space="0" w:color="A4185B"/>
              <w:right w:val="nil"/>
            </w:tcBorders>
            <w:shd w:val="clear" w:color="000000" w:fill="F3E3EA"/>
            <w:hideMark/>
          </w:tcPr>
          <w:p w14:paraId="26DEB74C" w14:textId="77777777" w:rsidR="00675F39" w:rsidRPr="000E1B7E" w:rsidRDefault="00675F39" w:rsidP="005959B5">
            <w:pPr>
              <w:jc w:val="both"/>
              <w:rPr>
                <w:color w:val="000000"/>
                <w:sz w:val="20"/>
                <w:szCs w:val="20"/>
                <w:lang w:val="en-US"/>
              </w:rPr>
            </w:pPr>
            <w:r w:rsidRPr="000E1B7E">
              <w:rPr>
                <w:sz w:val="20"/>
                <w:szCs w:val="20"/>
                <w:lang w:val="en-US"/>
              </w:rPr>
              <w:t>a) BujagaliIsimba 132kV to evacuate 183MW Isimba hydro power plant to the grid</w:t>
            </w:r>
            <w:r w:rsidRPr="000E1B7E">
              <w:rPr>
                <w:sz w:val="20"/>
                <w:szCs w:val="20"/>
                <w:lang w:val="en-US"/>
              </w:rPr>
              <w:br/>
              <w:t>b) Karuma Interconnection project to evacuate 600MW Karumahy- dro power plant to the grid</w:t>
            </w:r>
            <w:r w:rsidRPr="000E1B7E">
              <w:rPr>
                <w:sz w:val="20"/>
                <w:szCs w:val="20"/>
                <w:lang w:val="en-US"/>
              </w:rPr>
              <w:br/>
              <w:t>c)  AgagoAchwa 42MW (83-105MW) hydro power plant to the grid</w:t>
            </w:r>
          </w:p>
        </w:tc>
      </w:tr>
      <w:tr w:rsidR="00675F39" w:rsidRPr="000E1B7E" w14:paraId="775A7D2E" w14:textId="77777777" w:rsidTr="00E7540C">
        <w:trPr>
          <w:trHeight w:val="765"/>
        </w:trPr>
        <w:tc>
          <w:tcPr>
            <w:tcW w:w="3255" w:type="dxa"/>
            <w:tcBorders>
              <w:top w:val="nil"/>
              <w:left w:val="single" w:sz="4" w:space="0" w:color="A4185B"/>
              <w:bottom w:val="single" w:sz="4" w:space="0" w:color="A4185B"/>
              <w:right w:val="nil"/>
            </w:tcBorders>
            <w:shd w:val="clear" w:color="auto" w:fill="auto"/>
            <w:hideMark/>
          </w:tcPr>
          <w:p w14:paraId="0441047E" w14:textId="77777777" w:rsidR="00675F39" w:rsidRPr="000E1B7E" w:rsidRDefault="00675F39" w:rsidP="005959B5">
            <w:pPr>
              <w:jc w:val="both"/>
              <w:rPr>
                <w:sz w:val="20"/>
                <w:szCs w:val="20"/>
                <w:lang w:val="en-US"/>
              </w:rPr>
            </w:pPr>
            <w:r w:rsidRPr="000E1B7E">
              <w:rPr>
                <w:sz w:val="20"/>
                <w:szCs w:val="20"/>
                <w:lang w:val="en-US"/>
              </w:rPr>
              <w:t>Grid extension</w:t>
            </w:r>
          </w:p>
        </w:tc>
        <w:tc>
          <w:tcPr>
            <w:tcW w:w="9990" w:type="dxa"/>
            <w:gridSpan w:val="3"/>
            <w:tcBorders>
              <w:top w:val="nil"/>
              <w:left w:val="single" w:sz="4" w:space="0" w:color="A4185B"/>
              <w:bottom w:val="single" w:sz="4" w:space="0" w:color="A4185B"/>
              <w:right w:val="nil"/>
            </w:tcBorders>
            <w:shd w:val="clear" w:color="auto" w:fill="auto"/>
            <w:hideMark/>
          </w:tcPr>
          <w:p w14:paraId="4D560068" w14:textId="77777777" w:rsidR="00675F39" w:rsidRPr="000E1B7E" w:rsidRDefault="00675F39" w:rsidP="005959B5">
            <w:pPr>
              <w:jc w:val="both"/>
              <w:rPr>
                <w:sz w:val="20"/>
                <w:szCs w:val="20"/>
                <w:lang w:val="en-US"/>
              </w:rPr>
            </w:pPr>
            <w:r w:rsidRPr="000E1B7E">
              <w:rPr>
                <w:sz w:val="20"/>
                <w:szCs w:val="20"/>
                <w:lang w:val="en-US"/>
              </w:rPr>
              <w:t>a) MbararaNkenda 132kV transmission line</w:t>
            </w:r>
            <w:r w:rsidRPr="000E1B7E">
              <w:rPr>
                <w:sz w:val="20"/>
                <w:szCs w:val="20"/>
                <w:lang w:val="en-US"/>
              </w:rPr>
              <w:br/>
              <w:t>b) Hoima Fort Portal Nkenda Project. This line will also evacuate 58MW oil and gas thermal power plants and 48MW Muzizi hydro power plant</w:t>
            </w:r>
          </w:p>
        </w:tc>
      </w:tr>
      <w:tr w:rsidR="00675F39" w:rsidRPr="000E1B7E" w14:paraId="1B2A3648" w14:textId="77777777" w:rsidTr="002075C8">
        <w:trPr>
          <w:trHeight w:val="530"/>
        </w:trPr>
        <w:tc>
          <w:tcPr>
            <w:tcW w:w="3255" w:type="dxa"/>
            <w:tcBorders>
              <w:top w:val="nil"/>
              <w:left w:val="single" w:sz="4" w:space="0" w:color="A4185B"/>
              <w:bottom w:val="single" w:sz="4" w:space="0" w:color="A4185B"/>
              <w:right w:val="nil"/>
            </w:tcBorders>
            <w:shd w:val="clear" w:color="000000" w:fill="F3E3EA"/>
            <w:hideMark/>
          </w:tcPr>
          <w:p w14:paraId="65814106" w14:textId="77777777" w:rsidR="00675F39" w:rsidRPr="000E1B7E" w:rsidRDefault="00675F39" w:rsidP="005959B5">
            <w:pPr>
              <w:jc w:val="both"/>
              <w:rPr>
                <w:sz w:val="20"/>
                <w:szCs w:val="20"/>
                <w:lang w:val="en-US"/>
              </w:rPr>
            </w:pPr>
            <w:r w:rsidRPr="000E1B7E">
              <w:rPr>
                <w:sz w:val="20"/>
                <w:szCs w:val="20"/>
                <w:lang w:val="en-US"/>
              </w:rPr>
              <w:t>Regional   interconnection   projects   for power trade and exchange</w:t>
            </w:r>
          </w:p>
        </w:tc>
        <w:tc>
          <w:tcPr>
            <w:tcW w:w="9990" w:type="dxa"/>
            <w:gridSpan w:val="3"/>
            <w:tcBorders>
              <w:top w:val="nil"/>
              <w:left w:val="single" w:sz="4" w:space="0" w:color="A4185B"/>
              <w:bottom w:val="single" w:sz="4" w:space="0" w:color="A4185B"/>
              <w:right w:val="nil"/>
            </w:tcBorders>
            <w:shd w:val="clear" w:color="000000" w:fill="F3E3EA"/>
            <w:hideMark/>
          </w:tcPr>
          <w:p w14:paraId="2AA87200" w14:textId="77777777" w:rsidR="00675F39" w:rsidRPr="000E1B7E" w:rsidRDefault="00675F39" w:rsidP="005959B5">
            <w:pPr>
              <w:jc w:val="both"/>
              <w:rPr>
                <w:sz w:val="20"/>
                <w:szCs w:val="20"/>
                <w:lang w:val="en-US"/>
              </w:rPr>
            </w:pPr>
            <w:r w:rsidRPr="000E1B7E">
              <w:rPr>
                <w:sz w:val="20"/>
                <w:szCs w:val="20"/>
                <w:lang w:val="en-US"/>
              </w:rPr>
              <w:t>Kenya  Uganda  Rwanda  220kV  Interconnection  project  with  as- sociated substations at Lessos, Tororo, Bujagali, Mbarara South, Mirama and Birembo</w:t>
            </w:r>
          </w:p>
        </w:tc>
      </w:tr>
      <w:tr w:rsidR="00675F39" w:rsidRPr="000E1B7E" w14:paraId="0C40D21A" w14:textId="77777777" w:rsidTr="002075C8">
        <w:trPr>
          <w:trHeight w:val="557"/>
        </w:trPr>
        <w:tc>
          <w:tcPr>
            <w:tcW w:w="3255" w:type="dxa"/>
            <w:tcBorders>
              <w:top w:val="nil"/>
              <w:left w:val="single" w:sz="4" w:space="0" w:color="A4185B"/>
              <w:bottom w:val="single" w:sz="4" w:space="0" w:color="A4185B"/>
              <w:right w:val="nil"/>
            </w:tcBorders>
            <w:shd w:val="clear" w:color="auto" w:fill="auto"/>
            <w:vAlign w:val="center"/>
            <w:hideMark/>
          </w:tcPr>
          <w:p w14:paraId="3D711830" w14:textId="77777777" w:rsidR="00675F39" w:rsidRPr="000E1B7E" w:rsidRDefault="00675F39" w:rsidP="005959B5">
            <w:pPr>
              <w:jc w:val="both"/>
              <w:rPr>
                <w:sz w:val="20"/>
                <w:szCs w:val="20"/>
                <w:lang w:val="en-US"/>
              </w:rPr>
            </w:pPr>
            <w:r w:rsidRPr="000E1B7E">
              <w:rPr>
                <w:sz w:val="20"/>
                <w:szCs w:val="20"/>
                <w:lang w:val="en-US"/>
              </w:rPr>
              <w:t>Industrial and Commercial load centres</w:t>
            </w:r>
          </w:p>
        </w:tc>
        <w:tc>
          <w:tcPr>
            <w:tcW w:w="9990" w:type="dxa"/>
            <w:gridSpan w:val="3"/>
            <w:tcBorders>
              <w:top w:val="nil"/>
              <w:left w:val="single" w:sz="4" w:space="0" w:color="A4185B"/>
              <w:bottom w:val="single" w:sz="4" w:space="0" w:color="A4185B"/>
              <w:right w:val="nil"/>
            </w:tcBorders>
            <w:shd w:val="clear" w:color="auto" w:fill="auto"/>
            <w:hideMark/>
          </w:tcPr>
          <w:p w14:paraId="36B9AD79" w14:textId="77777777" w:rsidR="00675F39" w:rsidRPr="000E1B7E" w:rsidRDefault="00675F39" w:rsidP="005959B5">
            <w:pPr>
              <w:jc w:val="both"/>
              <w:rPr>
                <w:sz w:val="20"/>
                <w:szCs w:val="20"/>
                <w:lang w:val="en-US"/>
              </w:rPr>
            </w:pPr>
            <w:r w:rsidRPr="000E1B7E">
              <w:rPr>
                <w:sz w:val="20"/>
                <w:szCs w:val="20"/>
                <w:lang w:val="en-US"/>
              </w:rPr>
              <w:t>Power supply to industrial and commercial loads (Power Supply to  Industrial  parks,  Free  Trade  Zones  and  the  Standard  Gauge Railway Project that shall increase power demand and minimize deemed energy)</w:t>
            </w:r>
          </w:p>
        </w:tc>
      </w:tr>
      <w:tr w:rsidR="00675F39" w:rsidRPr="000E1B7E" w14:paraId="37197C49" w14:textId="77777777" w:rsidTr="00E7540C">
        <w:trPr>
          <w:trHeight w:val="1275"/>
        </w:trPr>
        <w:tc>
          <w:tcPr>
            <w:tcW w:w="3255" w:type="dxa"/>
            <w:tcBorders>
              <w:top w:val="nil"/>
              <w:left w:val="single" w:sz="4" w:space="0" w:color="A4185B"/>
              <w:bottom w:val="single" w:sz="4" w:space="0" w:color="A4185B"/>
              <w:right w:val="nil"/>
            </w:tcBorders>
            <w:shd w:val="clear" w:color="000000" w:fill="F3E3EA"/>
            <w:vAlign w:val="center"/>
            <w:hideMark/>
          </w:tcPr>
          <w:p w14:paraId="2DC8EC70" w14:textId="77777777" w:rsidR="00675F39" w:rsidRPr="000E1B7E" w:rsidRDefault="00675F39" w:rsidP="005959B5">
            <w:pPr>
              <w:jc w:val="both"/>
              <w:rPr>
                <w:sz w:val="20"/>
                <w:szCs w:val="20"/>
                <w:lang w:val="en-US"/>
              </w:rPr>
            </w:pPr>
            <w:r w:rsidRPr="000E1B7E">
              <w:rPr>
                <w:sz w:val="20"/>
                <w:szCs w:val="20"/>
                <w:lang w:val="en-US"/>
              </w:rPr>
              <w:lastRenderedPageBreak/>
              <w:t>Transmission lines (2018)</w:t>
            </w:r>
          </w:p>
        </w:tc>
        <w:tc>
          <w:tcPr>
            <w:tcW w:w="9990" w:type="dxa"/>
            <w:gridSpan w:val="3"/>
            <w:tcBorders>
              <w:top w:val="nil"/>
              <w:left w:val="single" w:sz="4" w:space="0" w:color="A4185B"/>
              <w:bottom w:val="single" w:sz="4" w:space="0" w:color="A4185B"/>
              <w:right w:val="nil"/>
            </w:tcBorders>
            <w:shd w:val="clear" w:color="000000" w:fill="F3E3EA"/>
            <w:hideMark/>
          </w:tcPr>
          <w:p w14:paraId="102358FC" w14:textId="77777777" w:rsidR="00675F39" w:rsidRPr="000E1B7E" w:rsidRDefault="00675F39" w:rsidP="005959B5">
            <w:pPr>
              <w:jc w:val="both"/>
              <w:rPr>
                <w:color w:val="000000"/>
                <w:sz w:val="20"/>
                <w:szCs w:val="20"/>
                <w:lang w:val="en-US"/>
              </w:rPr>
            </w:pPr>
            <w:r w:rsidRPr="000E1B7E">
              <w:rPr>
                <w:sz w:val="20"/>
                <w:szCs w:val="20"/>
                <w:lang w:val="en-US"/>
              </w:rPr>
              <w:t>a)   Mbarara – Nkenda 132kV Line</w:t>
            </w:r>
            <w:r w:rsidRPr="000E1B7E">
              <w:rPr>
                <w:sz w:val="20"/>
                <w:szCs w:val="20"/>
                <w:lang w:val="en-US"/>
              </w:rPr>
              <w:br/>
              <w:t>b)   Mbarara – Mirama 220kV Transmission Line</w:t>
            </w:r>
            <w:r w:rsidRPr="000E1B7E">
              <w:rPr>
                <w:sz w:val="20"/>
                <w:szCs w:val="20"/>
                <w:lang w:val="en-US"/>
              </w:rPr>
              <w:br/>
              <w:t>c)   Nkenda-Hoima 220kV line</w:t>
            </w:r>
            <w:r w:rsidRPr="000E1B7E">
              <w:rPr>
                <w:sz w:val="20"/>
                <w:szCs w:val="20"/>
                <w:lang w:val="en-US"/>
              </w:rPr>
              <w:br/>
              <w:t>d)   Queensway Substation</w:t>
            </w:r>
            <w:r w:rsidRPr="000E1B7E">
              <w:rPr>
                <w:sz w:val="20"/>
                <w:szCs w:val="20"/>
                <w:lang w:val="en-US"/>
              </w:rPr>
              <w:br/>
              <w:t>e)   Waki, Lubilia, Rwimi, Nkusi, Mahoma, AgagoAchwa (phase 1)</w:t>
            </w:r>
          </w:p>
        </w:tc>
      </w:tr>
      <w:tr w:rsidR="00675F39" w:rsidRPr="000E1B7E" w14:paraId="5A1E8A9B" w14:textId="77777777" w:rsidTr="00E7540C">
        <w:trPr>
          <w:trHeight w:val="255"/>
        </w:trPr>
        <w:tc>
          <w:tcPr>
            <w:tcW w:w="3255" w:type="dxa"/>
            <w:tcBorders>
              <w:top w:val="nil"/>
              <w:left w:val="nil"/>
              <w:bottom w:val="nil"/>
              <w:right w:val="nil"/>
            </w:tcBorders>
            <w:shd w:val="clear" w:color="auto" w:fill="auto"/>
            <w:noWrap/>
            <w:hideMark/>
          </w:tcPr>
          <w:p w14:paraId="67C1D3F5" w14:textId="77777777" w:rsidR="00675F39" w:rsidRPr="000E1B7E" w:rsidRDefault="00675F39" w:rsidP="005959B5">
            <w:pPr>
              <w:jc w:val="both"/>
              <w:rPr>
                <w:sz w:val="20"/>
                <w:szCs w:val="20"/>
                <w:lang w:val="en-US"/>
              </w:rPr>
            </w:pPr>
            <w:r w:rsidRPr="000E1B7E">
              <w:rPr>
                <w:sz w:val="20"/>
                <w:szCs w:val="20"/>
                <w:lang w:val="en-US"/>
              </w:rPr>
              <w:t>Source: MEMD FY 2018/19 MPS</w:t>
            </w:r>
          </w:p>
        </w:tc>
        <w:tc>
          <w:tcPr>
            <w:tcW w:w="9990" w:type="dxa"/>
            <w:gridSpan w:val="3"/>
            <w:tcBorders>
              <w:top w:val="nil"/>
              <w:left w:val="nil"/>
              <w:bottom w:val="nil"/>
              <w:right w:val="nil"/>
            </w:tcBorders>
            <w:shd w:val="clear" w:color="auto" w:fill="auto"/>
            <w:noWrap/>
            <w:hideMark/>
          </w:tcPr>
          <w:p w14:paraId="11ED5D3C" w14:textId="77777777" w:rsidR="00675F39" w:rsidRPr="000E1B7E" w:rsidRDefault="00675F39" w:rsidP="005959B5">
            <w:pPr>
              <w:jc w:val="both"/>
              <w:rPr>
                <w:color w:val="000000"/>
                <w:sz w:val="20"/>
                <w:szCs w:val="20"/>
                <w:lang w:val="en-US"/>
              </w:rPr>
            </w:pPr>
          </w:p>
        </w:tc>
      </w:tr>
      <w:tr w:rsidR="00E7540C" w:rsidRPr="000E1B7E" w14:paraId="46FA9B2C" w14:textId="77777777" w:rsidTr="00E7540C">
        <w:trPr>
          <w:gridAfter w:val="1"/>
          <w:wAfter w:w="360" w:type="dxa"/>
          <w:trHeight w:val="255"/>
        </w:trPr>
        <w:tc>
          <w:tcPr>
            <w:tcW w:w="12885" w:type="dxa"/>
            <w:gridSpan w:val="3"/>
            <w:tcBorders>
              <w:top w:val="nil"/>
              <w:left w:val="nil"/>
              <w:bottom w:val="nil"/>
              <w:right w:val="nil"/>
            </w:tcBorders>
            <w:shd w:val="clear" w:color="auto" w:fill="auto"/>
            <w:noWrap/>
            <w:hideMark/>
          </w:tcPr>
          <w:p w14:paraId="60B844E8" w14:textId="77777777" w:rsidR="00240DEA" w:rsidRPr="000E1B7E" w:rsidRDefault="00240DEA" w:rsidP="00C044D4">
            <w:pPr>
              <w:pStyle w:val="Heading2"/>
              <w:rPr>
                <w:lang w:val="en-US"/>
              </w:rPr>
            </w:pPr>
          </w:p>
          <w:p w14:paraId="18386801" w14:textId="77777777" w:rsidR="00E7540C" w:rsidRPr="000E1B7E" w:rsidRDefault="00514856" w:rsidP="00C044D4">
            <w:pPr>
              <w:pStyle w:val="Heading2"/>
              <w:rPr>
                <w:lang w:val="en-US"/>
              </w:rPr>
            </w:pPr>
            <w:bookmarkStart w:id="176" w:name="_Toc3478410"/>
            <w:bookmarkStart w:id="177" w:name="_Toc11956290"/>
            <w:r w:rsidRPr="000E1B7E">
              <w:rPr>
                <w:lang w:val="en-US"/>
              </w:rPr>
              <w:t>Appendix 7</w:t>
            </w:r>
            <w:r w:rsidR="00E7540C" w:rsidRPr="000E1B7E">
              <w:rPr>
                <w:lang w:val="en-US"/>
              </w:rPr>
              <w:t xml:space="preserve">: Energy Projects for </w:t>
            </w:r>
            <w:r w:rsidR="00240DEA" w:rsidRPr="000E1B7E">
              <w:rPr>
                <w:lang w:val="en-US"/>
              </w:rPr>
              <w:t>Industrialization</w:t>
            </w:r>
            <w:r w:rsidR="00E7540C" w:rsidRPr="000E1B7E">
              <w:rPr>
                <w:lang w:val="en-US"/>
              </w:rPr>
              <w:t xml:space="preserve"> and Commercial Centres in FY 2018/19</w:t>
            </w:r>
            <w:bookmarkEnd w:id="176"/>
            <w:bookmarkEnd w:id="177"/>
          </w:p>
        </w:tc>
      </w:tr>
      <w:tr w:rsidR="00E7540C" w:rsidRPr="000E1B7E" w14:paraId="5A2F7AC0" w14:textId="77777777" w:rsidTr="00E7540C">
        <w:trPr>
          <w:gridAfter w:val="1"/>
          <w:wAfter w:w="360" w:type="dxa"/>
          <w:trHeight w:val="510"/>
        </w:trPr>
        <w:tc>
          <w:tcPr>
            <w:tcW w:w="6405" w:type="dxa"/>
            <w:gridSpan w:val="2"/>
            <w:tcBorders>
              <w:top w:val="nil"/>
              <w:left w:val="nil"/>
              <w:bottom w:val="nil"/>
              <w:right w:val="nil"/>
            </w:tcBorders>
            <w:shd w:val="clear" w:color="000000" w:fill="A4185B"/>
            <w:hideMark/>
          </w:tcPr>
          <w:p w14:paraId="171FB24A" w14:textId="77777777" w:rsidR="00E7540C" w:rsidRPr="000E1B7E" w:rsidRDefault="00E7540C" w:rsidP="005959B5">
            <w:pPr>
              <w:jc w:val="both"/>
              <w:rPr>
                <w:b/>
                <w:bCs/>
                <w:sz w:val="20"/>
                <w:szCs w:val="20"/>
                <w:lang w:val="en-US"/>
              </w:rPr>
            </w:pPr>
            <w:r w:rsidRPr="000E1B7E">
              <w:rPr>
                <w:b/>
                <w:bCs/>
                <w:color w:val="FFFFFF"/>
                <w:sz w:val="20"/>
                <w:szCs w:val="20"/>
                <w:lang w:val="en-US"/>
              </w:rPr>
              <w:t>Construction Project                           Description of Load Centre</w:t>
            </w:r>
          </w:p>
        </w:tc>
        <w:tc>
          <w:tcPr>
            <w:tcW w:w="6480" w:type="dxa"/>
            <w:tcBorders>
              <w:top w:val="nil"/>
              <w:left w:val="nil"/>
              <w:bottom w:val="nil"/>
              <w:right w:val="nil"/>
            </w:tcBorders>
            <w:shd w:val="clear" w:color="000000" w:fill="A4185B"/>
            <w:hideMark/>
          </w:tcPr>
          <w:p w14:paraId="3607896A" w14:textId="77777777" w:rsidR="00E7540C" w:rsidRPr="000E1B7E" w:rsidRDefault="00E7540C" w:rsidP="005959B5">
            <w:pPr>
              <w:tabs>
                <w:tab w:val="left" w:pos="4260"/>
              </w:tabs>
              <w:jc w:val="both"/>
              <w:rPr>
                <w:b/>
                <w:bCs/>
                <w:sz w:val="20"/>
                <w:szCs w:val="20"/>
                <w:lang w:val="en-US"/>
              </w:rPr>
            </w:pPr>
            <w:r w:rsidRPr="000E1B7E">
              <w:rPr>
                <w:b/>
                <w:bCs/>
                <w:sz w:val="20"/>
                <w:szCs w:val="20"/>
                <w:lang w:val="en-US"/>
              </w:rPr>
              <w:t> </w:t>
            </w:r>
            <w:r w:rsidRPr="000E1B7E">
              <w:rPr>
                <w:b/>
                <w:bCs/>
                <w:sz w:val="20"/>
                <w:szCs w:val="20"/>
                <w:lang w:val="en-US"/>
              </w:rPr>
              <w:tab/>
            </w:r>
          </w:p>
        </w:tc>
      </w:tr>
      <w:tr w:rsidR="00E7540C" w:rsidRPr="000E1B7E" w14:paraId="5C47B87E" w14:textId="77777777" w:rsidTr="00E7540C">
        <w:trPr>
          <w:gridAfter w:val="1"/>
          <w:wAfter w:w="360" w:type="dxa"/>
          <w:trHeight w:val="197"/>
        </w:trPr>
        <w:tc>
          <w:tcPr>
            <w:tcW w:w="6405" w:type="dxa"/>
            <w:gridSpan w:val="2"/>
            <w:tcBorders>
              <w:top w:val="single" w:sz="4" w:space="0" w:color="A4185B"/>
              <w:left w:val="single" w:sz="4" w:space="0" w:color="A4185B"/>
              <w:bottom w:val="single" w:sz="4" w:space="0" w:color="A4185B"/>
              <w:right w:val="nil"/>
            </w:tcBorders>
            <w:shd w:val="clear" w:color="auto" w:fill="auto"/>
            <w:hideMark/>
          </w:tcPr>
          <w:p w14:paraId="6A851062" w14:textId="77777777" w:rsidR="00E7540C" w:rsidRPr="000E1B7E" w:rsidRDefault="00E7540C" w:rsidP="005959B5">
            <w:pPr>
              <w:jc w:val="both"/>
              <w:rPr>
                <w:color w:val="000000"/>
                <w:sz w:val="20"/>
                <w:szCs w:val="20"/>
                <w:lang w:val="en-US"/>
              </w:rPr>
            </w:pPr>
            <w:r w:rsidRPr="000E1B7E">
              <w:rPr>
                <w:sz w:val="20"/>
                <w:szCs w:val="20"/>
                <w:lang w:val="en-US"/>
              </w:rPr>
              <w:t>1.    Sukulu substation</w:t>
            </w:r>
          </w:p>
        </w:tc>
        <w:tc>
          <w:tcPr>
            <w:tcW w:w="6480" w:type="dxa"/>
            <w:tcBorders>
              <w:top w:val="single" w:sz="4" w:space="0" w:color="A4185B"/>
              <w:left w:val="single" w:sz="4" w:space="0" w:color="A4185B"/>
              <w:bottom w:val="single" w:sz="4" w:space="0" w:color="A4185B"/>
              <w:right w:val="nil"/>
            </w:tcBorders>
            <w:shd w:val="clear" w:color="auto" w:fill="auto"/>
            <w:hideMark/>
          </w:tcPr>
          <w:p w14:paraId="0DD26A61" w14:textId="77777777" w:rsidR="00E7540C" w:rsidRPr="000E1B7E" w:rsidRDefault="00E7540C" w:rsidP="005959B5">
            <w:pPr>
              <w:jc w:val="both"/>
              <w:rPr>
                <w:sz w:val="20"/>
                <w:szCs w:val="20"/>
                <w:lang w:val="en-US"/>
              </w:rPr>
            </w:pPr>
            <w:r w:rsidRPr="000E1B7E">
              <w:rPr>
                <w:sz w:val="20"/>
                <w:szCs w:val="20"/>
                <w:lang w:val="en-US"/>
              </w:rPr>
              <w:t>Supply of 60-200 MW to Sukulu Industrial Park</w:t>
            </w:r>
          </w:p>
        </w:tc>
      </w:tr>
      <w:tr w:rsidR="00E7540C" w:rsidRPr="000E1B7E" w14:paraId="63A9EC58" w14:textId="77777777" w:rsidTr="00E7540C">
        <w:trPr>
          <w:gridAfter w:val="1"/>
          <w:wAfter w:w="360" w:type="dxa"/>
          <w:trHeight w:val="215"/>
        </w:trPr>
        <w:tc>
          <w:tcPr>
            <w:tcW w:w="6405" w:type="dxa"/>
            <w:gridSpan w:val="2"/>
            <w:tcBorders>
              <w:top w:val="nil"/>
              <w:left w:val="single" w:sz="4" w:space="0" w:color="A4185B"/>
              <w:bottom w:val="single" w:sz="4" w:space="0" w:color="A4185B"/>
              <w:right w:val="nil"/>
            </w:tcBorders>
            <w:shd w:val="clear" w:color="000000" w:fill="F3E3EA"/>
            <w:hideMark/>
          </w:tcPr>
          <w:p w14:paraId="467DAEE3" w14:textId="77777777" w:rsidR="00E7540C" w:rsidRPr="000E1B7E" w:rsidRDefault="00E7540C" w:rsidP="005959B5">
            <w:pPr>
              <w:jc w:val="both"/>
              <w:rPr>
                <w:color w:val="000000"/>
                <w:sz w:val="20"/>
                <w:szCs w:val="20"/>
                <w:lang w:val="en-US"/>
              </w:rPr>
            </w:pPr>
            <w:r w:rsidRPr="000E1B7E">
              <w:rPr>
                <w:sz w:val="20"/>
                <w:szCs w:val="20"/>
                <w:lang w:val="en-US"/>
              </w:rPr>
              <w:t>2.    Mbale Substation</w:t>
            </w:r>
          </w:p>
        </w:tc>
        <w:tc>
          <w:tcPr>
            <w:tcW w:w="6480" w:type="dxa"/>
            <w:tcBorders>
              <w:top w:val="nil"/>
              <w:left w:val="single" w:sz="4" w:space="0" w:color="A4185B"/>
              <w:bottom w:val="single" w:sz="4" w:space="0" w:color="A4185B"/>
              <w:right w:val="nil"/>
            </w:tcBorders>
            <w:shd w:val="clear" w:color="000000" w:fill="F3E3EA"/>
            <w:hideMark/>
          </w:tcPr>
          <w:p w14:paraId="5EAB10A1" w14:textId="77777777" w:rsidR="00E7540C" w:rsidRPr="000E1B7E" w:rsidRDefault="00E7540C" w:rsidP="005959B5">
            <w:pPr>
              <w:jc w:val="both"/>
              <w:rPr>
                <w:sz w:val="20"/>
                <w:szCs w:val="20"/>
                <w:lang w:val="en-US"/>
              </w:rPr>
            </w:pPr>
            <w:r w:rsidRPr="000E1B7E">
              <w:rPr>
                <w:sz w:val="20"/>
                <w:szCs w:val="20"/>
                <w:lang w:val="en-US"/>
              </w:rPr>
              <w:t>Supply of 80-200 MW to Mbale Industrial Park.</w:t>
            </w:r>
          </w:p>
        </w:tc>
      </w:tr>
      <w:tr w:rsidR="00E7540C" w:rsidRPr="000E1B7E" w14:paraId="7B220B4B" w14:textId="77777777" w:rsidTr="00E7540C">
        <w:trPr>
          <w:gridAfter w:val="1"/>
          <w:wAfter w:w="360" w:type="dxa"/>
          <w:trHeight w:val="413"/>
        </w:trPr>
        <w:tc>
          <w:tcPr>
            <w:tcW w:w="6405" w:type="dxa"/>
            <w:gridSpan w:val="2"/>
            <w:tcBorders>
              <w:top w:val="nil"/>
              <w:left w:val="single" w:sz="4" w:space="0" w:color="A4185B"/>
              <w:bottom w:val="single" w:sz="4" w:space="0" w:color="A4185B"/>
              <w:right w:val="nil"/>
            </w:tcBorders>
            <w:shd w:val="clear" w:color="auto" w:fill="auto"/>
            <w:hideMark/>
          </w:tcPr>
          <w:p w14:paraId="08DCCF7A" w14:textId="77777777" w:rsidR="00E7540C" w:rsidRPr="000E1B7E" w:rsidRDefault="00E7540C" w:rsidP="005959B5">
            <w:pPr>
              <w:jc w:val="both"/>
              <w:rPr>
                <w:color w:val="000000"/>
                <w:sz w:val="20"/>
                <w:szCs w:val="20"/>
                <w:lang w:val="en-US"/>
              </w:rPr>
            </w:pPr>
            <w:r w:rsidRPr="000E1B7E">
              <w:rPr>
                <w:sz w:val="20"/>
                <w:szCs w:val="20"/>
                <w:lang w:val="en-US"/>
              </w:rPr>
              <w:t>3.    Kawanda-Kasana   132kV   transmis- sion line and a substation at Kasana</w:t>
            </w:r>
          </w:p>
        </w:tc>
        <w:tc>
          <w:tcPr>
            <w:tcW w:w="6480" w:type="dxa"/>
            <w:tcBorders>
              <w:top w:val="nil"/>
              <w:left w:val="single" w:sz="4" w:space="0" w:color="A4185B"/>
              <w:bottom w:val="single" w:sz="4" w:space="0" w:color="A4185B"/>
              <w:right w:val="nil"/>
            </w:tcBorders>
            <w:shd w:val="clear" w:color="auto" w:fill="auto"/>
            <w:hideMark/>
          </w:tcPr>
          <w:p w14:paraId="1A103731" w14:textId="77777777" w:rsidR="00E7540C" w:rsidRPr="000E1B7E" w:rsidRDefault="00E7540C" w:rsidP="005959B5">
            <w:pPr>
              <w:jc w:val="both"/>
              <w:rPr>
                <w:sz w:val="20"/>
                <w:szCs w:val="20"/>
                <w:lang w:val="en-US"/>
              </w:rPr>
            </w:pPr>
            <w:r w:rsidRPr="000E1B7E">
              <w:rPr>
                <w:sz w:val="20"/>
                <w:szCs w:val="20"/>
                <w:lang w:val="en-US"/>
              </w:rPr>
              <w:t>Supply of Kaweweta, Kapeka and Nakasongola industrial parks starting with a load less than 20MW and finally supplying 60-100MW</w:t>
            </w:r>
          </w:p>
        </w:tc>
      </w:tr>
      <w:tr w:rsidR="00E7540C" w:rsidRPr="000E1B7E" w14:paraId="303FB072" w14:textId="77777777" w:rsidTr="00E7540C">
        <w:trPr>
          <w:gridAfter w:val="1"/>
          <w:wAfter w:w="360" w:type="dxa"/>
          <w:trHeight w:val="278"/>
        </w:trPr>
        <w:tc>
          <w:tcPr>
            <w:tcW w:w="6405" w:type="dxa"/>
            <w:gridSpan w:val="2"/>
            <w:tcBorders>
              <w:top w:val="nil"/>
              <w:left w:val="single" w:sz="4" w:space="0" w:color="A4185B"/>
              <w:bottom w:val="single" w:sz="4" w:space="0" w:color="A4185B"/>
              <w:right w:val="nil"/>
            </w:tcBorders>
            <w:shd w:val="clear" w:color="000000" w:fill="F3E3EA"/>
            <w:hideMark/>
          </w:tcPr>
          <w:p w14:paraId="64183ACC" w14:textId="77777777" w:rsidR="00E7540C" w:rsidRPr="000E1B7E" w:rsidRDefault="00E7540C" w:rsidP="005959B5">
            <w:pPr>
              <w:jc w:val="both"/>
              <w:rPr>
                <w:color w:val="000000"/>
                <w:sz w:val="20"/>
                <w:szCs w:val="20"/>
                <w:lang w:val="en-US"/>
              </w:rPr>
            </w:pPr>
            <w:r w:rsidRPr="000E1B7E">
              <w:rPr>
                <w:sz w:val="20"/>
                <w:szCs w:val="20"/>
                <w:lang w:val="en-US"/>
              </w:rPr>
              <w:t>4.    Extension of 132kV transmission line from Moroto substation</w:t>
            </w:r>
          </w:p>
        </w:tc>
        <w:tc>
          <w:tcPr>
            <w:tcW w:w="6480" w:type="dxa"/>
            <w:tcBorders>
              <w:top w:val="nil"/>
              <w:left w:val="single" w:sz="4" w:space="0" w:color="A4185B"/>
              <w:bottom w:val="single" w:sz="4" w:space="0" w:color="A4185B"/>
              <w:right w:val="nil"/>
            </w:tcBorders>
            <w:shd w:val="clear" w:color="000000" w:fill="F3E3EA"/>
            <w:hideMark/>
          </w:tcPr>
          <w:p w14:paraId="10949C5F" w14:textId="77777777" w:rsidR="00E7540C" w:rsidRPr="000E1B7E" w:rsidRDefault="00E7540C" w:rsidP="005959B5">
            <w:pPr>
              <w:jc w:val="both"/>
              <w:rPr>
                <w:sz w:val="20"/>
                <w:szCs w:val="20"/>
                <w:lang w:val="en-US"/>
              </w:rPr>
            </w:pPr>
            <w:r w:rsidRPr="000E1B7E">
              <w:rPr>
                <w:sz w:val="20"/>
                <w:szCs w:val="20"/>
                <w:lang w:val="en-US"/>
              </w:rPr>
              <w:t>Supply of 60MW to Moroto Cement Factory</w:t>
            </w:r>
          </w:p>
        </w:tc>
      </w:tr>
      <w:tr w:rsidR="00E7540C" w:rsidRPr="000E1B7E" w14:paraId="6B3176E5" w14:textId="77777777" w:rsidTr="00E7540C">
        <w:trPr>
          <w:gridAfter w:val="1"/>
          <w:wAfter w:w="360" w:type="dxa"/>
          <w:trHeight w:val="440"/>
        </w:trPr>
        <w:tc>
          <w:tcPr>
            <w:tcW w:w="6405" w:type="dxa"/>
            <w:gridSpan w:val="2"/>
            <w:tcBorders>
              <w:top w:val="nil"/>
              <w:left w:val="single" w:sz="4" w:space="0" w:color="A4185B"/>
              <w:bottom w:val="single" w:sz="4" w:space="0" w:color="A4185B"/>
              <w:right w:val="nil"/>
            </w:tcBorders>
            <w:shd w:val="clear" w:color="auto" w:fill="auto"/>
            <w:hideMark/>
          </w:tcPr>
          <w:p w14:paraId="1660C747" w14:textId="77777777" w:rsidR="00E7540C" w:rsidRPr="000E1B7E" w:rsidRDefault="00E7540C" w:rsidP="005959B5">
            <w:pPr>
              <w:jc w:val="both"/>
              <w:rPr>
                <w:color w:val="000000"/>
                <w:sz w:val="20"/>
                <w:szCs w:val="20"/>
                <w:lang w:val="en-US"/>
              </w:rPr>
            </w:pPr>
            <w:r w:rsidRPr="000E1B7E">
              <w:rPr>
                <w:sz w:val="20"/>
                <w:szCs w:val="20"/>
                <w:lang w:val="en-US"/>
              </w:rPr>
              <w:t>5.    Kabaale,    Tilenga    and    Kingfisher substations     and     associated     grid extensions</w:t>
            </w:r>
          </w:p>
        </w:tc>
        <w:tc>
          <w:tcPr>
            <w:tcW w:w="6480" w:type="dxa"/>
            <w:tcBorders>
              <w:top w:val="nil"/>
              <w:left w:val="single" w:sz="4" w:space="0" w:color="A4185B"/>
              <w:bottom w:val="single" w:sz="4" w:space="0" w:color="A4185B"/>
              <w:right w:val="nil"/>
            </w:tcBorders>
            <w:shd w:val="clear" w:color="auto" w:fill="auto"/>
            <w:hideMark/>
          </w:tcPr>
          <w:p w14:paraId="19C9BBAC" w14:textId="77777777" w:rsidR="00E7540C" w:rsidRPr="000E1B7E" w:rsidRDefault="00E7540C" w:rsidP="005959B5">
            <w:pPr>
              <w:jc w:val="both"/>
              <w:rPr>
                <w:color w:val="000000"/>
                <w:sz w:val="20"/>
                <w:szCs w:val="20"/>
                <w:lang w:val="en-US"/>
              </w:rPr>
            </w:pPr>
            <w:r w:rsidRPr="000E1B7E">
              <w:rPr>
                <w:sz w:val="20"/>
                <w:szCs w:val="20"/>
                <w:lang w:val="en-US"/>
              </w:rPr>
              <w:t>6.    a)   Evacuate 58 MW from Oil and Gas project</w:t>
            </w:r>
            <w:r w:rsidRPr="000E1B7E">
              <w:rPr>
                <w:sz w:val="20"/>
                <w:szCs w:val="20"/>
                <w:lang w:val="en-US"/>
              </w:rPr>
              <w:br/>
              <w:t>7.    b)   Supply 130 MW to the project area and Kabaale industrial park</w:t>
            </w:r>
          </w:p>
        </w:tc>
      </w:tr>
      <w:tr w:rsidR="00E7540C" w:rsidRPr="000E1B7E" w14:paraId="7858BE1E" w14:textId="77777777" w:rsidTr="00E7540C">
        <w:trPr>
          <w:gridAfter w:val="1"/>
          <w:wAfter w:w="360" w:type="dxa"/>
          <w:trHeight w:val="305"/>
        </w:trPr>
        <w:tc>
          <w:tcPr>
            <w:tcW w:w="6405" w:type="dxa"/>
            <w:gridSpan w:val="2"/>
            <w:tcBorders>
              <w:top w:val="nil"/>
              <w:left w:val="single" w:sz="4" w:space="0" w:color="A4185B"/>
              <w:bottom w:val="single" w:sz="4" w:space="0" w:color="A4185B"/>
              <w:right w:val="nil"/>
            </w:tcBorders>
            <w:shd w:val="clear" w:color="000000" w:fill="F3E3EA"/>
            <w:hideMark/>
          </w:tcPr>
          <w:p w14:paraId="63AB1EFC" w14:textId="77777777" w:rsidR="00E7540C" w:rsidRPr="000E1B7E" w:rsidRDefault="00E7540C" w:rsidP="005959B5">
            <w:pPr>
              <w:jc w:val="both"/>
              <w:rPr>
                <w:color w:val="000000"/>
                <w:sz w:val="20"/>
                <w:szCs w:val="20"/>
                <w:lang w:val="en-US"/>
              </w:rPr>
            </w:pPr>
            <w:r w:rsidRPr="000E1B7E">
              <w:rPr>
                <w:sz w:val="20"/>
                <w:szCs w:val="20"/>
                <w:lang w:val="en-US"/>
              </w:rPr>
              <w:t>8.    Tororo,   Buwoola,   Iganga,   Nyenga and Namanve SGR substations</w:t>
            </w:r>
          </w:p>
        </w:tc>
        <w:tc>
          <w:tcPr>
            <w:tcW w:w="6480" w:type="dxa"/>
            <w:tcBorders>
              <w:top w:val="nil"/>
              <w:left w:val="single" w:sz="4" w:space="0" w:color="A4185B"/>
              <w:bottom w:val="single" w:sz="4" w:space="0" w:color="A4185B"/>
              <w:right w:val="nil"/>
            </w:tcBorders>
            <w:shd w:val="clear" w:color="000000" w:fill="F3E3EA"/>
            <w:vAlign w:val="center"/>
            <w:hideMark/>
          </w:tcPr>
          <w:p w14:paraId="36D083B0" w14:textId="77777777" w:rsidR="00E7540C" w:rsidRPr="000E1B7E" w:rsidRDefault="00E7540C" w:rsidP="005959B5">
            <w:pPr>
              <w:jc w:val="both"/>
              <w:rPr>
                <w:sz w:val="20"/>
                <w:szCs w:val="20"/>
                <w:lang w:val="en-US"/>
              </w:rPr>
            </w:pPr>
            <w:r w:rsidRPr="000E1B7E">
              <w:rPr>
                <w:sz w:val="20"/>
                <w:szCs w:val="20"/>
                <w:lang w:val="en-US"/>
              </w:rPr>
              <w:t>Supply 40 MW for SGR use</w:t>
            </w:r>
          </w:p>
        </w:tc>
      </w:tr>
      <w:tr w:rsidR="00E7540C" w:rsidRPr="000E1B7E" w14:paraId="45D2A4F2" w14:textId="77777777" w:rsidTr="00E7540C">
        <w:trPr>
          <w:gridAfter w:val="1"/>
          <w:wAfter w:w="360" w:type="dxa"/>
          <w:trHeight w:val="255"/>
        </w:trPr>
        <w:tc>
          <w:tcPr>
            <w:tcW w:w="6405" w:type="dxa"/>
            <w:gridSpan w:val="2"/>
            <w:tcBorders>
              <w:top w:val="nil"/>
              <w:left w:val="nil"/>
              <w:bottom w:val="nil"/>
              <w:right w:val="nil"/>
            </w:tcBorders>
            <w:shd w:val="clear" w:color="auto" w:fill="auto"/>
            <w:noWrap/>
            <w:hideMark/>
          </w:tcPr>
          <w:p w14:paraId="7F82742A" w14:textId="77777777" w:rsidR="00E7540C" w:rsidRPr="000E1B7E" w:rsidRDefault="00E7540C" w:rsidP="005959B5">
            <w:pPr>
              <w:jc w:val="both"/>
              <w:rPr>
                <w:sz w:val="20"/>
                <w:szCs w:val="20"/>
                <w:lang w:val="en-US"/>
              </w:rPr>
            </w:pPr>
            <w:r w:rsidRPr="000E1B7E">
              <w:rPr>
                <w:sz w:val="20"/>
                <w:szCs w:val="20"/>
                <w:lang w:val="en-US"/>
              </w:rPr>
              <w:t>Source: UETCL</w:t>
            </w:r>
          </w:p>
        </w:tc>
        <w:tc>
          <w:tcPr>
            <w:tcW w:w="6480" w:type="dxa"/>
            <w:tcBorders>
              <w:top w:val="nil"/>
              <w:left w:val="nil"/>
              <w:bottom w:val="nil"/>
              <w:right w:val="nil"/>
            </w:tcBorders>
            <w:shd w:val="clear" w:color="auto" w:fill="auto"/>
            <w:noWrap/>
            <w:hideMark/>
          </w:tcPr>
          <w:p w14:paraId="4AAF656B" w14:textId="77777777" w:rsidR="00E7540C" w:rsidRPr="000E1B7E" w:rsidRDefault="00E7540C" w:rsidP="005959B5">
            <w:pPr>
              <w:jc w:val="both"/>
              <w:rPr>
                <w:color w:val="000000"/>
                <w:sz w:val="20"/>
                <w:szCs w:val="20"/>
                <w:lang w:val="en-US"/>
              </w:rPr>
            </w:pPr>
          </w:p>
        </w:tc>
      </w:tr>
    </w:tbl>
    <w:p w14:paraId="3D0EA10B" w14:textId="77777777" w:rsidR="00675F39" w:rsidRPr="000E1B7E" w:rsidRDefault="00675F39" w:rsidP="005959B5">
      <w:pPr>
        <w:jc w:val="both"/>
      </w:pPr>
    </w:p>
    <w:p w14:paraId="7545079F" w14:textId="77777777" w:rsidR="00BA19FB" w:rsidRPr="000E1B7E" w:rsidRDefault="00BA19FB" w:rsidP="005959B5">
      <w:pPr>
        <w:jc w:val="both"/>
        <w:sectPr w:rsidR="00BA19FB" w:rsidRPr="000E1B7E" w:rsidSect="005909F8">
          <w:pgSz w:w="16838" w:h="11906" w:orient="landscape"/>
          <w:pgMar w:top="1440" w:right="1440" w:bottom="1440" w:left="1440" w:header="706" w:footer="706" w:gutter="0"/>
          <w:cols w:space="708"/>
          <w:docGrid w:linePitch="360"/>
        </w:sectPr>
      </w:pPr>
    </w:p>
    <w:p w14:paraId="74425CCA" w14:textId="77777777" w:rsidR="00BA19FB" w:rsidRPr="000E1B7E" w:rsidRDefault="00BA19FB" w:rsidP="005959B5">
      <w:pPr>
        <w:jc w:val="both"/>
      </w:pPr>
    </w:p>
    <w:p w14:paraId="30EE9F4E" w14:textId="77777777" w:rsidR="00BA19FB" w:rsidRPr="000E1B7E" w:rsidRDefault="00BA19FB" w:rsidP="00BA19FB">
      <w:pPr>
        <w:pStyle w:val="Heading2"/>
      </w:pPr>
      <w:bookmarkStart w:id="178" w:name="_Toc11956291"/>
      <w:r w:rsidRPr="000E1B7E">
        <w:rPr>
          <w:lang w:val="en-US"/>
        </w:rPr>
        <w:t>Appendix 8: Formal Private Sector Import (Million US$) by HS Cpode</w:t>
      </w:r>
      <w:bookmarkEnd w:id="178"/>
    </w:p>
    <w:tbl>
      <w:tblPr>
        <w:tblStyle w:val="LightGrid-Accent2"/>
        <w:tblW w:w="13492" w:type="dxa"/>
        <w:tblLook w:val="04A0" w:firstRow="1" w:lastRow="0" w:firstColumn="1" w:lastColumn="0" w:noHBand="0" w:noVBand="1"/>
      </w:tblPr>
      <w:tblGrid>
        <w:gridCol w:w="5302"/>
        <w:gridCol w:w="949"/>
        <w:gridCol w:w="1069"/>
        <w:gridCol w:w="1069"/>
        <w:gridCol w:w="1069"/>
        <w:gridCol w:w="1069"/>
        <w:gridCol w:w="1069"/>
        <w:gridCol w:w="1069"/>
        <w:gridCol w:w="949"/>
      </w:tblGrid>
      <w:tr w:rsidR="00BA19FB" w:rsidRPr="000E1B7E" w14:paraId="73167A56" w14:textId="77777777" w:rsidTr="00BA19F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4D6238CB"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 </w:t>
            </w:r>
          </w:p>
        </w:tc>
        <w:tc>
          <w:tcPr>
            <w:tcW w:w="936" w:type="dxa"/>
            <w:noWrap/>
            <w:hideMark/>
          </w:tcPr>
          <w:p w14:paraId="4C29AC32"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c>
          <w:tcPr>
            <w:tcW w:w="1069" w:type="dxa"/>
            <w:noWrap/>
            <w:hideMark/>
          </w:tcPr>
          <w:p w14:paraId="75BFDBF1"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c>
          <w:tcPr>
            <w:tcW w:w="1069" w:type="dxa"/>
            <w:noWrap/>
            <w:hideMark/>
          </w:tcPr>
          <w:p w14:paraId="5C65AE53"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c>
          <w:tcPr>
            <w:tcW w:w="1069" w:type="dxa"/>
            <w:noWrap/>
            <w:hideMark/>
          </w:tcPr>
          <w:p w14:paraId="43DD9712"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c>
          <w:tcPr>
            <w:tcW w:w="1069" w:type="dxa"/>
            <w:noWrap/>
            <w:hideMark/>
          </w:tcPr>
          <w:p w14:paraId="26F95D1D"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c>
          <w:tcPr>
            <w:tcW w:w="1069" w:type="dxa"/>
            <w:noWrap/>
            <w:hideMark/>
          </w:tcPr>
          <w:p w14:paraId="4775F7A1"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c>
          <w:tcPr>
            <w:tcW w:w="1069" w:type="dxa"/>
            <w:noWrap/>
            <w:hideMark/>
          </w:tcPr>
          <w:p w14:paraId="13A9AA04"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c>
          <w:tcPr>
            <w:tcW w:w="840" w:type="dxa"/>
            <w:noWrap/>
            <w:hideMark/>
          </w:tcPr>
          <w:p w14:paraId="6EEC1CB7" w14:textId="77777777" w:rsidR="00BA19FB" w:rsidRPr="000E1B7E" w:rsidRDefault="00BA19FB" w:rsidP="00AE2F03">
            <w:pPr>
              <w:ind w:left="-108" w:right="-13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FY</w:t>
            </w:r>
          </w:p>
        </w:tc>
      </w:tr>
      <w:tr w:rsidR="00BA19FB" w:rsidRPr="000E1B7E" w14:paraId="6F9DD126" w14:textId="77777777" w:rsidTr="00BA19F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02" w:type="dxa"/>
            <w:noWrap/>
            <w:hideMark/>
          </w:tcPr>
          <w:p w14:paraId="406017C6" w14:textId="77777777" w:rsidR="00BA19FB" w:rsidRPr="000E1B7E" w:rsidRDefault="00BA19FB" w:rsidP="00AE2F03">
            <w:pPr>
              <w:jc w:val="center"/>
              <w:rPr>
                <w:rFonts w:ascii="Times New Roman" w:hAnsi="Times New Roman" w:cs="Times New Roman"/>
                <w:lang w:val="en-US"/>
              </w:rPr>
            </w:pPr>
            <w:r w:rsidRPr="000E1B7E">
              <w:rPr>
                <w:rFonts w:ascii="Times New Roman" w:hAnsi="Times New Roman" w:cs="Times New Roman"/>
                <w:lang w:val="en-US"/>
              </w:rPr>
              <w:t>Description</w:t>
            </w:r>
          </w:p>
        </w:tc>
        <w:tc>
          <w:tcPr>
            <w:tcW w:w="936" w:type="dxa"/>
            <w:noWrap/>
            <w:hideMark/>
          </w:tcPr>
          <w:p w14:paraId="417CDB60"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10/11</w:t>
            </w:r>
          </w:p>
        </w:tc>
        <w:tc>
          <w:tcPr>
            <w:tcW w:w="1069" w:type="dxa"/>
            <w:noWrap/>
            <w:hideMark/>
          </w:tcPr>
          <w:p w14:paraId="6DF8C08C"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11/12</w:t>
            </w:r>
          </w:p>
        </w:tc>
        <w:tc>
          <w:tcPr>
            <w:tcW w:w="1069" w:type="dxa"/>
            <w:noWrap/>
            <w:hideMark/>
          </w:tcPr>
          <w:p w14:paraId="7AFFB06B"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12/13</w:t>
            </w:r>
          </w:p>
        </w:tc>
        <w:tc>
          <w:tcPr>
            <w:tcW w:w="1069" w:type="dxa"/>
            <w:noWrap/>
            <w:hideMark/>
          </w:tcPr>
          <w:p w14:paraId="3E1FF8ED"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13/14</w:t>
            </w:r>
          </w:p>
        </w:tc>
        <w:tc>
          <w:tcPr>
            <w:tcW w:w="1069" w:type="dxa"/>
            <w:noWrap/>
            <w:hideMark/>
          </w:tcPr>
          <w:p w14:paraId="6B9D5FE8"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14/15</w:t>
            </w:r>
          </w:p>
        </w:tc>
        <w:tc>
          <w:tcPr>
            <w:tcW w:w="1069" w:type="dxa"/>
            <w:noWrap/>
            <w:hideMark/>
          </w:tcPr>
          <w:p w14:paraId="0F752FE2"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15/16</w:t>
            </w:r>
          </w:p>
        </w:tc>
        <w:tc>
          <w:tcPr>
            <w:tcW w:w="1069" w:type="dxa"/>
            <w:noWrap/>
            <w:hideMark/>
          </w:tcPr>
          <w:p w14:paraId="1DBABA75"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16/17</w:t>
            </w:r>
          </w:p>
        </w:tc>
        <w:tc>
          <w:tcPr>
            <w:tcW w:w="840" w:type="dxa"/>
            <w:noWrap/>
            <w:hideMark/>
          </w:tcPr>
          <w:p w14:paraId="1F8FEDAD"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17/18</w:t>
            </w:r>
          </w:p>
        </w:tc>
      </w:tr>
      <w:tr w:rsidR="00BA19FB" w:rsidRPr="000E1B7E" w14:paraId="33B4E9D1"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146D8DB4"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Animal &amp; Animal Products</w:t>
            </w:r>
          </w:p>
        </w:tc>
        <w:tc>
          <w:tcPr>
            <w:tcW w:w="936" w:type="dxa"/>
            <w:noWrap/>
            <w:hideMark/>
          </w:tcPr>
          <w:p w14:paraId="49E1DF46"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16.83</w:t>
            </w:r>
          </w:p>
        </w:tc>
        <w:tc>
          <w:tcPr>
            <w:tcW w:w="1069" w:type="dxa"/>
            <w:noWrap/>
            <w:hideMark/>
          </w:tcPr>
          <w:p w14:paraId="793F52B3"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19.60</w:t>
            </w:r>
          </w:p>
        </w:tc>
        <w:tc>
          <w:tcPr>
            <w:tcW w:w="1069" w:type="dxa"/>
            <w:noWrap/>
            <w:hideMark/>
          </w:tcPr>
          <w:p w14:paraId="0D5487CE"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18.41</w:t>
            </w:r>
          </w:p>
        </w:tc>
        <w:tc>
          <w:tcPr>
            <w:tcW w:w="1069" w:type="dxa"/>
            <w:noWrap/>
            <w:hideMark/>
          </w:tcPr>
          <w:p w14:paraId="7EEA972A"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24.10</w:t>
            </w:r>
          </w:p>
        </w:tc>
        <w:tc>
          <w:tcPr>
            <w:tcW w:w="1069" w:type="dxa"/>
            <w:noWrap/>
            <w:hideMark/>
          </w:tcPr>
          <w:p w14:paraId="08B62258"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24.39</w:t>
            </w:r>
          </w:p>
        </w:tc>
        <w:tc>
          <w:tcPr>
            <w:tcW w:w="1069" w:type="dxa"/>
            <w:noWrap/>
            <w:hideMark/>
          </w:tcPr>
          <w:p w14:paraId="4E5035A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21.27</w:t>
            </w:r>
          </w:p>
        </w:tc>
        <w:tc>
          <w:tcPr>
            <w:tcW w:w="1069" w:type="dxa"/>
            <w:noWrap/>
            <w:hideMark/>
          </w:tcPr>
          <w:p w14:paraId="76271D88"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24.92</w:t>
            </w:r>
          </w:p>
        </w:tc>
        <w:tc>
          <w:tcPr>
            <w:tcW w:w="840" w:type="dxa"/>
            <w:noWrap/>
            <w:hideMark/>
          </w:tcPr>
          <w:p w14:paraId="55A4F0C0"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32.27</w:t>
            </w:r>
          </w:p>
        </w:tc>
      </w:tr>
      <w:tr w:rsidR="00BA19FB" w:rsidRPr="000E1B7E" w14:paraId="010684DE" w14:textId="77777777" w:rsidTr="00BA19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3E7AB844"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Vegetable Products, Animal, Beverages, Fats &amp; Oil</w:t>
            </w:r>
          </w:p>
        </w:tc>
        <w:tc>
          <w:tcPr>
            <w:tcW w:w="936" w:type="dxa"/>
            <w:noWrap/>
            <w:hideMark/>
          </w:tcPr>
          <w:p w14:paraId="04FBCB2B"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352.21</w:t>
            </w:r>
          </w:p>
        </w:tc>
        <w:tc>
          <w:tcPr>
            <w:tcW w:w="1069" w:type="dxa"/>
            <w:noWrap/>
            <w:hideMark/>
          </w:tcPr>
          <w:p w14:paraId="4AADE884"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444.35</w:t>
            </w:r>
          </w:p>
        </w:tc>
        <w:tc>
          <w:tcPr>
            <w:tcW w:w="1069" w:type="dxa"/>
            <w:noWrap/>
            <w:hideMark/>
          </w:tcPr>
          <w:p w14:paraId="0CBDFD21"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447.09</w:t>
            </w:r>
          </w:p>
        </w:tc>
        <w:tc>
          <w:tcPr>
            <w:tcW w:w="1069" w:type="dxa"/>
            <w:noWrap/>
            <w:hideMark/>
          </w:tcPr>
          <w:p w14:paraId="6FA4810D"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413.08</w:t>
            </w:r>
          </w:p>
        </w:tc>
        <w:tc>
          <w:tcPr>
            <w:tcW w:w="1069" w:type="dxa"/>
            <w:noWrap/>
            <w:hideMark/>
          </w:tcPr>
          <w:p w14:paraId="14F7B40E"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441.54</w:t>
            </w:r>
          </w:p>
        </w:tc>
        <w:tc>
          <w:tcPr>
            <w:tcW w:w="1069" w:type="dxa"/>
            <w:noWrap/>
            <w:hideMark/>
          </w:tcPr>
          <w:p w14:paraId="7DC338F3"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352.68</w:t>
            </w:r>
          </w:p>
        </w:tc>
        <w:tc>
          <w:tcPr>
            <w:tcW w:w="1069" w:type="dxa"/>
            <w:noWrap/>
            <w:hideMark/>
          </w:tcPr>
          <w:p w14:paraId="456CC780"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452.19</w:t>
            </w:r>
          </w:p>
        </w:tc>
        <w:tc>
          <w:tcPr>
            <w:tcW w:w="840" w:type="dxa"/>
            <w:noWrap/>
            <w:hideMark/>
          </w:tcPr>
          <w:p w14:paraId="792E51D6"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461.13</w:t>
            </w:r>
          </w:p>
        </w:tc>
      </w:tr>
      <w:tr w:rsidR="00BA19FB" w:rsidRPr="000E1B7E" w14:paraId="587B28B0"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7223F184"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Prepared Foodstuff, Beverages &amp; Tobacco</w:t>
            </w:r>
          </w:p>
        </w:tc>
        <w:tc>
          <w:tcPr>
            <w:tcW w:w="936" w:type="dxa"/>
            <w:noWrap/>
            <w:hideMark/>
          </w:tcPr>
          <w:p w14:paraId="67F54FFC"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159.91</w:t>
            </w:r>
          </w:p>
        </w:tc>
        <w:tc>
          <w:tcPr>
            <w:tcW w:w="1069" w:type="dxa"/>
            <w:noWrap/>
            <w:hideMark/>
          </w:tcPr>
          <w:p w14:paraId="490A65AA"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307.39</w:t>
            </w:r>
          </w:p>
        </w:tc>
        <w:tc>
          <w:tcPr>
            <w:tcW w:w="1069" w:type="dxa"/>
            <w:noWrap/>
            <w:hideMark/>
          </w:tcPr>
          <w:p w14:paraId="2EEB12E9"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222.42</w:t>
            </w:r>
          </w:p>
        </w:tc>
        <w:tc>
          <w:tcPr>
            <w:tcW w:w="1069" w:type="dxa"/>
            <w:noWrap/>
            <w:hideMark/>
          </w:tcPr>
          <w:p w14:paraId="0B413A8E"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246.83</w:t>
            </w:r>
          </w:p>
        </w:tc>
        <w:tc>
          <w:tcPr>
            <w:tcW w:w="1069" w:type="dxa"/>
            <w:noWrap/>
            <w:hideMark/>
          </w:tcPr>
          <w:p w14:paraId="60701F1E"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203.79</w:t>
            </w:r>
          </w:p>
        </w:tc>
        <w:tc>
          <w:tcPr>
            <w:tcW w:w="1069" w:type="dxa"/>
            <w:noWrap/>
            <w:hideMark/>
          </w:tcPr>
          <w:p w14:paraId="4866B151"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187.76</w:t>
            </w:r>
          </w:p>
        </w:tc>
        <w:tc>
          <w:tcPr>
            <w:tcW w:w="1069" w:type="dxa"/>
            <w:noWrap/>
            <w:hideMark/>
          </w:tcPr>
          <w:p w14:paraId="26AD4E1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181.09</w:t>
            </w:r>
          </w:p>
        </w:tc>
        <w:tc>
          <w:tcPr>
            <w:tcW w:w="840" w:type="dxa"/>
            <w:noWrap/>
            <w:hideMark/>
          </w:tcPr>
          <w:p w14:paraId="61997DC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200.59</w:t>
            </w:r>
          </w:p>
        </w:tc>
      </w:tr>
      <w:tr w:rsidR="00BA19FB" w:rsidRPr="000E1B7E" w14:paraId="54509ACA" w14:textId="77777777" w:rsidTr="00BA19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07D4C946"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Mineral Products (excluding Petroleum products)</w:t>
            </w:r>
          </w:p>
        </w:tc>
        <w:tc>
          <w:tcPr>
            <w:tcW w:w="936" w:type="dxa"/>
            <w:noWrap/>
            <w:hideMark/>
          </w:tcPr>
          <w:p w14:paraId="093A3409"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319.17</w:t>
            </w:r>
          </w:p>
        </w:tc>
        <w:tc>
          <w:tcPr>
            <w:tcW w:w="1069" w:type="dxa"/>
            <w:noWrap/>
            <w:hideMark/>
          </w:tcPr>
          <w:p w14:paraId="18EAFA30"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263.10</w:t>
            </w:r>
          </w:p>
        </w:tc>
        <w:tc>
          <w:tcPr>
            <w:tcW w:w="1069" w:type="dxa"/>
            <w:noWrap/>
            <w:hideMark/>
          </w:tcPr>
          <w:p w14:paraId="098CD0C4"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136.12</w:t>
            </w:r>
          </w:p>
        </w:tc>
        <w:tc>
          <w:tcPr>
            <w:tcW w:w="1069" w:type="dxa"/>
            <w:noWrap/>
            <w:hideMark/>
          </w:tcPr>
          <w:p w14:paraId="7A31B40F"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147.86</w:t>
            </w:r>
          </w:p>
        </w:tc>
        <w:tc>
          <w:tcPr>
            <w:tcW w:w="1069" w:type="dxa"/>
            <w:noWrap/>
            <w:hideMark/>
          </w:tcPr>
          <w:p w14:paraId="5FD5A0E1"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153.94</w:t>
            </w:r>
          </w:p>
        </w:tc>
        <w:tc>
          <w:tcPr>
            <w:tcW w:w="1069" w:type="dxa"/>
            <w:noWrap/>
            <w:hideMark/>
          </w:tcPr>
          <w:p w14:paraId="2189B447"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133.38</w:t>
            </w:r>
          </w:p>
        </w:tc>
        <w:tc>
          <w:tcPr>
            <w:tcW w:w="1069" w:type="dxa"/>
            <w:noWrap/>
            <w:hideMark/>
          </w:tcPr>
          <w:p w14:paraId="3AD5C7C8"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129.53</w:t>
            </w:r>
          </w:p>
        </w:tc>
        <w:tc>
          <w:tcPr>
            <w:tcW w:w="840" w:type="dxa"/>
            <w:noWrap/>
            <w:hideMark/>
          </w:tcPr>
          <w:p w14:paraId="365E2224"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133.30</w:t>
            </w:r>
          </w:p>
        </w:tc>
      </w:tr>
      <w:tr w:rsidR="00BA19FB" w:rsidRPr="000E1B7E" w14:paraId="0A798589"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334F1DD0"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Petroleum Products</w:t>
            </w:r>
          </w:p>
        </w:tc>
        <w:tc>
          <w:tcPr>
            <w:tcW w:w="936" w:type="dxa"/>
            <w:noWrap/>
            <w:hideMark/>
          </w:tcPr>
          <w:p w14:paraId="7D3773A6"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678.68</w:t>
            </w:r>
          </w:p>
        </w:tc>
        <w:tc>
          <w:tcPr>
            <w:tcW w:w="1069" w:type="dxa"/>
            <w:noWrap/>
            <w:hideMark/>
          </w:tcPr>
          <w:p w14:paraId="535CA542"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946.96</w:t>
            </w:r>
          </w:p>
        </w:tc>
        <w:tc>
          <w:tcPr>
            <w:tcW w:w="1069" w:type="dxa"/>
            <w:noWrap/>
            <w:hideMark/>
          </w:tcPr>
          <w:p w14:paraId="243CBBDB"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1,028.07</w:t>
            </w:r>
          </w:p>
        </w:tc>
        <w:tc>
          <w:tcPr>
            <w:tcW w:w="1069" w:type="dxa"/>
            <w:noWrap/>
            <w:hideMark/>
          </w:tcPr>
          <w:p w14:paraId="48FF8318"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1,089.84</w:t>
            </w:r>
          </w:p>
        </w:tc>
        <w:tc>
          <w:tcPr>
            <w:tcW w:w="1069" w:type="dxa"/>
            <w:noWrap/>
            <w:hideMark/>
          </w:tcPr>
          <w:p w14:paraId="0D5514F3"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933.03</w:t>
            </w:r>
          </w:p>
        </w:tc>
        <w:tc>
          <w:tcPr>
            <w:tcW w:w="1069" w:type="dxa"/>
            <w:noWrap/>
            <w:hideMark/>
          </w:tcPr>
          <w:p w14:paraId="141170F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645.92</w:t>
            </w:r>
          </w:p>
        </w:tc>
        <w:tc>
          <w:tcPr>
            <w:tcW w:w="1069" w:type="dxa"/>
            <w:noWrap/>
            <w:hideMark/>
          </w:tcPr>
          <w:p w14:paraId="7C27808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693.80</w:t>
            </w:r>
          </w:p>
        </w:tc>
        <w:tc>
          <w:tcPr>
            <w:tcW w:w="840" w:type="dxa"/>
            <w:noWrap/>
            <w:hideMark/>
          </w:tcPr>
          <w:p w14:paraId="127AC23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910.69</w:t>
            </w:r>
          </w:p>
        </w:tc>
      </w:tr>
      <w:tr w:rsidR="00BA19FB" w:rsidRPr="000E1B7E" w14:paraId="6EC517E2" w14:textId="77777777" w:rsidTr="00BA19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73048C2B"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Chemical &amp; Related Products</w:t>
            </w:r>
          </w:p>
        </w:tc>
        <w:tc>
          <w:tcPr>
            <w:tcW w:w="936" w:type="dxa"/>
            <w:noWrap/>
            <w:hideMark/>
          </w:tcPr>
          <w:p w14:paraId="10823EB1"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368.59</w:t>
            </w:r>
          </w:p>
        </w:tc>
        <w:tc>
          <w:tcPr>
            <w:tcW w:w="1069" w:type="dxa"/>
            <w:noWrap/>
            <w:hideMark/>
          </w:tcPr>
          <w:p w14:paraId="6FABC385"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415.37</w:t>
            </w:r>
          </w:p>
        </w:tc>
        <w:tc>
          <w:tcPr>
            <w:tcW w:w="1069" w:type="dxa"/>
            <w:noWrap/>
            <w:hideMark/>
          </w:tcPr>
          <w:p w14:paraId="2B78C080"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447.77</w:t>
            </w:r>
          </w:p>
        </w:tc>
        <w:tc>
          <w:tcPr>
            <w:tcW w:w="1069" w:type="dxa"/>
            <w:noWrap/>
            <w:hideMark/>
          </w:tcPr>
          <w:p w14:paraId="527DB9A7"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476.02</w:t>
            </w:r>
          </w:p>
        </w:tc>
        <w:tc>
          <w:tcPr>
            <w:tcW w:w="1069" w:type="dxa"/>
            <w:noWrap/>
            <w:hideMark/>
          </w:tcPr>
          <w:p w14:paraId="3C481CA0"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530.80</w:t>
            </w:r>
          </w:p>
        </w:tc>
        <w:tc>
          <w:tcPr>
            <w:tcW w:w="1069" w:type="dxa"/>
            <w:noWrap/>
            <w:hideMark/>
          </w:tcPr>
          <w:p w14:paraId="357F019D"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438.46</w:t>
            </w:r>
          </w:p>
        </w:tc>
        <w:tc>
          <w:tcPr>
            <w:tcW w:w="1069" w:type="dxa"/>
            <w:noWrap/>
            <w:hideMark/>
          </w:tcPr>
          <w:p w14:paraId="646DB58E"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435.95</w:t>
            </w:r>
          </w:p>
        </w:tc>
        <w:tc>
          <w:tcPr>
            <w:tcW w:w="840" w:type="dxa"/>
            <w:noWrap/>
            <w:hideMark/>
          </w:tcPr>
          <w:p w14:paraId="5FDAFA67"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549.35</w:t>
            </w:r>
          </w:p>
        </w:tc>
      </w:tr>
      <w:tr w:rsidR="00BA19FB" w:rsidRPr="000E1B7E" w14:paraId="3E47A256"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1A322A79"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Plastics,Rubber, &amp; Related Products</w:t>
            </w:r>
          </w:p>
        </w:tc>
        <w:tc>
          <w:tcPr>
            <w:tcW w:w="936" w:type="dxa"/>
            <w:noWrap/>
            <w:hideMark/>
          </w:tcPr>
          <w:p w14:paraId="119410B1"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199.77</w:t>
            </w:r>
          </w:p>
        </w:tc>
        <w:tc>
          <w:tcPr>
            <w:tcW w:w="1069" w:type="dxa"/>
            <w:noWrap/>
            <w:hideMark/>
          </w:tcPr>
          <w:p w14:paraId="78511AA2"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242.28</w:t>
            </w:r>
          </w:p>
        </w:tc>
        <w:tc>
          <w:tcPr>
            <w:tcW w:w="1069" w:type="dxa"/>
            <w:noWrap/>
            <w:hideMark/>
          </w:tcPr>
          <w:p w14:paraId="5A77ABDD"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245.88</w:t>
            </w:r>
          </w:p>
        </w:tc>
        <w:tc>
          <w:tcPr>
            <w:tcW w:w="1069" w:type="dxa"/>
            <w:noWrap/>
            <w:hideMark/>
          </w:tcPr>
          <w:p w14:paraId="3C093698"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252.15</w:t>
            </w:r>
          </w:p>
        </w:tc>
        <w:tc>
          <w:tcPr>
            <w:tcW w:w="1069" w:type="dxa"/>
            <w:noWrap/>
            <w:hideMark/>
          </w:tcPr>
          <w:p w14:paraId="488041FB"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302.06</w:t>
            </w:r>
          </w:p>
        </w:tc>
        <w:tc>
          <w:tcPr>
            <w:tcW w:w="1069" w:type="dxa"/>
            <w:noWrap/>
            <w:hideMark/>
          </w:tcPr>
          <w:p w14:paraId="7B700F13"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261.07</w:t>
            </w:r>
          </w:p>
        </w:tc>
        <w:tc>
          <w:tcPr>
            <w:tcW w:w="1069" w:type="dxa"/>
            <w:noWrap/>
            <w:hideMark/>
          </w:tcPr>
          <w:p w14:paraId="14FF4464"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278.91</w:t>
            </w:r>
          </w:p>
        </w:tc>
        <w:tc>
          <w:tcPr>
            <w:tcW w:w="840" w:type="dxa"/>
            <w:noWrap/>
            <w:hideMark/>
          </w:tcPr>
          <w:p w14:paraId="1FEF66CE"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327.76</w:t>
            </w:r>
          </w:p>
        </w:tc>
      </w:tr>
      <w:tr w:rsidR="00BA19FB" w:rsidRPr="000E1B7E" w14:paraId="5563A893" w14:textId="77777777" w:rsidTr="00BA19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5D2B8B3E"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Wood &amp; Wood Products</w:t>
            </w:r>
          </w:p>
        </w:tc>
        <w:tc>
          <w:tcPr>
            <w:tcW w:w="936" w:type="dxa"/>
            <w:noWrap/>
            <w:hideMark/>
          </w:tcPr>
          <w:p w14:paraId="6A89A6BB"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123.53</w:t>
            </w:r>
          </w:p>
        </w:tc>
        <w:tc>
          <w:tcPr>
            <w:tcW w:w="1069" w:type="dxa"/>
            <w:noWrap/>
            <w:hideMark/>
          </w:tcPr>
          <w:p w14:paraId="3DCE52A3"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133.22</w:t>
            </w:r>
          </w:p>
        </w:tc>
        <w:tc>
          <w:tcPr>
            <w:tcW w:w="1069" w:type="dxa"/>
            <w:noWrap/>
            <w:hideMark/>
          </w:tcPr>
          <w:p w14:paraId="2F4516F9"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116.73</w:t>
            </w:r>
          </w:p>
        </w:tc>
        <w:tc>
          <w:tcPr>
            <w:tcW w:w="1069" w:type="dxa"/>
            <w:noWrap/>
            <w:hideMark/>
          </w:tcPr>
          <w:p w14:paraId="088F2D8B"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115.41</w:t>
            </w:r>
          </w:p>
        </w:tc>
        <w:tc>
          <w:tcPr>
            <w:tcW w:w="1069" w:type="dxa"/>
            <w:noWrap/>
            <w:hideMark/>
          </w:tcPr>
          <w:p w14:paraId="77D2F43A"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114.01</w:t>
            </w:r>
          </w:p>
        </w:tc>
        <w:tc>
          <w:tcPr>
            <w:tcW w:w="1069" w:type="dxa"/>
            <w:noWrap/>
            <w:hideMark/>
          </w:tcPr>
          <w:p w14:paraId="72F040E4"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113.27</w:t>
            </w:r>
          </w:p>
        </w:tc>
        <w:tc>
          <w:tcPr>
            <w:tcW w:w="1069" w:type="dxa"/>
            <w:noWrap/>
            <w:hideMark/>
          </w:tcPr>
          <w:p w14:paraId="05F6535B"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112.19</w:t>
            </w:r>
          </w:p>
        </w:tc>
        <w:tc>
          <w:tcPr>
            <w:tcW w:w="840" w:type="dxa"/>
            <w:noWrap/>
            <w:hideMark/>
          </w:tcPr>
          <w:p w14:paraId="55E88C85"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142.89</w:t>
            </w:r>
          </w:p>
        </w:tc>
      </w:tr>
      <w:tr w:rsidR="00BA19FB" w:rsidRPr="000E1B7E" w14:paraId="4E5A170A"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6B46FC92"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Textile &amp; Textile Products</w:t>
            </w:r>
          </w:p>
        </w:tc>
        <w:tc>
          <w:tcPr>
            <w:tcW w:w="936" w:type="dxa"/>
            <w:noWrap/>
            <w:hideMark/>
          </w:tcPr>
          <w:p w14:paraId="1D545FD5"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126.57</w:t>
            </w:r>
          </w:p>
        </w:tc>
        <w:tc>
          <w:tcPr>
            <w:tcW w:w="1069" w:type="dxa"/>
            <w:noWrap/>
            <w:hideMark/>
          </w:tcPr>
          <w:p w14:paraId="48ED2C58"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136.99</w:t>
            </w:r>
          </w:p>
        </w:tc>
        <w:tc>
          <w:tcPr>
            <w:tcW w:w="1069" w:type="dxa"/>
            <w:noWrap/>
            <w:hideMark/>
          </w:tcPr>
          <w:p w14:paraId="4DCB0E20"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132.97</w:t>
            </w:r>
          </w:p>
        </w:tc>
        <w:tc>
          <w:tcPr>
            <w:tcW w:w="1069" w:type="dxa"/>
            <w:noWrap/>
            <w:hideMark/>
          </w:tcPr>
          <w:p w14:paraId="01E9B985"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162.43</w:t>
            </w:r>
          </w:p>
        </w:tc>
        <w:tc>
          <w:tcPr>
            <w:tcW w:w="1069" w:type="dxa"/>
            <w:noWrap/>
            <w:hideMark/>
          </w:tcPr>
          <w:p w14:paraId="7E7ED943"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165.93</w:t>
            </w:r>
          </w:p>
        </w:tc>
        <w:tc>
          <w:tcPr>
            <w:tcW w:w="1069" w:type="dxa"/>
            <w:noWrap/>
            <w:hideMark/>
          </w:tcPr>
          <w:p w14:paraId="6361D72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148.82</w:t>
            </w:r>
          </w:p>
        </w:tc>
        <w:tc>
          <w:tcPr>
            <w:tcW w:w="1069" w:type="dxa"/>
            <w:noWrap/>
            <w:hideMark/>
          </w:tcPr>
          <w:p w14:paraId="3B87CEA8"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164.60</w:t>
            </w:r>
          </w:p>
        </w:tc>
        <w:tc>
          <w:tcPr>
            <w:tcW w:w="840" w:type="dxa"/>
            <w:noWrap/>
            <w:hideMark/>
          </w:tcPr>
          <w:p w14:paraId="640FD48D"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187.66</w:t>
            </w:r>
          </w:p>
        </w:tc>
      </w:tr>
      <w:tr w:rsidR="00BA19FB" w:rsidRPr="000E1B7E" w14:paraId="1206D642" w14:textId="77777777" w:rsidTr="00BA19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7132B119"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Miscelanneous Manufactured Articles</w:t>
            </w:r>
          </w:p>
        </w:tc>
        <w:tc>
          <w:tcPr>
            <w:tcW w:w="936" w:type="dxa"/>
            <w:noWrap/>
            <w:hideMark/>
          </w:tcPr>
          <w:p w14:paraId="40C0FD73"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155.38</w:t>
            </w:r>
          </w:p>
        </w:tc>
        <w:tc>
          <w:tcPr>
            <w:tcW w:w="1069" w:type="dxa"/>
            <w:noWrap/>
            <w:hideMark/>
          </w:tcPr>
          <w:p w14:paraId="46C7F7DF"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181.76</w:t>
            </w:r>
          </w:p>
        </w:tc>
        <w:tc>
          <w:tcPr>
            <w:tcW w:w="1069" w:type="dxa"/>
            <w:noWrap/>
            <w:hideMark/>
          </w:tcPr>
          <w:p w14:paraId="007D10B7"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230.33</w:t>
            </w:r>
          </w:p>
        </w:tc>
        <w:tc>
          <w:tcPr>
            <w:tcW w:w="1069" w:type="dxa"/>
            <w:noWrap/>
            <w:hideMark/>
          </w:tcPr>
          <w:p w14:paraId="58F6E2C5"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226.19</w:t>
            </w:r>
          </w:p>
        </w:tc>
        <w:tc>
          <w:tcPr>
            <w:tcW w:w="1069" w:type="dxa"/>
            <w:noWrap/>
            <w:hideMark/>
          </w:tcPr>
          <w:p w14:paraId="12667271"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238.63</w:t>
            </w:r>
          </w:p>
        </w:tc>
        <w:tc>
          <w:tcPr>
            <w:tcW w:w="1069" w:type="dxa"/>
            <w:noWrap/>
            <w:hideMark/>
          </w:tcPr>
          <w:p w14:paraId="7F4113F1"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212.58</w:t>
            </w:r>
          </w:p>
        </w:tc>
        <w:tc>
          <w:tcPr>
            <w:tcW w:w="1069" w:type="dxa"/>
            <w:noWrap/>
            <w:hideMark/>
          </w:tcPr>
          <w:p w14:paraId="7EA6FBE8"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232.93</w:t>
            </w:r>
          </w:p>
        </w:tc>
        <w:tc>
          <w:tcPr>
            <w:tcW w:w="840" w:type="dxa"/>
            <w:noWrap/>
            <w:hideMark/>
          </w:tcPr>
          <w:p w14:paraId="671B011E"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252.93</w:t>
            </w:r>
          </w:p>
        </w:tc>
      </w:tr>
      <w:tr w:rsidR="00BA19FB" w:rsidRPr="000E1B7E" w14:paraId="182B2106"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2B566D35"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Base Metals &amp; their Products</w:t>
            </w:r>
          </w:p>
        </w:tc>
        <w:tc>
          <w:tcPr>
            <w:tcW w:w="936" w:type="dxa"/>
            <w:noWrap/>
            <w:hideMark/>
          </w:tcPr>
          <w:p w14:paraId="2DA84BD1"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321.34</w:t>
            </w:r>
          </w:p>
        </w:tc>
        <w:tc>
          <w:tcPr>
            <w:tcW w:w="1069" w:type="dxa"/>
            <w:noWrap/>
            <w:hideMark/>
          </w:tcPr>
          <w:p w14:paraId="2C71684B"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344.90</w:t>
            </w:r>
          </w:p>
        </w:tc>
        <w:tc>
          <w:tcPr>
            <w:tcW w:w="1069" w:type="dxa"/>
            <w:noWrap/>
            <w:hideMark/>
          </w:tcPr>
          <w:p w14:paraId="15BAD725"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283.97</w:t>
            </w:r>
          </w:p>
        </w:tc>
        <w:tc>
          <w:tcPr>
            <w:tcW w:w="1069" w:type="dxa"/>
            <w:noWrap/>
            <w:hideMark/>
          </w:tcPr>
          <w:p w14:paraId="3BDC6E60"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319.31</w:t>
            </w:r>
          </w:p>
        </w:tc>
        <w:tc>
          <w:tcPr>
            <w:tcW w:w="1069" w:type="dxa"/>
            <w:noWrap/>
            <w:hideMark/>
          </w:tcPr>
          <w:p w14:paraId="12831ABD"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345.28</w:t>
            </w:r>
          </w:p>
        </w:tc>
        <w:tc>
          <w:tcPr>
            <w:tcW w:w="1069" w:type="dxa"/>
            <w:noWrap/>
            <w:hideMark/>
          </w:tcPr>
          <w:p w14:paraId="4AA59189"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286.68</w:t>
            </w:r>
          </w:p>
        </w:tc>
        <w:tc>
          <w:tcPr>
            <w:tcW w:w="1069" w:type="dxa"/>
            <w:noWrap/>
            <w:hideMark/>
          </w:tcPr>
          <w:p w14:paraId="4CCD1C8B"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335.15</w:t>
            </w:r>
          </w:p>
        </w:tc>
        <w:tc>
          <w:tcPr>
            <w:tcW w:w="840" w:type="dxa"/>
            <w:noWrap/>
            <w:hideMark/>
          </w:tcPr>
          <w:p w14:paraId="73CCF049"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399.48</w:t>
            </w:r>
          </w:p>
        </w:tc>
      </w:tr>
      <w:tr w:rsidR="00BA19FB" w:rsidRPr="000E1B7E" w14:paraId="23E4824B" w14:textId="77777777" w:rsidTr="00BA19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499EAA70"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Machinery Equipments, Vehicles &amp; Accessories</w:t>
            </w:r>
          </w:p>
        </w:tc>
        <w:tc>
          <w:tcPr>
            <w:tcW w:w="936" w:type="dxa"/>
            <w:noWrap/>
            <w:hideMark/>
          </w:tcPr>
          <w:p w14:paraId="66FD5A8F"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1,224.56</w:t>
            </w:r>
          </w:p>
        </w:tc>
        <w:tc>
          <w:tcPr>
            <w:tcW w:w="1069" w:type="dxa"/>
            <w:noWrap/>
            <w:hideMark/>
          </w:tcPr>
          <w:p w14:paraId="208811EB"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1,256.94</w:t>
            </w:r>
          </w:p>
        </w:tc>
        <w:tc>
          <w:tcPr>
            <w:tcW w:w="1069" w:type="dxa"/>
            <w:noWrap/>
            <w:hideMark/>
          </w:tcPr>
          <w:p w14:paraId="1F24226A"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1,229.09</w:t>
            </w:r>
          </w:p>
        </w:tc>
        <w:tc>
          <w:tcPr>
            <w:tcW w:w="1069" w:type="dxa"/>
            <w:noWrap/>
            <w:hideMark/>
          </w:tcPr>
          <w:p w14:paraId="4848FF45"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1,174.89</w:t>
            </w:r>
          </w:p>
        </w:tc>
        <w:tc>
          <w:tcPr>
            <w:tcW w:w="1069" w:type="dxa"/>
            <w:noWrap/>
            <w:hideMark/>
          </w:tcPr>
          <w:p w14:paraId="3375CDD6"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1,232.03</w:t>
            </w:r>
          </w:p>
        </w:tc>
        <w:tc>
          <w:tcPr>
            <w:tcW w:w="1069" w:type="dxa"/>
            <w:noWrap/>
            <w:hideMark/>
          </w:tcPr>
          <w:p w14:paraId="4966676E"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1,054.66</w:t>
            </w:r>
          </w:p>
        </w:tc>
        <w:tc>
          <w:tcPr>
            <w:tcW w:w="1069" w:type="dxa"/>
            <w:noWrap/>
            <w:hideMark/>
          </w:tcPr>
          <w:p w14:paraId="789AB4E2"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900.61</w:t>
            </w:r>
          </w:p>
        </w:tc>
        <w:tc>
          <w:tcPr>
            <w:tcW w:w="840" w:type="dxa"/>
            <w:noWrap/>
            <w:hideMark/>
          </w:tcPr>
          <w:p w14:paraId="621A3EB5"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1,081.50</w:t>
            </w:r>
          </w:p>
        </w:tc>
      </w:tr>
      <w:tr w:rsidR="00BA19FB" w:rsidRPr="000E1B7E" w14:paraId="67F177F0"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1067373D"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Arms &amp;Ammunitions &amp; Accessories</w:t>
            </w:r>
          </w:p>
        </w:tc>
        <w:tc>
          <w:tcPr>
            <w:tcW w:w="936" w:type="dxa"/>
            <w:noWrap/>
            <w:hideMark/>
          </w:tcPr>
          <w:p w14:paraId="62BED748"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0.01</w:t>
            </w:r>
          </w:p>
        </w:tc>
        <w:tc>
          <w:tcPr>
            <w:tcW w:w="1069" w:type="dxa"/>
            <w:noWrap/>
            <w:hideMark/>
          </w:tcPr>
          <w:p w14:paraId="4E55C0DE"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0.03</w:t>
            </w:r>
          </w:p>
        </w:tc>
        <w:tc>
          <w:tcPr>
            <w:tcW w:w="1069" w:type="dxa"/>
            <w:noWrap/>
            <w:hideMark/>
          </w:tcPr>
          <w:p w14:paraId="4AD4EB13"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0.11</w:t>
            </w:r>
          </w:p>
        </w:tc>
        <w:tc>
          <w:tcPr>
            <w:tcW w:w="1069" w:type="dxa"/>
            <w:noWrap/>
            <w:hideMark/>
          </w:tcPr>
          <w:p w14:paraId="654B1D5A"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0.04</w:t>
            </w:r>
          </w:p>
        </w:tc>
        <w:tc>
          <w:tcPr>
            <w:tcW w:w="1069" w:type="dxa"/>
            <w:noWrap/>
            <w:hideMark/>
          </w:tcPr>
          <w:p w14:paraId="0DB203A7"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0.10</w:t>
            </w:r>
          </w:p>
        </w:tc>
        <w:tc>
          <w:tcPr>
            <w:tcW w:w="1069" w:type="dxa"/>
            <w:noWrap/>
            <w:hideMark/>
          </w:tcPr>
          <w:p w14:paraId="0142DE1C"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0.08</w:t>
            </w:r>
          </w:p>
        </w:tc>
        <w:tc>
          <w:tcPr>
            <w:tcW w:w="1069" w:type="dxa"/>
            <w:noWrap/>
            <w:hideMark/>
          </w:tcPr>
          <w:p w14:paraId="7D4F93BD"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0.10</w:t>
            </w:r>
          </w:p>
        </w:tc>
        <w:tc>
          <w:tcPr>
            <w:tcW w:w="840" w:type="dxa"/>
            <w:noWrap/>
            <w:hideMark/>
          </w:tcPr>
          <w:p w14:paraId="70E3A302"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0.06</w:t>
            </w:r>
          </w:p>
        </w:tc>
      </w:tr>
      <w:tr w:rsidR="00BA19FB" w:rsidRPr="000E1B7E" w14:paraId="5A017CF2" w14:textId="77777777" w:rsidTr="00BA19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359327E7"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Electricity</w:t>
            </w:r>
          </w:p>
        </w:tc>
        <w:tc>
          <w:tcPr>
            <w:tcW w:w="936" w:type="dxa"/>
            <w:noWrap/>
            <w:hideMark/>
          </w:tcPr>
          <w:p w14:paraId="696E8A1A"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5.63</w:t>
            </w:r>
          </w:p>
        </w:tc>
        <w:tc>
          <w:tcPr>
            <w:tcW w:w="1069" w:type="dxa"/>
            <w:noWrap/>
            <w:hideMark/>
          </w:tcPr>
          <w:p w14:paraId="50B508B2"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9.09</w:t>
            </w:r>
          </w:p>
        </w:tc>
        <w:tc>
          <w:tcPr>
            <w:tcW w:w="1069" w:type="dxa"/>
            <w:noWrap/>
            <w:hideMark/>
          </w:tcPr>
          <w:p w14:paraId="4C1B7B2A"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6.72</w:t>
            </w:r>
          </w:p>
        </w:tc>
        <w:tc>
          <w:tcPr>
            <w:tcW w:w="1069" w:type="dxa"/>
            <w:noWrap/>
            <w:hideMark/>
          </w:tcPr>
          <w:p w14:paraId="5550E6AE"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7.86</w:t>
            </w:r>
          </w:p>
        </w:tc>
        <w:tc>
          <w:tcPr>
            <w:tcW w:w="1069" w:type="dxa"/>
            <w:noWrap/>
            <w:hideMark/>
          </w:tcPr>
          <w:p w14:paraId="1BAE74AF"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7.15</w:t>
            </w:r>
          </w:p>
        </w:tc>
        <w:tc>
          <w:tcPr>
            <w:tcW w:w="1069" w:type="dxa"/>
            <w:noWrap/>
            <w:hideMark/>
          </w:tcPr>
          <w:p w14:paraId="0EBF1E64"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6.00</w:t>
            </w:r>
          </w:p>
        </w:tc>
        <w:tc>
          <w:tcPr>
            <w:tcW w:w="1069" w:type="dxa"/>
            <w:noWrap/>
            <w:hideMark/>
          </w:tcPr>
          <w:p w14:paraId="54FD9A60"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2.77</w:t>
            </w:r>
          </w:p>
        </w:tc>
        <w:tc>
          <w:tcPr>
            <w:tcW w:w="840" w:type="dxa"/>
            <w:noWrap/>
            <w:hideMark/>
          </w:tcPr>
          <w:p w14:paraId="2018299F" w14:textId="77777777" w:rsidR="00BA19FB" w:rsidRPr="000E1B7E" w:rsidRDefault="00BA19FB" w:rsidP="00AE2F03">
            <w:pPr>
              <w:ind w:left="-108" w:right="-1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0E1B7E">
              <w:rPr>
                <w:rFonts w:ascii="Times New Roman" w:hAnsi="Times New Roman" w:cs="Times New Roman"/>
                <w:lang w:val="en-US"/>
              </w:rPr>
              <w:t>3.44</w:t>
            </w:r>
          </w:p>
        </w:tc>
      </w:tr>
      <w:tr w:rsidR="00BA19FB" w:rsidRPr="000E1B7E" w14:paraId="25EEDF0B" w14:textId="77777777" w:rsidTr="00BA19FB">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2" w:type="dxa"/>
            <w:noWrap/>
            <w:hideMark/>
          </w:tcPr>
          <w:p w14:paraId="062334FF" w14:textId="77777777" w:rsidR="00BA19FB" w:rsidRPr="000E1B7E" w:rsidRDefault="00BA19FB" w:rsidP="00AE2F03">
            <w:pPr>
              <w:rPr>
                <w:rFonts w:ascii="Times New Roman" w:hAnsi="Times New Roman" w:cs="Times New Roman"/>
                <w:lang w:val="en-US"/>
              </w:rPr>
            </w:pPr>
            <w:r w:rsidRPr="000E1B7E">
              <w:rPr>
                <w:rFonts w:ascii="Times New Roman" w:hAnsi="Times New Roman" w:cs="Times New Roman"/>
                <w:lang w:val="en-US"/>
              </w:rPr>
              <w:t>TOTAL</w:t>
            </w:r>
          </w:p>
        </w:tc>
        <w:tc>
          <w:tcPr>
            <w:tcW w:w="936" w:type="dxa"/>
            <w:noWrap/>
            <w:hideMark/>
          </w:tcPr>
          <w:p w14:paraId="0FB4CF64"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4,052.17</w:t>
            </w:r>
          </w:p>
        </w:tc>
        <w:tc>
          <w:tcPr>
            <w:tcW w:w="1069" w:type="dxa"/>
            <w:noWrap/>
            <w:hideMark/>
          </w:tcPr>
          <w:p w14:paraId="2684DE03" w14:textId="77777777" w:rsidR="00BA19FB" w:rsidRPr="000E1B7E" w:rsidRDefault="00BA19FB" w:rsidP="00AE2F03">
            <w:pPr>
              <w:ind w:lef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4,701.98</w:t>
            </w:r>
          </w:p>
        </w:tc>
        <w:tc>
          <w:tcPr>
            <w:tcW w:w="1069" w:type="dxa"/>
            <w:noWrap/>
            <w:hideMark/>
          </w:tcPr>
          <w:p w14:paraId="5245D2C9" w14:textId="77777777" w:rsidR="00BA19FB" w:rsidRPr="000E1B7E" w:rsidRDefault="00BA19FB" w:rsidP="00AE2F03">
            <w:pPr>
              <w:ind w:lef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4,545.69</w:t>
            </w:r>
          </w:p>
        </w:tc>
        <w:tc>
          <w:tcPr>
            <w:tcW w:w="1069" w:type="dxa"/>
            <w:noWrap/>
            <w:hideMark/>
          </w:tcPr>
          <w:p w14:paraId="5BB43D9D" w14:textId="77777777" w:rsidR="00BA19FB" w:rsidRPr="000E1B7E" w:rsidRDefault="00BA19FB" w:rsidP="00AE2F03">
            <w:pPr>
              <w:ind w:lef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4,656.00</w:t>
            </w:r>
          </w:p>
        </w:tc>
        <w:tc>
          <w:tcPr>
            <w:tcW w:w="1069" w:type="dxa"/>
            <w:noWrap/>
            <w:hideMark/>
          </w:tcPr>
          <w:p w14:paraId="2CAC8CA6" w14:textId="77777777" w:rsidR="00BA19FB" w:rsidRPr="000E1B7E" w:rsidRDefault="00BA19FB" w:rsidP="00AE2F03">
            <w:pPr>
              <w:ind w:lef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4,692.67</w:t>
            </w:r>
          </w:p>
        </w:tc>
        <w:tc>
          <w:tcPr>
            <w:tcW w:w="1069" w:type="dxa"/>
            <w:noWrap/>
            <w:hideMark/>
          </w:tcPr>
          <w:p w14:paraId="729C8342" w14:textId="77777777" w:rsidR="00BA19FB" w:rsidRPr="000E1B7E" w:rsidRDefault="00BA19FB" w:rsidP="00AE2F03">
            <w:pPr>
              <w:ind w:lef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3,862.65</w:t>
            </w:r>
          </w:p>
        </w:tc>
        <w:tc>
          <w:tcPr>
            <w:tcW w:w="1069" w:type="dxa"/>
            <w:noWrap/>
            <w:hideMark/>
          </w:tcPr>
          <w:p w14:paraId="79647BB3" w14:textId="77777777" w:rsidR="00BA19FB" w:rsidRPr="000E1B7E" w:rsidRDefault="00BA19FB" w:rsidP="00AE2F03">
            <w:pPr>
              <w:ind w:lef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lang w:val="en-US"/>
              </w:rPr>
            </w:pPr>
            <w:r w:rsidRPr="000E1B7E">
              <w:rPr>
                <w:rFonts w:ascii="Times New Roman" w:hAnsi="Times New Roman" w:cs="Times New Roman"/>
                <w:b/>
                <w:bCs/>
                <w:lang w:val="en-US"/>
              </w:rPr>
              <w:t>3,944.73</w:t>
            </w:r>
          </w:p>
        </w:tc>
        <w:tc>
          <w:tcPr>
            <w:tcW w:w="840" w:type="dxa"/>
            <w:noWrap/>
            <w:hideMark/>
          </w:tcPr>
          <w:p w14:paraId="1EEA84A1" w14:textId="77777777" w:rsidR="00BA19FB" w:rsidRPr="000E1B7E" w:rsidRDefault="00BA19FB" w:rsidP="00AE2F03">
            <w:pPr>
              <w:ind w:left="-108" w:right="-13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lang w:val="en-US"/>
              </w:rPr>
            </w:pPr>
            <w:r w:rsidRPr="000E1B7E">
              <w:rPr>
                <w:rFonts w:ascii="Times New Roman" w:hAnsi="Times New Roman" w:cs="Times New Roman"/>
                <w:b/>
                <w:lang w:val="en-US"/>
              </w:rPr>
              <w:t>4,683.06</w:t>
            </w:r>
          </w:p>
        </w:tc>
      </w:tr>
    </w:tbl>
    <w:p w14:paraId="57EF7892" w14:textId="77777777" w:rsidR="00BA19FB" w:rsidRPr="000E1B7E" w:rsidRDefault="00BA19FB" w:rsidP="00BA19FB">
      <w:pPr>
        <w:jc w:val="both"/>
      </w:pPr>
    </w:p>
    <w:p w14:paraId="18F14F22" w14:textId="77777777" w:rsidR="00BA19FB" w:rsidRPr="000E1B7E" w:rsidRDefault="00BA19FB" w:rsidP="005959B5">
      <w:pPr>
        <w:jc w:val="both"/>
      </w:pPr>
    </w:p>
    <w:sectPr w:rsidR="00BA19FB" w:rsidRPr="000E1B7E" w:rsidSect="005909F8">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AEB54" w14:textId="77777777" w:rsidR="00687502" w:rsidRDefault="00687502" w:rsidP="008C2E92">
      <w:r>
        <w:separator/>
      </w:r>
    </w:p>
  </w:endnote>
  <w:endnote w:type="continuationSeparator" w:id="0">
    <w:p w14:paraId="2A5402F2" w14:textId="77777777" w:rsidR="00687502" w:rsidRDefault="00687502" w:rsidP="008C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Zarina">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Univers-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838348"/>
      <w:docPartObj>
        <w:docPartGallery w:val="Page Numbers (Bottom of Page)"/>
        <w:docPartUnique/>
      </w:docPartObj>
    </w:sdtPr>
    <w:sdtEndPr>
      <w:rPr>
        <w:noProof/>
      </w:rPr>
    </w:sdtEndPr>
    <w:sdtContent>
      <w:p w14:paraId="294E2BB7" w14:textId="77777777" w:rsidR="00FD5BA9" w:rsidRDefault="003D317A">
        <w:pPr>
          <w:pStyle w:val="Footer"/>
          <w:jc w:val="center"/>
        </w:pPr>
        <w:r>
          <w:rPr>
            <w:noProof/>
          </w:rPr>
          <w:fldChar w:fldCharType="begin"/>
        </w:r>
        <w:r>
          <w:rPr>
            <w:noProof/>
          </w:rPr>
          <w:instrText xml:space="preserve"> PAGE   \* MERGEFORMAT </w:instrText>
        </w:r>
        <w:r>
          <w:rPr>
            <w:noProof/>
          </w:rPr>
          <w:fldChar w:fldCharType="separate"/>
        </w:r>
        <w:r w:rsidR="000B7A9D">
          <w:rPr>
            <w:noProof/>
          </w:rPr>
          <w:t>ii</w:t>
        </w:r>
        <w:r>
          <w:rPr>
            <w:noProof/>
          </w:rPr>
          <w:fldChar w:fldCharType="end"/>
        </w:r>
      </w:p>
    </w:sdtContent>
  </w:sdt>
  <w:p w14:paraId="36EFCEB1" w14:textId="77777777" w:rsidR="00FD5BA9" w:rsidRDefault="00FD5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604604"/>
      <w:docPartObj>
        <w:docPartGallery w:val="Page Numbers (Bottom of Page)"/>
        <w:docPartUnique/>
      </w:docPartObj>
    </w:sdtPr>
    <w:sdtEndPr>
      <w:rPr>
        <w:noProof/>
      </w:rPr>
    </w:sdtEndPr>
    <w:sdtContent>
      <w:p w14:paraId="2F9A3947" w14:textId="77777777" w:rsidR="00FD5BA9" w:rsidRDefault="003D317A">
        <w:pPr>
          <w:pStyle w:val="Footer"/>
          <w:jc w:val="center"/>
        </w:pPr>
        <w:r>
          <w:rPr>
            <w:noProof/>
          </w:rPr>
          <w:fldChar w:fldCharType="begin"/>
        </w:r>
        <w:r>
          <w:rPr>
            <w:noProof/>
          </w:rPr>
          <w:instrText xml:space="preserve"> PAGE   \* MERGEFORMAT </w:instrText>
        </w:r>
        <w:r>
          <w:rPr>
            <w:noProof/>
          </w:rPr>
          <w:fldChar w:fldCharType="separate"/>
        </w:r>
        <w:r w:rsidR="000B7A9D">
          <w:rPr>
            <w:noProof/>
          </w:rPr>
          <w:t>iii</w:t>
        </w:r>
        <w:r>
          <w:rPr>
            <w:noProof/>
          </w:rPr>
          <w:fldChar w:fldCharType="end"/>
        </w:r>
      </w:p>
    </w:sdtContent>
  </w:sdt>
  <w:p w14:paraId="4A9428F7" w14:textId="77777777" w:rsidR="00FD5BA9" w:rsidRDefault="00FD5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706890"/>
      <w:docPartObj>
        <w:docPartGallery w:val="Page Numbers (Bottom of Page)"/>
        <w:docPartUnique/>
      </w:docPartObj>
    </w:sdtPr>
    <w:sdtEndPr/>
    <w:sdtContent>
      <w:p w14:paraId="2CF48C2D" w14:textId="77777777" w:rsidR="00FD5BA9" w:rsidRDefault="00FD5BA9">
        <w:pPr>
          <w:pStyle w:val="Footer"/>
          <w:jc w:val="right"/>
        </w:pPr>
        <w:r>
          <w:t xml:space="preserve">Page | </w:t>
        </w:r>
        <w:r w:rsidR="003D317A">
          <w:rPr>
            <w:noProof/>
          </w:rPr>
          <w:fldChar w:fldCharType="begin"/>
        </w:r>
        <w:r w:rsidR="003D317A">
          <w:rPr>
            <w:noProof/>
          </w:rPr>
          <w:instrText xml:space="preserve"> PAGE   \* MERGEFORMAT </w:instrText>
        </w:r>
        <w:r w:rsidR="003D317A">
          <w:rPr>
            <w:noProof/>
          </w:rPr>
          <w:fldChar w:fldCharType="separate"/>
        </w:r>
        <w:r w:rsidR="000B7A9D">
          <w:rPr>
            <w:noProof/>
          </w:rPr>
          <w:t>5</w:t>
        </w:r>
        <w:r w:rsidR="003D317A">
          <w:rPr>
            <w:noProof/>
          </w:rPr>
          <w:fldChar w:fldCharType="end"/>
        </w:r>
      </w:p>
    </w:sdtContent>
  </w:sdt>
  <w:p w14:paraId="3CB25E9C" w14:textId="77777777" w:rsidR="00FD5BA9" w:rsidRPr="005959B5" w:rsidRDefault="00FD5BA9" w:rsidP="005959B5">
    <w:pPr>
      <w:pStyle w:val="Footer"/>
      <w:rPr>
        <w:rFonts w:ascii="Times New Roman" w:hAnsi="Times New Roman"/>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83B23" w14:textId="77777777" w:rsidR="00687502" w:rsidRDefault="00687502" w:rsidP="008C2E92">
      <w:r>
        <w:separator/>
      </w:r>
    </w:p>
  </w:footnote>
  <w:footnote w:type="continuationSeparator" w:id="0">
    <w:p w14:paraId="6AEDBC92" w14:textId="77777777" w:rsidR="00687502" w:rsidRDefault="00687502" w:rsidP="008C2E92">
      <w:r>
        <w:continuationSeparator/>
      </w:r>
    </w:p>
  </w:footnote>
  <w:footnote w:id="1">
    <w:p w14:paraId="3E24C624" w14:textId="77777777" w:rsidR="00FD5BA9" w:rsidRPr="007D2AA2" w:rsidRDefault="00FD5BA9" w:rsidP="004217BA">
      <w:pPr>
        <w:pStyle w:val="FootnoteText"/>
        <w:rPr>
          <w:lang w:val="en-US"/>
        </w:rPr>
      </w:pPr>
      <w:r>
        <w:rPr>
          <w:rStyle w:val="FootnoteReference"/>
        </w:rPr>
        <w:footnoteRef/>
      </w:r>
      <w:r>
        <w:rPr>
          <w:lang w:val="en-US"/>
        </w:rPr>
        <w:t>National Planning Authority: Vision 2040 document, National Development Plan II</w:t>
      </w:r>
    </w:p>
  </w:footnote>
  <w:footnote w:id="2">
    <w:p w14:paraId="23D22F9E" w14:textId="77777777" w:rsidR="00FD5BA9" w:rsidRPr="008878DD" w:rsidRDefault="00FD5BA9" w:rsidP="00E95DF2">
      <w:pPr>
        <w:pStyle w:val="FootnoteText"/>
        <w:spacing w:after="0" w:line="240" w:lineRule="auto"/>
      </w:pPr>
      <w:r>
        <w:rPr>
          <w:rStyle w:val="FootnoteReference"/>
        </w:rPr>
        <w:footnoteRef/>
      </w:r>
      <w:r>
        <w:t>World Bank: Doing Business Reports, 2019 and 2018</w:t>
      </w:r>
    </w:p>
  </w:footnote>
  <w:footnote w:id="3">
    <w:p w14:paraId="51798063" w14:textId="77777777" w:rsidR="00FD5BA9" w:rsidRPr="00B74878" w:rsidRDefault="00FD5BA9">
      <w:pPr>
        <w:pStyle w:val="FootnoteText"/>
        <w:rPr>
          <w:lang w:val="en-US"/>
        </w:rPr>
      </w:pPr>
      <w:r>
        <w:rPr>
          <w:rStyle w:val="FootnoteReference"/>
        </w:rPr>
        <w:footnoteRef/>
      </w:r>
      <w:r>
        <w:rPr>
          <w:lang w:val="en-US"/>
        </w:rPr>
        <w:t>Ranking  at end of NDP I</w:t>
      </w:r>
    </w:p>
  </w:footnote>
  <w:footnote w:id="4">
    <w:p w14:paraId="3D3F3473" w14:textId="77777777" w:rsidR="00FD5BA9" w:rsidRPr="001606BA" w:rsidRDefault="00FD5BA9" w:rsidP="003F28C0">
      <w:pPr>
        <w:pStyle w:val="FootnoteText"/>
      </w:pPr>
      <w:r>
        <w:rPr>
          <w:rStyle w:val="FootnoteReference"/>
        </w:rPr>
        <w:footnoteRef/>
      </w:r>
      <w:r>
        <w:t xml:space="preserve"> World Economic Forum: </w:t>
      </w:r>
      <w:r>
        <w:rPr>
          <w:rFonts w:ascii="Univers-Light" w:hAnsi="Univers-Light" w:cs="Univers-Light"/>
          <w:sz w:val="15"/>
          <w:szCs w:val="15"/>
        </w:rPr>
        <w:t>The Global Competitiveness Report several years</w:t>
      </w:r>
    </w:p>
  </w:footnote>
  <w:footnote w:id="5">
    <w:p w14:paraId="3CCBFB7D" w14:textId="77777777" w:rsidR="00FD5BA9" w:rsidRPr="00C01697" w:rsidRDefault="00FD5BA9">
      <w:pPr>
        <w:pStyle w:val="FootnoteText"/>
        <w:rPr>
          <w:lang w:val="en-US"/>
        </w:rPr>
      </w:pPr>
      <w:r>
        <w:rPr>
          <w:rStyle w:val="FootnoteReference"/>
        </w:rPr>
        <w:footnoteRef/>
      </w:r>
      <w:r>
        <w:rPr>
          <w:lang w:val="en-US"/>
        </w:rPr>
        <w:tab/>
        <w:t>Excluding grants</w:t>
      </w:r>
    </w:p>
  </w:footnote>
  <w:footnote w:id="6">
    <w:p w14:paraId="787BD0D6" w14:textId="77777777" w:rsidR="00FD5BA9" w:rsidRDefault="00FD5BA9" w:rsidP="00127B81">
      <w:pPr>
        <w:pStyle w:val="FootnoteText"/>
      </w:pPr>
      <w:r>
        <w:rPr>
          <w:rStyle w:val="FootnoteReference"/>
        </w:rPr>
        <w:footnoteRef/>
      </w:r>
      <w:r w:rsidRPr="001B1BA9">
        <w:t>https://opendocs.ids.ac.uk/opendocs/bitstream/handle/123456789/13543/ICTD_14_Summary_%20Brief_HNWI.pdf</w:t>
      </w:r>
    </w:p>
  </w:footnote>
  <w:footnote w:id="7">
    <w:p w14:paraId="41078732" w14:textId="77777777" w:rsidR="00FD5BA9" w:rsidRDefault="00FD5BA9" w:rsidP="00127B81">
      <w:pPr>
        <w:pStyle w:val="FootnoteText"/>
      </w:pPr>
      <w:r>
        <w:rPr>
          <w:rStyle w:val="FootnoteReference"/>
        </w:rPr>
        <w:footnoteRef/>
      </w:r>
      <w:r w:rsidRPr="00F73B41">
        <w:t>https://www.ura.go.ug/Resources/webuploads/INLB/Authorised%20Economic%20Operator.compressed.pdf</w:t>
      </w:r>
    </w:p>
  </w:footnote>
  <w:footnote w:id="8">
    <w:p w14:paraId="58DA60E7" w14:textId="77777777" w:rsidR="00FD5BA9" w:rsidRPr="009B0F11" w:rsidRDefault="00FD5BA9" w:rsidP="00154B27">
      <w:pPr>
        <w:pStyle w:val="FootnoteText"/>
        <w:rPr>
          <w:i/>
          <w:sz w:val="18"/>
          <w:szCs w:val="18"/>
          <w:lang w:val="en-US"/>
        </w:rPr>
      </w:pPr>
      <w:r w:rsidRPr="009B0F11">
        <w:rPr>
          <w:rStyle w:val="FootnoteReference"/>
          <w:i/>
          <w:sz w:val="18"/>
          <w:szCs w:val="18"/>
          <w:vertAlign w:val="baseline"/>
        </w:rPr>
        <w:footnoteRef/>
      </w:r>
      <w:r>
        <w:rPr>
          <w:i/>
          <w:sz w:val="18"/>
          <w:szCs w:val="18"/>
        </w:rPr>
        <w:t>MFPED (2018)</w:t>
      </w:r>
      <w:r w:rsidRPr="009B0F11">
        <w:rPr>
          <w:i/>
          <w:sz w:val="18"/>
          <w:szCs w:val="18"/>
        </w:rPr>
        <w:t xml:space="preserve">: Report on Public Debt, Guarantees and other Financial Liabilities and Grants for </w:t>
      </w:r>
      <w:r>
        <w:rPr>
          <w:i/>
          <w:sz w:val="18"/>
          <w:szCs w:val="18"/>
        </w:rPr>
        <w:t>FY</w:t>
      </w:r>
      <w:r w:rsidRPr="009B0F11">
        <w:rPr>
          <w:i/>
          <w:sz w:val="18"/>
          <w:szCs w:val="18"/>
        </w:rPr>
        <w:t xml:space="preserve"> 2017/18.</w:t>
      </w:r>
    </w:p>
  </w:footnote>
  <w:footnote w:id="9">
    <w:p w14:paraId="4CC472A8" w14:textId="77777777" w:rsidR="00FD5BA9" w:rsidRPr="007A6700" w:rsidRDefault="00FD5BA9" w:rsidP="008941AD">
      <w:pPr>
        <w:pStyle w:val="FootnoteText"/>
        <w:rPr>
          <w:lang w:val="en-US"/>
        </w:rPr>
      </w:pPr>
      <w:r>
        <w:rPr>
          <w:rStyle w:val="FootnoteReference"/>
        </w:rPr>
        <w:footnoteRef/>
      </w:r>
      <w:r w:rsidRPr="007A6700">
        <w:t>https://www.worldbank.org/en/country/uganda/publication/leveraging-public-private-partnerships-to-plug-ugandas-deficit-in-infrastructure-finance</w:t>
      </w:r>
    </w:p>
  </w:footnote>
  <w:footnote w:id="10">
    <w:p w14:paraId="276F70B9" w14:textId="77777777" w:rsidR="00FD5BA9" w:rsidRPr="00425E64" w:rsidRDefault="00FD5BA9">
      <w:pPr>
        <w:pStyle w:val="FootnoteText"/>
        <w:rPr>
          <w:lang w:val="en-US"/>
        </w:rPr>
      </w:pPr>
      <w:r>
        <w:rPr>
          <w:rStyle w:val="FootnoteReference"/>
        </w:rPr>
        <w:footnoteRef/>
      </w:r>
      <w:r>
        <w:rPr>
          <w:lang w:val="en-US"/>
        </w:rPr>
        <w:tab/>
        <w:t xml:space="preserve">NDP II does not provide any numerical values for the projected level of imports so it is not possible to do a direct comparison between the outturn for imports and NDP II projections. </w:t>
      </w:r>
    </w:p>
  </w:footnote>
  <w:footnote w:id="11">
    <w:p w14:paraId="79442CF0" w14:textId="77777777" w:rsidR="00FD5BA9" w:rsidRPr="003F1BDE" w:rsidRDefault="00FD5BA9">
      <w:pPr>
        <w:pStyle w:val="FootnoteText"/>
        <w:rPr>
          <w:lang w:val="en-US"/>
        </w:rPr>
      </w:pPr>
      <w:r>
        <w:rPr>
          <w:rStyle w:val="FootnoteReference"/>
        </w:rPr>
        <w:footnoteRef/>
      </w:r>
      <w:r>
        <w:t xml:space="preserve"> A Tier 3 project would only get priority once it has been fully appraised in moved to Tier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6742"/>
    <w:multiLevelType w:val="hybridMultilevel"/>
    <w:tmpl w:val="B350B146"/>
    <w:lvl w:ilvl="0" w:tplc="674E969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3C7D"/>
    <w:multiLevelType w:val="multilevel"/>
    <w:tmpl w:val="07D0308A"/>
    <w:styleLink w:val="DeltaAnnexhednumbering"/>
    <w:lvl w:ilvl="0">
      <w:start w:val="1"/>
      <w:numFmt w:val="decimal"/>
      <w:pStyle w:val="DeltaAnnexhed1"/>
      <w:lvlText w:val="Annex %1."/>
      <w:lvlJc w:val="left"/>
      <w:pPr>
        <w:ind w:left="1701" w:hanging="170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77121E8"/>
    <w:multiLevelType w:val="multilevel"/>
    <w:tmpl w:val="E38AA4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AE7952"/>
    <w:multiLevelType w:val="hybridMultilevel"/>
    <w:tmpl w:val="FAE60FD4"/>
    <w:lvl w:ilvl="0" w:tplc="B3EC063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032"/>
    <w:multiLevelType w:val="hybridMultilevel"/>
    <w:tmpl w:val="8B40C268"/>
    <w:lvl w:ilvl="0" w:tplc="D99A604E">
      <w:start w:val="1"/>
      <w:numFmt w:val="bullet"/>
      <w:pStyle w:val="Deltadoctitle"/>
      <w:lvlText w:val="•"/>
      <w:lvlJc w:val="left"/>
      <w:pPr>
        <w:ind w:left="720" w:hanging="360"/>
      </w:pPr>
      <w:rPr>
        <w:rFonts w:ascii="Arial Bold" w:hAnsi="Arial Bold" w:hint="default"/>
        <w:b/>
        <w:i w:val="0"/>
        <w:color w:val="F1A42B"/>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B04F8"/>
    <w:multiLevelType w:val="multilevel"/>
    <w:tmpl w:val="8460C66A"/>
    <w:lvl w:ilvl="0">
      <w:start w:val="1"/>
      <w:numFmt w:val="decimal"/>
      <w:pStyle w:val="DeltaSeched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A3056F"/>
    <w:multiLevelType w:val="hybridMultilevel"/>
    <w:tmpl w:val="4B1E3014"/>
    <w:lvl w:ilvl="0" w:tplc="B8EA9D3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E0F35"/>
    <w:multiLevelType w:val="hybridMultilevel"/>
    <w:tmpl w:val="B350B146"/>
    <w:lvl w:ilvl="0" w:tplc="674E969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2248D"/>
    <w:multiLevelType w:val="hybridMultilevel"/>
    <w:tmpl w:val="B350B146"/>
    <w:lvl w:ilvl="0" w:tplc="674E9694">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5645ED"/>
    <w:multiLevelType w:val="hybridMultilevel"/>
    <w:tmpl w:val="FAE60FD4"/>
    <w:lvl w:ilvl="0" w:tplc="B3EC063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B7A8A"/>
    <w:multiLevelType w:val="hybridMultilevel"/>
    <w:tmpl w:val="93DA801E"/>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1" w15:restartNumberingAfterBreak="0">
    <w:nsid w:val="3C525768"/>
    <w:multiLevelType w:val="hybridMultilevel"/>
    <w:tmpl w:val="03CC2672"/>
    <w:lvl w:ilvl="0" w:tplc="04090011">
      <w:start w:val="1"/>
      <w:numFmt w:val="bullet"/>
      <w:pStyle w:val="Descriptionoftasks"/>
      <w:lvlText w:val=""/>
      <w:lvlJc w:val="left"/>
      <w:pPr>
        <w:tabs>
          <w:tab w:val="num" w:pos="360"/>
        </w:tabs>
        <w:ind w:left="288" w:hanging="288"/>
      </w:pPr>
      <w:rPr>
        <w:rFonts w:ascii="Symbol" w:hAnsi="Symbol" w:cs="Times New Roman" w:hint="default"/>
        <w:color w:val="000000"/>
        <w:sz w:val="18"/>
      </w:rPr>
    </w:lvl>
    <w:lvl w:ilvl="1" w:tplc="010EF60C"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47ADD"/>
    <w:multiLevelType w:val="multilevel"/>
    <w:tmpl w:val="07D0308A"/>
    <w:numStyleLink w:val="DeltaAnnexhednumbering"/>
  </w:abstractNum>
  <w:abstractNum w:abstractNumId="13" w15:restartNumberingAfterBreak="0">
    <w:nsid w:val="407217C8"/>
    <w:multiLevelType w:val="hybridMultilevel"/>
    <w:tmpl w:val="FAC8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1040DC"/>
    <w:multiLevelType w:val="hybridMultilevel"/>
    <w:tmpl w:val="FD88CCB8"/>
    <w:lvl w:ilvl="0" w:tplc="4AD6459E">
      <w:start w:val="1"/>
      <w:numFmt w:val="lowerRoman"/>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1702911"/>
    <w:multiLevelType w:val="hybridMultilevel"/>
    <w:tmpl w:val="F95E15B2"/>
    <w:lvl w:ilvl="0" w:tplc="CDC83114">
      <w:start w:val="1"/>
      <w:numFmt w:val="bullet"/>
      <w:pStyle w:val="DeltaBox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39F6398"/>
    <w:multiLevelType w:val="hybridMultilevel"/>
    <w:tmpl w:val="38BAA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33A4E"/>
    <w:multiLevelType w:val="hybridMultilevel"/>
    <w:tmpl w:val="838E705C"/>
    <w:lvl w:ilvl="0" w:tplc="D1E604F2">
      <w:start w:val="1"/>
      <w:numFmt w:val="low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0162DE"/>
    <w:multiLevelType w:val="hybridMultilevel"/>
    <w:tmpl w:val="838E705C"/>
    <w:lvl w:ilvl="0" w:tplc="D1E604F2">
      <w:start w:val="1"/>
      <w:numFmt w:val="low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F6163E"/>
    <w:multiLevelType w:val="hybridMultilevel"/>
    <w:tmpl w:val="4A0AF6AA"/>
    <w:lvl w:ilvl="0" w:tplc="7BE43B8C">
      <w:start w:val="1"/>
      <w:numFmt w:val="low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CF194F"/>
    <w:multiLevelType w:val="multilevel"/>
    <w:tmpl w:val="8F6ED7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49407E5"/>
    <w:multiLevelType w:val="hybridMultilevel"/>
    <w:tmpl w:val="1E0AEED4"/>
    <w:lvl w:ilvl="0" w:tplc="0220EEB4">
      <w:start w:val="1"/>
      <w:numFmt w:val="lowerRoman"/>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7521AF7"/>
    <w:multiLevelType w:val="hybridMultilevel"/>
    <w:tmpl w:val="FAE60FD4"/>
    <w:lvl w:ilvl="0" w:tplc="B3EC063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D219E"/>
    <w:multiLevelType w:val="hybridMultilevel"/>
    <w:tmpl w:val="DC3229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12309"/>
    <w:multiLevelType w:val="hybridMultilevel"/>
    <w:tmpl w:val="A0DEFE50"/>
    <w:lvl w:ilvl="0" w:tplc="E730C9B6">
      <w:start w:val="1"/>
      <w:numFmt w:val="lowerRoman"/>
      <w:lvlText w:val="(%1)"/>
      <w:lvlJc w:val="left"/>
      <w:pPr>
        <w:ind w:left="927" w:hanging="360"/>
      </w:pPr>
      <w:rPr>
        <w:rFonts w:ascii="Times New Roman" w:eastAsia="Times New Roman" w:hAnsi="Times New Roman" w:cs="Times New Roman"/>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6288427A"/>
    <w:multiLevelType w:val="hybridMultilevel"/>
    <w:tmpl w:val="0418457E"/>
    <w:lvl w:ilvl="0" w:tplc="04090011">
      <w:start w:val="1"/>
      <w:numFmt w:val="decimal"/>
      <w:lvlText w:val="%1)"/>
      <w:lvlJc w:val="left"/>
      <w:pPr>
        <w:ind w:left="720" w:hanging="360"/>
      </w:pPr>
    </w:lvl>
    <w:lvl w:ilvl="1" w:tplc="432C7054">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443B6"/>
    <w:multiLevelType w:val="multilevel"/>
    <w:tmpl w:val="C706D2C8"/>
    <w:lvl w:ilvl="0">
      <w:start w:val="1"/>
      <w:numFmt w:val="decimal"/>
      <w:lvlText w:val="%1.0"/>
      <w:lvlJc w:val="left"/>
      <w:pPr>
        <w:ind w:left="420" w:hanging="420"/>
      </w:pPr>
      <w:rPr>
        <w:rFonts w:hint="default"/>
      </w:rPr>
    </w:lvl>
    <w:lvl w:ilvl="1">
      <w:start w:val="1"/>
      <w:numFmt w:val="decimal"/>
      <w:pStyle w:val="DeltaSeched2"/>
      <w:lvlText w:val="%1.%2"/>
      <w:lvlJc w:val="left"/>
      <w:pPr>
        <w:ind w:left="1140" w:hanging="420"/>
      </w:pPr>
      <w:rPr>
        <w:rFonts w:hint="default"/>
      </w:rPr>
    </w:lvl>
    <w:lvl w:ilvl="2">
      <w:start w:val="1"/>
      <w:numFmt w:val="decimal"/>
      <w:lvlText w:val="%1.%2.%3"/>
      <w:lvlJc w:val="left"/>
      <w:pPr>
        <w:ind w:left="497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2E3CA2"/>
    <w:multiLevelType w:val="hybridMultilevel"/>
    <w:tmpl w:val="F2E497AA"/>
    <w:lvl w:ilvl="0" w:tplc="FCE80884">
      <w:start w:val="1"/>
      <w:numFmt w:val="lowerRoman"/>
      <w:lvlText w:val="(%1)"/>
      <w:lvlJc w:val="left"/>
      <w:pPr>
        <w:ind w:left="927" w:hanging="360"/>
      </w:pPr>
      <w:rPr>
        <w:rFonts w:ascii="Times New Roman" w:eastAsia="Times New Roman" w:hAnsi="Times New Roman" w:cs="Times New Roman"/>
      </w:rPr>
    </w:lvl>
    <w:lvl w:ilvl="1" w:tplc="22381A98">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B7A62DD"/>
    <w:multiLevelType w:val="hybridMultilevel"/>
    <w:tmpl w:val="9E0CC356"/>
    <w:lvl w:ilvl="0" w:tplc="54FA6FF2">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2B7166"/>
    <w:multiLevelType w:val="hybridMultilevel"/>
    <w:tmpl w:val="E1D0A2A8"/>
    <w:lvl w:ilvl="0" w:tplc="0809000F">
      <w:start w:val="1"/>
      <w:numFmt w:val="decimal"/>
      <w:lvlText w:val="%1."/>
      <w:lvlJc w:val="left"/>
      <w:pPr>
        <w:ind w:left="360" w:hanging="360"/>
      </w:pPr>
      <w:rPr>
        <w:rFonts w:hint="default"/>
        <w:color w:val="auto"/>
      </w:rPr>
    </w:lvl>
    <w:lvl w:ilvl="1" w:tplc="87961B4A">
      <w:start w:val="1"/>
      <w:numFmt w:val="lowerRoman"/>
      <w:lvlText w:val="(%2)"/>
      <w:lvlJc w:val="left"/>
      <w:pPr>
        <w:ind w:left="1080" w:hanging="360"/>
      </w:pPr>
      <w:rPr>
        <w:rFonts w:ascii="Times New Roman" w:eastAsia="Calibr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6518BA"/>
    <w:multiLevelType w:val="hybridMultilevel"/>
    <w:tmpl w:val="623622E4"/>
    <w:lvl w:ilvl="0" w:tplc="079C3AA8">
      <w:start w:val="1"/>
      <w:numFmt w:val="bullet"/>
      <w:pStyle w:val="DeltaBullet"/>
      <w:lvlText w:val="•"/>
      <w:lvlJc w:val="left"/>
      <w:pPr>
        <w:ind w:left="360" w:hanging="360"/>
      </w:pPr>
      <w:rPr>
        <w:rFonts w:ascii="Arial Bold" w:hAnsi="Arial Bold" w:hint="default"/>
        <w:b/>
        <w:i w:val="0"/>
        <w:color w:val="F1A42B"/>
        <w:sz w:val="2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FF25C4"/>
    <w:multiLevelType w:val="hybridMultilevel"/>
    <w:tmpl w:val="838E705C"/>
    <w:lvl w:ilvl="0" w:tplc="D1E604F2">
      <w:start w:val="1"/>
      <w:numFmt w:val="lowerRoman"/>
      <w:lvlText w:val="(%1)"/>
      <w:lvlJc w:val="left"/>
      <w:pPr>
        <w:ind w:left="578" w:hanging="360"/>
      </w:pPr>
      <w:rPr>
        <w:rFonts w:ascii="Times New Roman" w:eastAsia="Calibri" w:hAnsi="Times New Roman" w:cs="Times New Roman"/>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2" w15:restartNumberingAfterBreak="0">
    <w:nsid w:val="7DC71A11"/>
    <w:multiLevelType w:val="hybridMultilevel"/>
    <w:tmpl w:val="DA324B6C"/>
    <w:lvl w:ilvl="0" w:tplc="EAF67C08">
      <w:start w:val="1"/>
      <w:numFmt w:val="lowerRoman"/>
      <w:lvlText w:val="(%1)"/>
      <w:lvlJc w:val="left"/>
      <w:pPr>
        <w:ind w:left="927" w:hanging="360"/>
      </w:pPr>
      <w:rPr>
        <w:rFonts w:ascii="Times New Roman" w:eastAsia="Times New Roman"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0"/>
  </w:num>
  <w:num w:numId="2">
    <w:abstractNumId w:val="20"/>
  </w:num>
  <w:num w:numId="3">
    <w:abstractNumId w:val="4"/>
  </w:num>
  <w:num w:numId="4">
    <w:abstractNumId w:val="5"/>
  </w:num>
  <w:num w:numId="5">
    <w:abstractNumId w:val="15"/>
  </w:num>
  <w:num w:numId="6">
    <w:abstractNumId w:val="1"/>
  </w:num>
  <w:num w:numId="7">
    <w:abstractNumId w:val="12"/>
  </w:num>
  <w:num w:numId="8">
    <w:abstractNumId w:val="11"/>
  </w:num>
  <w:num w:numId="9">
    <w:abstractNumId w:val="31"/>
  </w:num>
  <w:num w:numId="10">
    <w:abstractNumId w:val="21"/>
  </w:num>
  <w:num w:numId="11">
    <w:abstractNumId w:val="3"/>
  </w:num>
  <w:num w:numId="12">
    <w:abstractNumId w:val="27"/>
  </w:num>
  <w:num w:numId="13">
    <w:abstractNumId w:val="24"/>
  </w:num>
  <w:num w:numId="14">
    <w:abstractNumId w:val="23"/>
  </w:num>
  <w:num w:numId="15">
    <w:abstractNumId w:val="25"/>
  </w:num>
  <w:num w:numId="16">
    <w:abstractNumId w:val="28"/>
  </w:num>
  <w:num w:numId="17">
    <w:abstractNumId w:val="7"/>
  </w:num>
  <w:num w:numId="18">
    <w:abstractNumId w:val="6"/>
  </w:num>
  <w:num w:numId="19">
    <w:abstractNumId w:val="14"/>
  </w:num>
  <w:num w:numId="20">
    <w:abstractNumId w:val="19"/>
  </w:num>
  <w:num w:numId="21">
    <w:abstractNumId w:val="32"/>
  </w:num>
  <w:num w:numId="22">
    <w:abstractNumId w:val="26"/>
  </w:num>
  <w:num w:numId="23">
    <w:abstractNumId w:val="2"/>
  </w:num>
  <w:num w:numId="24">
    <w:abstractNumId w:val="18"/>
  </w:num>
  <w:num w:numId="25">
    <w:abstractNumId w:val="13"/>
  </w:num>
  <w:num w:numId="26">
    <w:abstractNumId w:val="29"/>
  </w:num>
  <w:num w:numId="27">
    <w:abstractNumId w:val="17"/>
  </w:num>
  <w:num w:numId="28">
    <w:abstractNumId w:val="22"/>
  </w:num>
  <w:num w:numId="29">
    <w:abstractNumId w:val="9"/>
  </w:num>
  <w:num w:numId="30">
    <w:abstractNumId w:val="0"/>
  </w:num>
  <w:num w:numId="31">
    <w:abstractNumId w:val="8"/>
  </w:num>
  <w:num w:numId="32">
    <w:abstractNumId w:val="1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linkStyles/>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609"/>
    <w:rsid w:val="00001D05"/>
    <w:rsid w:val="00003908"/>
    <w:rsid w:val="0000444F"/>
    <w:rsid w:val="00004778"/>
    <w:rsid w:val="00004A01"/>
    <w:rsid w:val="00004FB2"/>
    <w:rsid w:val="0000504F"/>
    <w:rsid w:val="000051CB"/>
    <w:rsid w:val="0000707D"/>
    <w:rsid w:val="000073D0"/>
    <w:rsid w:val="00007414"/>
    <w:rsid w:val="00013361"/>
    <w:rsid w:val="00014843"/>
    <w:rsid w:val="00014B68"/>
    <w:rsid w:val="00016682"/>
    <w:rsid w:val="00017069"/>
    <w:rsid w:val="00022860"/>
    <w:rsid w:val="00024F17"/>
    <w:rsid w:val="00030798"/>
    <w:rsid w:val="000309A3"/>
    <w:rsid w:val="00030D0A"/>
    <w:rsid w:val="00033CDF"/>
    <w:rsid w:val="00033DA1"/>
    <w:rsid w:val="000362B9"/>
    <w:rsid w:val="000369AE"/>
    <w:rsid w:val="00036D51"/>
    <w:rsid w:val="000405E7"/>
    <w:rsid w:val="0004103F"/>
    <w:rsid w:val="00041BCC"/>
    <w:rsid w:val="00042052"/>
    <w:rsid w:val="000423AE"/>
    <w:rsid w:val="00043C4F"/>
    <w:rsid w:val="00043ECF"/>
    <w:rsid w:val="000446F6"/>
    <w:rsid w:val="000501C7"/>
    <w:rsid w:val="00050BD4"/>
    <w:rsid w:val="00052A60"/>
    <w:rsid w:val="000561F7"/>
    <w:rsid w:val="00056980"/>
    <w:rsid w:val="00057391"/>
    <w:rsid w:val="00060F6C"/>
    <w:rsid w:val="00061159"/>
    <w:rsid w:val="00063E0C"/>
    <w:rsid w:val="000672A9"/>
    <w:rsid w:val="000704FF"/>
    <w:rsid w:val="00070940"/>
    <w:rsid w:val="00071F51"/>
    <w:rsid w:val="0007487B"/>
    <w:rsid w:val="00075BC6"/>
    <w:rsid w:val="00075E02"/>
    <w:rsid w:val="00075EB8"/>
    <w:rsid w:val="000761CB"/>
    <w:rsid w:val="00081C99"/>
    <w:rsid w:val="00082D7F"/>
    <w:rsid w:val="0008497E"/>
    <w:rsid w:val="0008587C"/>
    <w:rsid w:val="00092593"/>
    <w:rsid w:val="0009272D"/>
    <w:rsid w:val="00092902"/>
    <w:rsid w:val="00093893"/>
    <w:rsid w:val="00095709"/>
    <w:rsid w:val="00096512"/>
    <w:rsid w:val="0009687E"/>
    <w:rsid w:val="0009754D"/>
    <w:rsid w:val="000A1226"/>
    <w:rsid w:val="000A529F"/>
    <w:rsid w:val="000A580B"/>
    <w:rsid w:val="000A5C44"/>
    <w:rsid w:val="000A70B3"/>
    <w:rsid w:val="000A7280"/>
    <w:rsid w:val="000B0784"/>
    <w:rsid w:val="000B1FA2"/>
    <w:rsid w:val="000B29AA"/>
    <w:rsid w:val="000B2DB1"/>
    <w:rsid w:val="000B2F4B"/>
    <w:rsid w:val="000B3AF9"/>
    <w:rsid w:val="000B4B82"/>
    <w:rsid w:val="000B4F7B"/>
    <w:rsid w:val="000B7A9D"/>
    <w:rsid w:val="000C0443"/>
    <w:rsid w:val="000C079E"/>
    <w:rsid w:val="000C1405"/>
    <w:rsid w:val="000C600D"/>
    <w:rsid w:val="000C7602"/>
    <w:rsid w:val="000C77DE"/>
    <w:rsid w:val="000C7B64"/>
    <w:rsid w:val="000D03A3"/>
    <w:rsid w:val="000D0688"/>
    <w:rsid w:val="000D1E25"/>
    <w:rsid w:val="000D2AE2"/>
    <w:rsid w:val="000D326E"/>
    <w:rsid w:val="000D3997"/>
    <w:rsid w:val="000D3A55"/>
    <w:rsid w:val="000D5454"/>
    <w:rsid w:val="000D5B02"/>
    <w:rsid w:val="000D7449"/>
    <w:rsid w:val="000D7516"/>
    <w:rsid w:val="000E137B"/>
    <w:rsid w:val="000E1B7E"/>
    <w:rsid w:val="000E3619"/>
    <w:rsid w:val="000E3626"/>
    <w:rsid w:val="000E415B"/>
    <w:rsid w:val="000E4FFD"/>
    <w:rsid w:val="000E5FA9"/>
    <w:rsid w:val="000E6378"/>
    <w:rsid w:val="000E7FF5"/>
    <w:rsid w:val="000F0CC3"/>
    <w:rsid w:val="000F5BC8"/>
    <w:rsid w:val="000F6D32"/>
    <w:rsid w:val="000F7B9B"/>
    <w:rsid w:val="0010063C"/>
    <w:rsid w:val="00100DCC"/>
    <w:rsid w:val="0010149A"/>
    <w:rsid w:val="00101631"/>
    <w:rsid w:val="00102B7E"/>
    <w:rsid w:val="00104A0E"/>
    <w:rsid w:val="001066DA"/>
    <w:rsid w:val="001066F6"/>
    <w:rsid w:val="001069F9"/>
    <w:rsid w:val="00106EB8"/>
    <w:rsid w:val="00110357"/>
    <w:rsid w:val="00110919"/>
    <w:rsid w:val="00111EDE"/>
    <w:rsid w:val="001128C0"/>
    <w:rsid w:val="00112EFB"/>
    <w:rsid w:val="00113D3F"/>
    <w:rsid w:val="00116D50"/>
    <w:rsid w:val="00122916"/>
    <w:rsid w:val="001232BF"/>
    <w:rsid w:val="0012406E"/>
    <w:rsid w:val="00124B55"/>
    <w:rsid w:val="00124DBF"/>
    <w:rsid w:val="00124DD0"/>
    <w:rsid w:val="00127183"/>
    <w:rsid w:val="0012777C"/>
    <w:rsid w:val="00127B81"/>
    <w:rsid w:val="001310A6"/>
    <w:rsid w:val="00132068"/>
    <w:rsid w:val="001340DD"/>
    <w:rsid w:val="00136241"/>
    <w:rsid w:val="001376B0"/>
    <w:rsid w:val="001400F8"/>
    <w:rsid w:val="00140A02"/>
    <w:rsid w:val="001418C8"/>
    <w:rsid w:val="00142354"/>
    <w:rsid w:val="00142476"/>
    <w:rsid w:val="00142718"/>
    <w:rsid w:val="00142A6B"/>
    <w:rsid w:val="001446DE"/>
    <w:rsid w:val="001506F8"/>
    <w:rsid w:val="00150D6E"/>
    <w:rsid w:val="00151FB6"/>
    <w:rsid w:val="00152486"/>
    <w:rsid w:val="0015350C"/>
    <w:rsid w:val="001537AB"/>
    <w:rsid w:val="00154B27"/>
    <w:rsid w:val="00156179"/>
    <w:rsid w:val="0015716A"/>
    <w:rsid w:val="00157B60"/>
    <w:rsid w:val="001605E7"/>
    <w:rsid w:val="0016063B"/>
    <w:rsid w:val="00160712"/>
    <w:rsid w:val="001607A2"/>
    <w:rsid w:val="00161055"/>
    <w:rsid w:val="0016130D"/>
    <w:rsid w:val="00161767"/>
    <w:rsid w:val="00161AA3"/>
    <w:rsid w:val="00162600"/>
    <w:rsid w:val="00163D2F"/>
    <w:rsid w:val="00165B26"/>
    <w:rsid w:val="00166456"/>
    <w:rsid w:val="001675DE"/>
    <w:rsid w:val="001705B2"/>
    <w:rsid w:val="00170724"/>
    <w:rsid w:val="001708D6"/>
    <w:rsid w:val="00171208"/>
    <w:rsid w:val="001713D3"/>
    <w:rsid w:val="00172330"/>
    <w:rsid w:val="00173C4E"/>
    <w:rsid w:val="00173CEE"/>
    <w:rsid w:val="0017450C"/>
    <w:rsid w:val="0017482A"/>
    <w:rsid w:val="00175721"/>
    <w:rsid w:val="0017625B"/>
    <w:rsid w:val="0017634C"/>
    <w:rsid w:val="001765BF"/>
    <w:rsid w:val="001766EB"/>
    <w:rsid w:val="00176E8C"/>
    <w:rsid w:val="001801A8"/>
    <w:rsid w:val="00181093"/>
    <w:rsid w:val="00183E74"/>
    <w:rsid w:val="0018420C"/>
    <w:rsid w:val="0018455B"/>
    <w:rsid w:val="001860F3"/>
    <w:rsid w:val="00190736"/>
    <w:rsid w:val="00193AF9"/>
    <w:rsid w:val="0019442B"/>
    <w:rsid w:val="0019497A"/>
    <w:rsid w:val="00195863"/>
    <w:rsid w:val="00195D70"/>
    <w:rsid w:val="0019620B"/>
    <w:rsid w:val="001A0126"/>
    <w:rsid w:val="001A12C6"/>
    <w:rsid w:val="001A2F22"/>
    <w:rsid w:val="001B43DC"/>
    <w:rsid w:val="001B6320"/>
    <w:rsid w:val="001B6E0F"/>
    <w:rsid w:val="001B7D7E"/>
    <w:rsid w:val="001C0587"/>
    <w:rsid w:val="001C21BB"/>
    <w:rsid w:val="001C2248"/>
    <w:rsid w:val="001C2FB3"/>
    <w:rsid w:val="001C60B1"/>
    <w:rsid w:val="001C6725"/>
    <w:rsid w:val="001C6E20"/>
    <w:rsid w:val="001D0C60"/>
    <w:rsid w:val="001D15FE"/>
    <w:rsid w:val="001D1F4B"/>
    <w:rsid w:val="001D2871"/>
    <w:rsid w:val="001D2F3C"/>
    <w:rsid w:val="001D33B6"/>
    <w:rsid w:val="001D47BA"/>
    <w:rsid w:val="001D57A2"/>
    <w:rsid w:val="001D6225"/>
    <w:rsid w:val="001D64C2"/>
    <w:rsid w:val="001D7121"/>
    <w:rsid w:val="001D7B2F"/>
    <w:rsid w:val="001E0C08"/>
    <w:rsid w:val="001E1B7F"/>
    <w:rsid w:val="001E2DE3"/>
    <w:rsid w:val="001E3511"/>
    <w:rsid w:val="001E5222"/>
    <w:rsid w:val="001E5FFE"/>
    <w:rsid w:val="001E6A20"/>
    <w:rsid w:val="001E7E47"/>
    <w:rsid w:val="001F1EEF"/>
    <w:rsid w:val="001F2B37"/>
    <w:rsid w:val="002002C9"/>
    <w:rsid w:val="00200577"/>
    <w:rsid w:val="00202665"/>
    <w:rsid w:val="002033B8"/>
    <w:rsid w:val="00204349"/>
    <w:rsid w:val="00207489"/>
    <w:rsid w:val="002075C8"/>
    <w:rsid w:val="002075CD"/>
    <w:rsid w:val="00207CBC"/>
    <w:rsid w:val="00210462"/>
    <w:rsid w:val="00210FFF"/>
    <w:rsid w:val="002136B2"/>
    <w:rsid w:val="0021381E"/>
    <w:rsid w:val="00214808"/>
    <w:rsid w:val="00214F0E"/>
    <w:rsid w:val="00216B06"/>
    <w:rsid w:val="00216FED"/>
    <w:rsid w:val="002200D8"/>
    <w:rsid w:val="00220B04"/>
    <w:rsid w:val="00221096"/>
    <w:rsid w:val="00223BE4"/>
    <w:rsid w:val="00224C3B"/>
    <w:rsid w:val="0022527A"/>
    <w:rsid w:val="00226E1A"/>
    <w:rsid w:val="00230141"/>
    <w:rsid w:val="00231433"/>
    <w:rsid w:val="0023291E"/>
    <w:rsid w:val="00232B04"/>
    <w:rsid w:val="002335DD"/>
    <w:rsid w:val="00234AA4"/>
    <w:rsid w:val="00235AD9"/>
    <w:rsid w:val="00237633"/>
    <w:rsid w:val="00240DEA"/>
    <w:rsid w:val="002412DA"/>
    <w:rsid w:val="00241BF7"/>
    <w:rsid w:val="00244F10"/>
    <w:rsid w:val="002468B9"/>
    <w:rsid w:val="002532C1"/>
    <w:rsid w:val="00255294"/>
    <w:rsid w:val="0025583F"/>
    <w:rsid w:val="00255BC2"/>
    <w:rsid w:val="002600D1"/>
    <w:rsid w:val="00261E9F"/>
    <w:rsid w:val="00261EE4"/>
    <w:rsid w:val="00264EB9"/>
    <w:rsid w:val="0026581D"/>
    <w:rsid w:val="002678A8"/>
    <w:rsid w:val="00272449"/>
    <w:rsid w:val="00272AD0"/>
    <w:rsid w:val="002754E7"/>
    <w:rsid w:val="00276D8F"/>
    <w:rsid w:val="0027780B"/>
    <w:rsid w:val="00277ED8"/>
    <w:rsid w:val="00280EDD"/>
    <w:rsid w:val="00281C07"/>
    <w:rsid w:val="00282552"/>
    <w:rsid w:val="0028275F"/>
    <w:rsid w:val="00282867"/>
    <w:rsid w:val="00282B8A"/>
    <w:rsid w:val="00282EAF"/>
    <w:rsid w:val="002856C0"/>
    <w:rsid w:val="00285954"/>
    <w:rsid w:val="00285B17"/>
    <w:rsid w:val="0028684D"/>
    <w:rsid w:val="00286AE0"/>
    <w:rsid w:val="00287366"/>
    <w:rsid w:val="00291731"/>
    <w:rsid w:val="002918B3"/>
    <w:rsid w:val="002926F5"/>
    <w:rsid w:val="00293F9C"/>
    <w:rsid w:val="00295BD9"/>
    <w:rsid w:val="002962E3"/>
    <w:rsid w:val="00296414"/>
    <w:rsid w:val="00297256"/>
    <w:rsid w:val="002972DB"/>
    <w:rsid w:val="002A0981"/>
    <w:rsid w:val="002A35A3"/>
    <w:rsid w:val="002A3B37"/>
    <w:rsid w:val="002A6CCF"/>
    <w:rsid w:val="002A7EAB"/>
    <w:rsid w:val="002B009B"/>
    <w:rsid w:val="002B010C"/>
    <w:rsid w:val="002B072B"/>
    <w:rsid w:val="002B0E15"/>
    <w:rsid w:val="002B179B"/>
    <w:rsid w:val="002B1C16"/>
    <w:rsid w:val="002B1CA9"/>
    <w:rsid w:val="002B20CC"/>
    <w:rsid w:val="002B3EB4"/>
    <w:rsid w:val="002B4CE9"/>
    <w:rsid w:val="002B7A7C"/>
    <w:rsid w:val="002C5308"/>
    <w:rsid w:val="002C552D"/>
    <w:rsid w:val="002C61FC"/>
    <w:rsid w:val="002C713F"/>
    <w:rsid w:val="002D23CC"/>
    <w:rsid w:val="002D39A5"/>
    <w:rsid w:val="002D40FF"/>
    <w:rsid w:val="002D5BFD"/>
    <w:rsid w:val="002E0D1B"/>
    <w:rsid w:val="002E101D"/>
    <w:rsid w:val="002E363C"/>
    <w:rsid w:val="002E4163"/>
    <w:rsid w:val="002E5D9E"/>
    <w:rsid w:val="002E6B1A"/>
    <w:rsid w:val="002E6BC3"/>
    <w:rsid w:val="002E6E34"/>
    <w:rsid w:val="002F01B5"/>
    <w:rsid w:val="002F0BD3"/>
    <w:rsid w:val="002F0F4B"/>
    <w:rsid w:val="002F172A"/>
    <w:rsid w:val="002F3389"/>
    <w:rsid w:val="002F40CD"/>
    <w:rsid w:val="002F5D6D"/>
    <w:rsid w:val="002F64EC"/>
    <w:rsid w:val="002F6A3F"/>
    <w:rsid w:val="002F76C3"/>
    <w:rsid w:val="00301421"/>
    <w:rsid w:val="003045FE"/>
    <w:rsid w:val="003055DF"/>
    <w:rsid w:val="003059EA"/>
    <w:rsid w:val="00310C51"/>
    <w:rsid w:val="00311FC2"/>
    <w:rsid w:val="00314725"/>
    <w:rsid w:val="00314F10"/>
    <w:rsid w:val="00315897"/>
    <w:rsid w:val="00316915"/>
    <w:rsid w:val="00320582"/>
    <w:rsid w:val="00322722"/>
    <w:rsid w:val="00322D20"/>
    <w:rsid w:val="003234BF"/>
    <w:rsid w:val="00325A74"/>
    <w:rsid w:val="00326AE1"/>
    <w:rsid w:val="00327424"/>
    <w:rsid w:val="00331051"/>
    <w:rsid w:val="0033134C"/>
    <w:rsid w:val="0033137D"/>
    <w:rsid w:val="003315BC"/>
    <w:rsid w:val="0033242C"/>
    <w:rsid w:val="0033437F"/>
    <w:rsid w:val="00335655"/>
    <w:rsid w:val="0033701A"/>
    <w:rsid w:val="00337A1C"/>
    <w:rsid w:val="00341E4E"/>
    <w:rsid w:val="0034399C"/>
    <w:rsid w:val="003445FC"/>
    <w:rsid w:val="0034493E"/>
    <w:rsid w:val="00345284"/>
    <w:rsid w:val="00346A86"/>
    <w:rsid w:val="00346AD0"/>
    <w:rsid w:val="00352C8F"/>
    <w:rsid w:val="00354896"/>
    <w:rsid w:val="00354EE5"/>
    <w:rsid w:val="0036018E"/>
    <w:rsid w:val="00364538"/>
    <w:rsid w:val="00366C65"/>
    <w:rsid w:val="00367345"/>
    <w:rsid w:val="0036787F"/>
    <w:rsid w:val="003728DB"/>
    <w:rsid w:val="0037380C"/>
    <w:rsid w:val="0037499E"/>
    <w:rsid w:val="00380506"/>
    <w:rsid w:val="003810F5"/>
    <w:rsid w:val="00381890"/>
    <w:rsid w:val="0038289F"/>
    <w:rsid w:val="00382DD9"/>
    <w:rsid w:val="0038326A"/>
    <w:rsid w:val="0038457E"/>
    <w:rsid w:val="00387FA0"/>
    <w:rsid w:val="00391D31"/>
    <w:rsid w:val="00392AA8"/>
    <w:rsid w:val="00393606"/>
    <w:rsid w:val="00393C5D"/>
    <w:rsid w:val="0039510F"/>
    <w:rsid w:val="00396BF9"/>
    <w:rsid w:val="003974AF"/>
    <w:rsid w:val="003A0CBF"/>
    <w:rsid w:val="003A15F0"/>
    <w:rsid w:val="003A2A6A"/>
    <w:rsid w:val="003A2CAA"/>
    <w:rsid w:val="003A358E"/>
    <w:rsid w:val="003A36B3"/>
    <w:rsid w:val="003A57DB"/>
    <w:rsid w:val="003A7D43"/>
    <w:rsid w:val="003B1637"/>
    <w:rsid w:val="003B2EC4"/>
    <w:rsid w:val="003B37B5"/>
    <w:rsid w:val="003B3CE9"/>
    <w:rsid w:val="003B3EA7"/>
    <w:rsid w:val="003B5965"/>
    <w:rsid w:val="003B7335"/>
    <w:rsid w:val="003B73D5"/>
    <w:rsid w:val="003C01B9"/>
    <w:rsid w:val="003C0A92"/>
    <w:rsid w:val="003C21AE"/>
    <w:rsid w:val="003C50E8"/>
    <w:rsid w:val="003D120D"/>
    <w:rsid w:val="003D317A"/>
    <w:rsid w:val="003D4CF1"/>
    <w:rsid w:val="003D7C75"/>
    <w:rsid w:val="003E015B"/>
    <w:rsid w:val="003E1E33"/>
    <w:rsid w:val="003E2547"/>
    <w:rsid w:val="003E2F36"/>
    <w:rsid w:val="003E4FAC"/>
    <w:rsid w:val="003E68DF"/>
    <w:rsid w:val="003E77C3"/>
    <w:rsid w:val="003E7DA2"/>
    <w:rsid w:val="003F192C"/>
    <w:rsid w:val="003F1BDE"/>
    <w:rsid w:val="003F28C0"/>
    <w:rsid w:val="003F298F"/>
    <w:rsid w:val="003F2E1C"/>
    <w:rsid w:val="003F3086"/>
    <w:rsid w:val="003F3DAE"/>
    <w:rsid w:val="003F3F14"/>
    <w:rsid w:val="003F53BA"/>
    <w:rsid w:val="003F7980"/>
    <w:rsid w:val="004009FC"/>
    <w:rsid w:val="0040100E"/>
    <w:rsid w:val="00401136"/>
    <w:rsid w:val="00401498"/>
    <w:rsid w:val="004017A6"/>
    <w:rsid w:val="004018A5"/>
    <w:rsid w:val="00401E81"/>
    <w:rsid w:val="00402196"/>
    <w:rsid w:val="004046B4"/>
    <w:rsid w:val="0040473C"/>
    <w:rsid w:val="00404C96"/>
    <w:rsid w:val="0040739F"/>
    <w:rsid w:val="0040762E"/>
    <w:rsid w:val="00410C20"/>
    <w:rsid w:val="00410CB7"/>
    <w:rsid w:val="0041264A"/>
    <w:rsid w:val="00412A9F"/>
    <w:rsid w:val="00412D43"/>
    <w:rsid w:val="00413875"/>
    <w:rsid w:val="00414456"/>
    <w:rsid w:val="004149A5"/>
    <w:rsid w:val="004152BD"/>
    <w:rsid w:val="00416144"/>
    <w:rsid w:val="0041615D"/>
    <w:rsid w:val="00416AE9"/>
    <w:rsid w:val="004217BA"/>
    <w:rsid w:val="004221F0"/>
    <w:rsid w:val="004222A9"/>
    <w:rsid w:val="00422AA4"/>
    <w:rsid w:val="0042353E"/>
    <w:rsid w:val="00423F5A"/>
    <w:rsid w:val="00425169"/>
    <w:rsid w:val="00425E64"/>
    <w:rsid w:val="0042660A"/>
    <w:rsid w:val="004270A7"/>
    <w:rsid w:val="00427932"/>
    <w:rsid w:val="004309E8"/>
    <w:rsid w:val="00431F47"/>
    <w:rsid w:val="004332F8"/>
    <w:rsid w:val="00433808"/>
    <w:rsid w:val="0043580F"/>
    <w:rsid w:val="00435F23"/>
    <w:rsid w:val="0043645B"/>
    <w:rsid w:val="0043665A"/>
    <w:rsid w:val="004369DF"/>
    <w:rsid w:val="004402B4"/>
    <w:rsid w:val="00440BEF"/>
    <w:rsid w:val="004437BF"/>
    <w:rsid w:val="00444841"/>
    <w:rsid w:val="00450580"/>
    <w:rsid w:val="00450BA4"/>
    <w:rsid w:val="00451202"/>
    <w:rsid w:val="00453251"/>
    <w:rsid w:val="0045398D"/>
    <w:rsid w:val="0045591D"/>
    <w:rsid w:val="00461317"/>
    <w:rsid w:val="00461BBA"/>
    <w:rsid w:val="004623A2"/>
    <w:rsid w:val="00462C91"/>
    <w:rsid w:val="004654FE"/>
    <w:rsid w:val="00466915"/>
    <w:rsid w:val="00467D06"/>
    <w:rsid w:val="00467FDE"/>
    <w:rsid w:val="0047122D"/>
    <w:rsid w:val="00472A2D"/>
    <w:rsid w:val="00472EA6"/>
    <w:rsid w:val="00473C03"/>
    <w:rsid w:val="00477581"/>
    <w:rsid w:val="004807C2"/>
    <w:rsid w:val="004813A7"/>
    <w:rsid w:val="004832F9"/>
    <w:rsid w:val="004845A5"/>
    <w:rsid w:val="00485B47"/>
    <w:rsid w:val="00486BD2"/>
    <w:rsid w:val="00486CCE"/>
    <w:rsid w:val="00486F6A"/>
    <w:rsid w:val="0049171D"/>
    <w:rsid w:val="00491E41"/>
    <w:rsid w:val="00492CD5"/>
    <w:rsid w:val="00494609"/>
    <w:rsid w:val="0049498D"/>
    <w:rsid w:val="00494C51"/>
    <w:rsid w:val="00494D8C"/>
    <w:rsid w:val="004A2C64"/>
    <w:rsid w:val="004A45AF"/>
    <w:rsid w:val="004A47A6"/>
    <w:rsid w:val="004A5145"/>
    <w:rsid w:val="004A5905"/>
    <w:rsid w:val="004A5CB7"/>
    <w:rsid w:val="004A660A"/>
    <w:rsid w:val="004B0444"/>
    <w:rsid w:val="004B118C"/>
    <w:rsid w:val="004B1535"/>
    <w:rsid w:val="004B2868"/>
    <w:rsid w:val="004B39E6"/>
    <w:rsid w:val="004B40B8"/>
    <w:rsid w:val="004B6563"/>
    <w:rsid w:val="004B7152"/>
    <w:rsid w:val="004C2C3F"/>
    <w:rsid w:val="004C3EE8"/>
    <w:rsid w:val="004C5F77"/>
    <w:rsid w:val="004C79F9"/>
    <w:rsid w:val="004D0D09"/>
    <w:rsid w:val="004D1334"/>
    <w:rsid w:val="004D1C16"/>
    <w:rsid w:val="004D3DE3"/>
    <w:rsid w:val="004D4134"/>
    <w:rsid w:val="004D477C"/>
    <w:rsid w:val="004D4782"/>
    <w:rsid w:val="004D579D"/>
    <w:rsid w:val="004D5978"/>
    <w:rsid w:val="004D6A2E"/>
    <w:rsid w:val="004E13FA"/>
    <w:rsid w:val="004E13FF"/>
    <w:rsid w:val="004E1541"/>
    <w:rsid w:val="004E316F"/>
    <w:rsid w:val="004E3B0B"/>
    <w:rsid w:val="004E518D"/>
    <w:rsid w:val="004E5FF2"/>
    <w:rsid w:val="004E64B1"/>
    <w:rsid w:val="004E7236"/>
    <w:rsid w:val="004F112F"/>
    <w:rsid w:val="004F20B1"/>
    <w:rsid w:val="004F2460"/>
    <w:rsid w:val="004F3DD0"/>
    <w:rsid w:val="004F5EE6"/>
    <w:rsid w:val="004F60E7"/>
    <w:rsid w:val="00500A5D"/>
    <w:rsid w:val="00500C68"/>
    <w:rsid w:val="00501C28"/>
    <w:rsid w:val="0050216C"/>
    <w:rsid w:val="005028C5"/>
    <w:rsid w:val="00502936"/>
    <w:rsid w:val="00503009"/>
    <w:rsid w:val="00503970"/>
    <w:rsid w:val="005102A5"/>
    <w:rsid w:val="00511C4E"/>
    <w:rsid w:val="00514856"/>
    <w:rsid w:val="00514C7D"/>
    <w:rsid w:val="00515D42"/>
    <w:rsid w:val="00516BE3"/>
    <w:rsid w:val="00517268"/>
    <w:rsid w:val="00517A54"/>
    <w:rsid w:val="005214F8"/>
    <w:rsid w:val="00521714"/>
    <w:rsid w:val="00524C3A"/>
    <w:rsid w:val="00525865"/>
    <w:rsid w:val="00525ADA"/>
    <w:rsid w:val="00525F3E"/>
    <w:rsid w:val="00527002"/>
    <w:rsid w:val="00527052"/>
    <w:rsid w:val="00527F5E"/>
    <w:rsid w:val="005307FA"/>
    <w:rsid w:val="0053230A"/>
    <w:rsid w:val="00532444"/>
    <w:rsid w:val="0053278D"/>
    <w:rsid w:val="00532CAA"/>
    <w:rsid w:val="0053305D"/>
    <w:rsid w:val="00535DC0"/>
    <w:rsid w:val="00536372"/>
    <w:rsid w:val="00536641"/>
    <w:rsid w:val="00537AC0"/>
    <w:rsid w:val="0054173E"/>
    <w:rsid w:val="005417C9"/>
    <w:rsid w:val="00542730"/>
    <w:rsid w:val="00542A14"/>
    <w:rsid w:val="005431E1"/>
    <w:rsid w:val="00543E46"/>
    <w:rsid w:val="00544403"/>
    <w:rsid w:val="005458FD"/>
    <w:rsid w:val="00547072"/>
    <w:rsid w:val="00554990"/>
    <w:rsid w:val="00554BA7"/>
    <w:rsid w:val="00555101"/>
    <w:rsid w:val="0055623B"/>
    <w:rsid w:val="005566C3"/>
    <w:rsid w:val="005612BA"/>
    <w:rsid w:val="00561C1F"/>
    <w:rsid w:val="005621E1"/>
    <w:rsid w:val="005624B8"/>
    <w:rsid w:val="005626D6"/>
    <w:rsid w:val="005627DA"/>
    <w:rsid w:val="00563607"/>
    <w:rsid w:val="005641FB"/>
    <w:rsid w:val="00564673"/>
    <w:rsid w:val="00566664"/>
    <w:rsid w:val="00566D2B"/>
    <w:rsid w:val="00571D43"/>
    <w:rsid w:val="00572918"/>
    <w:rsid w:val="00572C9E"/>
    <w:rsid w:val="0057340C"/>
    <w:rsid w:val="005737A3"/>
    <w:rsid w:val="00574629"/>
    <w:rsid w:val="00575A18"/>
    <w:rsid w:val="00575C3C"/>
    <w:rsid w:val="00575F95"/>
    <w:rsid w:val="005760A3"/>
    <w:rsid w:val="00576376"/>
    <w:rsid w:val="00577A3C"/>
    <w:rsid w:val="00580171"/>
    <w:rsid w:val="005805F7"/>
    <w:rsid w:val="0058230E"/>
    <w:rsid w:val="00582567"/>
    <w:rsid w:val="00582844"/>
    <w:rsid w:val="00583E81"/>
    <w:rsid w:val="00583F71"/>
    <w:rsid w:val="0058502E"/>
    <w:rsid w:val="00585103"/>
    <w:rsid w:val="005865B4"/>
    <w:rsid w:val="0058694C"/>
    <w:rsid w:val="0058790D"/>
    <w:rsid w:val="005909F8"/>
    <w:rsid w:val="00590FE5"/>
    <w:rsid w:val="005913AF"/>
    <w:rsid w:val="00591D81"/>
    <w:rsid w:val="0059406A"/>
    <w:rsid w:val="005940AF"/>
    <w:rsid w:val="005940CA"/>
    <w:rsid w:val="005959B5"/>
    <w:rsid w:val="00596250"/>
    <w:rsid w:val="005967D0"/>
    <w:rsid w:val="005977E8"/>
    <w:rsid w:val="005A4469"/>
    <w:rsid w:val="005A46A0"/>
    <w:rsid w:val="005A61C8"/>
    <w:rsid w:val="005A62E4"/>
    <w:rsid w:val="005A7031"/>
    <w:rsid w:val="005A7D56"/>
    <w:rsid w:val="005B02C8"/>
    <w:rsid w:val="005B32C3"/>
    <w:rsid w:val="005B3A97"/>
    <w:rsid w:val="005B3EE8"/>
    <w:rsid w:val="005B4E67"/>
    <w:rsid w:val="005B57A7"/>
    <w:rsid w:val="005B5AF4"/>
    <w:rsid w:val="005B5AFB"/>
    <w:rsid w:val="005B7A37"/>
    <w:rsid w:val="005B7BE7"/>
    <w:rsid w:val="005C06AB"/>
    <w:rsid w:val="005C1D4C"/>
    <w:rsid w:val="005C2BE7"/>
    <w:rsid w:val="005C32B5"/>
    <w:rsid w:val="005C697B"/>
    <w:rsid w:val="005C6EAF"/>
    <w:rsid w:val="005C72A0"/>
    <w:rsid w:val="005C75C5"/>
    <w:rsid w:val="005C7AD5"/>
    <w:rsid w:val="005D0640"/>
    <w:rsid w:val="005D18F7"/>
    <w:rsid w:val="005D20AC"/>
    <w:rsid w:val="005D42B4"/>
    <w:rsid w:val="005D4482"/>
    <w:rsid w:val="005D6BF0"/>
    <w:rsid w:val="005E018E"/>
    <w:rsid w:val="005E042B"/>
    <w:rsid w:val="005E1789"/>
    <w:rsid w:val="005E3A99"/>
    <w:rsid w:val="005E4183"/>
    <w:rsid w:val="005E444D"/>
    <w:rsid w:val="005E4A7B"/>
    <w:rsid w:val="005E6D40"/>
    <w:rsid w:val="005E7227"/>
    <w:rsid w:val="005F0E6F"/>
    <w:rsid w:val="005F1CB2"/>
    <w:rsid w:val="005F2B0C"/>
    <w:rsid w:val="005F3D6D"/>
    <w:rsid w:val="005F5399"/>
    <w:rsid w:val="005F6557"/>
    <w:rsid w:val="00602993"/>
    <w:rsid w:val="00602B2A"/>
    <w:rsid w:val="006059D7"/>
    <w:rsid w:val="0060682F"/>
    <w:rsid w:val="006113F9"/>
    <w:rsid w:val="006123B9"/>
    <w:rsid w:val="00613453"/>
    <w:rsid w:val="00613A3D"/>
    <w:rsid w:val="006148DC"/>
    <w:rsid w:val="00615098"/>
    <w:rsid w:val="00621430"/>
    <w:rsid w:val="00623042"/>
    <w:rsid w:val="00623373"/>
    <w:rsid w:val="00623514"/>
    <w:rsid w:val="00626496"/>
    <w:rsid w:val="0063211D"/>
    <w:rsid w:val="00632D15"/>
    <w:rsid w:val="0063451D"/>
    <w:rsid w:val="00636559"/>
    <w:rsid w:val="00637537"/>
    <w:rsid w:val="00640343"/>
    <w:rsid w:val="006405C7"/>
    <w:rsid w:val="0064072B"/>
    <w:rsid w:val="00640D8B"/>
    <w:rsid w:val="0064198B"/>
    <w:rsid w:val="00641B7D"/>
    <w:rsid w:val="006427D6"/>
    <w:rsid w:val="00642F75"/>
    <w:rsid w:val="00643A9F"/>
    <w:rsid w:val="00645EA4"/>
    <w:rsid w:val="006461AC"/>
    <w:rsid w:val="006466C3"/>
    <w:rsid w:val="00650173"/>
    <w:rsid w:val="0065019F"/>
    <w:rsid w:val="00650E0A"/>
    <w:rsid w:val="006512A2"/>
    <w:rsid w:val="006519DB"/>
    <w:rsid w:val="00652557"/>
    <w:rsid w:val="00652653"/>
    <w:rsid w:val="0065326C"/>
    <w:rsid w:val="006532A1"/>
    <w:rsid w:val="00654589"/>
    <w:rsid w:val="0065524F"/>
    <w:rsid w:val="0065550E"/>
    <w:rsid w:val="00655672"/>
    <w:rsid w:val="00656262"/>
    <w:rsid w:val="00656640"/>
    <w:rsid w:val="00657D8D"/>
    <w:rsid w:val="00660764"/>
    <w:rsid w:val="00660D25"/>
    <w:rsid w:val="00663893"/>
    <w:rsid w:val="00665AC4"/>
    <w:rsid w:val="00666987"/>
    <w:rsid w:val="0066703D"/>
    <w:rsid w:val="00667302"/>
    <w:rsid w:val="00670C0E"/>
    <w:rsid w:val="00671D65"/>
    <w:rsid w:val="00675F39"/>
    <w:rsid w:val="00677831"/>
    <w:rsid w:val="00677874"/>
    <w:rsid w:val="006813D3"/>
    <w:rsid w:val="00681C5F"/>
    <w:rsid w:val="00682963"/>
    <w:rsid w:val="00683386"/>
    <w:rsid w:val="0068343C"/>
    <w:rsid w:val="00684E52"/>
    <w:rsid w:val="00685147"/>
    <w:rsid w:val="00686913"/>
    <w:rsid w:val="00687502"/>
    <w:rsid w:val="006916A7"/>
    <w:rsid w:val="00692724"/>
    <w:rsid w:val="006933A0"/>
    <w:rsid w:val="00693498"/>
    <w:rsid w:val="00693C7A"/>
    <w:rsid w:val="00694309"/>
    <w:rsid w:val="00694E7D"/>
    <w:rsid w:val="00694EB4"/>
    <w:rsid w:val="006969D8"/>
    <w:rsid w:val="00697190"/>
    <w:rsid w:val="006A3744"/>
    <w:rsid w:val="006A3F2A"/>
    <w:rsid w:val="006A490E"/>
    <w:rsid w:val="006B0514"/>
    <w:rsid w:val="006B1B10"/>
    <w:rsid w:val="006B1CAE"/>
    <w:rsid w:val="006B2EAD"/>
    <w:rsid w:val="006B47BA"/>
    <w:rsid w:val="006B5321"/>
    <w:rsid w:val="006B5762"/>
    <w:rsid w:val="006B6611"/>
    <w:rsid w:val="006B6B29"/>
    <w:rsid w:val="006C0200"/>
    <w:rsid w:val="006C173C"/>
    <w:rsid w:val="006C4FE0"/>
    <w:rsid w:val="006C680F"/>
    <w:rsid w:val="006C7475"/>
    <w:rsid w:val="006D0ECB"/>
    <w:rsid w:val="006D15DA"/>
    <w:rsid w:val="006D20B4"/>
    <w:rsid w:val="006D2B40"/>
    <w:rsid w:val="006D4E71"/>
    <w:rsid w:val="006D5AB8"/>
    <w:rsid w:val="006D6898"/>
    <w:rsid w:val="006E26A1"/>
    <w:rsid w:val="006E59EC"/>
    <w:rsid w:val="006E6DFF"/>
    <w:rsid w:val="006E7050"/>
    <w:rsid w:val="006E7626"/>
    <w:rsid w:val="006F0DE7"/>
    <w:rsid w:val="006F64F3"/>
    <w:rsid w:val="006F6DE1"/>
    <w:rsid w:val="00700B52"/>
    <w:rsid w:val="00701073"/>
    <w:rsid w:val="00701CFD"/>
    <w:rsid w:val="007046F1"/>
    <w:rsid w:val="0070784D"/>
    <w:rsid w:val="0071028A"/>
    <w:rsid w:val="00710640"/>
    <w:rsid w:val="00711536"/>
    <w:rsid w:val="00712EE0"/>
    <w:rsid w:val="0071305D"/>
    <w:rsid w:val="00716D53"/>
    <w:rsid w:val="00720268"/>
    <w:rsid w:val="007205E6"/>
    <w:rsid w:val="00723100"/>
    <w:rsid w:val="00723847"/>
    <w:rsid w:val="00723D9D"/>
    <w:rsid w:val="00724AEB"/>
    <w:rsid w:val="007259E2"/>
    <w:rsid w:val="007268A7"/>
    <w:rsid w:val="00731DDD"/>
    <w:rsid w:val="0073314C"/>
    <w:rsid w:val="00733BBD"/>
    <w:rsid w:val="00733D55"/>
    <w:rsid w:val="00734564"/>
    <w:rsid w:val="00734EFC"/>
    <w:rsid w:val="00735250"/>
    <w:rsid w:val="00735297"/>
    <w:rsid w:val="007400BA"/>
    <w:rsid w:val="007407C2"/>
    <w:rsid w:val="00741230"/>
    <w:rsid w:val="007424CC"/>
    <w:rsid w:val="00742A78"/>
    <w:rsid w:val="00743400"/>
    <w:rsid w:val="00744448"/>
    <w:rsid w:val="00745BDA"/>
    <w:rsid w:val="00746B3B"/>
    <w:rsid w:val="007503FF"/>
    <w:rsid w:val="007506AE"/>
    <w:rsid w:val="00751F62"/>
    <w:rsid w:val="00753115"/>
    <w:rsid w:val="007560F0"/>
    <w:rsid w:val="00756B1B"/>
    <w:rsid w:val="00757BAA"/>
    <w:rsid w:val="00757E69"/>
    <w:rsid w:val="0076061E"/>
    <w:rsid w:val="00761983"/>
    <w:rsid w:val="00761A1B"/>
    <w:rsid w:val="00762261"/>
    <w:rsid w:val="00763524"/>
    <w:rsid w:val="00766786"/>
    <w:rsid w:val="00766F1D"/>
    <w:rsid w:val="00771E6F"/>
    <w:rsid w:val="007727A0"/>
    <w:rsid w:val="00772ABD"/>
    <w:rsid w:val="00773A3A"/>
    <w:rsid w:val="00773A62"/>
    <w:rsid w:val="007774CB"/>
    <w:rsid w:val="00780BD7"/>
    <w:rsid w:val="00781276"/>
    <w:rsid w:val="00781C06"/>
    <w:rsid w:val="00782820"/>
    <w:rsid w:val="00782DD1"/>
    <w:rsid w:val="00783528"/>
    <w:rsid w:val="00785F99"/>
    <w:rsid w:val="00787268"/>
    <w:rsid w:val="00787F7B"/>
    <w:rsid w:val="007901D4"/>
    <w:rsid w:val="00791089"/>
    <w:rsid w:val="007920D1"/>
    <w:rsid w:val="007925C4"/>
    <w:rsid w:val="007935C1"/>
    <w:rsid w:val="0079493F"/>
    <w:rsid w:val="007A1860"/>
    <w:rsid w:val="007A19F7"/>
    <w:rsid w:val="007A3E26"/>
    <w:rsid w:val="007A4B6D"/>
    <w:rsid w:val="007A681D"/>
    <w:rsid w:val="007A6AD8"/>
    <w:rsid w:val="007A6BE8"/>
    <w:rsid w:val="007B0570"/>
    <w:rsid w:val="007B0C7F"/>
    <w:rsid w:val="007B2182"/>
    <w:rsid w:val="007B2861"/>
    <w:rsid w:val="007B315B"/>
    <w:rsid w:val="007B60C1"/>
    <w:rsid w:val="007C0C00"/>
    <w:rsid w:val="007C180D"/>
    <w:rsid w:val="007C2C99"/>
    <w:rsid w:val="007C2E6D"/>
    <w:rsid w:val="007C2F66"/>
    <w:rsid w:val="007C36E0"/>
    <w:rsid w:val="007C4DF7"/>
    <w:rsid w:val="007C5400"/>
    <w:rsid w:val="007C7836"/>
    <w:rsid w:val="007D19D2"/>
    <w:rsid w:val="007D2961"/>
    <w:rsid w:val="007D3F84"/>
    <w:rsid w:val="007D45D2"/>
    <w:rsid w:val="007D5348"/>
    <w:rsid w:val="007D6655"/>
    <w:rsid w:val="007D6B1B"/>
    <w:rsid w:val="007D78C6"/>
    <w:rsid w:val="007E130D"/>
    <w:rsid w:val="007E183F"/>
    <w:rsid w:val="007E2B5F"/>
    <w:rsid w:val="007E48C4"/>
    <w:rsid w:val="007E699C"/>
    <w:rsid w:val="007E6BF7"/>
    <w:rsid w:val="007F0FFD"/>
    <w:rsid w:val="007F22F4"/>
    <w:rsid w:val="007F57E5"/>
    <w:rsid w:val="007F655E"/>
    <w:rsid w:val="007F74F9"/>
    <w:rsid w:val="00800348"/>
    <w:rsid w:val="008019FF"/>
    <w:rsid w:val="008022C7"/>
    <w:rsid w:val="0080262C"/>
    <w:rsid w:val="00803964"/>
    <w:rsid w:val="00803B54"/>
    <w:rsid w:val="00804DC1"/>
    <w:rsid w:val="00805207"/>
    <w:rsid w:val="0080754F"/>
    <w:rsid w:val="00807F3C"/>
    <w:rsid w:val="00812D92"/>
    <w:rsid w:val="00812DDC"/>
    <w:rsid w:val="00815023"/>
    <w:rsid w:val="008173CF"/>
    <w:rsid w:val="0082149A"/>
    <w:rsid w:val="00822827"/>
    <w:rsid w:val="00824371"/>
    <w:rsid w:val="00824EFA"/>
    <w:rsid w:val="00825215"/>
    <w:rsid w:val="008264FF"/>
    <w:rsid w:val="008307AD"/>
    <w:rsid w:val="00831C8B"/>
    <w:rsid w:val="008322FC"/>
    <w:rsid w:val="0083243B"/>
    <w:rsid w:val="00833505"/>
    <w:rsid w:val="00833CAE"/>
    <w:rsid w:val="00833E84"/>
    <w:rsid w:val="0083469C"/>
    <w:rsid w:val="00836E84"/>
    <w:rsid w:val="00840283"/>
    <w:rsid w:val="008408C5"/>
    <w:rsid w:val="0084234A"/>
    <w:rsid w:val="008427DA"/>
    <w:rsid w:val="0084319E"/>
    <w:rsid w:val="008431FE"/>
    <w:rsid w:val="0084600C"/>
    <w:rsid w:val="00846345"/>
    <w:rsid w:val="008465BF"/>
    <w:rsid w:val="00847408"/>
    <w:rsid w:val="00847E02"/>
    <w:rsid w:val="008512F1"/>
    <w:rsid w:val="00852881"/>
    <w:rsid w:val="00853036"/>
    <w:rsid w:val="00855035"/>
    <w:rsid w:val="00857E4B"/>
    <w:rsid w:val="00860D1F"/>
    <w:rsid w:val="008624B5"/>
    <w:rsid w:val="00863D7F"/>
    <w:rsid w:val="00864540"/>
    <w:rsid w:val="00864886"/>
    <w:rsid w:val="00864A5A"/>
    <w:rsid w:val="00864C0C"/>
    <w:rsid w:val="00865097"/>
    <w:rsid w:val="00866383"/>
    <w:rsid w:val="00866411"/>
    <w:rsid w:val="00866E21"/>
    <w:rsid w:val="008724B1"/>
    <w:rsid w:val="00874588"/>
    <w:rsid w:val="008756FB"/>
    <w:rsid w:val="00875810"/>
    <w:rsid w:val="00876438"/>
    <w:rsid w:val="00876984"/>
    <w:rsid w:val="00882F7A"/>
    <w:rsid w:val="008839E2"/>
    <w:rsid w:val="00886FE8"/>
    <w:rsid w:val="00887790"/>
    <w:rsid w:val="008908BD"/>
    <w:rsid w:val="0089118F"/>
    <w:rsid w:val="00892E6C"/>
    <w:rsid w:val="00893042"/>
    <w:rsid w:val="00893FAC"/>
    <w:rsid w:val="008941AD"/>
    <w:rsid w:val="00894231"/>
    <w:rsid w:val="00894DF2"/>
    <w:rsid w:val="008969EB"/>
    <w:rsid w:val="00896AD7"/>
    <w:rsid w:val="00897DA1"/>
    <w:rsid w:val="008A065E"/>
    <w:rsid w:val="008A2966"/>
    <w:rsid w:val="008B0862"/>
    <w:rsid w:val="008B204F"/>
    <w:rsid w:val="008B28BC"/>
    <w:rsid w:val="008B2B19"/>
    <w:rsid w:val="008B4E2E"/>
    <w:rsid w:val="008B64C4"/>
    <w:rsid w:val="008B6921"/>
    <w:rsid w:val="008B79BB"/>
    <w:rsid w:val="008C0738"/>
    <w:rsid w:val="008C0C35"/>
    <w:rsid w:val="008C1009"/>
    <w:rsid w:val="008C2E92"/>
    <w:rsid w:val="008C5329"/>
    <w:rsid w:val="008C641F"/>
    <w:rsid w:val="008C6CE3"/>
    <w:rsid w:val="008D3F4F"/>
    <w:rsid w:val="008D43A5"/>
    <w:rsid w:val="008D4A01"/>
    <w:rsid w:val="008D6C1E"/>
    <w:rsid w:val="008E0F71"/>
    <w:rsid w:val="008E5F00"/>
    <w:rsid w:val="008E71FA"/>
    <w:rsid w:val="008F0D82"/>
    <w:rsid w:val="008F1A83"/>
    <w:rsid w:val="008F3042"/>
    <w:rsid w:val="008F3CEA"/>
    <w:rsid w:val="008F4002"/>
    <w:rsid w:val="008F6452"/>
    <w:rsid w:val="009007C8"/>
    <w:rsid w:val="00900957"/>
    <w:rsid w:val="0090221E"/>
    <w:rsid w:val="00902827"/>
    <w:rsid w:val="00903523"/>
    <w:rsid w:val="00905519"/>
    <w:rsid w:val="00907F9C"/>
    <w:rsid w:val="00907FEF"/>
    <w:rsid w:val="00910179"/>
    <w:rsid w:val="00911A2A"/>
    <w:rsid w:val="0091242D"/>
    <w:rsid w:val="009127DB"/>
    <w:rsid w:val="00913138"/>
    <w:rsid w:val="00913636"/>
    <w:rsid w:val="00913923"/>
    <w:rsid w:val="00913D98"/>
    <w:rsid w:val="009208A4"/>
    <w:rsid w:val="0092255B"/>
    <w:rsid w:val="009243BD"/>
    <w:rsid w:val="009270A2"/>
    <w:rsid w:val="0092778A"/>
    <w:rsid w:val="009304CA"/>
    <w:rsid w:val="0093115E"/>
    <w:rsid w:val="0093200F"/>
    <w:rsid w:val="0093396F"/>
    <w:rsid w:val="009346E0"/>
    <w:rsid w:val="00934E85"/>
    <w:rsid w:val="00935792"/>
    <w:rsid w:val="00936AC2"/>
    <w:rsid w:val="00936B92"/>
    <w:rsid w:val="0093743C"/>
    <w:rsid w:val="0094020A"/>
    <w:rsid w:val="00941275"/>
    <w:rsid w:val="009447AD"/>
    <w:rsid w:val="0094702A"/>
    <w:rsid w:val="00947524"/>
    <w:rsid w:val="00950212"/>
    <w:rsid w:val="009506ED"/>
    <w:rsid w:val="009509C3"/>
    <w:rsid w:val="009511D9"/>
    <w:rsid w:val="009536AA"/>
    <w:rsid w:val="00953949"/>
    <w:rsid w:val="0095467C"/>
    <w:rsid w:val="00954CAD"/>
    <w:rsid w:val="00954D9E"/>
    <w:rsid w:val="00960D61"/>
    <w:rsid w:val="009629C5"/>
    <w:rsid w:val="00962E5D"/>
    <w:rsid w:val="009647B3"/>
    <w:rsid w:val="00964F80"/>
    <w:rsid w:val="009657AA"/>
    <w:rsid w:val="009671FA"/>
    <w:rsid w:val="00967F0C"/>
    <w:rsid w:val="00970363"/>
    <w:rsid w:val="009707A6"/>
    <w:rsid w:val="00970D2D"/>
    <w:rsid w:val="00970ED1"/>
    <w:rsid w:val="0097126D"/>
    <w:rsid w:val="0097486F"/>
    <w:rsid w:val="00975549"/>
    <w:rsid w:val="009767D3"/>
    <w:rsid w:val="0097761A"/>
    <w:rsid w:val="00980CA6"/>
    <w:rsid w:val="00981041"/>
    <w:rsid w:val="009817AF"/>
    <w:rsid w:val="009818BB"/>
    <w:rsid w:val="0098248C"/>
    <w:rsid w:val="00982597"/>
    <w:rsid w:val="00983EF9"/>
    <w:rsid w:val="00984242"/>
    <w:rsid w:val="009849BF"/>
    <w:rsid w:val="00986558"/>
    <w:rsid w:val="009871BC"/>
    <w:rsid w:val="00990C1C"/>
    <w:rsid w:val="00990DA8"/>
    <w:rsid w:val="009915E7"/>
    <w:rsid w:val="00991B1B"/>
    <w:rsid w:val="00991C1A"/>
    <w:rsid w:val="0099272F"/>
    <w:rsid w:val="00992D17"/>
    <w:rsid w:val="00993A0C"/>
    <w:rsid w:val="00995760"/>
    <w:rsid w:val="009A14D7"/>
    <w:rsid w:val="009A37DD"/>
    <w:rsid w:val="009A41C7"/>
    <w:rsid w:val="009A42D9"/>
    <w:rsid w:val="009A5600"/>
    <w:rsid w:val="009A5F04"/>
    <w:rsid w:val="009A706A"/>
    <w:rsid w:val="009A713F"/>
    <w:rsid w:val="009A7DB7"/>
    <w:rsid w:val="009A7E43"/>
    <w:rsid w:val="009A7F7A"/>
    <w:rsid w:val="009B03E3"/>
    <w:rsid w:val="009B0F11"/>
    <w:rsid w:val="009B1C5B"/>
    <w:rsid w:val="009B2220"/>
    <w:rsid w:val="009B245A"/>
    <w:rsid w:val="009B3082"/>
    <w:rsid w:val="009B34D1"/>
    <w:rsid w:val="009B3BA7"/>
    <w:rsid w:val="009B466F"/>
    <w:rsid w:val="009B490E"/>
    <w:rsid w:val="009B5EFF"/>
    <w:rsid w:val="009B702E"/>
    <w:rsid w:val="009B7556"/>
    <w:rsid w:val="009B7C55"/>
    <w:rsid w:val="009C10BA"/>
    <w:rsid w:val="009C1895"/>
    <w:rsid w:val="009C2D5E"/>
    <w:rsid w:val="009C3EF9"/>
    <w:rsid w:val="009C4042"/>
    <w:rsid w:val="009C4B53"/>
    <w:rsid w:val="009C5107"/>
    <w:rsid w:val="009D0929"/>
    <w:rsid w:val="009D22B6"/>
    <w:rsid w:val="009D2917"/>
    <w:rsid w:val="009D2937"/>
    <w:rsid w:val="009D356A"/>
    <w:rsid w:val="009D3897"/>
    <w:rsid w:val="009D3CD7"/>
    <w:rsid w:val="009D41C6"/>
    <w:rsid w:val="009D474C"/>
    <w:rsid w:val="009D49BF"/>
    <w:rsid w:val="009D51BE"/>
    <w:rsid w:val="009D5CE2"/>
    <w:rsid w:val="009D604E"/>
    <w:rsid w:val="009D62D4"/>
    <w:rsid w:val="009D6BCE"/>
    <w:rsid w:val="009E16F4"/>
    <w:rsid w:val="009E2CF0"/>
    <w:rsid w:val="009E359B"/>
    <w:rsid w:val="009E4929"/>
    <w:rsid w:val="009E4D47"/>
    <w:rsid w:val="009E5149"/>
    <w:rsid w:val="009E5FB0"/>
    <w:rsid w:val="009E6AB7"/>
    <w:rsid w:val="009E7033"/>
    <w:rsid w:val="009F0A7B"/>
    <w:rsid w:val="009F3FD1"/>
    <w:rsid w:val="009F50BF"/>
    <w:rsid w:val="009F5B11"/>
    <w:rsid w:val="009F6312"/>
    <w:rsid w:val="009F63AB"/>
    <w:rsid w:val="00A01564"/>
    <w:rsid w:val="00A02FCF"/>
    <w:rsid w:val="00A03266"/>
    <w:rsid w:val="00A033E2"/>
    <w:rsid w:val="00A04054"/>
    <w:rsid w:val="00A058FA"/>
    <w:rsid w:val="00A100B7"/>
    <w:rsid w:val="00A105F1"/>
    <w:rsid w:val="00A11958"/>
    <w:rsid w:val="00A15444"/>
    <w:rsid w:val="00A16093"/>
    <w:rsid w:val="00A16887"/>
    <w:rsid w:val="00A16A2A"/>
    <w:rsid w:val="00A17262"/>
    <w:rsid w:val="00A17801"/>
    <w:rsid w:val="00A20F3B"/>
    <w:rsid w:val="00A219F6"/>
    <w:rsid w:val="00A21B84"/>
    <w:rsid w:val="00A2210C"/>
    <w:rsid w:val="00A244BD"/>
    <w:rsid w:val="00A32CF7"/>
    <w:rsid w:val="00A32D42"/>
    <w:rsid w:val="00A34772"/>
    <w:rsid w:val="00A3773D"/>
    <w:rsid w:val="00A40C1E"/>
    <w:rsid w:val="00A40E06"/>
    <w:rsid w:val="00A412C4"/>
    <w:rsid w:val="00A41FAA"/>
    <w:rsid w:val="00A42CD8"/>
    <w:rsid w:val="00A440C1"/>
    <w:rsid w:val="00A44528"/>
    <w:rsid w:val="00A44B93"/>
    <w:rsid w:val="00A46659"/>
    <w:rsid w:val="00A479CA"/>
    <w:rsid w:val="00A504A0"/>
    <w:rsid w:val="00A51253"/>
    <w:rsid w:val="00A5152C"/>
    <w:rsid w:val="00A52C53"/>
    <w:rsid w:val="00A53164"/>
    <w:rsid w:val="00A54765"/>
    <w:rsid w:val="00A54E47"/>
    <w:rsid w:val="00A60498"/>
    <w:rsid w:val="00A60BFF"/>
    <w:rsid w:val="00A614E4"/>
    <w:rsid w:val="00A65419"/>
    <w:rsid w:val="00A6570C"/>
    <w:rsid w:val="00A71B05"/>
    <w:rsid w:val="00A72842"/>
    <w:rsid w:val="00A72E38"/>
    <w:rsid w:val="00A72F32"/>
    <w:rsid w:val="00A76E1D"/>
    <w:rsid w:val="00A84133"/>
    <w:rsid w:val="00A843C7"/>
    <w:rsid w:val="00A85B9F"/>
    <w:rsid w:val="00A85D69"/>
    <w:rsid w:val="00A85EA6"/>
    <w:rsid w:val="00A866B4"/>
    <w:rsid w:val="00A8698F"/>
    <w:rsid w:val="00A879D3"/>
    <w:rsid w:val="00A916A0"/>
    <w:rsid w:val="00A94F9E"/>
    <w:rsid w:val="00A953F9"/>
    <w:rsid w:val="00A97ECB"/>
    <w:rsid w:val="00AA11D0"/>
    <w:rsid w:val="00AA3B62"/>
    <w:rsid w:val="00AA3CF0"/>
    <w:rsid w:val="00AA528C"/>
    <w:rsid w:val="00AA5BB0"/>
    <w:rsid w:val="00AA5FF3"/>
    <w:rsid w:val="00AA6519"/>
    <w:rsid w:val="00AA6FF2"/>
    <w:rsid w:val="00AA7F0C"/>
    <w:rsid w:val="00AB0BC0"/>
    <w:rsid w:val="00AB101E"/>
    <w:rsid w:val="00AB13F0"/>
    <w:rsid w:val="00AB35E3"/>
    <w:rsid w:val="00AB43AC"/>
    <w:rsid w:val="00AB4AD0"/>
    <w:rsid w:val="00AB5E3A"/>
    <w:rsid w:val="00AB6F3C"/>
    <w:rsid w:val="00AC228C"/>
    <w:rsid w:val="00AC2B06"/>
    <w:rsid w:val="00AC36F0"/>
    <w:rsid w:val="00AC427A"/>
    <w:rsid w:val="00AC56F5"/>
    <w:rsid w:val="00AC57E5"/>
    <w:rsid w:val="00AC6100"/>
    <w:rsid w:val="00AC6A1C"/>
    <w:rsid w:val="00AD0977"/>
    <w:rsid w:val="00AD1841"/>
    <w:rsid w:val="00AD3C33"/>
    <w:rsid w:val="00AD3DDB"/>
    <w:rsid w:val="00AD55C7"/>
    <w:rsid w:val="00AD6649"/>
    <w:rsid w:val="00AD678D"/>
    <w:rsid w:val="00AD6846"/>
    <w:rsid w:val="00AE15D9"/>
    <w:rsid w:val="00AE2050"/>
    <w:rsid w:val="00AE274A"/>
    <w:rsid w:val="00AE2F03"/>
    <w:rsid w:val="00AE38C5"/>
    <w:rsid w:val="00AE3E34"/>
    <w:rsid w:val="00AE3F0C"/>
    <w:rsid w:val="00AE63CA"/>
    <w:rsid w:val="00AE6918"/>
    <w:rsid w:val="00AE72EC"/>
    <w:rsid w:val="00AE7B3B"/>
    <w:rsid w:val="00AF02FC"/>
    <w:rsid w:val="00AF37AA"/>
    <w:rsid w:val="00AF5619"/>
    <w:rsid w:val="00AF5654"/>
    <w:rsid w:val="00AF6B34"/>
    <w:rsid w:val="00B00607"/>
    <w:rsid w:val="00B00D99"/>
    <w:rsid w:val="00B028F3"/>
    <w:rsid w:val="00B02CFE"/>
    <w:rsid w:val="00B02DFE"/>
    <w:rsid w:val="00B041DC"/>
    <w:rsid w:val="00B04CC9"/>
    <w:rsid w:val="00B05C36"/>
    <w:rsid w:val="00B06154"/>
    <w:rsid w:val="00B10646"/>
    <w:rsid w:val="00B110D2"/>
    <w:rsid w:val="00B11131"/>
    <w:rsid w:val="00B1201B"/>
    <w:rsid w:val="00B1384A"/>
    <w:rsid w:val="00B15DDB"/>
    <w:rsid w:val="00B20AC0"/>
    <w:rsid w:val="00B20F81"/>
    <w:rsid w:val="00B21AB7"/>
    <w:rsid w:val="00B225C8"/>
    <w:rsid w:val="00B257F2"/>
    <w:rsid w:val="00B25829"/>
    <w:rsid w:val="00B26D82"/>
    <w:rsid w:val="00B2786F"/>
    <w:rsid w:val="00B31012"/>
    <w:rsid w:val="00B3297A"/>
    <w:rsid w:val="00B341A3"/>
    <w:rsid w:val="00B34434"/>
    <w:rsid w:val="00B34CFA"/>
    <w:rsid w:val="00B3619C"/>
    <w:rsid w:val="00B3656B"/>
    <w:rsid w:val="00B40C20"/>
    <w:rsid w:val="00B41712"/>
    <w:rsid w:val="00B42CD8"/>
    <w:rsid w:val="00B42E89"/>
    <w:rsid w:val="00B4357E"/>
    <w:rsid w:val="00B43F8D"/>
    <w:rsid w:val="00B43FB8"/>
    <w:rsid w:val="00B51052"/>
    <w:rsid w:val="00B5331E"/>
    <w:rsid w:val="00B53476"/>
    <w:rsid w:val="00B53872"/>
    <w:rsid w:val="00B54781"/>
    <w:rsid w:val="00B54FC6"/>
    <w:rsid w:val="00B609AE"/>
    <w:rsid w:val="00B639CB"/>
    <w:rsid w:val="00B71EB7"/>
    <w:rsid w:val="00B74878"/>
    <w:rsid w:val="00B758E6"/>
    <w:rsid w:val="00B760AE"/>
    <w:rsid w:val="00B77D63"/>
    <w:rsid w:val="00B8047F"/>
    <w:rsid w:val="00B82A6D"/>
    <w:rsid w:val="00B83179"/>
    <w:rsid w:val="00B84BEC"/>
    <w:rsid w:val="00B8585B"/>
    <w:rsid w:val="00B871CA"/>
    <w:rsid w:val="00B901C9"/>
    <w:rsid w:val="00B90AB0"/>
    <w:rsid w:val="00B9153C"/>
    <w:rsid w:val="00B9195D"/>
    <w:rsid w:val="00B91DE8"/>
    <w:rsid w:val="00B925DB"/>
    <w:rsid w:val="00B9283F"/>
    <w:rsid w:val="00B93AA7"/>
    <w:rsid w:val="00B93B0B"/>
    <w:rsid w:val="00B966AA"/>
    <w:rsid w:val="00B96904"/>
    <w:rsid w:val="00BA0832"/>
    <w:rsid w:val="00BA19FB"/>
    <w:rsid w:val="00BA1B7C"/>
    <w:rsid w:val="00BA24FA"/>
    <w:rsid w:val="00BA2F53"/>
    <w:rsid w:val="00BA316D"/>
    <w:rsid w:val="00BA4108"/>
    <w:rsid w:val="00BA4981"/>
    <w:rsid w:val="00BA4EEA"/>
    <w:rsid w:val="00BA5C6F"/>
    <w:rsid w:val="00BA5D08"/>
    <w:rsid w:val="00BA6C7F"/>
    <w:rsid w:val="00BA6CEC"/>
    <w:rsid w:val="00BA7374"/>
    <w:rsid w:val="00BA78AC"/>
    <w:rsid w:val="00BB138D"/>
    <w:rsid w:val="00BB1CD9"/>
    <w:rsid w:val="00BB29A3"/>
    <w:rsid w:val="00BB3114"/>
    <w:rsid w:val="00BB5A60"/>
    <w:rsid w:val="00BB629D"/>
    <w:rsid w:val="00BC140C"/>
    <w:rsid w:val="00BC15B7"/>
    <w:rsid w:val="00BC1BDB"/>
    <w:rsid w:val="00BC2DB3"/>
    <w:rsid w:val="00BC4652"/>
    <w:rsid w:val="00BD07BC"/>
    <w:rsid w:val="00BD0A11"/>
    <w:rsid w:val="00BD540F"/>
    <w:rsid w:val="00BD57FD"/>
    <w:rsid w:val="00BD5894"/>
    <w:rsid w:val="00BD5E71"/>
    <w:rsid w:val="00BE3024"/>
    <w:rsid w:val="00BE30FE"/>
    <w:rsid w:val="00BE6902"/>
    <w:rsid w:val="00BF312A"/>
    <w:rsid w:val="00BF3CFD"/>
    <w:rsid w:val="00BF5F6F"/>
    <w:rsid w:val="00BF664C"/>
    <w:rsid w:val="00BF6CE9"/>
    <w:rsid w:val="00BF7136"/>
    <w:rsid w:val="00BF79C2"/>
    <w:rsid w:val="00BF7CAE"/>
    <w:rsid w:val="00C01697"/>
    <w:rsid w:val="00C01987"/>
    <w:rsid w:val="00C03E18"/>
    <w:rsid w:val="00C044D4"/>
    <w:rsid w:val="00C072E7"/>
    <w:rsid w:val="00C11847"/>
    <w:rsid w:val="00C142FB"/>
    <w:rsid w:val="00C160CC"/>
    <w:rsid w:val="00C165FB"/>
    <w:rsid w:val="00C168EA"/>
    <w:rsid w:val="00C170C5"/>
    <w:rsid w:val="00C17493"/>
    <w:rsid w:val="00C1758E"/>
    <w:rsid w:val="00C17DAD"/>
    <w:rsid w:val="00C23688"/>
    <w:rsid w:val="00C23F7E"/>
    <w:rsid w:val="00C2422A"/>
    <w:rsid w:val="00C24395"/>
    <w:rsid w:val="00C247A6"/>
    <w:rsid w:val="00C24F75"/>
    <w:rsid w:val="00C25008"/>
    <w:rsid w:val="00C25818"/>
    <w:rsid w:val="00C25AD0"/>
    <w:rsid w:val="00C25FAB"/>
    <w:rsid w:val="00C27123"/>
    <w:rsid w:val="00C27818"/>
    <w:rsid w:val="00C30DEB"/>
    <w:rsid w:val="00C312CD"/>
    <w:rsid w:val="00C3202E"/>
    <w:rsid w:val="00C34CE9"/>
    <w:rsid w:val="00C35046"/>
    <w:rsid w:val="00C3527A"/>
    <w:rsid w:val="00C37693"/>
    <w:rsid w:val="00C37E4C"/>
    <w:rsid w:val="00C40AD6"/>
    <w:rsid w:val="00C4106F"/>
    <w:rsid w:val="00C419C9"/>
    <w:rsid w:val="00C43065"/>
    <w:rsid w:val="00C43100"/>
    <w:rsid w:val="00C43309"/>
    <w:rsid w:val="00C43715"/>
    <w:rsid w:val="00C43E7C"/>
    <w:rsid w:val="00C43EFB"/>
    <w:rsid w:val="00C44298"/>
    <w:rsid w:val="00C44D7D"/>
    <w:rsid w:val="00C45D16"/>
    <w:rsid w:val="00C47FB5"/>
    <w:rsid w:val="00C50463"/>
    <w:rsid w:val="00C50E0E"/>
    <w:rsid w:val="00C50F51"/>
    <w:rsid w:val="00C51651"/>
    <w:rsid w:val="00C52684"/>
    <w:rsid w:val="00C52B90"/>
    <w:rsid w:val="00C52FE2"/>
    <w:rsid w:val="00C53605"/>
    <w:rsid w:val="00C550F8"/>
    <w:rsid w:val="00C60D39"/>
    <w:rsid w:val="00C61210"/>
    <w:rsid w:val="00C63025"/>
    <w:rsid w:val="00C64689"/>
    <w:rsid w:val="00C65BA0"/>
    <w:rsid w:val="00C65BBD"/>
    <w:rsid w:val="00C67B4B"/>
    <w:rsid w:val="00C67EF6"/>
    <w:rsid w:val="00C71BC0"/>
    <w:rsid w:val="00C71F43"/>
    <w:rsid w:val="00C75516"/>
    <w:rsid w:val="00C7573D"/>
    <w:rsid w:val="00C7666E"/>
    <w:rsid w:val="00C76B56"/>
    <w:rsid w:val="00C76BF3"/>
    <w:rsid w:val="00C76F50"/>
    <w:rsid w:val="00C80728"/>
    <w:rsid w:val="00C81A00"/>
    <w:rsid w:val="00C81F30"/>
    <w:rsid w:val="00C830E4"/>
    <w:rsid w:val="00C83A92"/>
    <w:rsid w:val="00C85179"/>
    <w:rsid w:val="00C85324"/>
    <w:rsid w:val="00C8568D"/>
    <w:rsid w:val="00C87C9E"/>
    <w:rsid w:val="00C902A5"/>
    <w:rsid w:val="00C90A1D"/>
    <w:rsid w:val="00C90D12"/>
    <w:rsid w:val="00C91444"/>
    <w:rsid w:val="00C93176"/>
    <w:rsid w:val="00C934E7"/>
    <w:rsid w:val="00C970A5"/>
    <w:rsid w:val="00C974CF"/>
    <w:rsid w:val="00C97C0E"/>
    <w:rsid w:val="00CA23E4"/>
    <w:rsid w:val="00CA262F"/>
    <w:rsid w:val="00CA26E3"/>
    <w:rsid w:val="00CA3B1D"/>
    <w:rsid w:val="00CA5F46"/>
    <w:rsid w:val="00CA67C6"/>
    <w:rsid w:val="00CA7150"/>
    <w:rsid w:val="00CB1369"/>
    <w:rsid w:val="00CB2511"/>
    <w:rsid w:val="00CB321D"/>
    <w:rsid w:val="00CB3B1E"/>
    <w:rsid w:val="00CB3E51"/>
    <w:rsid w:val="00CB72F7"/>
    <w:rsid w:val="00CC053A"/>
    <w:rsid w:val="00CC11D7"/>
    <w:rsid w:val="00CC2029"/>
    <w:rsid w:val="00CC2737"/>
    <w:rsid w:val="00CC34DA"/>
    <w:rsid w:val="00CC3838"/>
    <w:rsid w:val="00CC612C"/>
    <w:rsid w:val="00CC6206"/>
    <w:rsid w:val="00CC6F05"/>
    <w:rsid w:val="00CD0687"/>
    <w:rsid w:val="00CD1486"/>
    <w:rsid w:val="00CD2D50"/>
    <w:rsid w:val="00CD5CCB"/>
    <w:rsid w:val="00CD636E"/>
    <w:rsid w:val="00CD6A7F"/>
    <w:rsid w:val="00CD780A"/>
    <w:rsid w:val="00CE07F9"/>
    <w:rsid w:val="00CE1151"/>
    <w:rsid w:val="00CE1D0A"/>
    <w:rsid w:val="00CE2C87"/>
    <w:rsid w:val="00CE3667"/>
    <w:rsid w:val="00CE4889"/>
    <w:rsid w:val="00CE4EBA"/>
    <w:rsid w:val="00CF0287"/>
    <w:rsid w:val="00CF06EA"/>
    <w:rsid w:val="00CF15C9"/>
    <w:rsid w:val="00CF1C87"/>
    <w:rsid w:val="00CF1DB0"/>
    <w:rsid w:val="00CF2ECE"/>
    <w:rsid w:val="00CF36B6"/>
    <w:rsid w:val="00CF4A96"/>
    <w:rsid w:val="00CF634A"/>
    <w:rsid w:val="00CF77C4"/>
    <w:rsid w:val="00D0003C"/>
    <w:rsid w:val="00D00557"/>
    <w:rsid w:val="00D0386D"/>
    <w:rsid w:val="00D03E62"/>
    <w:rsid w:val="00D05EE6"/>
    <w:rsid w:val="00D05FD7"/>
    <w:rsid w:val="00D0670D"/>
    <w:rsid w:val="00D06E4B"/>
    <w:rsid w:val="00D07296"/>
    <w:rsid w:val="00D07630"/>
    <w:rsid w:val="00D07713"/>
    <w:rsid w:val="00D07D94"/>
    <w:rsid w:val="00D10286"/>
    <w:rsid w:val="00D106EA"/>
    <w:rsid w:val="00D13B1D"/>
    <w:rsid w:val="00D13CD9"/>
    <w:rsid w:val="00D14D89"/>
    <w:rsid w:val="00D165F3"/>
    <w:rsid w:val="00D16FBE"/>
    <w:rsid w:val="00D21855"/>
    <w:rsid w:val="00D22176"/>
    <w:rsid w:val="00D22247"/>
    <w:rsid w:val="00D23975"/>
    <w:rsid w:val="00D252F1"/>
    <w:rsid w:val="00D25608"/>
    <w:rsid w:val="00D25F79"/>
    <w:rsid w:val="00D27DB7"/>
    <w:rsid w:val="00D31CEF"/>
    <w:rsid w:val="00D32A09"/>
    <w:rsid w:val="00D35D21"/>
    <w:rsid w:val="00D374EB"/>
    <w:rsid w:val="00D37626"/>
    <w:rsid w:val="00D44D1A"/>
    <w:rsid w:val="00D47FB0"/>
    <w:rsid w:val="00D501E4"/>
    <w:rsid w:val="00D51056"/>
    <w:rsid w:val="00D53752"/>
    <w:rsid w:val="00D55717"/>
    <w:rsid w:val="00D55A09"/>
    <w:rsid w:val="00D5613A"/>
    <w:rsid w:val="00D563E5"/>
    <w:rsid w:val="00D572CE"/>
    <w:rsid w:val="00D57E2A"/>
    <w:rsid w:val="00D60C8E"/>
    <w:rsid w:val="00D61162"/>
    <w:rsid w:val="00D62353"/>
    <w:rsid w:val="00D62D55"/>
    <w:rsid w:val="00D63522"/>
    <w:rsid w:val="00D64CAD"/>
    <w:rsid w:val="00D65C5F"/>
    <w:rsid w:val="00D6609B"/>
    <w:rsid w:val="00D668A6"/>
    <w:rsid w:val="00D679D8"/>
    <w:rsid w:val="00D70327"/>
    <w:rsid w:val="00D726B7"/>
    <w:rsid w:val="00D7317D"/>
    <w:rsid w:val="00D744AE"/>
    <w:rsid w:val="00D74C2F"/>
    <w:rsid w:val="00D75930"/>
    <w:rsid w:val="00D75B6B"/>
    <w:rsid w:val="00D75BA5"/>
    <w:rsid w:val="00D766A8"/>
    <w:rsid w:val="00D80AD4"/>
    <w:rsid w:val="00D824DD"/>
    <w:rsid w:val="00D8414C"/>
    <w:rsid w:val="00D846B8"/>
    <w:rsid w:val="00D848D0"/>
    <w:rsid w:val="00D84DDE"/>
    <w:rsid w:val="00D85993"/>
    <w:rsid w:val="00D86029"/>
    <w:rsid w:val="00D86266"/>
    <w:rsid w:val="00D86E2C"/>
    <w:rsid w:val="00D91891"/>
    <w:rsid w:val="00D928C7"/>
    <w:rsid w:val="00D949B3"/>
    <w:rsid w:val="00D95535"/>
    <w:rsid w:val="00D96461"/>
    <w:rsid w:val="00D966F7"/>
    <w:rsid w:val="00D96B2A"/>
    <w:rsid w:val="00D9763E"/>
    <w:rsid w:val="00D97916"/>
    <w:rsid w:val="00D97F0A"/>
    <w:rsid w:val="00DA0264"/>
    <w:rsid w:val="00DA06BF"/>
    <w:rsid w:val="00DA140C"/>
    <w:rsid w:val="00DA2BE3"/>
    <w:rsid w:val="00DA3086"/>
    <w:rsid w:val="00DA3B42"/>
    <w:rsid w:val="00DA451F"/>
    <w:rsid w:val="00DA6BA5"/>
    <w:rsid w:val="00DA6C31"/>
    <w:rsid w:val="00DB042E"/>
    <w:rsid w:val="00DB0694"/>
    <w:rsid w:val="00DB1845"/>
    <w:rsid w:val="00DB2317"/>
    <w:rsid w:val="00DB2F3B"/>
    <w:rsid w:val="00DB45F8"/>
    <w:rsid w:val="00DB5047"/>
    <w:rsid w:val="00DB7AA2"/>
    <w:rsid w:val="00DC14B5"/>
    <w:rsid w:val="00DC1D3C"/>
    <w:rsid w:val="00DC1DF0"/>
    <w:rsid w:val="00DC2E67"/>
    <w:rsid w:val="00DC4577"/>
    <w:rsid w:val="00DC467B"/>
    <w:rsid w:val="00DC4C60"/>
    <w:rsid w:val="00DC5614"/>
    <w:rsid w:val="00DC5E47"/>
    <w:rsid w:val="00DC7AC5"/>
    <w:rsid w:val="00DC7FFD"/>
    <w:rsid w:val="00DD0E4A"/>
    <w:rsid w:val="00DD0FC9"/>
    <w:rsid w:val="00DD261A"/>
    <w:rsid w:val="00DD323D"/>
    <w:rsid w:val="00DD38FE"/>
    <w:rsid w:val="00DD5FD3"/>
    <w:rsid w:val="00DD6FC7"/>
    <w:rsid w:val="00DD7A34"/>
    <w:rsid w:val="00DE0C0A"/>
    <w:rsid w:val="00DE50FC"/>
    <w:rsid w:val="00DE558A"/>
    <w:rsid w:val="00DE61C6"/>
    <w:rsid w:val="00DE646E"/>
    <w:rsid w:val="00DE7306"/>
    <w:rsid w:val="00DE78D0"/>
    <w:rsid w:val="00DF73F3"/>
    <w:rsid w:val="00E00B35"/>
    <w:rsid w:val="00E00CC2"/>
    <w:rsid w:val="00E017B4"/>
    <w:rsid w:val="00E01E80"/>
    <w:rsid w:val="00E02330"/>
    <w:rsid w:val="00E03742"/>
    <w:rsid w:val="00E03A5F"/>
    <w:rsid w:val="00E0440D"/>
    <w:rsid w:val="00E05E71"/>
    <w:rsid w:val="00E06BBA"/>
    <w:rsid w:val="00E10F2B"/>
    <w:rsid w:val="00E12176"/>
    <w:rsid w:val="00E1448F"/>
    <w:rsid w:val="00E154BE"/>
    <w:rsid w:val="00E15B56"/>
    <w:rsid w:val="00E15FE6"/>
    <w:rsid w:val="00E17EC7"/>
    <w:rsid w:val="00E20E83"/>
    <w:rsid w:val="00E21A00"/>
    <w:rsid w:val="00E238E7"/>
    <w:rsid w:val="00E26472"/>
    <w:rsid w:val="00E308CB"/>
    <w:rsid w:val="00E32892"/>
    <w:rsid w:val="00E32952"/>
    <w:rsid w:val="00E32A68"/>
    <w:rsid w:val="00E3741D"/>
    <w:rsid w:val="00E42567"/>
    <w:rsid w:val="00E43BCE"/>
    <w:rsid w:val="00E46A94"/>
    <w:rsid w:val="00E47CE8"/>
    <w:rsid w:val="00E52F94"/>
    <w:rsid w:val="00E53B2B"/>
    <w:rsid w:val="00E53BFF"/>
    <w:rsid w:val="00E54326"/>
    <w:rsid w:val="00E54BD3"/>
    <w:rsid w:val="00E57B1D"/>
    <w:rsid w:val="00E609D7"/>
    <w:rsid w:val="00E61A4B"/>
    <w:rsid w:val="00E62AAB"/>
    <w:rsid w:val="00E631DD"/>
    <w:rsid w:val="00E65AEA"/>
    <w:rsid w:val="00E6624A"/>
    <w:rsid w:val="00E663FF"/>
    <w:rsid w:val="00E66443"/>
    <w:rsid w:val="00E71624"/>
    <w:rsid w:val="00E728C0"/>
    <w:rsid w:val="00E72DB2"/>
    <w:rsid w:val="00E731E8"/>
    <w:rsid w:val="00E7326B"/>
    <w:rsid w:val="00E747DE"/>
    <w:rsid w:val="00E74AC4"/>
    <w:rsid w:val="00E752A7"/>
    <w:rsid w:val="00E7540C"/>
    <w:rsid w:val="00E7598B"/>
    <w:rsid w:val="00E80E98"/>
    <w:rsid w:val="00E8104C"/>
    <w:rsid w:val="00E8176D"/>
    <w:rsid w:val="00E82151"/>
    <w:rsid w:val="00E82FEE"/>
    <w:rsid w:val="00E83432"/>
    <w:rsid w:val="00E84666"/>
    <w:rsid w:val="00E84DB2"/>
    <w:rsid w:val="00E90533"/>
    <w:rsid w:val="00E90B02"/>
    <w:rsid w:val="00E90EDA"/>
    <w:rsid w:val="00E92F2C"/>
    <w:rsid w:val="00E94210"/>
    <w:rsid w:val="00E95BEC"/>
    <w:rsid w:val="00E95DF2"/>
    <w:rsid w:val="00E95F9D"/>
    <w:rsid w:val="00E9646D"/>
    <w:rsid w:val="00E964C6"/>
    <w:rsid w:val="00E968DC"/>
    <w:rsid w:val="00E96993"/>
    <w:rsid w:val="00E96D1B"/>
    <w:rsid w:val="00E97428"/>
    <w:rsid w:val="00EA0402"/>
    <w:rsid w:val="00EA063D"/>
    <w:rsid w:val="00EA071C"/>
    <w:rsid w:val="00EA0738"/>
    <w:rsid w:val="00EA0A0E"/>
    <w:rsid w:val="00EA19B3"/>
    <w:rsid w:val="00EA5634"/>
    <w:rsid w:val="00EA58E8"/>
    <w:rsid w:val="00EA669D"/>
    <w:rsid w:val="00EA7036"/>
    <w:rsid w:val="00EA7897"/>
    <w:rsid w:val="00EA7EEF"/>
    <w:rsid w:val="00EB11DF"/>
    <w:rsid w:val="00EB177F"/>
    <w:rsid w:val="00EB28E0"/>
    <w:rsid w:val="00EB38EE"/>
    <w:rsid w:val="00EB3E4A"/>
    <w:rsid w:val="00EB5244"/>
    <w:rsid w:val="00EB6208"/>
    <w:rsid w:val="00EB7D7E"/>
    <w:rsid w:val="00EC1302"/>
    <w:rsid w:val="00EC2B24"/>
    <w:rsid w:val="00EC4886"/>
    <w:rsid w:val="00EC55D4"/>
    <w:rsid w:val="00EC5F63"/>
    <w:rsid w:val="00EC634F"/>
    <w:rsid w:val="00ED0BFE"/>
    <w:rsid w:val="00ED0C88"/>
    <w:rsid w:val="00ED19DD"/>
    <w:rsid w:val="00ED4062"/>
    <w:rsid w:val="00ED462C"/>
    <w:rsid w:val="00ED6972"/>
    <w:rsid w:val="00EE4D1F"/>
    <w:rsid w:val="00EE55E7"/>
    <w:rsid w:val="00EE6EAF"/>
    <w:rsid w:val="00EF0240"/>
    <w:rsid w:val="00EF2037"/>
    <w:rsid w:val="00EF23D5"/>
    <w:rsid w:val="00EF32C7"/>
    <w:rsid w:val="00EF3504"/>
    <w:rsid w:val="00EF4725"/>
    <w:rsid w:val="00EF5C9C"/>
    <w:rsid w:val="00EF6126"/>
    <w:rsid w:val="00F0076F"/>
    <w:rsid w:val="00F009A5"/>
    <w:rsid w:val="00F02D44"/>
    <w:rsid w:val="00F032E8"/>
    <w:rsid w:val="00F034EA"/>
    <w:rsid w:val="00F03746"/>
    <w:rsid w:val="00F03970"/>
    <w:rsid w:val="00F06011"/>
    <w:rsid w:val="00F06020"/>
    <w:rsid w:val="00F07AF5"/>
    <w:rsid w:val="00F10BC7"/>
    <w:rsid w:val="00F11324"/>
    <w:rsid w:val="00F11507"/>
    <w:rsid w:val="00F1352F"/>
    <w:rsid w:val="00F14423"/>
    <w:rsid w:val="00F15E4A"/>
    <w:rsid w:val="00F1678B"/>
    <w:rsid w:val="00F16B3A"/>
    <w:rsid w:val="00F171CF"/>
    <w:rsid w:val="00F21073"/>
    <w:rsid w:val="00F23746"/>
    <w:rsid w:val="00F23761"/>
    <w:rsid w:val="00F23D3E"/>
    <w:rsid w:val="00F24305"/>
    <w:rsid w:val="00F24F72"/>
    <w:rsid w:val="00F251A1"/>
    <w:rsid w:val="00F25705"/>
    <w:rsid w:val="00F272F9"/>
    <w:rsid w:val="00F2735F"/>
    <w:rsid w:val="00F278AB"/>
    <w:rsid w:val="00F303F2"/>
    <w:rsid w:val="00F30FFB"/>
    <w:rsid w:val="00F31C31"/>
    <w:rsid w:val="00F33FF3"/>
    <w:rsid w:val="00F35962"/>
    <w:rsid w:val="00F35A7D"/>
    <w:rsid w:val="00F402C3"/>
    <w:rsid w:val="00F41022"/>
    <w:rsid w:val="00F43B51"/>
    <w:rsid w:val="00F476EA"/>
    <w:rsid w:val="00F50883"/>
    <w:rsid w:val="00F5559D"/>
    <w:rsid w:val="00F55AB0"/>
    <w:rsid w:val="00F5733D"/>
    <w:rsid w:val="00F61170"/>
    <w:rsid w:val="00F614A7"/>
    <w:rsid w:val="00F6247B"/>
    <w:rsid w:val="00F62729"/>
    <w:rsid w:val="00F6279A"/>
    <w:rsid w:val="00F65523"/>
    <w:rsid w:val="00F72748"/>
    <w:rsid w:val="00F76062"/>
    <w:rsid w:val="00F762F7"/>
    <w:rsid w:val="00F77BF5"/>
    <w:rsid w:val="00F8245F"/>
    <w:rsid w:val="00F82743"/>
    <w:rsid w:val="00F83CCB"/>
    <w:rsid w:val="00F84ECA"/>
    <w:rsid w:val="00F856F8"/>
    <w:rsid w:val="00F85CFE"/>
    <w:rsid w:val="00F85D24"/>
    <w:rsid w:val="00F8620E"/>
    <w:rsid w:val="00F868D8"/>
    <w:rsid w:val="00F87493"/>
    <w:rsid w:val="00F878EA"/>
    <w:rsid w:val="00F87CAE"/>
    <w:rsid w:val="00F901F5"/>
    <w:rsid w:val="00F90D3C"/>
    <w:rsid w:val="00F924BA"/>
    <w:rsid w:val="00F93F24"/>
    <w:rsid w:val="00F944AE"/>
    <w:rsid w:val="00F95189"/>
    <w:rsid w:val="00FA2340"/>
    <w:rsid w:val="00FA3F4D"/>
    <w:rsid w:val="00FA5017"/>
    <w:rsid w:val="00FA586B"/>
    <w:rsid w:val="00FA69E8"/>
    <w:rsid w:val="00FA7158"/>
    <w:rsid w:val="00FB001E"/>
    <w:rsid w:val="00FB00D4"/>
    <w:rsid w:val="00FB09ED"/>
    <w:rsid w:val="00FB1BD0"/>
    <w:rsid w:val="00FB3383"/>
    <w:rsid w:val="00FB6EFE"/>
    <w:rsid w:val="00FB7AB2"/>
    <w:rsid w:val="00FB7E1F"/>
    <w:rsid w:val="00FC05CD"/>
    <w:rsid w:val="00FC0BF6"/>
    <w:rsid w:val="00FC1BBF"/>
    <w:rsid w:val="00FC1F7F"/>
    <w:rsid w:val="00FC3324"/>
    <w:rsid w:val="00FC35B8"/>
    <w:rsid w:val="00FC3CC8"/>
    <w:rsid w:val="00FC4A86"/>
    <w:rsid w:val="00FC66D1"/>
    <w:rsid w:val="00FC6FDA"/>
    <w:rsid w:val="00FD1F75"/>
    <w:rsid w:val="00FD2546"/>
    <w:rsid w:val="00FD38A0"/>
    <w:rsid w:val="00FD4EEA"/>
    <w:rsid w:val="00FD518A"/>
    <w:rsid w:val="00FD5300"/>
    <w:rsid w:val="00FD5BA9"/>
    <w:rsid w:val="00FD76B5"/>
    <w:rsid w:val="00FD7804"/>
    <w:rsid w:val="00FE001F"/>
    <w:rsid w:val="00FE2173"/>
    <w:rsid w:val="00FE2248"/>
    <w:rsid w:val="00FE640F"/>
    <w:rsid w:val="00FF0E49"/>
    <w:rsid w:val="00FF1284"/>
    <w:rsid w:val="00FF3328"/>
    <w:rsid w:val="00FF34CF"/>
    <w:rsid w:val="00FF45BB"/>
    <w:rsid w:val="00FF6FA3"/>
    <w:rsid w:val="00FF7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3381D52A"/>
  <w15:docId w15:val="{44D9DCD0-7DD7-4AF6-B7B3-9DAA56A6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93"/>
    <w:rPr>
      <w:sz w:val="24"/>
      <w:szCs w:val="24"/>
      <w:lang w:val="en-GB"/>
    </w:rPr>
  </w:style>
  <w:style w:type="paragraph" w:styleId="Heading1">
    <w:name w:val="heading 1"/>
    <w:basedOn w:val="Normal"/>
    <w:next w:val="Normal"/>
    <w:link w:val="Heading1Char"/>
    <w:autoRedefine/>
    <w:uiPriority w:val="9"/>
    <w:qFormat/>
    <w:rsid w:val="00582844"/>
    <w:pPr>
      <w:keepNext/>
      <w:spacing w:before="240" w:after="60" w:line="360" w:lineRule="auto"/>
      <w:jc w:val="both"/>
      <w:outlineLvl w:val="0"/>
    </w:pPr>
    <w:rPr>
      <w:rFonts w:eastAsia="Calibri"/>
      <w:b/>
      <w:bCs/>
      <w:color w:val="000000" w:themeColor="text1"/>
      <w:kern w:val="32"/>
      <w:sz w:val="28"/>
    </w:rPr>
  </w:style>
  <w:style w:type="paragraph" w:styleId="Heading2">
    <w:name w:val="heading 2"/>
    <w:basedOn w:val="Normal"/>
    <w:next w:val="Normal"/>
    <w:link w:val="Heading2Char"/>
    <w:autoRedefine/>
    <w:uiPriority w:val="9"/>
    <w:qFormat/>
    <w:rsid w:val="00C044D4"/>
    <w:pPr>
      <w:keepNext/>
      <w:spacing w:after="240" w:line="276" w:lineRule="auto"/>
      <w:jc w:val="both"/>
      <w:outlineLvl w:val="1"/>
    </w:pPr>
    <w:rPr>
      <w:rFonts w:eastAsia="Calibri"/>
      <w:b/>
      <w:bCs/>
      <w:iCs/>
    </w:rPr>
  </w:style>
  <w:style w:type="paragraph" w:styleId="Heading3">
    <w:name w:val="heading 3"/>
    <w:basedOn w:val="Normal"/>
    <w:next w:val="Normal"/>
    <w:link w:val="Heading3Char"/>
    <w:unhideWhenUsed/>
    <w:qFormat/>
    <w:rsid w:val="00210FFF"/>
    <w:pPr>
      <w:keepNext/>
      <w:spacing w:before="240" w:after="60" w:line="276" w:lineRule="auto"/>
      <w:ind w:left="720" w:hanging="720"/>
      <w:jc w:val="both"/>
      <w:outlineLvl w:val="2"/>
    </w:pPr>
    <w:rPr>
      <w:rFonts w:ascii="Calibri" w:eastAsia="Calibri" w:hAnsi="Calibri"/>
      <w:b/>
      <w:bCs/>
      <w:color w:val="0070C0"/>
      <w:sz w:val="22"/>
      <w:szCs w:val="26"/>
    </w:rPr>
  </w:style>
  <w:style w:type="paragraph" w:styleId="Heading4">
    <w:name w:val="heading 4"/>
    <w:basedOn w:val="Normal"/>
    <w:next w:val="Normal"/>
    <w:link w:val="Heading4Char"/>
    <w:unhideWhenUsed/>
    <w:qFormat/>
    <w:rsid w:val="00F868D8"/>
    <w:pPr>
      <w:keepNext/>
      <w:ind w:left="864" w:hanging="864"/>
      <w:jc w:val="both"/>
      <w:outlineLvl w:val="3"/>
    </w:pPr>
    <w:rPr>
      <w:rFonts w:ascii="Calibri" w:eastAsia="Calibri" w:hAnsi="Calibri"/>
      <w:b/>
      <w:bCs/>
      <w:color w:val="0070C0"/>
      <w:sz w:val="28"/>
      <w:szCs w:val="28"/>
    </w:rPr>
  </w:style>
  <w:style w:type="paragraph" w:styleId="Heading5">
    <w:name w:val="heading 5"/>
    <w:basedOn w:val="Normal"/>
    <w:next w:val="Normal"/>
    <w:link w:val="Heading5Char"/>
    <w:unhideWhenUsed/>
    <w:qFormat/>
    <w:rsid w:val="00B925DB"/>
    <w:pPr>
      <w:numPr>
        <w:ilvl w:val="4"/>
        <w:numId w:val="2"/>
      </w:numPr>
      <w:spacing w:before="240" w:after="60" w:line="276" w:lineRule="auto"/>
      <w:jc w:val="both"/>
      <w:outlineLvl w:val="4"/>
    </w:pPr>
    <w:rPr>
      <w:rFonts w:ascii="Calibri" w:eastAsia="Calibri" w:hAnsi="Calibri"/>
      <w:b/>
      <w:bCs/>
      <w:i/>
      <w:iCs/>
      <w:sz w:val="26"/>
      <w:szCs w:val="26"/>
    </w:rPr>
  </w:style>
  <w:style w:type="paragraph" w:styleId="Heading6">
    <w:name w:val="heading 6"/>
    <w:basedOn w:val="Normal"/>
    <w:next w:val="Normal"/>
    <w:link w:val="Heading6Char"/>
    <w:unhideWhenUsed/>
    <w:qFormat/>
    <w:rsid w:val="00B925DB"/>
    <w:pPr>
      <w:numPr>
        <w:ilvl w:val="5"/>
        <w:numId w:val="2"/>
      </w:numPr>
      <w:spacing w:before="240" w:after="60" w:line="276" w:lineRule="auto"/>
      <w:jc w:val="both"/>
      <w:outlineLvl w:val="5"/>
    </w:pPr>
    <w:rPr>
      <w:rFonts w:ascii="Calibri" w:eastAsia="Calibri" w:hAnsi="Calibri"/>
      <w:b/>
      <w:bCs/>
      <w:sz w:val="22"/>
      <w:szCs w:val="22"/>
    </w:rPr>
  </w:style>
  <w:style w:type="paragraph" w:styleId="Heading7">
    <w:name w:val="heading 7"/>
    <w:basedOn w:val="Normal"/>
    <w:next w:val="Normal"/>
    <w:link w:val="Heading7Char"/>
    <w:unhideWhenUsed/>
    <w:qFormat/>
    <w:rsid w:val="00B925DB"/>
    <w:pPr>
      <w:numPr>
        <w:ilvl w:val="6"/>
        <w:numId w:val="2"/>
      </w:numPr>
      <w:spacing w:before="240" w:after="60" w:line="276" w:lineRule="auto"/>
      <w:jc w:val="both"/>
      <w:outlineLvl w:val="6"/>
    </w:pPr>
    <w:rPr>
      <w:rFonts w:ascii="Calibri" w:eastAsia="Calibri" w:hAnsi="Calibri"/>
      <w:szCs w:val="22"/>
    </w:rPr>
  </w:style>
  <w:style w:type="paragraph" w:styleId="Heading8">
    <w:name w:val="heading 8"/>
    <w:basedOn w:val="Normal"/>
    <w:next w:val="Normal"/>
    <w:link w:val="Heading8Char"/>
    <w:unhideWhenUsed/>
    <w:qFormat/>
    <w:rsid w:val="00B925DB"/>
    <w:pPr>
      <w:numPr>
        <w:ilvl w:val="7"/>
        <w:numId w:val="2"/>
      </w:numPr>
      <w:spacing w:before="240" w:after="60" w:line="276" w:lineRule="auto"/>
      <w:jc w:val="both"/>
      <w:outlineLvl w:val="7"/>
    </w:pPr>
    <w:rPr>
      <w:rFonts w:ascii="Calibri" w:eastAsia="Calibri" w:hAnsi="Calibri"/>
      <w:i/>
      <w:iCs/>
      <w:szCs w:val="22"/>
    </w:rPr>
  </w:style>
  <w:style w:type="paragraph" w:styleId="Heading9">
    <w:name w:val="heading 9"/>
    <w:basedOn w:val="Normal"/>
    <w:next w:val="Normal"/>
    <w:link w:val="Heading9Char"/>
    <w:unhideWhenUsed/>
    <w:qFormat/>
    <w:rsid w:val="00B925DB"/>
    <w:pPr>
      <w:numPr>
        <w:ilvl w:val="8"/>
        <w:numId w:val="2"/>
      </w:numPr>
      <w:spacing w:before="240" w:after="60" w:line="276" w:lineRule="auto"/>
      <w:jc w:val="both"/>
      <w:outlineLvl w:val="8"/>
    </w:pPr>
    <w:rPr>
      <w:rFonts w:ascii="Cambria" w:eastAsia="Calibri"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PBLH,Numbered List Paragraph,LIST OF TABLES.,List Paragraph1,Heading3,Bullets,List Paragraph (numbered (a)),MCHIP_list paragraph,Recommendation,Bullet List,FooterText,List numbered,References,123 List Paragraph,Celula"/>
    <w:basedOn w:val="Normal"/>
    <w:link w:val="ListParagraphChar"/>
    <w:uiPriority w:val="34"/>
    <w:qFormat/>
    <w:rsid w:val="00B925DB"/>
    <w:pPr>
      <w:spacing w:after="200" w:line="276" w:lineRule="auto"/>
      <w:ind w:left="720"/>
      <w:jc w:val="both"/>
    </w:pPr>
    <w:rPr>
      <w:rFonts w:ascii="Calibri" w:eastAsia="Calibri" w:hAnsi="Calibri"/>
      <w:sz w:val="22"/>
      <w:szCs w:val="22"/>
    </w:rPr>
  </w:style>
  <w:style w:type="character" w:customStyle="1" w:styleId="Heading2Char">
    <w:name w:val="Heading 2 Char"/>
    <w:basedOn w:val="DefaultParagraphFont"/>
    <w:link w:val="Heading2"/>
    <w:uiPriority w:val="9"/>
    <w:rsid w:val="00C044D4"/>
    <w:rPr>
      <w:rFonts w:eastAsia="Calibri"/>
      <w:b/>
      <w:bCs/>
      <w:iCs/>
      <w:sz w:val="24"/>
      <w:szCs w:val="24"/>
      <w:lang w:val="en-GB"/>
    </w:rPr>
  </w:style>
  <w:style w:type="character" w:styleId="Hyperlink">
    <w:name w:val="Hyperlink"/>
    <w:basedOn w:val="DefaultParagraphFont"/>
    <w:uiPriority w:val="99"/>
    <w:rsid w:val="00B925DB"/>
    <w:rPr>
      <w:color w:val="0000FF"/>
      <w:u w:val="single"/>
    </w:rPr>
  </w:style>
  <w:style w:type="paragraph" w:styleId="NormalWeb">
    <w:name w:val="Normal (Web)"/>
    <w:basedOn w:val="Normal"/>
    <w:uiPriority w:val="99"/>
    <w:rsid w:val="00B925DB"/>
    <w:pPr>
      <w:spacing w:before="100" w:beforeAutospacing="1" w:after="100" w:afterAutospacing="1" w:line="276" w:lineRule="auto"/>
      <w:jc w:val="both"/>
    </w:pPr>
    <w:rPr>
      <w:rFonts w:eastAsia="Calibri"/>
      <w:szCs w:val="22"/>
      <w:lang w:eastAsia="en-GB"/>
    </w:rPr>
  </w:style>
  <w:style w:type="character" w:styleId="HTMLAcronym">
    <w:name w:val="HTML Acronym"/>
    <w:basedOn w:val="DefaultParagraphFont"/>
    <w:uiPriority w:val="99"/>
    <w:semiHidden/>
    <w:unhideWhenUsed/>
    <w:rsid w:val="00B925DB"/>
  </w:style>
  <w:style w:type="paragraph" w:styleId="FootnoteText">
    <w:name w:val="footnote text"/>
    <w:aliases w:val="ft,single space,FOOTNOTES,fn,footnote text,f,Footnote Text Char1,Footnote Text Char2 Char,Footnote Text Char1 Char Char,Footnote Text Char2 Char Char Char,Footnote Text Char1 Char Char Char Char,Footnote Text Char1 Char,ADB"/>
    <w:basedOn w:val="Normal"/>
    <w:link w:val="FootnoteTextChar"/>
    <w:uiPriority w:val="99"/>
    <w:rsid w:val="00B925DB"/>
    <w:pPr>
      <w:spacing w:after="200" w:line="276" w:lineRule="auto"/>
      <w:jc w:val="both"/>
    </w:pPr>
    <w:rPr>
      <w:rFonts w:eastAsia="Calibri"/>
      <w:sz w:val="20"/>
      <w:szCs w:val="20"/>
    </w:rPr>
  </w:style>
  <w:style w:type="character" w:customStyle="1" w:styleId="FootnoteTextChar">
    <w:name w:val="Footnote Text Char"/>
    <w:aliases w:val="ft Char,single space Char,FOOTNOTES Char,fn Char,footnote text Char,f Char,Footnote Text Char1 Char1,Footnote Text Char2 Char Char,Footnote Text Char1 Char Char Char,Footnote Text Char2 Char Char Char Char,ADB Char"/>
    <w:basedOn w:val="DefaultParagraphFont"/>
    <w:link w:val="FootnoteText"/>
    <w:uiPriority w:val="99"/>
    <w:rsid w:val="00B925DB"/>
    <w:rPr>
      <w:rFonts w:eastAsia="Calibri" w:cs="Times New Roman"/>
      <w:lang w:eastAsia="en-US"/>
    </w:rPr>
  </w:style>
  <w:style w:type="character" w:styleId="FootnoteReference">
    <w:name w:val="footnote reference"/>
    <w:aliases w:val="ftref,16 Point,Superscript 6 Point,BVI fnr,Footnote,Знак сноски 1,Normal + Font:9 Point,Superscript 3 Point Times, BVI fnr"/>
    <w:basedOn w:val="DefaultParagraphFont"/>
    <w:uiPriority w:val="99"/>
    <w:rsid w:val="00B925DB"/>
    <w:rPr>
      <w:vertAlign w:val="superscript"/>
    </w:rPr>
  </w:style>
  <w:style w:type="character" w:styleId="Strong">
    <w:name w:val="Strong"/>
    <w:basedOn w:val="DefaultParagraphFont"/>
    <w:uiPriority w:val="22"/>
    <w:qFormat/>
    <w:rsid w:val="00B925DB"/>
    <w:rPr>
      <w:b/>
      <w:bCs/>
    </w:rPr>
  </w:style>
  <w:style w:type="paragraph" w:styleId="Header">
    <w:name w:val="header"/>
    <w:basedOn w:val="Normal"/>
    <w:link w:val="HeaderChar"/>
    <w:uiPriority w:val="99"/>
    <w:rsid w:val="00B925DB"/>
    <w:pPr>
      <w:tabs>
        <w:tab w:val="center" w:pos="4320"/>
        <w:tab w:val="right" w:pos="8640"/>
      </w:tabs>
      <w:spacing w:after="200" w:line="276" w:lineRule="auto"/>
      <w:jc w:val="both"/>
    </w:pPr>
    <w:rPr>
      <w:rFonts w:ascii="Calibri" w:eastAsia="Calibri" w:hAnsi="Calibri"/>
      <w:sz w:val="22"/>
      <w:szCs w:val="22"/>
    </w:rPr>
  </w:style>
  <w:style w:type="character" w:customStyle="1" w:styleId="HeaderChar">
    <w:name w:val="Header Char"/>
    <w:basedOn w:val="DefaultParagraphFont"/>
    <w:link w:val="Header"/>
    <w:uiPriority w:val="99"/>
    <w:rsid w:val="00B925DB"/>
    <w:rPr>
      <w:rFonts w:ascii="Calibri" w:eastAsia="Calibri" w:hAnsi="Calibri" w:cs="Times New Roman"/>
      <w:sz w:val="22"/>
      <w:szCs w:val="22"/>
      <w:lang w:eastAsia="en-US"/>
    </w:rPr>
  </w:style>
  <w:style w:type="paragraph" w:styleId="Footer">
    <w:name w:val="footer"/>
    <w:aliases w:val="Char Char, Char Char"/>
    <w:basedOn w:val="Normal"/>
    <w:link w:val="FooterChar"/>
    <w:uiPriority w:val="99"/>
    <w:rsid w:val="00B925DB"/>
    <w:pPr>
      <w:tabs>
        <w:tab w:val="center" w:pos="4320"/>
        <w:tab w:val="right" w:pos="8640"/>
      </w:tabs>
      <w:spacing w:after="200" w:line="276" w:lineRule="auto"/>
      <w:jc w:val="both"/>
    </w:pPr>
    <w:rPr>
      <w:rFonts w:ascii="Calibri" w:eastAsia="Calibri" w:hAnsi="Calibri"/>
      <w:sz w:val="22"/>
      <w:szCs w:val="22"/>
    </w:rPr>
  </w:style>
  <w:style w:type="character" w:customStyle="1" w:styleId="FooterChar">
    <w:name w:val="Footer Char"/>
    <w:aliases w:val="Char Char Char, Char Char Char"/>
    <w:basedOn w:val="DefaultParagraphFont"/>
    <w:link w:val="Footer"/>
    <w:uiPriority w:val="99"/>
    <w:rsid w:val="00B925DB"/>
    <w:rPr>
      <w:rFonts w:ascii="Calibri" w:eastAsia="Calibri" w:hAnsi="Calibri" w:cs="Times New Roman"/>
      <w:sz w:val="22"/>
      <w:szCs w:val="22"/>
      <w:lang w:eastAsia="en-US"/>
    </w:rPr>
  </w:style>
  <w:style w:type="table" w:styleId="TableGrid">
    <w:name w:val="Table Grid"/>
    <w:basedOn w:val="TableNormal"/>
    <w:uiPriority w:val="59"/>
    <w:rsid w:val="00B925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B925D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925D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11">
    <w:name w:val="Light List - Accent 11"/>
    <w:basedOn w:val="TableNormal"/>
    <w:uiPriority w:val="61"/>
    <w:rsid w:val="00B925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B925DB"/>
    <w:rPr>
      <w:sz w:val="16"/>
      <w:szCs w:val="16"/>
    </w:rPr>
  </w:style>
  <w:style w:type="paragraph" w:styleId="CommentText">
    <w:name w:val="annotation text"/>
    <w:basedOn w:val="Normal"/>
    <w:link w:val="CommentTextChar"/>
    <w:uiPriority w:val="99"/>
    <w:unhideWhenUsed/>
    <w:rsid w:val="00B925DB"/>
    <w:pPr>
      <w:spacing w:after="200" w:line="276" w:lineRule="auto"/>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B925DB"/>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semiHidden/>
    <w:unhideWhenUsed/>
    <w:rsid w:val="00B925DB"/>
    <w:rPr>
      <w:b/>
      <w:bCs/>
    </w:rPr>
  </w:style>
  <w:style w:type="character" w:customStyle="1" w:styleId="CommentSubjectChar">
    <w:name w:val="Comment Subject Char"/>
    <w:basedOn w:val="CommentTextChar"/>
    <w:link w:val="CommentSubject"/>
    <w:uiPriority w:val="99"/>
    <w:semiHidden/>
    <w:rsid w:val="00B925DB"/>
    <w:rPr>
      <w:rFonts w:ascii="Calibri" w:eastAsia="Calibri" w:hAnsi="Calibri" w:cs="Times New Roman"/>
      <w:b/>
      <w:bCs/>
      <w:lang w:eastAsia="en-US"/>
    </w:rPr>
  </w:style>
  <w:style w:type="paragraph" w:styleId="BalloonText">
    <w:name w:val="Balloon Text"/>
    <w:basedOn w:val="Normal"/>
    <w:link w:val="BalloonTextChar"/>
    <w:uiPriority w:val="99"/>
    <w:rsid w:val="00B925DB"/>
    <w:pPr>
      <w:spacing w:after="200" w:line="276"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B925DB"/>
    <w:rPr>
      <w:rFonts w:ascii="Tahoma" w:eastAsia="Calibri" w:hAnsi="Tahoma" w:cs="Tahoma"/>
      <w:sz w:val="16"/>
      <w:szCs w:val="16"/>
      <w:lang w:eastAsia="en-US"/>
    </w:rPr>
  </w:style>
  <w:style w:type="character" w:customStyle="1" w:styleId="Heading1Char">
    <w:name w:val="Heading 1 Char"/>
    <w:basedOn w:val="DefaultParagraphFont"/>
    <w:link w:val="Heading1"/>
    <w:uiPriority w:val="9"/>
    <w:rsid w:val="00582844"/>
    <w:rPr>
      <w:rFonts w:eastAsia="Calibri"/>
      <w:b/>
      <w:bCs/>
      <w:color w:val="000000" w:themeColor="text1"/>
      <w:kern w:val="32"/>
      <w:sz w:val="28"/>
      <w:szCs w:val="24"/>
      <w:lang w:val="en-GB"/>
    </w:rPr>
  </w:style>
  <w:style w:type="character" w:styleId="Emphasis">
    <w:name w:val="Emphasis"/>
    <w:basedOn w:val="DefaultParagraphFont"/>
    <w:uiPriority w:val="20"/>
    <w:qFormat/>
    <w:rsid w:val="00B925DB"/>
    <w:rPr>
      <w:rFonts w:ascii="Arial" w:hAnsi="Arial" w:cs="Arial" w:hint="default"/>
      <w:i/>
      <w:iCs/>
      <w:sz w:val="24"/>
      <w:szCs w:val="24"/>
    </w:rPr>
  </w:style>
  <w:style w:type="paragraph" w:customStyle="1" w:styleId="Deltadoctitle">
    <w:name w:val="Delta doc title"/>
    <w:basedOn w:val="DeltaSeched1"/>
    <w:rsid w:val="00B925DB"/>
    <w:pPr>
      <w:numPr>
        <w:numId w:val="3"/>
      </w:numPr>
      <w:jc w:val="center"/>
      <w:outlineLvl w:val="9"/>
    </w:pPr>
    <w:rPr>
      <w:sz w:val="32"/>
      <w:szCs w:val="32"/>
    </w:rPr>
  </w:style>
  <w:style w:type="paragraph" w:customStyle="1" w:styleId="DeltaSeched1">
    <w:name w:val="Delta Sec hed 1"/>
    <w:basedOn w:val="Heading1"/>
    <w:next w:val="DeltaBodytext"/>
    <w:rsid w:val="00B925DB"/>
    <w:pPr>
      <w:pageBreakBefore/>
      <w:numPr>
        <w:numId w:val="4"/>
      </w:numPr>
      <w:spacing w:before="180" w:after="180"/>
    </w:pPr>
    <w:rPr>
      <w:bCs w:val="0"/>
      <w:szCs w:val="28"/>
    </w:rPr>
  </w:style>
  <w:style w:type="character" w:styleId="PageNumber">
    <w:name w:val="page number"/>
    <w:basedOn w:val="DefaultParagraphFont"/>
    <w:rsid w:val="00B925DB"/>
  </w:style>
  <w:style w:type="paragraph" w:styleId="TOC1">
    <w:name w:val="toc 1"/>
    <w:basedOn w:val="Normal"/>
    <w:next w:val="Normal"/>
    <w:autoRedefine/>
    <w:uiPriority w:val="39"/>
    <w:qFormat/>
    <w:rsid w:val="00B925DB"/>
    <w:pPr>
      <w:spacing w:before="120" w:after="120"/>
    </w:pPr>
    <w:rPr>
      <w:rFonts w:asciiTheme="minorHAnsi" w:hAnsiTheme="minorHAnsi" w:cstheme="minorHAnsi"/>
      <w:b/>
      <w:bCs/>
      <w:caps/>
      <w:sz w:val="20"/>
      <w:szCs w:val="20"/>
    </w:rPr>
  </w:style>
  <w:style w:type="paragraph" w:customStyle="1" w:styleId="Single">
    <w:name w:val="Single"/>
    <w:basedOn w:val="Normal"/>
    <w:rsid w:val="00B925DB"/>
    <w:pPr>
      <w:spacing w:after="130" w:line="276" w:lineRule="auto"/>
      <w:jc w:val="right"/>
    </w:pPr>
    <w:rPr>
      <w:rFonts w:eastAsia="Calibri"/>
      <w:sz w:val="22"/>
      <w:szCs w:val="20"/>
      <w:u w:val="single"/>
    </w:rPr>
  </w:style>
  <w:style w:type="paragraph" w:customStyle="1" w:styleId="CoverTitle">
    <w:name w:val="Cover Title"/>
    <w:basedOn w:val="Single"/>
    <w:rsid w:val="00B925DB"/>
    <w:pPr>
      <w:spacing w:after="0" w:line="440" w:lineRule="exact"/>
      <w:jc w:val="center"/>
    </w:pPr>
    <w:rPr>
      <w:rFonts w:ascii="Calibri" w:hAnsi="Calibri"/>
      <w:color w:val="0C419A"/>
      <w:sz w:val="36"/>
      <w:u w:val="none"/>
      <w:lang w:val="en-US"/>
    </w:rPr>
  </w:style>
  <w:style w:type="paragraph" w:customStyle="1" w:styleId="CoverSubTitle">
    <w:name w:val="Cover SubTitle"/>
    <w:basedOn w:val="Single"/>
    <w:rsid w:val="00B925DB"/>
    <w:pPr>
      <w:spacing w:after="0" w:line="440" w:lineRule="exact"/>
      <w:jc w:val="center"/>
    </w:pPr>
    <w:rPr>
      <w:sz w:val="32"/>
      <w:u w:val="none"/>
      <w:lang w:val="en-US"/>
    </w:rPr>
  </w:style>
  <w:style w:type="paragraph" w:customStyle="1" w:styleId="DeltaCoverDate">
    <w:name w:val="Delta Cover Date"/>
    <w:basedOn w:val="Single"/>
    <w:rsid w:val="00B925DB"/>
    <w:pPr>
      <w:spacing w:after="0" w:line="440" w:lineRule="exact"/>
      <w:jc w:val="center"/>
    </w:pPr>
    <w:rPr>
      <w:sz w:val="32"/>
      <w:u w:val="none"/>
      <w:lang w:val="en-US"/>
    </w:rPr>
  </w:style>
  <w:style w:type="paragraph" w:customStyle="1" w:styleId="CoverBranding">
    <w:name w:val="Cover Branding"/>
    <w:basedOn w:val="Normal"/>
    <w:rsid w:val="00B925DB"/>
    <w:pPr>
      <w:spacing w:after="220" w:line="276" w:lineRule="auto"/>
      <w:jc w:val="center"/>
    </w:pPr>
    <w:rPr>
      <w:rFonts w:eastAsia="Calibri"/>
      <w:sz w:val="22"/>
      <w:szCs w:val="20"/>
    </w:rPr>
  </w:style>
  <w:style w:type="paragraph" w:styleId="TOC2">
    <w:name w:val="toc 2"/>
    <w:basedOn w:val="Normal"/>
    <w:next w:val="Normal"/>
    <w:autoRedefine/>
    <w:uiPriority w:val="39"/>
    <w:qFormat/>
    <w:rsid w:val="00B925DB"/>
    <w:pPr>
      <w:ind w:left="240"/>
    </w:pPr>
    <w:rPr>
      <w:rFonts w:asciiTheme="minorHAnsi" w:hAnsiTheme="minorHAnsi" w:cstheme="minorHAnsi"/>
      <w:smallCaps/>
      <w:sz w:val="20"/>
      <w:szCs w:val="20"/>
    </w:rPr>
  </w:style>
  <w:style w:type="paragraph" w:customStyle="1" w:styleId="DeltaBodytext">
    <w:name w:val="Delta Body text"/>
    <w:basedOn w:val="Normal"/>
    <w:qFormat/>
    <w:rsid w:val="00B925DB"/>
    <w:pPr>
      <w:spacing w:after="240" w:line="276" w:lineRule="auto"/>
      <w:jc w:val="both"/>
    </w:pPr>
    <w:rPr>
      <w:rFonts w:ascii="Calibri" w:eastAsia="Calibri" w:hAnsi="Calibri"/>
      <w:sz w:val="22"/>
      <w:szCs w:val="22"/>
    </w:rPr>
  </w:style>
  <w:style w:type="paragraph" w:customStyle="1" w:styleId="DeltaBullet">
    <w:name w:val="Delta Bullet"/>
    <w:basedOn w:val="Normal"/>
    <w:qFormat/>
    <w:rsid w:val="00B925DB"/>
    <w:pPr>
      <w:numPr>
        <w:numId w:val="1"/>
      </w:numPr>
      <w:spacing w:after="120" w:line="276" w:lineRule="auto"/>
      <w:ind w:left="357" w:hanging="357"/>
      <w:jc w:val="both"/>
    </w:pPr>
    <w:rPr>
      <w:rFonts w:ascii="Calibri" w:eastAsia="Calibri" w:hAnsi="Calibri"/>
      <w:sz w:val="22"/>
      <w:szCs w:val="22"/>
    </w:rPr>
  </w:style>
  <w:style w:type="character" w:customStyle="1" w:styleId="Heading3Char">
    <w:name w:val="Heading 3 Char"/>
    <w:basedOn w:val="DefaultParagraphFont"/>
    <w:link w:val="Heading3"/>
    <w:rsid w:val="00210FFF"/>
    <w:rPr>
      <w:rFonts w:ascii="Calibri" w:eastAsia="Calibri" w:hAnsi="Calibri"/>
      <w:b/>
      <w:bCs/>
      <w:color w:val="0070C0"/>
      <w:sz w:val="22"/>
      <w:szCs w:val="26"/>
      <w:lang w:val="en-GB"/>
    </w:rPr>
  </w:style>
  <w:style w:type="character" w:customStyle="1" w:styleId="Heading4Char">
    <w:name w:val="Heading 4 Char"/>
    <w:basedOn w:val="DefaultParagraphFont"/>
    <w:link w:val="Heading4"/>
    <w:rsid w:val="00F868D8"/>
    <w:rPr>
      <w:rFonts w:ascii="Calibri" w:eastAsia="Calibri" w:hAnsi="Calibri"/>
      <w:b/>
      <w:bCs/>
      <w:color w:val="0070C0"/>
      <w:sz w:val="28"/>
      <w:szCs w:val="28"/>
      <w:lang w:val="en-GB"/>
    </w:rPr>
  </w:style>
  <w:style w:type="character" w:customStyle="1" w:styleId="Heading5Char">
    <w:name w:val="Heading 5 Char"/>
    <w:basedOn w:val="DefaultParagraphFont"/>
    <w:link w:val="Heading5"/>
    <w:rsid w:val="00B925DB"/>
    <w:rPr>
      <w:rFonts w:ascii="Calibri" w:eastAsia="Calibri" w:hAnsi="Calibri"/>
      <w:b/>
      <w:bCs/>
      <w:i/>
      <w:iCs/>
      <w:sz w:val="26"/>
      <w:szCs w:val="26"/>
      <w:lang w:val="en-GB"/>
    </w:rPr>
  </w:style>
  <w:style w:type="character" w:customStyle="1" w:styleId="Heading6Char">
    <w:name w:val="Heading 6 Char"/>
    <w:basedOn w:val="DefaultParagraphFont"/>
    <w:link w:val="Heading6"/>
    <w:rsid w:val="00B925DB"/>
    <w:rPr>
      <w:rFonts w:ascii="Calibri" w:eastAsia="Calibri" w:hAnsi="Calibri"/>
      <w:b/>
      <w:bCs/>
      <w:sz w:val="22"/>
      <w:szCs w:val="22"/>
      <w:lang w:val="en-GB"/>
    </w:rPr>
  </w:style>
  <w:style w:type="character" w:customStyle="1" w:styleId="Heading7Char">
    <w:name w:val="Heading 7 Char"/>
    <w:basedOn w:val="DefaultParagraphFont"/>
    <w:link w:val="Heading7"/>
    <w:rsid w:val="00B925DB"/>
    <w:rPr>
      <w:rFonts w:ascii="Calibri" w:eastAsia="Calibri" w:hAnsi="Calibri"/>
      <w:sz w:val="24"/>
      <w:szCs w:val="22"/>
      <w:lang w:val="en-GB"/>
    </w:rPr>
  </w:style>
  <w:style w:type="character" w:customStyle="1" w:styleId="Heading8Char">
    <w:name w:val="Heading 8 Char"/>
    <w:basedOn w:val="DefaultParagraphFont"/>
    <w:link w:val="Heading8"/>
    <w:rsid w:val="00B925DB"/>
    <w:rPr>
      <w:rFonts w:ascii="Calibri" w:eastAsia="Calibri" w:hAnsi="Calibri"/>
      <w:i/>
      <w:iCs/>
      <w:sz w:val="24"/>
      <w:szCs w:val="22"/>
      <w:lang w:val="en-GB"/>
    </w:rPr>
  </w:style>
  <w:style w:type="character" w:customStyle="1" w:styleId="Heading9Char">
    <w:name w:val="Heading 9 Char"/>
    <w:basedOn w:val="DefaultParagraphFont"/>
    <w:link w:val="Heading9"/>
    <w:rsid w:val="00B925DB"/>
    <w:rPr>
      <w:rFonts w:ascii="Cambria" w:eastAsia="Calibri" w:hAnsi="Cambria"/>
      <w:sz w:val="22"/>
      <w:szCs w:val="22"/>
      <w:lang w:val="en-GB"/>
    </w:rPr>
  </w:style>
  <w:style w:type="paragraph" w:customStyle="1" w:styleId="DeltaSeched2">
    <w:name w:val="Delta Sec hed 2"/>
    <w:basedOn w:val="Heading2"/>
    <w:next w:val="DeltaBodytext"/>
    <w:autoRedefine/>
    <w:qFormat/>
    <w:rsid w:val="00C11847"/>
    <w:pPr>
      <w:numPr>
        <w:ilvl w:val="1"/>
        <w:numId w:val="22"/>
      </w:numPr>
      <w:spacing w:line="360" w:lineRule="auto"/>
      <w:ind w:left="709" w:hanging="709"/>
    </w:pPr>
  </w:style>
  <w:style w:type="paragraph" w:styleId="TOCHeading">
    <w:name w:val="TOC Heading"/>
    <w:basedOn w:val="Heading1"/>
    <w:next w:val="Normal"/>
    <w:uiPriority w:val="39"/>
    <w:unhideWhenUsed/>
    <w:qFormat/>
    <w:rsid w:val="00B925DB"/>
    <w:pPr>
      <w:keepLines/>
      <w:spacing w:before="480" w:after="0"/>
      <w:outlineLvl w:val="9"/>
    </w:pPr>
    <w:rPr>
      <w:rFonts w:ascii="Cambria" w:hAnsi="Cambria"/>
      <w:color w:val="365F91"/>
      <w:kern w:val="0"/>
      <w:szCs w:val="28"/>
      <w:lang w:val="en-US"/>
    </w:rPr>
  </w:style>
  <w:style w:type="paragraph" w:customStyle="1" w:styleId="DeltaCoverTitle">
    <w:name w:val="Delta Cover Title"/>
    <w:basedOn w:val="CoverTitle"/>
    <w:qFormat/>
    <w:rsid w:val="00B925DB"/>
    <w:pPr>
      <w:spacing w:before="120" w:line="240" w:lineRule="auto"/>
      <w:jc w:val="left"/>
    </w:pPr>
    <w:rPr>
      <w:rFonts w:cs="Arial"/>
      <w:sz w:val="56"/>
      <w:szCs w:val="56"/>
      <w:lang w:val="en-GB"/>
    </w:rPr>
  </w:style>
  <w:style w:type="paragraph" w:customStyle="1" w:styleId="DeltaSeched3">
    <w:name w:val="Delta Sec hed 3"/>
    <w:basedOn w:val="Heading3"/>
    <w:next w:val="DeltaBodytext"/>
    <w:qFormat/>
    <w:rsid w:val="00B925DB"/>
    <w:pPr>
      <w:spacing w:before="180" w:after="180"/>
      <w:ind w:left="432" w:hanging="432"/>
    </w:pPr>
    <w:rPr>
      <w:rFonts w:cs="Calibri"/>
      <w:color w:val="000000"/>
      <w:szCs w:val="22"/>
    </w:rPr>
  </w:style>
  <w:style w:type="paragraph" w:styleId="TOC3">
    <w:name w:val="toc 3"/>
    <w:basedOn w:val="Normal"/>
    <w:next w:val="Normal"/>
    <w:autoRedefine/>
    <w:uiPriority w:val="39"/>
    <w:unhideWhenUsed/>
    <w:qFormat/>
    <w:rsid w:val="00B925DB"/>
    <w:pPr>
      <w:ind w:left="480"/>
    </w:pPr>
    <w:rPr>
      <w:rFonts w:asciiTheme="minorHAnsi" w:hAnsiTheme="minorHAnsi" w:cstheme="minorHAnsi"/>
      <w:i/>
      <w:iCs/>
      <w:sz w:val="20"/>
      <w:szCs w:val="20"/>
    </w:rPr>
  </w:style>
  <w:style w:type="paragraph" w:customStyle="1" w:styleId="DeltaBoldHeading">
    <w:name w:val="Delta Bold Heading"/>
    <w:basedOn w:val="DeltaBodytext"/>
    <w:next w:val="DeltaBodytext"/>
    <w:link w:val="DeltaBoldHeadingChar"/>
    <w:qFormat/>
    <w:rsid w:val="00B925DB"/>
    <w:pPr>
      <w:keepNext/>
    </w:pPr>
    <w:rPr>
      <w:b/>
      <w:sz w:val="24"/>
    </w:rPr>
  </w:style>
  <w:style w:type="character" w:customStyle="1" w:styleId="DeltaBoldHeadingChar">
    <w:name w:val="Delta Bold Heading Char"/>
    <w:basedOn w:val="DefaultParagraphFont"/>
    <w:link w:val="DeltaBoldHeading"/>
    <w:rsid w:val="00B925DB"/>
    <w:rPr>
      <w:rFonts w:ascii="Calibri" w:eastAsia="Calibri" w:hAnsi="Calibri" w:cs="Times New Roman"/>
      <w:b/>
      <w:sz w:val="24"/>
      <w:szCs w:val="22"/>
      <w:lang w:eastAsia="en-US"/>
    </w:rPr>
  </w:style>
  <w:style w:type="paragraph" w:customStyle="1" w:styleId="DeltaBoldHeading11">
    <w:name w:val="Delta Bold Heading 11"/>
    <w:basedOn w:val="Normal"/>
    <w:next w:val="DeltaBodytext"/>
    <w:qFormat/>
    <w:rsid w:val="00B925DB"/>
    <w:pPr>
      <w:keepNext/>
      <w:spacing w:after="240" w:line="276" w:lineRule="auto"/>
      <w:jc w:val="both"/>
    </w:pPr>
    <w:rPr>
      <w:rFonts w:ascii="Calibri" w:eastAsia="Calibri" w:hAnsi="Calibri"/>
      <w:b/>
      <w:sz w:val="22"/>
      <w:szCs w:val="22"/>
    </w:rPr>
  </w:style>
  <w:style w:type="table" w:customStyle="1" w:styleId="DeltaTablestyle">
    <w:name w:val="Delta Table style"/>
    <w:basedOn w:val="TableNormal"/>
    <w:uiPriority w:val="61"/>
    <w:rsid w:val="00B925DB"/>
    <w:rPr>
      <w:rFonts w:ascii="Arial" w:hAnsi="Arial"/>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jc w:val="center"/>
    </w:trPr>
    <w:tblStylePr w:type="firstRow">
      <w:pPr>
        <w:keepNext/>
        <w:wordWrap/>
        <w:spacing w:line="240" w:lineRule="auto"/>
      </w:pPr>
      <w:rPr>
        <w:rFonts w:ascii="Arial" w:hAnsi="Arial"/>
        <w:b/>
        <w:bCs/>
        <w:color w:val="FFFFFF"/>
        <w:sz w:val="20"/>
      </w:rPr>
      <w:tblPr/>
      <w:trPr>
        <w:tblHeader/>
      </w:trPr>
      <w:tcPr>
        <w:shd w:val="clear" w:color="auto" w:fill="0C419A"/>
      </w:tcPr>
    </w:tblStylePr>
    <w:tblStylePr w:type="lastRow">
      <w:pPr>
        <w:spacing w:before="0" w:after="0" w:line="240" w:lineRule="auto"/>
      </w:pPr>
      <w:rPr>
        <w:rFonts w:ascii="Arial" w:hAnsi="Arial"/>
        <w:b/>
        <w:bCs/>
        <w:sz w:val="2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b w:val="0"/>
        <w:bCs/>
        <w:i w:val="0"/>
        <w:sz w:val="20"/>
      </w:rPr>
    </w:tblStylePr>
    <w:tblStylePr w:type="lastCol">
      <w:rPr>
        <w:rFonts w:ascii="Arial" w:hAnsi="Arial"/>
        <w:b/>
        <w:bCs/>
        <w:sz w:val="2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ltaTabletext">
    <w:name w:val="Delta Table text"/>
    <w:basedOn w:val="DeltaBodytext"/>
    <w:qFormat/>
    <w:rsid w:val="00B925DB"/>
    <w:pPr>
      <w:spacing w:after="120"/>
    </w:pPr>
    <w:rPr>
      <w:rFonts w:cs="Arial"/>
      <w:bCs/>
      <w:sz w:val="20"/>
    </w:rPr>
  </w:style>
  <w:style w:type="paragraph" w:customStyle="1" w:styleId="Head16ptcentre">
    <w:name w:val="Head 16pt centre"/>
    <w:basedOn w:val="Heading1"/>
    <w:qFormat/>
    <w:rsid w:val="00B925DB"/>
    <w:pPr>
      <w:jc w:val="center"/>
    </w:pPr>
  </w:style>
  <w:style w:type="paragraph" w:customStyle="1" w:styleId="AnnexHead16ptCentre">
    <w:name w:val="Annex Head 16pt Centre"/>
    <w:basedOn w:val="Heading1"/>
    <w:qFormat/>
    <w:rsid w:val="00B925DB"/>
    <w:pPr>
      <w:jc w:val="center"/>
    </w:pPr>
  </w:style>
  <w:style w:type="paragraph" w:customStyle="1" w:styleId="AnnexHead2-14ptleft">
    <w:name w:val="Annex Head 2 - 14pt left"/>
    <w:basedOn w:val="Heading2"/>
    <w:next w:val="Normal"/>
    <w:qFormat/>
    <w:rsid w:val="00B925DB"/>
    <w:rPr>
      <w:i/>
    </w:rPr>
  </w:style>
  <w:style w:type="paragraph" w:customStyle="1" w:styleId="AnnexHead1-16ptCentre">
    <w:name w:val="Annex Head 1 - 16pt Centre"/>
    <w:basedOn w:val="Heading1"/>
    <w:next w:val="Normal"/>
    <w:qFormat/>
    <w:rsid w:val="00B925DB"/>
    <w:pPr>
      <w:jc w:val="center"/>
    </w:pPr>
  </w:style>
  <w:style w:type="paragraph" w:customStyle="1" w:styleId="TOC1-Deltalandscape">
    <w:name w:val="TOC 1 - Delta landscape"/>
    <w:basedOn w:val="TOC1"/>
    <w:qFormat/>
    <w:rsid w:val="00B925DB"/>
    <w:rPr>
      <w:sz w:val="24"/>
    </w:rPr>
  </w:style>
  <w:style w:type="paragraph" w:customStyle="1" w:styleId="TOC2-Deltalandscape">
    <w:name w:val="TOC 2 - Delta landscape"/>
    <w:basedOn w:val="TOC2"/>
    <w:qFormat/>
    <w:rsid w:val="00B925DB"/>
  </w:style>
  <w:style w:type="paragraph" w:customStyle="1" w:styleId="DeltaCoverSubtitlebullet">
    <w:name w:val="Delta Cover Subtitle bullet"/>
    <w:basedOn w:val="DeltaBullet"/>
    <w:qFormat/>
    <w:rsid w:val="00B925DB"/>
    <w:rPr>
      <w:color w:val="0C419A"/>
      <w:sz w:val="36"/>
      <w:szCs w:val="36"/>
    </w:rPr>
  </w:style>
  <w:style w:type="paragraph" w:customStyle="1" w:styleId="DeltaBoxtext">
    <w:name w:val="Delta Box text"/>
    <w:basedOn w:val="DeltaBodytext"/>
    <w:qFormat/>
    <w:rsid w:val="00B925DB"/>
    <w:pPr>
      <w:pBdr>
        <w:top w:val="single" w:sz="4" w:space="10" w:color="000000"/>
        <w:left w:val="single" w:sz="4" w:space="10" w:color="000000"/>
        <w:bottom w:val="single" w:sz="4" w:space="10" w:color="000000"/>
        <w:right w:val="single" w:sz="4" w:space="10" w:color="000000"/>
      </w:pBdr>
      <w:shd w:val="clear" w:color="auto" w:fill="F1A42B"/>
      <w:spacing w:after="120"/>
      <w:ind w:left="709" w:right="851"/>
    </w:pPr>
    <w:rPr>
      <w:color w:val="000000"/>
      <w:sz w:val="20"/>
      <w:szCs w:val="20"/>
    </w:rPr>
  </w:style>
  <w:style w:type="paragraph" w:customStyle="1" w:styleId="DeltaBoxbullet">
    <w:name w:val="Delta Box bullet"/>
    <w:basedOn w:val="DeltaBoxtext"/>
    <w:qFormat/>
    <w:rsid w:val="00B925DB"/>
    <w:pPr>
      <w:numPr>
        <w:numId w:val="5"/>
      </w:numPr>
      <w:ind w:hanging="720"/>
    </w:pPr>
  </w:style>
  <w:style w:type="paragraph" w:customStyle="1" w:styleId="DeltaBoxtitle">
    <w:name w:val="Delta Box title"/>
    <w:basedOn w:val="DeltaBoxtext"/>
    <w:qFormat/>
    <w:rsid w:val="00B925DB"/>
    <w:pPr>
      <w:keepNext/>
    </w:pPr>
    <w:rPr>
      <w:b/>
    </w:rPr>
  </w:style>
  <w:style w:type="paragraph" w:customStyle="1" w:styleId="Deltatablebullet">
    <w:name w:val="Delta table bullet"/>
    <w:basedOn w:val="DeltaBullet"/>
    <w:qFormat/>
    <w:rsid w:val="00B925DB"/>
    <w:rPr>
      <w:sz w:val="20"/>
      <w:szCs w:val="20"/>
    </w:rPr>
  </w:style>
  <w:style w:type="paragraph" w:customStyle="1" w:styleId="Deltahed1">
    <w:name w:val="Delta hed 1"/>
    <w:basedOn w:val="Heading1"/>
    <w:next w:val="DeltaBodytext"/>
    <w:qFormat/>
    <w:rsid w:val="00B925DB"/>
    <w:pPr>
      <w:pageBreakBefore/>
      <w:spacing w:before="180" w:after="180"/>
    </w:pPr>
    <w:rPr>
      <w:szCs w:val="28"/>
    </w:rPr>
  </w:style>
  <w:style w:type="paragraph" w:customStyle="1" w:styleId="Deltahed2">
    <w:name w:val="Delta hed 2"/>
    <w:basedOn w:val="Heading2"/>
    <w:autoRedefine/>
    <w:qFormat/>
    <w:rsid w:val="00B925DB"/>
    <w:pPr>
      <w:spacing w:before="180" w:after="180"/>
    </w:pPr>
    <w:rPr>
      <w:i/>
    </w:rPr>
  </w:style>
  <w:style w:type="paragraph" w:customStyle="1" w:styleId="Deltahed3">
    <w:name w:val="Delta hed 3"/>
    <w:basedOn w:val="Heading3"/>
    <w:qFormat/>
    <w:rsid w:val="00B925DB"/>
    <w:pPr>
      <w:spacing w:before="180" w:after="180"/>
      <w:ind w:left="0" w:firstLine="0"/>
    </w:pPr>
    <w:rPr>
      <w:rFonts w:ascii="Arial" w:hAnsi="Arial"/>
      <w:sz w:val="24"/>
    </w:rPr>
  </w:style>
  <w:style w:type="numbering" w:customStyle="1" w:styleId="DeltaAnnexhednumbering">
    <w:name w:val="Delta Annex hed numbering"/>
    <w:uiPriority w:val="99"/>
    <w:rsid w:val="00B925DB"/>
    <w:pPr>
      <w:numPr>
        <w:numId w:val="6"/>
      </w:numPr>
    </w:pPr>
  </w:style>
  <w:style w:type="paragraph" w:customStyle="1" w:styleId="DeltaAnnexhed1">
    <w:name w:val="Delta Annex hed 1"/>
    <w:basedOn w:val="DeltaSeched1"/>
    <w:next w:val="DeltaBodytext"/>
    <w:qFormat/>
    <w:rsid w:val="00B925DB"/>
    <w:pPr>
      <w:numPr>
        <w:numId w:val="7"/>
      </w:numPr>
    </w:pPr>
  </w:style>
  <w:style w:type="table" w:customStyle="1" w:styleId="LightList-Accent12">
    <w:name w:val="Light List - Accent 12"/>
    <w:basedOn w:val="TableNormal"/>
    <w:uiPriority w:val="61"/>
    <w:rsid w:val="00B925D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tyle1">
    <w:name w:val="Style1"/>
    <w:basedOn w:val="Normal"/>
    <w:qFormat/>
    <w:rsid w:val="00B925DB"/>
    <w:pPr>
      <w:spacing w:after="200" w:line="276" w:lineRule="auto"/>
      <w:jc w:val="both"/>
    </w:pPr>
    <w:rPr>
      <w:rFonts w:ascii="Calibri" w:eastAsia="Calibri" w:hAnsi="Calibri"/>
      <w:sz w:val="22"/>
      <w:szCs w:val="22"/>
    </w:rPr>
  </w:style>
  <w:style w:type="paragraph" w:styleId="TOC9">
    <w:name w:val="toc 9"/>
    <w:basedOn w:val="Normal"/>
    <w:next w:val="Normal"/>
    <w:autoRedefine/>
    <w:unhideWhenUsed/>
    <w:rsid w:val="00B925DB"/>
    <w:pPr>
      <w:ind w:left="1920"/>
    </w:pPr>
    <w:rPr>
      <w:rFonts w:asciiTheme="minorHAnsi" w:hAnsiTheme="minorHAnsi" w:cstheme="minorHAnsi"/>
      <w:sz w:val="18"/>
      <w:szCs w:val="18"/>
    </w:rPr>
  </w:style>
  <w:style w:type="paragraph" w:styleId="TOC4">
    <w:name w:val="toc 4"/>
    <w:basedOn w:val="Normal"/>
    <w:next w:val="Normal"/>
    <w:autoRedefine/>
    <w:unhideWhenUsed/>
    <w:rsid w:val="00B925DB"/>
    <w:pPr>
      <w:ind w:left="720"/>
    </w:pPr>
    <w:rPr>
      <w:rFonts w:asciiTheme="minorHAnsi" w:hAnsiTheme="minorHAnsi" w:cstheme="minorHAnsi"/>
      <w:sz w:val="18"/>
      <w:szCs w:val="18"/>
    </w:rPr>
  </w:style>
  <w:style w:type="paragraph" w:styleId="TOC5">
    <w:name w:val="toc 5"/>
    <w:basedOn w:val="Normal"/>
    <w:next w:val="Normal"/>
    <w:autoRedefine/>
    <w:unhideWhenUsed/>
    <w:qFormat/>
    <w:rsid w:val="00B925DB"/>
    <w:pPr>
      <w:ind w:left="960"/>
    </w:pPr>
    <w:rPr>
      <w:rFonts w:asciiTheme="minorHAnsi" w:hAnsiTheme="minorHAnsi" w:cstheme="minorHAnsi"/>
      <w:sz w:val="18"/>
      <w:szCs w:val="18"/>
    </w:rPr>
  </w:style>
  <w:style w:type="paragraph" w:styleId="NoSpacing">
    <w:name w:val="No Spacing"/>
    <w:link w:val="NoSpacingChar"/>
    <w:qFormat/>
    <w:rsid w:val="00B925DB"/>
    <w:rPr>
      <w:rFonts w:ascii="Calibri" w:hAnsi="Calibri"/>
      <w:sz w:val="22"/>
      <w:szCs w:val="22"/>
      <w:lang w:eastAsia="ja-JP"/>
    </w:rPr>
  </w:style>
  <w:style w:type="character" w:customStyle="1" w:styleId="NoSpacingChar">
    <w:name w:val="No Spacing Char"/>
    <w:basedOn w:val="DefaultParagraphFont"/>
    <w:link w:val="NoSpacing"/>
    <w:uiPriority w:val="1"/>
    <w:rsid w:val="00B925DB"/>
    <w:rPr>
      <w:rFonts w:ascii="Calibri" w:hAnsi="Calibri"/>
      <w:sz w:val="22"/>
      <w:szCs w:val="22"/>
      <w:lang w:val="en-US" w:eastAsia="ja-JP" w:bidi="ar-SA"/>
    </w:rPr>
  </w:style>
  <w:style w:type="paragraph" w:styleId="Quote">
    <w:name w:val="Quote"/>
    <w:basedOn w:val="Normal"/>
    <w:next w:val="Normal"/>
    <w:link w:val="QuoteChar"/>
    <w:uiPriority w:val="29"/>
    <w:qFormat/>
    <w:rsid w:val="00B925DB"/>
    <w:pPr>
      <w:spacing w:after="200" w:line="276" w:lineRule="auto"/>
    </w:pPr>
    <w:rPr>
      <w:rFonts w:ascii="Calibri" w:hAnsi="Calibri"/>
      <w:i/>
      <w:iCs/>
      <w:color w:val="000000"/>
      <w:sz w:val="22"/>
      <w:szCs w:val="22"/>
      <w:lang w:val="en-US" w:eastAsia="ja-JP"/>
    </w:rPr>
  </w:style>
  <w:style w:type="character" w:customStyle="1" w:styleId="QuoteChar">
    <w:name w:val="Quote Char"/>
    <w:basedOn w:val="DefaultParagraphFont"/>
    <w:link w:val="Quote"/>
    <w:uiPriority w:val="29"/>
    <w:rsid w:val="00B925DB"/>
    <w:rPr>
      <w:rFonts w:ascii="Calibri" w:eastAsia="Times New Roman" w:hAnsi="Calibri" w:cs="Times New Roman"/>
      <w:i/>
      <w:iCs/>
      <w:color w:val="000000"/>
      <w:sz w:val="22"/>
      <w:szCs w:val="22"/>
      <w:lang w:val="en-US" w:eastAsia="ja-JP"/>
    </w:rPr>
  </w:style>
  <w:style w:type="table" w:styleId="MediumList2-Accent1">
    <w:name w:val="Medium List 2 Accent 1"/>
    <w:basedOn w:val="TableNormal"/>
    <w:uiPriority w:val="66"/>
    <w:rsid w:val="00B925DB"/>
    <w:rPr>
      <w:rFonts w:ascii="Cambria" w:hAnsi="Cambria"/>
      <w:color w:val="000000"/>
      <w:sz w:val="22"/>
      <w:szCs w:val="22"/>
      <w:lang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pple-converted-space">
    <w:name w:val="apple-converted-space"/>
    <w:basedOn w:val="DefaultParagraphFont"/>
    <w:rsid w:val="00A6570C"/>
  </w:style>
  <w:style w:type="paragraph" w:customStyle="1" w:styleId="Default">
    <w:name w:val="Default"/>
    <w:link w:val="DefaultChar"/>
    <w:rsid w:val="00D62353"/>
    <w:pPr>
      <w:autoSpaceDE w:val="0"/>
      <w:autoSpaceDN w:val="0"/>
      <w:adjustRightInd w:val="0"/>
    </w:pPr>
    <w:rPr>
      <w:rFonts w:ascii="Gill Sans MT" w:hAnsi="Gill Sans MT" w:cs="Gill Sans MT"/>
      <w:color w:val="000000"/>
      <w:sz w:val="24"/>
      <w:szCs w:val="24"/>
      <w:lang w:val="en-GB" w:eastAsia="en-GB"/>
    </w:rPr>
  </w:style>
  <w:style w:type="paragraph" w:customStyle="1" w:styleId="Pa3">
    <w:name w:val="Pa3"/>
    <w:basedOn w:val="Default"/>
    <w:next w:val="Default"/>
    <w:uiPriority w:val="99"/>
    <w:rsid w:val="00D62353"/>
    <w:pPr>
      <w:spacing w:line="221" w:lineRule="atLeast"/>
    </w:pPr>
    <w:rPr>
      <w:rFonts w:ascii="Zarina" w:hAnsi="Zarina" w:cs="Times New Roman"/>
      <w:color w:val="auto"/>
      <w:lang w:val="en-US" w:eastAsia="en-US"/>
    </w:rPr>
  </w:style>
  <w:style w:type="character" w:customStyle="1" w:styleId="DefaultChar">
    <w:name w:val="Default Char"/>
    <w:basedOn w:val="DefaultParagraphFont"/>
    <w:link w:val="Default"/>
    <w:locked/>
    <w:rsid w:val="00142718"/>
    <w:rPr>
      <w:rFonts w:ascii="Gill Sans MT" w:hAnsi="Gill Sans MT" w:cs="Gill Sans MT"/>
      <w:color w:val="000000"/>
      <w:sz w:val="24"/>
      <w:szCs w:val="24"/>
      <w:lang w:val="en-GB" w:eastAsia="en-GB"/>
    </w:rPr>
  </w:style>
  <w:style w:type="paragraph" w:customStyle="1" w:styleId="Descriptionoftasks">
    <w:name w:val="Description of tasks"/>
    <w:basedOn w:val="Normal"/>
    <w:rsid w:val="00745BDA"/>
    <w:pPr>
      <w:keepNext/>
      <w:numPr>
        <w:numId w:val="8"/>
      </w:numPr>
    </w:pPr>
    <w:rPr>
      <w:rFonts w:ascii="Arial" w:hAnsi="Arial" w:cs="Arial"/>
      <w:sz w:val="20"/>
      <w:lang w:eastAsia="fr-FR"/>
    </w:rPr>
  </w:style>
  <w:style w:type="character" w:customStyle="1" w:styleId="ListParagraphChar">
    <w:name w:val="List Paragraph Char"/>
    <w:aliases w:val="Paragraphe de liste PBLH Char,Numbered List Paragraph Char,LIST OF TABLES. Char,List Paragraph1 Char,Heading3 Char,Bullets Char,List Paragraph (numbered (a)) Char,MCHIP_list paragraph Char,Recommendation Char,Bullet List Char"/>
    <w:basedOn w:val="DefaultParagraphFont"/>
    <w:link w:val="ListParagraph"/>
    <w:uiPriority w:val="34"/>
    <w:locked/>
    <w:rsid w:val="00161AA3"/>
    <w:rPr>
      <w:rFonts w:ascii="Calibri" w:eastAsia="Calibri" w:hAnsi="Calibri"/>
      <w:sz w:val="22"/>
      <w:szCs w:val="22"/>
      <w:lang w:val="en-GB"/>
    </w:rPr>
  </w:style>
  <w:style w:type="paragraph" w:styleId="BodyText2">
    <w:name w:val="Body Text 2"/>
    <w:basedOn w:val="Normal"/>
    <w:link w:val="BodyText2Char"/>
    <w:unhideWhenUsed/>
    <w:rsid w:val="00161AA3"/>
    <w:pPr>
      <w:spacing w:after="120" w:line="480" w:lineRule="auto"/>
    </w:pPr>
    <w:rPr>
      <w:rFonts w:eastAsia="Calibri"/>
      <w:szCs w:val="22"/>
    </w:rPr>
  </w:style>
  <w:style w:type="character" w:customStyle="1" w:styleId="BodyText2Char">
    <w:name w:val="Body Text 2 Char"/>
    <w:basedOn w:val="DefaultParagraphFont"/>
    <w:link w:val="BodyText2"/>
    <w:uiPriority w:val="99"/>
    <w:rsid w:val="00161AA3"/>
    <w:rPr>
      <w:rFonts w:eastAsia="Calibri"/>
      <w:sz w:val="24"/>
      <w:szCs w:val="22"/>
      <w:lang w:val="en-GB"/>
    </w:rPr>
  </w:style>
  <w:style w:type="table" w:customStyle="1" w:styleId="LightGrid1">
    <w:name w:val="Light Grid1"/>
    <w:basedOn w:val="TableNormal"/>
    <w:uiPriority w:val="62"/>
    <w:rsid w:val="00E65AE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0925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2">
    <w:name w:val="Light List2"/>
    <w:basedOn w:val="TableNormal"/>
    <w:uiPriority w:val="61"/>
    <w:rsid w:val="004E13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2">
    <w:name w:val="Light Grid2"/>
    <w:basedOn w:val="TableNormal"/>
    <w:uiPriority w:val="62"/>
    <w:rsid w:val="003F28C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Indent">
    <w:name w:val="Body Text Indent"/>
    <w:basedOn w:val="Normal"/>
    <w:link w:val="BodyTextIndentChar"/>
    <w:rsid w:val="00941275"/>
    <w:pPr>
      <w:ind w:left="360"/>
    </w:pPr>
    <w:rPr>
      <w:rFonts w:ascii="Century Gothic" w:hAnsi="Century Gothic"/>
      <w:lang w:val="en-US"/>
    </w:rPr>
  </w:style>
  <w:style w:type="character" w:customStyle="1" w:styleId="BodyTextIndentChar">
    <w:name w:val="Body Text Indent Char"/>
    <w:basedOn w:val="DefaultParagraphFont"/>
    <w:link w:val="BodyTextIndent"/>
    <w:rsid w:val="00941275"/>
    <w:rPr>
      <w:rFonts w:ascii="Century Gothic" w:hAnsi="Century Gothic"/>
      <w:sz w:val="24"/>
      <w:szCs w:val="24"/>
    </w:rPr>
  </w:style>
  <w:style w:type="paragraph" w:styleId="BodyText">
    <w:name w:val="Body Text"/>
    <w:aliases w:val="Body,by"/>
    <w:basedOn w:val="Normal"/>
    <w:link w:val="BodyTextChar"/>
    <w:rsid w:val="00941275"/>
    <w:rPr>
      <w:rFonts w:ascii="Century Gothic" w:hAnsi="Century Gothic"/>
      <w:sz w:val="28"/>
      <w:szCs w:val="20"/>
      <w:lang w:val="en-US"/>
    </w:rPr>
  </w:style>
  <w:style w:type="character" w:customStyle="1" w:styleId="BodyTextChar">
    <w:name w:val="Body Text Char"/>
    <w:aliases w:val="Body Char,by Char"/>
    <w:basedOn w:val="DefaultParagraphFont"/>
    <w:link w:val="BodyText"/>
    <w:rsid w:val="00941275"/>
    <w:rPr>
      <w:rFonts w:ascii="Century Gothic" w:hAnsi="Century Gothic"/>
      <w:sz w:val="28"/>
    </w:rPr>
  </w:style>
  <w:style w:type="paragraph" w:styleId="BodyText3">
    <w:name w:val="Body Text 3"/>
    <w:basedOn w:val="Normal"/>
    <w:link w:val="BodyText3Char"/>
    <w:rsid w:val="00941275"/>
    <w:pPr>
      <w:spacing w:after="120"/>
    </w:pPr>
    <w:rPr>
      <w:rFonts w:ascii="Century Gothic" w:hAnsi="Century Gothic"/>
      <w:sz w:val="16"/>
      <w:szCs w:val="16"/>
      <w:lang w:val="en-US"/>
    </w:rPr>
  </w:style>
  <w:style w:type="character" w:customStyle="1" w:styleId="BodyText3Char">
    <w:name w:val="Body Text 3 Char"/>
    <w:basedOn w:val="DefaultParagraphFont"/>
    <w:link w:val="BodyText3"/>
    <w:rsid w:val="00941275"/>
    <w:rPr>
      <w:rFonts w:ascii="Century Gothic" w:hAnsi="Century Gothic"/>
      <w:sz w:val="16"/>
      <w:szCs w:val="16"/>
    </w:rPr>
  </w:style>
  <w:style w:type="paragraph" w:styleId="List">
    <w:name w:val="List"/>
    <w:basedOn w:val="BodyText"/>
    <w:rsid w:val="00941275"/>
    <w:pPr>
      <w:tabs>
        <w:tab w:val="left" w:pos="720"/>
      </w:tabs>
      <w:spacing w:after="80" w:line="240" w:lineRule="atLeast"/>
      <w:ind w:left="720" w:hanging="360"/>
    </w:pPr>
    <w:rPr>
      <w:rFonts w:ascii="Garamond" w:hAnsi="Garamond"/>
      <w:spacing w:val="-5"/>
      <w:sz w:val="24"/>
    </w:rPr>
  </w:style>
  <w:style w:type="paragraph" w:customStyle="1" w:styleId="ReturnAddress">
    <w:name w:val="Return Address"/>
    <w:basedOn w:val="Normal"/>
    <w:rsid w:val="00941275"/>
    <w:pPr>
      <w:keepLines/>
      <w:spacing w:line="160" w:lineRule="atLeast"/>
      <w:jc w:val="center"/>
    </w:pPr>
    <w:rPr>
      <w:rFonts w:ascii="Arial" w:hAnsi="Arial"/>
      <w:sz w:val="15"/>
      <w:szCs w:val="20"/>
      <w:lang w:val="en-US"/>
    </w:rPr>
  </w:style>
  <w:style w:type="paragraph" w:styleId="Title">
    <w:name w:val="Title"/>
    <w:basedOn w:val="Normal"/>
    <w:link w:val="TitleChar"/>
    <w:qFormat/>
    <w:rsid w:val="00941275"/>
    <w:pPr>
      <w:jc w:val="center"/>
    </w:pPr>
    <w:rPr>
      <w:rFonts w:ascii="Century Gothic" w:hAnsi="Century Gothic"/>
      <w:b/>
      <w:bCs/>
      <w:lang w:val="en-US"/>
    </w:rPr>
  </w:style>
  <w:style w:type="character" w:customStyle="1" w:styleId="TitleChar">
    <w:name w:val="Title Char"/>
    <w:basedOn w:val="DefaultParagraphFont"/>
    <w:link w:val="Title"/>
    <w:rsid w:val="00941275"/>
    <w:rPr>
      <w:rFonts w:ascii="Century Gothic" w:hAnsi="Century Gothic"/>
      <w:b/>
      <w:bCs/>
      <w:sz w:val="24"/>
      <w:szCs w:val="24"/>
    </w:rPr>
  </w:style>
  <w:style w:type="paragraph" w:styleId="TOC6">
    <w:name w:val="toc 6"/>
    <w:basedOn w:val="Normal"/>
    <w:next w:val="Normal"/>
    <w:autoRedefine/>
    <w:semiHidden/>
    <w:rsid w:val="00941275"/>
    <w:pPr>
      <w:ind w:left="1200"/>
    </w:pPr>
    <w:rPr>
      <w:rFonts w:asciiTheme="minorHAnsi" w:hAnsiTheme="minorHAnsi" w:cstheme="minorHAnsi"/>
      <w:sz w:val="18"/>
      <w:szCs w:val="18"/>
    </w:rPr>
  </w:style>
  <w:style w:type="paragraph" w:styleId="TOC7">
    <w:name w:val="toc 7"/>
    <w:basedOn w:val="Normal"/>
    <w:next w:val="Normal"/>
    <w:autoRedefine/>
    <w:semiHidden/>
    <w:rsid w:val="00941275"/>
    <w:pPr>
      <w:ind w:left="1440"/>
    </w:pPr>
    <w:rPr>
      <w:rFonts w:asciiTheme="minorHAnsi" w:hAnsiTheme="minorHAnsi" w:cstheme="minorHAnsi"/>
      <w:sz w:val="18"/>
      <w:szCs w:val="18"/>
    </w:rPr>
  </w:style>
  <w:style w:type="paragraph" w:styleId="TOC8">
    <w:name w:val="toc 8"/>
    <w:basedOn w:val="Normal"/>
    <w:next w:val="Normal"/>
    <w:autoRedefine/>
    <w:semiHidden/>
    <w:rsid w:val="00941275"/>
    <w:pPr>
      <w:ind w:left="1680"/>
    </w:pPr>
    <w:rPr>
      <w:rFonts w:asciiTheme="minorHAnsi" w:hAnsiTheme="minorHAnsi" w:cstheme="minorHAnsi"/>
      <w:sz w:val="18"/>
      <w:szCs w:val="18"/>
    </w:rPr>
  </w:style>
  <w:style w:type="paragraph" w:styleId="ListBullet">
    <w:name w:val="List Bullet"/>
    <w:basedOn w:val="BodyText"/>
    <w:autoRedefine/>
    <w:rsid w:val="00941275"/>
    <w:pPr>
      <w:tabs>
        <w:tab w:val="left" w:pos="425"/>
      </w:tabs>
      <w:spacing w:after="270" w:line="270" w:lineRule="atLeast"/>
      <w:ind w:left="283" w:hanging="283"/>
      <w:jc w:val="both"/>
    </w:pPr>
    <w:rPr>
      <w:sz w:val="23"/>
      <w:lang w:val="en-GB"/>
    </w:rPr>
  </w:style>
  <w:style w:type="paragraph" w:styleId="BodyTextIndent2">
    <w:name w:val="Body Text Indent 2"/>
    <w:basedOn w:val="Normal"/>
    <w:link w:val="BodyTextIndent2Char"/>
    <w:rsid w:val="00941275"/>
    <w:pPr>
      <w:ind w:left="360"/>
      <w:jc w:val="both"/>
    </w:pPr>
    <w:rPr>
      <w:rFonts w:ascii="Century Gothic" w:hAnsi="Century Gothic"/>
      <w:lang w:val="en-US"/>
    </w:rPr>
  </w:style>
  <w:style w:type="character" w:customStyle="1" w:styleId="BodyTextIndent2Char">
    <w:name w:val="Body Text Indent 2 Char"/>
    <w:basedOn w:val="DefaultParagraphFont"/>
    <w:link w:val="BodyTextIndent2"/>
    <w:rsid w:val="00941275"/>
    <w:rPr>
      <w:rFonts w:ascii="Century Gothic" w:hAnsi="Century Gothic"/>
      <w:sz w:val="24"/>
      <w:szCs w:val="24"/>
    </w:rPr>
  </w:style>
  <w:style w:type="paragraph" w:styleId="BodyTextIndent3">
    <w:name w:val="Body Text Indent 3"/>
    <w:basedOn w:val="Normal"/>
    <w:link w:val="BodyTextIndent3Char"/>
    <w:rsid w:val="00941275"/>
    <w:pPr>
      <w:ind w:left="360"/>
      <w:jc w:val="both"/>
    </w:pPr>
    <w:rPr>
      <w:rFonts w:ascii="Century Gothic" w:hAnsi="Century Gothic"/>
      <w:sz w:val="20"/>
      <w:lang w:val="en-US"/>
    </w:rPr>
  </w:style>
  <w:style w:type="character" w:customStyle="1" w:styleId="BodyTextIndent3Char">
    <w:name w:val="Body Text Indent 3 Char"/>
    <w:basedOn w:val="DefaultParagraphFont"/>
    <w:link w:val="BodyTextIndent3"/>
    <w:rsid w:val="00941275"/>
    <w:rPr>
      <w:rFonts w:ascii="Century Gothic" w:hAnsi="Century Gothic"/>
      <w:szCs w:val="24"/>
    </w:rPr>
  </w:style>
  <w:style w:type="paragraph" w:styleId="MacroText">
    <w:name w:val="macro"/>
    <w:link w:val="MacroTextChar"/>
    <w:semiHidden/>
    <w:rsid w:val="00941275"/>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941275"/>
    <w:rPr>
      <w:rFonts w:ascii="Courier New" w:hAnsi="Courier New"/>
    </w:rPr>
  </w:style>
  <w:style w:type="paragraph" w:customStyle="1" w:styleId="Address1">
    <w:name w:val="Address 1"/>
    <w:basedOn w:val="Normal"/>
    <w:rsid w:val="00941275"/>
    <w:pPr>
      <w:spacing w:line="160" w:lineRule="atLeast"/>
      <w:jc w:val="both"/>
    </w:pPr>
    <w:rPr>
      <w:rFonts w:ascii="Arial" w:hAnsi="Arial"/>
      <w:sz w:val="14"/>
      <w:szCs w:val="20"/>
      <w:lang w:val="en-US"/>
    </w:rPr>
  </w:style>
  <w:style w:type="paragraph" w:customStyle="1" w:styleId="Objective">
    <w:name w:val="Objective"/>
    <w:basedOn w:val="Normal"/>
    <w:next w:val="BodyText"/>
    <w:rsid w:val="00941275"/>
    <w:pPr>
      <w:spacing w:before="240" w:after="220" w:line="220" w:lineRule="atLeast"/>
    </w:pPr>
    <w:rPr>
      <w:rFonts w:ascii="Arial" w:hAnsi="Arial"/>
      <w:sz w:val="20"/>
      <w:szCs w:val="20"/>
      <w:lang w:val="en-US"/>
    </w:rPr>
  </w:style>
  <w:style w:type="paragraph" w:customStyle="1" w:styleId="Achievement">
    <w:name w:val="Achievement"/>
    <w:basedOn w:val="BodyText"/>
    <w:rsid w:val="00941275"/>
    <w:pPr>
      <w:spacing w:after="60" w:line="220" w:lineRule="atLeast"/>
      <w:ind w:left="245" w:hanging="245"/>
      <w:jc w:val="both"/>
    </w:pPr>
    <w:rPr>
      <w:rFonts w:ascii="Arial" w:hAnsi="Arial"/>
      <w:spacing w:val="-5"/>
      <w:sz w:val="20"/>
    </w:rPr>
  </w:style>
  <w:style w:type="paragraph" w:customStyle="1" w:styleId="CompanyName">
    <w:name w:val="Company Name"/>
    <w:basedOn w:val="Normal"/>
    <w:next w:val="Normal"/>
    <w:autoRedefine/>
    <w:rsid w:val="00941275"/>
    <w:pPr>
      <w:tabs>
        <w:tab w:val="left" w:pos="2160"/>
        <w:tab w:val="right" w:pos="6480"/>
      </w:tabs>
      <w:spacing w:before="240" w:after="40" w:line="220" w:lineRule="atLeast"/>
      <w:jc w:val="both"/>
    </w:pPr>
    <w:rPr>
      <w:rFonts w:ascii="Century Gothic" w:hAnsi="Century Gothic"/>
      <w:b/>
      <w:bCs/>
      <w:szCs w:val="20"/>
      <w:lang w:val="en-US"/>
    </w:rPr>
  </w:style>
  <w:style w:type="paragraph" w:customStyle="1" w:styleId="CompanyNameOne">
    <w:name w:val="Company Name One"/>
    <w:basedOn w:val="CompanyName"/>
    <w:next w:val="Normal"/>
    <w:autoRedefine/>
    <w:rsid w:val="00941275"/>
    <w:pPr>
      <w:spacing w:line="360" w:lineRule="auto"/>
    </w:pPr>
    <w:rPr>
      <w:szCs w:val="24"/>
    </w:rPr>
  </w:style>
  <w:style w:type="paragraph" w:customStyle="1" w:styleId="Institution">
    <w:name w:val="Institution"/>
    <w:basedOn w:val="Normal"/>
    <w:next w:val="Achievement"/>
    <w:autoRedefine/>
    <w:rsid w:val="00941275"/>
    <w:pPr>
      <w:tabs>
        <w:tab w:val="left" w:pos="2160"/>
        <w:tab w:val="right" w:pos="6480"/>
      </w:tabs>
      <w:spacing w:before="240" w:after="60" w:line="220" w:lineRule="atLeast"/>
    </w:pPr>
    <w:rPr>
      <w:rFonts w:ascii="Arial" w:hAnsi="Arial"/>
      <w:sz w:val="20"/>
      <w:szCs w:val="20"/>
      <w:lang w:val="en-US"/>
    </w:rPr>
  </w:style>
  <w:style w:type="paragraph" w:customStyle="1" w:styleId="SectionTitle">
    <w:name w:val="Section Title"/>
    <w:basedOn w:val="Normal"/>
    <w:next w:val="Normal"/>
    <w:autoRedefine/>
    <w:rsid w:val="00941275"/>
    <w:pPr>
      <w:pBdr>
        <w:bottom w:val="single" w:sz="4" w:space="1" w:color="auto"/>
      </w:pBdr>
      <w:spacing w:before="220" w:line="360" w:lineRule="auto"/>
      <w:jc w:val="both"/>
    </w:pPr>
    <w:rPr>
      <w:rFonts w:ascii="Century Gothic" w:hAnsi="Century Gothic"/>
      <w:b/>
      <w:bCs/>
      <w:spacing w:val="-10"/>
      <w:szCs w:val="20"/>
      <w:lang w:val="en-US"/>
    </w:rPr>
  </w:style>
  <w:style w:type="paragraph" w:customStyle="1" w:styleId="SectionSubtitle">
    <w:name w:val="Section Subtitle"/>
    <w:basedOn w:val="SectionTitle"/>
    <w:next w:val="Normal"/>
    <w:rsid w:val="00941275"/>
    <w:rPr>
      <w:b w:val="0"/>
      <w:spacing w:val="0"/>
    </w:rPr>
  </w:style>
  <w:style w:type="paragraph" w:styleId="PlainText">
    <w:name w:val="Plain Text"/>
    <w:basedOn w:val="Normal"/>
    <w:link w:val="PlainTextChar"/>
    <w:rsid w:val="00941275"/>
    <w:rPr>
      <w:rFonts w:ascii="Courier New" w:hAnsi="Courier New"/>
      <w:sz w:val="20"/>
      <w:szCs w:val="20"/>
    </w:rPr>
  </w:style>
  <w:style w:type="character" w:customStyle="1" w:styleId="PlainTextChar">
    <w:name w:val="Plain Text Char"/>
    <w:basedOn w:val="DefaultParagraphFont"/>
    <w:link w:val="PlainText"/>
    <w:rsid w:val="00941275"/>
    <w:rPr>
      <w:rFonts w:ascii="Courier New" w:hAnsi="Courier New"/>
      <w:lang w:val="en-GB"/>
    </w:rPr>
  </w:style>
  <w:style w:type="paragraph" w:customStyle="1" w:styleId="JobTitle">
    <w:name w:val="Job Title"/>
    <w:next w:val="Achievement"/>
    <w:rsid w:val="00941275"/>
    <w:pPr>
      <w:spacing w:after="40" w:line="220" w:lineRule="atLeast"/>
    </w:pPr>
    <w:rPr>
      <w:rFonts w:ascii="Arial" w:hAnsi="Arial"/>
      <w:b/>
      <w:spacing w:val="-10"/>
    </w:rPr>
  </w:style>
  <w:style w:type="paragraph" w:customStyle="1" w:styleId="Name">
    <w:name w:val="Name"/>
    <w:basedOn w:val="Normal"/>
    <w:next w:val="Normal"/>
    <w:autoRedefine/>
    <w:rsid w:val="00941275"/>
    <w:pPr>
      <w:tabs>
        <w:tab w:val="right" w:pos="9672"/>
      </w:tabs>
      <w:spacing w:before="120" w:after="120"/>
      <w:ind w:left="-158" w:firstLine="360"/>
    </w:pPr>
    <w:rPr>
      <w:rFonts w:ascii="Century Gothic" w:hAnsi="Century Gothic"/>
      <w:b/>
      <w:lang w:val="en-US"/>
    </w:rPr>
  </w:style>
  <w:style w:type="paragraph" w:customStyle="1" w:styleId="PersonalInfo">
    <w:name w:val="Personal Info"/>
    <w:basedOn w:val="Achievement"/>
    <w:rsid w:val="00941275"/>
    <w:pPr>
      <w:spacing w:before="220" w:line="240" w:lineRule="auto"/>
      <w:ind w:left="78" w:right="-360" w:firstLine="0"/>
      <w:jc w:val="left"/>
    </w:pPr>
    <w:rPr>
      <w:rFonts w:ascii="Times New Roman" w:hAnsi="Times New Roman"/>
      <w:i/>
      <w:iCs/>
      <w:spacing w:val="0"/>
      <w:sz w:val="22"/>
      <w:szCs w:val="24"/>
    </w:rPr>
  </w:style>
  <w:style w:type="character" w:styleId="FollowedHyperlink">
    <w:name w:val="FollowedHyperlink"/>
    <w:basedOn w:val="DefaultParagraphFont"/>
    <w:rsid w:val="00941275"/>
    <w:rPr>
      <w:color w:val="800080"/>
      <w:u w:val="single"/>
    </w:rPr>
  </w:style>
  <w:style w:type="paragraph" w:customStyle="1" w:styleId="NormalTimesNewRoman">
    <w:name w:val="Normal + Times New Roman"/>
    <w:aliases w:val="Justified"/>
    <w:basedOn w:val="NormalWeb"/>
    <w:rsid w:val="00941275"/>
    <w:pPr>
      <w:spacing w:line="240" w:lineRule="auto"/>
    </w:pPr>
    <w:rPr>
      <w:rFonts w:eastAsia="Arial Unicode MS"/>
      <w:szCs w:val="24"/>
      <w:lang w:eastAsia="en-US"/>
    </w:rPr>
  </w:style>
  <w:style w:type="paragraph" w:styleId="ListNumber5">
    <w:name w:val="List Number 5"/>
    <w:basedOn w:val="Normal"/>
    <w:rsid w:val="00941275"/>
    <w:pPr>
      <w:tabs>
        <w:tab w:val="num" w:pos="1800"/>
      </w:tabs>
      <w:ind w:left="1800" w:hanging="360"/>
    </w:pPr>
    <w:rPr>
      <w:rFonts w:ascii="Century Gothic" w:hAnsi="Century Gothic"/>
      <w:lang w:val="en-US"/>
    </w:rPr>
  </w:style>
  <w:style w:type="paragraph" w:customStyle="1" w:styleId="Outline">
    <w:name w:val="Outline"/>
    <w:basedOn w:val="Normal"/>
    <w:uiPriority w:val="99"/>
    <w:rsid w:val="00941275"/>
    <w:pPr>
      <w:overflowPunct w:val="0"/>
      <w:autoSpaceDE w:val="0"/>
      <w:autoSpaceDN w:val="0"/>
      <w:adjustRightInd w:val="0"/>
      <w:spacing w:before="240"/>
      <w:textAlignment w:val="baseline"/>
    </w:pPr>
    <w:rPr>
      <w:rFonts w:ascii="Century Gothic" w:hAnsi="Century Gothic"/>
      <w:kern w:val="28"/>
      <w:lang w:eastAsia="en-GB"/>
    </w:rPr>
  </w:style>
  <w:style w:type="paragraph" w:customStyle="1" w:styleId="normaltableau">
    <w:name w:val="normal_tableau"/>
    <w:basedOn w:val="Normal"/>
    <w:rsid w:val="00941275"/>
    <w:pPr>
      <w:spacing w:before="120" w:after="120"/>
      <w:jc w:val="both"/>
    </w:pPr>
    <w:rPr>
      <w:rFonts w:ascii="Optima" w:hAnsi="Optima"/>
      <w:sz w:val="22"/>
      <w:szCs w:val="20"/>
      <w:lang w:eastAsia="es-ES"/>
    </w:rPr>
  </w:style>
  <w:style w:type="paragraph" w:customStyle="1" w:styleId="FootnoteText1">
    <w:name w:val="Footnote Text1"/>
    <w:basedOn w:val="Footer"/>
    <w:qFormat/>
    <w:rsid w:val="00941275"/>
    <w:pPr>
      <w:tabs>
        <w:tab w:val="clear" w:pos="4320"/>
        <w:tab w:val="clear" w:pos="8640"/>
        <w:tab w:val="center" w:pos="4680"/>
        <w:tab w:val="right" w:pos="9360"/>
      </w:tabs>
      <w:spacing w:after="0" w:line="240" w:lineRule="auto"/>
    </w:pPr>
    <w:rPr>
      <w:rFonts w:ascii="Century Gothic" w:eastAsia="Times New Roman" w:hAnsi="Century Gothic"/>
      <w:sz w:val="20"/>
      <w:lang w:val="en-US" w:bidi="en-US"/>
    </w:rPr>
  </w:style>
  <w:style w:type="paragraph" w:customStyle="1" w:styleId="SectionVHeader">
    <w:name w:val="Section V. Header"/>
    <w:basedOn w:val="Normal"/>
    <w:uiPriority w:val="99"/>
    <w:rsid w:val="00941275"/>
    <w:pPr>
      <w:overflowPunct w:val="0"/>
      <w:autoSpaceDE w:val="0"/>
      <w:autoSpaceDN w:val="0"/>
      <w:adjustRightInd w:val="0"/>
      <w:jc w:val="center"/>
      <w:textAlignment w:val="baseline"/>
    </w:pPr>
    <w:rPr>
      <w:rFonts w:ascii="Century Gothic" w:hAnsi="Century Gothic"/>
      <w:b/>
      <w:bCs/>
      <w:sz w:val="36"/>
      <w:szCs w:val="36"/>
      <w:lang w:eastAsia="en-GB"/>
    </w:rPr>
  </w:style>
  <w:style w:type="paragraph" w:customStyle="1" w:styleId="style15">
    <w:name w:val="style15"/>
    <w:basedOn w:val="Normal"/>
    <w:rsid w:val="00941275"/>
    <w:pPr>
      <w:spacing w:before="100" w:beforeAutospacing="1" w:after="100" w:afterAutospacing="1"/>
    </w:pPr>
    <w:rPr>
      <w:rFonts w:ascii="Century Gothic" w:hAnsi="Century Gothic"/>
      <w:lang w:val="en-US"/>
    </w:rPr>
  </w:style>
  <w:style w:type="paragraph" w:customStyle="1" w:styleId="yiv0451132881msonormal">
    <w:name w:val="yiv0451132881msonormal"/>
    <w:basedOn w:val="Normal"/>
    <w:rsid w:val="00941275"/>
    <w:pPr>
      <w:spacing w:before="100" w:beforeAutospacing="1" w:after="100" w:afterAutospacing="1"/>
    </w:pPr>
    <w:rPr>
      <w:rFonts w:ascii="Century Gothic" w:hAnsi="Century Gothic"/>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uiPriority w:val="99"/>
    <w:rsid w:val="00941275"/>
    <w:pPr>
      <w:spacing w:after="160" w:line="240" w:lineRule="exact"/>
    </w:pPr>
    <w:rPr>
      <w:rFonts w:ascii="Tahoma" w:hAnsi="Tahoma"/>
      <w:szCs w:val="20"/>
    </w:rPr>
  </w:style>
  <w:style w:type="paragraph" w:customStyle="1" w:styleId="CVItem">
    <w:name w:val="CV Item"/>
    <w:basedOn w:val="Normal"/>
    <w:uiPriority w:val="99"/>
    <w:rsid w:val="00941275"/>
    <w:pPr>
      <w:tabs>
        <w:tab w:val="left" w:pos="357"/>
        <w:tab w:val="left" w:pos="2552"/>
      </w:tabs>
      <w:spacing w:line="280" w:lineRule="atLeast"/>
      <w:ind w:left="2552" w:hanging="2552"/>
    </w:pPr>
    <w:rPr>
      <w:rFonts w:ascii="Century Gothic" w:hAnsi="Century Gothic"/>
      <w:sz w:val="22"/>
    </w:rPr>
  </w:style>
  <w:style w:type="paragraph" w:customStyle="1" w:styleId="TableText">
    <w:name w:val="Table Text"/>
    <w:basedOn w:val="Normal"/>
    <w:uiPriority w:val="99"/>
    <w:rsid w:val="00941275"/>
    <w:pPr>
      <w:spacing w:line="280" w:lineRule="atLeast"/>
    </w:pPr>
    <w:rPr>
      <w:rFonts w:ascii="Arial" w:hAnsi="Arial"/>
      <w:sz w:val="16"/>
    </w:rPr>
  </w:style>
  <w:style w:type="character" w:customStyle="1" w:styleId="style2style3">
    <w:name w:val="style2 style3"/>
    <w:basedOn w:val="DefaultParagraphFont"/>
    <w:rsid w:val="00941275"/>
  </w:style>
  <w:style w:type="character" w:customStyle="1" w:styleId="gd">
    <w:name w:val="gd"/>
    <w:basedOn w:val="DefaultParagraphFont"/>
    <w:rsid w:val="00941275"/>
  </w:style>
  <w:style w:type="character" w:customStyle="1" w:styleId="gi">
    <w:name w:val="gi"/>
    <w:basedOn w:val="DefaultParagraphFont"/>
    <w:rsid w:val="00941275"/>
  </w:style>
  <w:style w:type="character" w:customStyle="1" w:styleId="go">
    <w:name w:val="go"/>
    <w:basedOn w:val="DefaultParagraphFont"/>
    <w:rsid w:val="00941275"/>
  </w:style>
  <w:style w:type="table" w:customStyle="1" w:styleId="TableGrid1">
    <w:name w:val="Table Grid1"/>
    <w:basedOn w:val="TableNormal"/>
    <w:uiPriority w:val="59"/>
    <w:rsid w:val="00941275"/>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m">
    <w:name w:val="im"/>
    <w:basedOn w:val="DefaultParagraphFont"/>
    <w:rsid w:val="00941275"/>
  </w:style>
  <w:style w:type="character" w:customStyle="1" w:styleId="il">
    <w:name w:val="il"/>
    <w:basedOn w:val="DefaultParagraphFont"/>
    <w:rsid w:val="00941275"/>
  </w:style>
  <w:style w:type="table" w:styleId="TableList8">
    <w:name w:val="Table List 8"/>
    <w:basedOn w:val="TableNormal"/>
    <w:rsid w:val="009412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ghtGrid-Accent6">
    <w:name w:val="Light Grid Accent 6"/>
    <w:basedOn w:val="TableNormal"/>
    <w:uiPriority w:val="62"/>
    <w:rsid w:val="0094127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11">
    <w:name w:val="Light Grid - Accent 11"/>
    <w:basedOn w:val="TableNormal"/>
    <w:uiPriority w:val="62"/>
    <w:rsid w:val="00941275"/>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941275"/>
    <w:rPr>
      <w:rFonts w:asciiTheme="minorHAnsi" w:eastAsiaTheme="minorHAnsi" w:hAnsiTheme="minorHAnsi" w:cstheme="minorBid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
    <w:name w:val="Light Grid3"/>
    <w:basedOn w:val="TableNormal"/>
    <w:uiPriority w:val="62"/>
    <w:rsid w:val="00941275"/>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5">
    <w:name w:val="Table Grid 5"/>
    <w:basedOn w:val="TableNormal"/>
    <w:rsid w:val="009412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DocumentMap">
    <w:name w:val="Document Map"/>
    <w:basedOn w:val="Normal"/>
    <w:link w:val="DocumentMapChar"/>
    <w:rsid w:val="00941275"/>
    <w:rPr>
      <w:rFonts w:ascii="Tahoma" w:hAnsi="Tahoma" w:cs="Tahoma"/>
      <w:sz w:val="16"/>
      <w:szCs w:val="16"/>
      <w:lang w:val="en-US"/>
    </w:rPr>
  </w:style>
  <w:style w:type="character" w:customStyle="1" w:styleId="DocumentMapChar">
    <w:name w:val="Document Map Char"/>
    <w:basedOn w:val="DefaultParagraphFont"/>
    <w:link w:val="DocumentMap"/>
    <w:rsid w:val="00941275"/>
    <w:rPr>
      <w:rFonts w:ascii="Tahoma" w:hAnsi="Tahoma" w:cs="Tahoma"/>
      <w:sz w:val="16"/>
      <w:szCs w:val="16"/>
    </w:rPr>
  </w:style>
  <w:style w:type="paragraph" w:styleId="Caption">
    <w:name w:val="caption"/>
    <w:aliases w:val="(Table Title),Caption Table"/>
    <w:basedOn w:val="Normal"/>
    <w:next w:val="Normal"/>
    <w:link w:val="CaptionChar"/>
    <w:uiPriority w:val="35"/>
    <w:unhideWhenUsed/>
    <w:qFormat/>
    <w:rsid w:val="00941275"/>
    <w:pPr>
      <w:spacing w:after="200"/>
    </w:pPr>
    <w:rPr>
      <w:rFonts w:asciiTheme="minorHAnsi" w:eastAsiaTheme="minorHAnsi" w:hAnsiTheme="minorHAnsi" w:cstheme="minorBidi"/>
      <w:i/>
      <w:iCs/>
      <w:color w:val="1F497D" w:themeColor="text2"/>
      <w:sz w:val="18"/>
      <w:szCs w:val="18"/>
      <w:lang w:val="en-US"/>
    </w:rPr>
  </w:style>
  <w:style w:type="paragraph" w:customStyle="1" w:styleId="Normal1">
    <w:name w:val="Normal1"/>
    <w:rsid w:val="00511C4E"/>
    <w:pPr>
      <w:spacing w:after="160" w:line="259" w:lineRule="auto"/>
    </w:pPr>
    <w:rPr>
      <w:rFonts w:ascii="Calibri" w:eastAsia="Calibri" w:hAnsi="Calibri" w:cs="Calibri"/>
      <w:sz w:val="22"/>
      <w:szCs w:val="22"/>
    </w:rPr>
  </w:style>
  <w:style w:type="table" w:customStyle="1" w:styleId="LightGrid4">
    <w:name w:val="Light Grid4"/>
    <w:basedOn w:val="TableNormal"/>
    <w:uiPriority w:val="62"/>
    <w:rsid w:val="00127B8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m-1996779686882070069m-3424622808913657958fontstyle01">
    <w:name w:val="m_-1996779686882070069m_-3424622808913657958fontstyle01"/>
    <w:basedOn w:val="DefaultParagraphFont"/>
    <w:rsid w:val="000A7280"/>
  </w:style>
  <w:style w:type="paragraph" w:styleId="Revision">
    <w:name w:val="Revision"/>
    <w:hidden/>
    <w:uiPriority w:val="99"/>
    <w:semiHidden/>
    <w:rsid w:val="00E154BE"/>
    <w:rPr>
      <w:rFonts w:ascii="Calibri" w:eastAsia="Calibri" w:hAnsi="Calibri"/>
      <w:sz w:val="22"/>
      <w:szCs w:val="22"/>
      <w:lang w:val="en-GB"/>
    </w:rPr>
  </w:style>
  <w:style w:type="character" w:customStyle="1" w:styleId="CaptionChar">
    <w:name w:val="Caption Char"/>
    <w:aliases w:val="(Table Title) Char,Caption Table Char"/>
    <w:basedOn w:val="DefaultParagraphFont"/>
    <w:link w:val="Caption"/>
    <w:uiPriority w:val="35"/>
    <w:locked/>
    <w:rsid w:val="008941AD"/>
    <w:rPr>
      <w:rFonts w:asciiTheme="minorHAnsi" w:eastAsiaTheme="minorHAnsi" w:hAnsiTheme="minorHAnsi" w:cstheme="minorBidi"/>
      <w:i/>
      <w:iCs/>
      <w:color w:val="1F497D" w:themeColor="text2"/>
      <w:sz w:val="18"/>
      <w:szCs w:val="18"/>
    </w:rPr>
  </w:style>
  <w:style w:type="paragraph" w:styleId="TableofFigures">
    <w:name w:val="table of figures"/>
    <w:basedOn w:val="Normal"/>
    <w:next w:val="Normal"/>
    <w:uiPriority w:val="99"/>
    <w:unhideWhenUsed/>
    <w:rsid w:val="00061159"/>
    <w:pPr>
      <w:ind w:left="480" w:hanging="480"/>
    </w:pPr>
    <w:rPr>
      <w:rFonts w:asciiTheme="minorHAnsi" w:hAnsiTheme="minorHAnsi" w:cstheme="minorHAnsi"/>
      <w:smallCaps/>
      <w:sz w:val="20"/>
      <w:szCs w:val="20"/>
    </w:rPr>
  </w:style>
  <w:style w:type="character" w:customStyle="1" w:styleId="st">
    <w:name w:val="st"/>
    <w:basedOn w:val="DefaultParagraphFont"/>
    <w:rsid w:val="009D6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882">
      <w:bodyDiv w:val="1"/>
      <w:marLeft w:val="0"/>
      <w:marRight w:val="0"/>
      <w:marTop w:val="0"/>
      <w:marBottom w:val="0"/>
      <w:divBdr>
        <w:top w:val="none" w:sz="0" w:space="0" w:color="auto"/>
        <w:left w:val="none" w:sz="0" w:space="0" w:color="auto"/>
        <w:bottom w:val="none" w:sz="0" w:space="0" w:color="auto"/>
        <w:right w:val="none" w:sz="0" w:space="0" w:color="auto"/>
      </w:divBdr>
    </w:div>
    <w:div w:id="10911684">
      <w:bodyDiv w:val="1"/>
      <w:marLeft w:val="0"/>
      <w:marRight w:val="0"/>
      <w:marTop w:val="0"/>
      <w:marBottom w:val="0"/>
      <w:divBdr>
        <w:top w:val="none" w:sz="0" w:space="0" w:color="auto"/>
        <w:left w:val="none" w:sz="0" w:space="0" w:color="auto"/>
        <w:bottom w:val="none" w:sz="0" w:space="0" w:color="auto"/>
        <w:right w:val="none" w:sz="0" w:space="0" w:color="auto"/>
      </w:divBdr>
    </w:div>
    <w:div w:id="15742327">
      <w:bodyDiv w:val="1"/>
      <w:marLeft w:val="0"/>
      <w:marRight w:val="0"/>
      <w:marTop w:val="0"/>
      <w:marBottom w:val="0"/>
      <w:divBdr>
        <w:top w:val="none" w:sz="0" w:space="0" w:color="auto"/>
        <w:left w:val="none" w:sz="0" w:space="0" w:color="auto"/>
        <w:bottom w:val="none" w:sz="0" w:space="0" w:color="auto"/>
        <w:right w:val="none" w:sz="0" w:space="0" w:color="auto"/>
      </w:divBdr>
    </w:div>
    <w:div w:id="23486057">
      <w:bodyDiv w:val="1"/>
      <w:marLeft w:val="0"/>
      <w:marRight w:val="0"/>
      <w:marTop w:val="0"/>
      <w:marBottom w:val="0"/>
      <w:divBdr>
        <w:top w:val="none" w:sz="0" w:space="0" w:color="auto"/>
        <w:left w:val="none" w:sz="0" w:space="0" w:color="auto"/>
        <w:bottom w:val="none" w:sz="0" w:space="0" w:color="auto"/>
        <w:right w:val="none" w:sz="0" w:space="0" w:color="auto"/>
      </w:divBdr>
    </w:div>
    <w:div w:id="37248953">
      <w:bodyDiv w:val="1"/>
      <w:marLeft w:val="0"/>
      <w:marRight w:val="0"/>
      <w:marTop w:val="0"/>
      <w:marBottom w:val="0"/>
      <w:divBdr>
        <w:top w:val="none" w:sz="0" w:space="0" w:color="auto"/>
        <w:left w:val="none" w:sz="0" w:space="0" w:color="auto"/>
        <w:bottom w:val="none" w:sz="0" w:space="0" w:color="auto"/>
        <w:right w:val="none" w:sz="0" w:space="0" w:color="auto"/>
      </w:divBdr>
    </w:div>
    <w:div w:id="41708873">
      <w:bodyDiv w:val="1"/>
      <w:marLeft w:val="0"/>
      <w:marRight w:val="0"/>
      <w:marTop w:val="0"/>
      <w:marBottom w:val="0"/>
      <w:divBdr>
        <w:top w:val="none" w:sz="0" w:space="0" w:color="auto"/>
        <w:left w:val="none" w:sz="0" w:space="0" w:color="auto"/>
        <w:bottom w:val="none" w:sz="0" w:space="0" w:color="auto"/>
        <w:right w:val="none" w:sz="0" w:space="0" w:color="auto"/>
      </w:divBdr>
    </w:div>
    <w:div w:id="65341052">
      <w:bodyDiv w:val="1"/>
      <w:marLeft w:val="0"/>
      <w:marRight w:val="0"/>
      <w:marTop w:val="0"/>
      <w:marBottom w:val="0"/>
      <w:divBdr>
        <w:top w:val="none" w:sz="0" w:space="0" w:color="auto"/>
        <w:left w:val="none" w:sz="0" w:space="0" w:color="auto"/>
        <w:bottom w:val="none" w:sz="0" w:space="0" w:color="auto"/>
        <w:right w:val="none" w:sz="0" w:space="0" w:color="auto"/>
      </w:divBdr>
    </w:div>
    <w:div w:id="118378308">
      <w:bodyDiv w:val="1"/>
      <w:marLeft w:val="0"/>
      <w:marRight w:val="0"/>
      <w:marTop w:val="0"/>
      <w:marBottom w:val="0"/>
      <w:divBdr>
        <w:top w:val="none" w:sz="0" w:space="0" w:color="auto"/>
        <w:left w:val="none" w:sz="0" w:space="0" w:color="auto"/>
        <w:bottom w:val="none" w:sz="0" w:space="0" w:color="auto"/>
        <w:right w:val="none" w:sz="0" w:space="0" w:color="auto"/>
      </w:divBdr>
    </w:div>
    <w:div w:id="160661439">
      <w:bodyDiv w:val="1"/>
      <w:marLeft w:val="0"/>
      <w:marRight w:val="0"/>
      <w:marTop w:val="0"/>
      <w:marBottom w:val="0"/>
      <w:divBdr>
        <w:top w:val="none" w:sz="0" w:space="0" w:color="auto"/>
        <w:left w:val="none" w:sz="0" w:space="0" w:color="auto"/>
        <w:bottom w:val="none" w:sz="0" w:space="0" w:color="auto"/>
        <w:right w:val="none" w:sz="0" w:space="0" w:color="auto"/>
      </w:divBdr>
    </w:div>
    <w:div w:id="162740622">
      <w:bodyDiv w:val="1"/>
      <w:marLeft w:val="0"/>
      <w:marRight w:val="0"/>
      <w:marTop w:val="0"/>
      <w:marBottom w:val="0"/>
      <w:divBdr>
        <w:top w:val="none" w:sz="0" w:space="0" w:color="auto"/>
        <w:left w:val="none" w:sz="0" w:space="0" w:color="auto"/>
        <w:bottom w:val="none" w:sz="0" w:space="0" w:color="auto"/>
        <w:right w:val="none" w:sz="0" w:space="0" w:color="auto"/>
      </w:divBdr>
    </w:div>
    <w:div w:id="164983028">
      <w:bodyDiv w:val="1"/>
      <w:marLeft w:val="0"/>
      <w:marRight w:val="0"/>
      <w:marTop w:val="0"/>
      <w:marBottom w:val="0"/>
      <w:divBdr>
        <w:top w:val="none" w:sz="0" w:space="0" w:color="auto"/>
        <w:left w:val="none" w:sz="0" w:space="0" w:color="auto"/>
        <w:bottom w:val="none" w:sz="0" w:space="0" w:color="auto"/>
        <w:right w:val="none" w:sz="0" w:space="0" w:color="auto"/>
      </w:divBdr>
    </w:div>
    <w:div w:id="177352244">
      <w:bodyDiv w:val="1"/>
      <w:marLeft w:val="0"/>
      <w:marRight w:val="0"/>
      <w:marTop w:val="0"/>
      <w:marBottom w:val="0"/>
      <w:divBdr>
        <w:top w:val="none" w:sz="0" w:space="0" w:color="auto"/>
        <w:left w:val="none" w:sz="0" w:space="0" w:color="auto"/>
        <w:bottom w:val="none" w:sz="0" w:space="0" w:color="auto"/>
        <w:right w:val="none" w:sz="0" w:space="0" w:color="auto"/>
      </w:divBdr>
    </w:div>
    <w:div w:id="187328789">
      <w:bodyDiv w:val="1"/>
      <w:marLeft w:val="0"/>
      <w:marRight w:val="0"/>
      <w:marTop w:val="0"/>
      <w:marBottom w:val="0"/>
      <w:divBdr>
        <w:top w:val="none" w:sz="0" w:space="0" w:color="auto"/>
        <w:left w:val="none" w:sz="0" w:space="0" w:color="auto"/>
        <w:bottom w:val="none" w:sz="0" w:space="0" w:color="auto"/>
        <w:right w:val="none" w:sz="0" w:space="0" w:color="auto"/>
      </w:divBdr>
    </w:div>
    <w:div w:id="215511278">
      <w:bodyDiv w:val="1"/>
      <w:marLeft w:val="0"/>
      <w:marRight w:val="0"/>
      <w:marTop w:val="0"/>
      <w:marBottom w:val="0"/>
      <w:divBdr>
        <w:top w:val="none" w:sz="0" w:space="0" w:color="auto"/>
        <w:left w:val="none" w:sz="0" w:space="0" w:color="auto"/>
        <w:bottom w:val="none" w:sz="0" w:space="0" w:color="auto"/>
        <w:right w:val="none" w:sz="0" w:space="0" w:color="auto"/>
      </w:divBdr>
    </w:div>
    <w:div w:id="249510090">
      <w:bodyDiv w:val="1"/>
      <w:marLeft w:val="0"/>
      <w:marRight w:val="0"/>
      <w:marTop w:val="0"/>
      <w:marBottom w:val="0"/>
      <w:divBdr>
        <w:top w:val="none" w:sz="0" w:space="0" w:color="auto"/>
        <w:left w:val="none" w:sz="0" w:space="0" w:color="auto"/>
        <w:bottom w:val="none" w:sz="0" w:space="0" w:color="auto"/>
        <w:right w:val="none" w:sz="0" w:space="0" w:color="auto"/>
      </w:divBdr>
    </w:div>
    <w:div w:id="280377569">
      <w:bodyDiv w:val="1"/>
      <w:marLeft w:val="0"/>
      <w:marRight w:val="0"/>
      <w:marTop w:val="0"/>
      <w:marBottom w:val="0"/>
      <w:divBdr>
        <w:top w:val="none" w:sz="0" w:space="0" w:color="auto"/>
        <w:left w:val="none" w:sz="0" w:space="0" w:color="auto"/>
        <w:bottom w:val="none" w:sz="0" w:space="0" w:color="auto"/>
        <w:right w:val="none" w:sz="0" w:space="0" w:color="auto"/>
      </w:divBdr>
    </w:div>
    <w:div w:id="286205655">
      <w:bodyDiv w:val="1"/>
      <w:marLeft w:val="0"/>
      <w:marRight w:val="0"/>
      <w:marTop w:val="0"/>
      <w:marBottom w:val="0"/>
      <w:divBdr>
        <w:top w:val="none" w:sz="0" w:space="0" w:color="auto"/>
        <w:left w:val="none" w:sz="0" w:space="0" w:color="auto"/>
        <w:bottom w:val="none" w:sz="0" w:space="0" w:color="auto"/>
        <w:right w:val="none" w:sz="0" w:space="0" w:color="auto"/>
      </w:divBdr>
      <w:divsChild>
        <w:div w:id="1306424322">
          <w:marLeft w:val="2317"/>
          <w:marRight w:val="2317"/>
          <w:marTop w:val="0"/>
          <w:marBottom w:val="0"/>
          <w:divBdr>
            <w:top w:val="none" w:sz="0" w:space="0" w:color="auto"/>
            <w:left w:val="none" w:sz="0" w:space="0" w:color="auto"/>
            <w:bottom w:val="none" w:sz="0" w:space="0" w:color="auto"/>
            <w:right w:val="none" w:sz="0" w:space="0" w:color="auto"/>
          </w:divBdr>
        </w:div>
      </w:divsChild>
    </w:div>
    <w:div w:id="287006030">
      <w:bodyDiv w:val="1"/>
      <w:marLeft w:val="0"/>
      <w:marRight w:val="0"/>
      <w:marTop w:val="0"/>
      <w:marBottom w:val="0"/>
      <w:divBdr>
        <w:top w:val="none" w:sz="0" w:space="0" w:color="auto"/>
        <w:left w:val="none" w:sz="0" w:space="0" w:color="auto"/>
        <w:bottom w:val="none" w:sz="0" w:space="0" w:color="auto"/>
        <w:right w:val="none" w:sz="0" w:space="0" w:color="auto"/>
      </w:divBdr>
    </w:div>
    <w:div w:id="343671074">
      <w:bodyDiv w:val="1"/>
      <w:marLeft w:val="0"/>
      <w:marRight w:val="0"/>
      <w:marTop w:val="0"/>
      <w:marBottom w:val="0"/>
      <w:divBdr>
        <w:top w:val="none" w:sz="0" w:space="0" w:color="auto"/>
        <w:left w:val="none" w:sz="0" w:space="0" w:color="auto"/>
        <w:bottom w:val="none" w:sz="0" w:space="0" w:color="auto"/>
        <w:right w:val="none" w:sz="0" w:space="0" w:color="auto"/>
      </w:divBdr>
    </w:div>
    <w:div w:id="352387657">
      <w:bodyDiv w:val="1"/>
      <w:marLeft w:val="0"/>
      <w:marRight w:val="0"/>
      <w:marTop w:val="0"/>
      <w:marBottom w:val="0"/>
      <w:divBdr>
        <w:top w:val="none" w:sz="0" w:space="0" w:color="auto"/>
        <w:left w:val="none" w:sz="0" w:space="0" w:color="auto"/>
        <w:bottom w:val="none" w:sz="0" w:space="0" w:color="auto"/>
        <w:right w:val="none" w:sz="0" w:space="0" w:color="auto"/>
      </w:divBdr>
    </w:div>
    <w:div w:id="360790128">
      <w:bodyDiv w:val="1"/>
      <w:marLeft w:val="0"/>
      <w:marRight w:val="0"/>
      <w:marTop w:val="0"/>
      <w:marBottom w:val="0"/>
      <w:divBdr>
        <w:top w:val="none" w:sz="0" w:space="0" w:color="auto"/>
        <w:left w:val="none" w:sz="0" w:space="0" w:color="auto"/>
        <w:bottom w:val="none" w:sz="0" w:space="0" w:color="auto"/>
        <w:right w:val="none" w:sz="0" w:space="0" w:color="auto"/>
      </w:divBdr>
    </w:div>
    <w:div w:id="362826649">
      <w:bodyDiv w:val="1"/>
      <w:marLeft w:val="0"/>
      <w:marRight w:val="0"/>
      <w:marTop w:val="0"/>
      <w:marBottom w:val="0"/>
      <w:divBdr>
        <w:top w:val="none" w:sz="0" w:space="0" w:color="auto"/>
        <w:left w:val="none" w:sz="0" w:space="0" w:color="auto"/>
        <w:bottom w:val="none" w:sz="0" w:space="0" w:color="auto"/>
        <w:right w:val="none" w:sz="0" w:space="0" w:color="auto"/>
      </w:divBdr>
    </w:div>
    <w:div w:id="394082563">
      <w:bodyDiv w:val="1"/>
      <w:marLeft w:val="0"/>
      <w:marRight w:val="0"/>
      <w:marTop w:val="0"/>
      <w:marBottom w:val="0"/>
      <w:divBdr>
        <w:top w:val="none" w:sz="0" w:space="0" w:color="auto"/>
        <w:left w:val="none" w:sz="0" w:space="0" w:color="auto"/>
        <w:bottom w:val="none" w:sz="0" w:space="0" w:color="auto"/>
        <w:right w:val="none" w:sz="0" w:space="0" w:color="auto"/>
      </w:divBdr>
    </w:div>
    <w:div w:id="408693067">
      <w:bodyDiv w:val="1"/>
      <w:marLeft w:val="0"/>
      <w:marRight w:val="0"/>
      <w:marTop w:val="0"/>
      <w:marBottom w:val="0"/>
      <w:divBdr>
        <w:top w:val="none" w:sz="0" w:space="0" w:color="auto"/>
        <w:left w:val="none" w:sz="0" w:space="0" w:color="auto"/>
        <w:bottom w:val="none" w:sz="0" w:space="0" w:color="auto"/>
        <w:right w:val="none" w:sz="0" w:space="0" w:color="auto"/>
      </w:divBdr>
    </w:div>
    <w:div w:id="417096747">
      <w:bodyDiv w:val="1"/>
      <w:marLeft w:val="0"/>
      <w:marRight w:val="0"/>
      <w:marTop w:val="0"/>
      <w:marBottom w:val="0"/>
      <w:divBdr>
        <w:top w:val="none" w:sz="0" w:space="0" w:color="auto"/>
        <w:left w:val="none" w:sz="0" w:space="0" w:color="auto"/>
        <w:bottom w:val="none" w:sz="0" w:space="0" w:color="auto"/>
        <w:right w:val="none" w:sz="0" w:space="0" w:color="auto"/>
      </w:divBdr>
    </w:div>
    <w:div w:id="428964006">
      <w:bodyDiv w:val="1"/>
      <w:marLeft w:val="0"/>
      <w:marRight w:val="0"/>
      <w:marTop w:val="0"/>
      <w:marBottom w:val="0"/>
      <w:divBdr>
        <w:top w:val="none" w:sz="0" w:space="0" w:color="auto"/>
        <w:left w:val="none" w:sz="0" w:space="0" w:color="auto"/>
        <w:bottom w:val="none" w:sz="0" w:space="0" w:color="auto"/>
        <w:right w:val="none" w:sz="0" w:space="0" w:color="auto"/>
      </w:divBdr>
    </w:div>
    <w:div w:id="430709602">
      <w:bodyDiv w:val="1"/>
      <w:marLeft w:val="0"/>
      <w:marRight w:val="0"/>
      <w:marTop w:val="0"/>
      <w:marBottom w:val="0"/>
      <w:divBdr>
        <w:top w:val="none" w:sz="0" w:space="0" w:color="auto"/>
        <w:left w:val="none" w:sz="0" w:space="0" w:color="auto"/>
        <w:bottom w:val="none" w:sz="0" w:space="0" w:color="auto"/>
        <w:right w:val="none" w:sz="0" w:space="0" w:color="auto"/>
      </w:divBdr>
      <w:divsChild>
        <w:div w:id="310796222">
          <w:marLeft w:val="2317"/>
          <w:marRight w:val="2317"/>
          <w:marTop w:val="0"/>
          <w:marBottom w:val="0"/>
          <w:divBdr>
            <w:top w:val="none" w:sz="0" w:space="0" w:color="auto"/>
            <w:left w:val="none" w:sz="0" w:space="0" w:color="auto"/>
            <w:bottom w:val="none" w:sz="0" w:space="0" w:color="auto"/>
            <w:right w:val="none" w:sz="0" w:space="0" w:color="auto"/>
          </w:divBdr>
        </w:div>
      </w:divsChild>
    </w:div>
    <w:div w:id="442194809">
      <w:bodyDiv w:val="1"/>
      <w:marLeft w:val="0"/>
      <w:marRight w:val="0"/>
      <w:marTop w:val="0"/>
      <w:marBottom w:val="0"/>
      <w:divBdr>
        <w:top w:val="none" w:sz="0" w:space="0" w:color="auto"/>
        <w:left w:val="none" w:sz="0" w:space="0" w:color="auto"/>
        <w:bottom w:val="none" w:sz="0" w:space="0" w:color="auto"/>
        <w:right w:val="none" w:sz="0" w:space="0" w:color="auto"/>
      </w:divBdr>
    </w:div>
    <w:div w:id="449133411">
      <w:bodyDiv w:val="1"/>
      <w:marLeft w:val="0"/>
      <w:marRight w:val="0"/>
      <w:marTop w:val="0"/>
      <w:marBottom w:val="0"/>
      <w:divBdr>
        <w:top w:val="none" w:sz="0" w:space="0" w:color="auto"/>
        <w:left w:val="none" w:sz="0" w:space="0" w:color="auto"/>
        <w:bottom w:val="none" w:sz="0" w:space="0" w:color="auto"/>
        <w:right w:val="none" w:sz="0" w:space="0" w:color="auto"/>
      </w:divBdr>
    </w:div>
    <w:div w:id="465242254">
      <w:bodyDiv w:val="1"/>
      <w:marLeft w:val="0"/>
      <w:marRight w:val="0"/>
      <w:marTop w:val="0"/>
      <w:marBottom w:val="0"/>
      <w:divBdr>
        <w:top w:val="none" w:sz="0" w:space="0" w:color="auto"/>
        <w:left w:val="none" w:sz="0" w:space="0" w:color="auto"/>
        <w:bottom w:val="none" w:sz="0" w:space="0" w:color="auto"/>
        <w:right w:val="none" w:sz="0" w:space="0" w:color="auto"/>
      </w:divBdr>
    </w:div>
    <w:div w:id="466359790">
      <w:bodyDiv w:val="1"/>
      <w:marLeft w:val="0"/>
      <w:marRight w:val="0"/>
      <w:marTop w:val="0"/>
      <w:marBottom w:val="0"/>
      <w:divBdr>
        <w:top w:val="none" w:sz="0" w:space="0" w:color="auto"/>
        <w:left w:val="none" w:sz="0" w:space="0" w:color="auto"/>
        <w:bottom w:val="none" w:sz="0" w:space="0" w:color="auto"/>
        <w:right w:val="none" w:sz="0" w:space="0" w:color="auto"/>
      </w:divBdr>
      <w:divsChild>
        <w:div w:id="1816410100">
          <w:marLeft w:val="0"/>
          <w:marRight w:val="0"/>
          <w:marTop w:val="0"/>
          <w:marBottom w:val="0"/>
          <w:divBdr>
            <w:top w:val="none" w:sz="0" w:space="0" w:color="auto"/>
            <w:left w:val="none" w:sz="0" w:space="0" w:color="auto"/>
            <w:bottom w:val="none" w:sz="0" w:space="0" w:color="auto"/>
            <w:right w:val="none" w:sz="0" w:space="0" w:color="auto"/>
          </w:divBdr>
          <w:divsChild>
            <w:div w:id="934686">
              <w:marLeft w:val="0"/>
              <w:marRight w:val="0"/>
              <w:marTop w:val="0"/>
              <w:marBottom w:val="0"/>
              <w:divBdr>
                <w:top w:val="none" w:sz="0" w:space="0" w:color="auto"/>
                <w:left w:val="none" w:sz="0" w:space="0" w:color="auto"/>
                <w:bottom w:val="none" w:sz="0" w:space="0" w:color="auto"/>
                <w:right w:val="none" w:sz="0" w:space="0" w:color="auto"/>
              </w:divBdr>
              <w:divsChild>
                <w:div w:id="559096167">
                  <w:marLeft w:val="0"/>
                  <w:marRight w:val="150"/>
                  <w:marTop w:val="0"/>
                  <w:marBottom w:val="0"/>
                  <w:divBdr>
                    <w:top w:val="none" w:sz="0" w:space="0" w:color="auto"/>
                    <w:left w:val="none" w:sz="0" w:space="0" w:color="auto"/>
                    <w:bottom w:val="none" w:sz="0" w:space="0" w:color="auto"/>
                    <w:right w:val="none" w:sz="0" w:space="0" w:color="auto"/>
                  </w:divBdr>
                  <w:divsChild>
                    <w:div w:id="826474990">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490944581">
      <w:bodyDiv w:val="1"/>
      <w:marLeft w:val="0"/>
      <w:marRight w:val="0"/>
      <w:marTop w:val="0"/>
      <w:marBottom w:val="0"/>
      <w:divBdr>
        <w:top w:val="none" w:sz="0" w:space="0" w:color="auto"/>
        <w:left w:val="none" w:sz="0" w:space="0" w:color="auto"/>
        <w:bottom w:val="none" w:sz="0" w:space="0" w:color="auto"/>
        <w:right w:val="none" w:sz="0" w:space="0" w:color="auto"/>
      </w:divBdr>
    </w:div>
    <w:div w:id="517890044">
      <w:bodyDiv w:val="1"/>
      <w:marLeft w:val="0"/>
      <w:marRight w:val="0"/>
      <w:marTop w:val="0"/>
      <w:marBottom w:val="0"/>
      <w:divBdr>
        <w:top w:val="none" w:sz="0" w:space="0" w:color="auto"/>
        <w:left w:val="none" w:sz="0" w:space="0" w:color="auto"/>
        <w:bottom w:val="none" w:sz="0" w:space="0" w:color="auto"/>
        <w:right w:val="none" w:sz="0" w:space="0" w:color="auto"/>
      </w:divBdr>
    </w:div>
    <w:div w:id="518353494">
      <w:bodyDiv w:val="1"/>
      <w:marLeft w:val="0"/>
      <w:marRight w:val="0"/>
      <w:marTop w:val="0"/>
      <w:marBottom w:val="0"/>
      <w:divBdr>
        <w:top w:val="none" w:sz="0" w:space="0" w:color="auto"/>
        <w:left w:val="none" w:sz="0" w:space="0" w:color="auto"/>
        <w:bottom w:val="none" w:sz="0" w:space="0" w:color="auto"/>
        <w:right w:val="none" w:sz="0" w:space="0" w:color="auto"/>
      </w:divBdr>
    </w:div>
    <w:div w:id="540940742">
      <w:bodyDiv w:val="1"/>
      <w:marLeft w:val="0"/>
      <w:marRight w:val="0"/>
      <w:marTop w:val="0"/>
      <w:marBottom w:val="0"/>
      <w:divBdr>
        <w:top w:val="none" w:sz="0" w:space="0" w:color="auto"/>
        <w:left w:val="none" w:sz="0" w:space="0" w:color="auto"/>
        <w:bottom w:val="none" w:sz="0" w:space="0" w:color="auto"/>
        <w:right w:val="none" w:sz="0" w:space="0" w:color="auto"/>
      </w:divBdr>
    </w:div>
    <w:div w:id="544759283">
      <w:bodyDiv w:val="1"/>
      <w:marLeft w:val="0"/>
      <w:marRight w:val="0"/>
      <w:marTop w:val="0"/>
      <w:marBottom w:val="0"/>
      <w:divBdr>
        <w:top w:val="none" w:sz="0" w:space="0" w:color="auto"/>
        <w:left w:val="none" w:sz="0" w:space="0" w:color="auto"/>
        <w:bottom w:val="none" w:sz="0" w:space="0" w:color="auto"/>
        <w:right w:val="none" w:sz="0" w:space="0" w:color="auto"/>
      </w:divBdr>
    </w:div>
    <w:div w:id="555554922">
      <w:bodyDiv w:val="1"/>
      <w:marLeft w:val="0"/>
      <w:marRight w:val="0"/>
      <w:marTop w:val="0"/>
      <w:marBottom w:val="0"/>
      <w:divBdr>
        <w:top w:val="none" w:sz="0" w:space="0" w:color="auto"/>
        <w:left w:val="none" w:sz="0" w:space="0" w:color="auto"/>
        <w:bottom w:val="none" w:sz="0" w:space="0" w:color="auto"/>
        <w:right w:val="none" w:sz="0" w:space="0" w:color="auto"/>
      </w:divBdr>
    </w:div>
    <w:div w:id="557520691">
      <w:bodyDiv w:val="1"/>
      <w:marLeft w:val="0"/>
      <w:marRight w:val="0"/>
      <w:marTop w:val="0"/>
      <w:marBottom w:val="0"/>
      <w:divBdr>
        <w:top w:val="none" w:sz="0" w:space="0" w:color="auto"/>
        <w:left w:val="none" w:sz="0" w:space="0" w:color="auto"/>
        <w:bottom w:val="none" w:sz="0" w:space="0" w:color="auto"/>
        <w:right w:val="none" w:sz="0" w:space="0" w:color="auto"/>
      </w:divBdr>
    </w:div>
    <w:div w:id="582184559">
      <w:bodyDiv w:val="1"/>
      <w:marLeft w:val="0"/>
      <w:marRight w:val="0"/>
      <w:marTop w:val="0"/>
      <w:marBottom w:val="0"/>
      <w:divBdr>
        <w:top w:val="none" w:sz="0" w:space="0" w:color="auto"/>
        <w:left w:val="none" w:sz="0" w:space="0" w:color="auto"/>
        <w:bottom w:val="none" w:sz="0" w:space="0" w:color="auto"/>
        <w:right w:val="none" w:sz="0" w:space="0" w:color="auto"/>
      </w:divBdr>
    </w:div>
    <w:div w:id="586379553">
      <w:bodyDiv w:val="1"/>
      <w:marLeft w:val="0"/>
      <w:marRight w:val="0"/>
      <w:marTop w:val="0"/>
      <w:marBottom w:val="0"/>
      <w:divBdr>
        <w:top w:val="none" w:sz="0" w:space="0" w:color="auto"/>
        <w:left w:val="none" w:sz="0" w:space="0" w:color="auto"/>
        <w:bottom w:val="none" w:sz="0" w:space="0" w:color="auto"/>
        <w:right w:val="none" w:sz="0" w:space="0" w:color="auto"/>
      </w:divBdr>
    </w:div>
    <w:div w:id="611280706">
      <w:bodyDiv w:val="1"/>
      <w:marLeft w:val="0"/>
      <w:marRight w:val="0"/>
      <w:marTop w:val="0"/>
      <w:marBottom w:val="0"/>
      <w:divBdr>
        <w:top w:val="none" w:sz="0" w:space="0" w:color="auto"/>
        <w:left w:val="none" w:sz="0" w:space="0" w:color="auto"/>
        <w:bottom w:val="none" w:sz="0" w:space="0" w:color="auto"/>
        <w:right w:val="none" w:sz="0" w:space="0" w:color="auto"/>
      </w:divBdr>
    </w:div>
    <w:div w:id="621111284">
      <w:bodyDiv w:val="1"/>
      <w:marLeft w:val="0"/>
      <w:marRight w:val="0"/>
      <w:marTop w:val="0"/>
      <w:marBottom w:val="0"/>
      <w:divBdr>
        <w:top w:val="none" w:sz="0" w:space="0" w:color="auto"/>
        <w:left w:val="none" w:sz="0" w:space="0" w:color="auto"/>
        <w:bottom w:val="none" w:sz="0" w:space="0" w:color="auto"/>
        <w:right w:val="none" w:sz="0" w:space="0" w:color="auto"/>
      </w:divBdr>
    </w:div>
    <w:div w:id="635842644">
      <w:bodyDiv w:val="1"/>
      <w:marLeft w:val="0"/>
      <w:marRight w:val="0"/>
      <w:marTop w:val="0"/>
      <w:marBottom w:val="0"/>
      <w:divBdr>
        <w:top w:val="none" w:sz="0" w:space="0" w:color="auto"/>
        <w:left w:val="none" w:sz="0" w:space="0" w:color="auto"/>
        <w:bottom w:val="none" w:sz="0" w:space="0" w:color="auto"/>
        <w:right w:val="none" w:sz="0" w:space="0" w:color="auto"/>
      </w:divBdr>
    </w:div>
    <w:div w:id="641925924">
      <w:bodyDiv w:val="1"/>
      <w:marLeft w:val="0"/>
      <w:marRight w:val="0"/>
      <w:marTop w:val="0"/>
      <w:marBottom w:val="0"/>
      <w:divBdr>
        <w:top w:val="none" w:sz="0" w:space="0" w:color="auto"/>
        <w:left w:val="none" w:sz="0" w:space="0" w:color="auto"/>
        <w:bottom w:val="none" w:sz="0" w:space="0" w:color="auto"/>
        <w:right w:val="none" w:sz="0" w:space="0" w:color="auto"/>
      </w:divBdr>
    </w:div>
    <w:div w:id="644429638">
      <w:bodyDiv w:val="1"/>
      <w:marLeft w:val="0"/>
      <w:marRight w:val="0"/>
      <w:marTop w:val="0"/>
      <w:marBottom w:val="0"/>
      <w:divBdr>
        <w:top w:val="none" w:sz="0" w:space="0" w:color="auto"/>
        <w:left w:val="none" w:sz="0" w:space="0" w:color="auto"/>
        <w:bottom w:val="none" w:sz="0" w:space="0" w:color="auto"/>
        <w:right w:val="none" w:sz="0" w:space="0" w:color="auto"/>
      </w:divBdr>
    </w:div>
    <w:div w:id="651100768">
      <w:bodyDiv w:val="1"/>
      <w:marLeft w:val="0"/>
      <w:marRight w:val="0"/>
      <w:marTop w:val="0"/>
      <w:marBottom w:val="0"/>
      <w:divBdr>
        <w:top w:val="none" w:sz="0" w:space="0" w:color="auto"/>
        <w:left w:val="none" w:sz="0" w:space="0" w:color="auto"/>
        <w:bottom w:val="none" w:sz="0" w:space="0" w:color="auto"/>
        <w:right w:val="none" w:sz="0" w:space="0" w:color="auto"/>
      </w:divBdr>
    </w:div>
    <w:div w:id="662202756">
      <w:bodyDiv w:val="1"/>
      <w:marLeft w:val="0"/>
      <w:marRight w:val="0"/>
      <w:marTop w:val="0"/>
      <w:marBottom w:val="0"/>
      <w:divBdr>
        <w:top w:val="none" w:sz="0" w:space="0" w:color="auto"/>
        <w:left w:val="none" w:sz="0" w:space="0" w:color="auto"/>
        <w:bottom w:val="none" w:sz="0" w:space="0" w:color="auto"/>
        <w:right w:val="none" w:sz="0" w:space="0" w:color="auto"/>
      </w:divBdr>
    </w:div>
    <w:div w:id="673997657">
      <w:bodyDiv w:val="1"/>
      <w:marLeft w:val="0"/>
      <w:marRight w:val="0"/>
      <w:marTop w:val="0"/>
      <w:marBottom w:val="0"/>
      <w:divBdr>
        <w:top w:val="none" w:sz="0" w:space="0" w:color="auto"/>
        <w:left w:val="none" w:sz="0" w:space="0" w:color="auto"/>
        <w:bottom w:val="none" w:sz="0" w:space="0" w:color="auto"/>
        <w:right w:val="none" w:sz="0" w:space="0" w:color="auto"/>
      </w:divBdr>
    </w:div>
    <w:div w:id="694960166">
      <w:bodyDiv w:val="1"/>
      <w:marLeft w:val="0"/>
      <w:marRight w:val="0"/>
      <w:marTop w:val="0"/>
      <w:marBottom w:val="0"/>
      <w:divBdr>
        <w:top w:val="none" w:sz="0" w:space="0" w:color="auto"/>
        <w:left w:val="none" w:sz="0" w:space="0" w:color="auto"/>
        <w:bottom w:val="none" w:sz="0" w:space="0" w:color="auto"/>
        <w:right w:val="none" w:sz="0" w:space="0" w:color="auto"/>
      </w:divBdr>
    </w:div>
    <w:div w:id="707142006">
      <w:bodyDiv w:val="1"/>
      <w:marLeft w:val="0"/>
      <w:marRight w:val="0"/>
      <w:marTop w:val="0"/>
      <w:marBottom w:val="0"/>
      <w:divBdr>
        <w:top w:val="none" w:sz="0" w:space="0" w:color="auto"/>
        <w:left w:val="none" w:sz="0" w:space="0" w:color="auto"/>
        <w:bottom w:val="none" w:sz="0" w:space="0" w:color="auto"/>
        <w:right w:val="none" w:sz="0" w:space="0" w:color="auto"/>
      </w:divBdr>
    </w:div>
    <w:div w:id="709646296">
      <w:bodyDiv w:val="1"/>
      <w:marLeft w:val="0"/>
      <w:marRight w:val="0"/>
      <w:marTop w:val="0"/>
      <w:marBottom w:val="0"/>
      <w:divBdr>
        <w:top w:val="none" w:sz="0" w:space="0" w:color="auto"/>
        <w:left w:val="none" w:sz="0" w:space="0" w:color="auto"/>
        <w:bottom w:val="none" w:sz="0" w:space="0" w:color="auto"/>
        <w:right w:val="none" w:sz="0" w:space="0" w:color="auto"/>
      </w:divBdr>
    </w:div>
    <w:div w:id="712002760">
      <w:bodyDiv w:val="1"/>
      <w:marLeft w:val="0"/>
      <w:marRight w:val="0"/>
      <w:marTop w:val="0"/>
      <w:marBottom w:val="0"/>
      <w:divBdr>
        <w:top w:val="none" w:sz="0" w:space="0" w:color="auto"/>
        <w:left w:val="none" w:sz="0" w:space="0" w:color="auto"/>
        <w:bottom w:val="none" w:sz="0" w:space="0" w:color="auto"/>
        <w:right w:val="none" w:sz="0" w:space="0" w:color="auto"/>
      </w:divBdr>
    </w:div>
    <w:div w:id="722750607">
      <w:bodyDiv w:val="1"/>
      <w:marLeft w:val="0"/>
      <w:marRight w:val="0"/>
      <w:marTop w:val="0"/>
      <w:marBottom w:val="0"/>
      <w:divBdr>
        <w:top w:val="none" w:sz="0" w:space="0" w:color="auto"/>
        <w:left w:val="none" w:sz="0" w:space="0" w:color="auto"/>
        <w:bottom w:val="none" w:sz="0" w:space="0" w:color="auto"/>
        <w:right w:val="none" w:sz="0" w:space="0" w:color="auto"/>
      </w:divBdr>
    </w:div>
    <w:div w:id="732313626">
      <w:bodyDiv w:val="1"/>
      <w:marLeft w:val="0"/>
      <w:marRight w:val="0"/>
      <w:marTop w:val="0"/>
      <w:marBottom w:val="0"/>
      <w:divBdr>
        <w:top w:val="none" w:sz="0" w:space="0" w:color="auto"/>
        <w:left w:val="none" w:sz="0" w:space="0" w:color="auto"/>
        <w:bottom w:val="none" w:sz="0" w:space="0" w:color="auto"/>
        <w:right w:val="none" w:sz="0" w:space="0" w:color="auto"/>
      </w:divBdr>
    </w:div>
    <w:div w:id="735935244">
      <w:bodyDiv w:val="1"/>
      <w:marLeft w:val="0"/>
      <w:marRight w:val="0"/>
      <w:marTop w:val="0"/>
      <w:marBottom w:val="0"/>
      <w:divBdr>
        <w:top w:val="none" w:sz="0" w:space="0" w:color="auto"/>
        <w:left w:val="none" w:sz="0" w:space="0" w:color="auto"/>
        <w:bottom w:val="none" w:sz="0" w:space="0" w:color="auto"/>
        <w:right w:val="none" w:sz="0" w:space="0" w:color="auto"/>
      </w:divBdr>
    </w:div>
    <w:div w:id="783234157">
      <w:bodyDiv w:val="1"/>
      <w:marLeft w:val="0"/>
      <w:marRight w:val="0"/>
      <w:marTop w:val="0"/>
      <w:marBottom w:val="0"/>
      <w:divBdr>
        <w:top w:val="none" w:sz="0" w:space="0" w:color="auto"/>
        <w:left w:val="none" w:sz="0" w:space="0" w:color="auto"/>
        <w:bottom w:val="none" w:sz="0" w:space="0" w:color="auto"/>
        <w:right w:val="none" w:sz="0" w:space="0" w:color="auto"/>
      </w:divBdr>
    </w:div>
    <w:div w:id="787313135">
      <w:bodyDiv w:val="1"/>
      <w:marLeft w:val="0"/>
      <w:marRight w:val="0"/>
      <w:marTop w:val="0"/>
      <w:marBottom w:val="0"/>
      <w:divBdr>
        <w:top w:val="none" w:sz="0" w:space="0" w:color="auto"/>
        <w:left w:val="none" w:sz="0" w:space="0" w:color="auto"/>
        <w:bottom w:val="none" w:sz="0" w:space="0" w:color="auto"/>
        <w:right w:val="none" w:sz="0" w:space="0" w:color="auto"/>
      </w:divBdr>
    </w:div>
    <w:div w:id="821506519">
      <w:bodyDiv w:val="1"/>
      <w:marLeft w:val="0"/>
      <w:marRight w:val="0"/>
      <w:marTop w:val="0"/>
      <w:marBottom w:val="0"/>
      <w:divBdr>
        <w:top w:val="none" w:sz="0" w:space="0" w:color="auto"/>
        <w:left w:val="none" w:sz="0" w:space="0" w:color="auto"/>
        <w:bottom w:val="none" w:sz="0" w:space="0" w:color="auto"/>
        <w:right w:val="none" w:sz="0" w:space="0" w:color="auto"/>
      </w:divBdr>
    </w:div>
    <w:div w:id="824320342">
      <w:bodyDiv w:val="1"/>
      <w:marLeft w:val="0"/>
      <w:marRight w:val="0"/>
      <w:marTop w:val="0"/>
      <w:marBottom w:val="0"/>
      <w:divBdr>
        <w:top w:val="none" w:sz="0" w:space="0" w:color="auto"/>
        <w:left w:val="none" w:sz="0" w:space="0" w:color="auto"/>
        <w:bottom w:val="none" w:sz="0" w:space="0" w:color="auto"/>
        <w:right w:val="none" w:sz="0" w:space="0" w:color="auto"/>
      </w:divBdr>
    </w:div>
    <w:div w:id="840511174">
      <w:bodyDiv w:val="1"/>
      <w:marLeft w:val="0"/>
      <w:marRight w:val="0"/>
      <w:marTop w:val="0"/>
      <w:marBottom w:val="0"/>
      <w:divBdr>
        <w:top w:val="none" w:sz="0" w:space="0" w:color="auto"/>
        <w:left w:val="none" w:sz="0" w:space="0" w:color="auto"/>
        <w:bottom w:val="none" w:sz="0" w:space="0" w:color="auto"/>
        <w:right w:val="none" w:sz="0" w:space="0" w:color="auto"/>
      </w:divBdr>
      <w:divsChild>
        <w:div w:id="1848908836">
          <w:marLeft w:val="2317"/>
          <w:marRight w:val="2317"/>
          <w:marTop w:val="0"/>
          <w:marBottom w:val="0"/>
          <w:divBdr>
            <w:top w:val="none" w:sz="0" w:space="0" w:color="auto"/>
            <w:left w:val="none" w:sz="0" w:space="0" w:color="auto"/>
            <w:bottom w:val="none" w:sz="0" w:space="0" w:color="auto"/>
            <w:right w:val="none" w:sz="0" w:space="0" w:color="auto"/>
          </w:divBdr>
        </w:div>
      </w:divsChild>
    </w:div>
    <w:div w:id="841512959">
      <w:bodyDiv w:val="1"/>
      <w:marLeft w:val="0"/>
      <w:marRight w:val="0"/>
      <w:marTop w:val="0"/>
      <w:marBottom w:val="0"/>
      <w:divBdr>
        <w:top w:val="none" w:sz="0" w:space="0" w:color="auto"/>
        <w:left w:val="none" w:sz="0" w:space="0" w:color="auto"/>
        <w:bottom w:val="none" w:sz="0" w:space="0" w:color="auto"/>
        <w:right w:val="none" w:sz="0" w:space="0" w:color="auto"/>
      </w:divBdr>
    </w:div>
    <w:div w:id="849296271">
      <w:bodyDiv w:val="1"/>
      <w:marLeft w:val="0"/>
      <w:marRight w:val="0"/>
      <w:marTop w:val="0"/>
      <w:marBottom w:val="0"/>
      <w:divBdr>
        <w:top w:val="none" w:sz="0" w:space="0" w:color="auto"/>
        <w:left w:val="none" w:sz="0" w:space="0" w:color="auto"/>
        <w:bottom w:val="none" w:sz="0" w:space="0" w:color="auto"/>
        <w:right w:val="none" w:sz="0" w:space="0" w:color="auto"/>
      </w:divBdr>
    </w:div>
    <w:div w:id="871039151">
      <w:bodyDiv w:val="1"/>
      <w:marLeft w:val="0"/>
      <w:marRight w:val="0"/>
      <w:marTop w:val="0"/>
      <w:marBottom w:val="0"/>
      <w:divBdr>
        <w:top w:val="none" w:sz="0" w:space="0" w:color="auto"/>
        <w:left w:val="none" w:sz="0" w:space="0" w:color="auto"/>
        <w:bottom w:val="none" w:sz="0" w:space="0" w:color="auto"/>
        <w:right w:val="none" w:sz="0" w:space="0" w:color="auto"/>
      </w:divBdr>
    </w:div>
    <w:div w:id="872574303">
      <w:bodyDiv w:val="1"/>
      <w:marLeft w:val="0"/>
      <w:marRight w:val="0"/>
      <w:marTop w:val="0"/>
      <w:marBottom w:val="0"/>
      <w:divBdr>
        <w:top w:val="none" w:sz="0" w:space="0" w:color="auto"/>
        <w:left w:val="none" w:sz="0" w:space="0" w:color="auto"/>
        <w:bottom w:val="none" w:sz="0" w:space="0" w:color="auto"/>
        <w:right w:val="none" w:sz="0" w:space="0" w:color="auto"/>
      </w:divBdr>
      <w:divsChild>
        <w:div w:id="1025325258">
          <w:marLeft w:val="2317"/>
          <w:marRight w:val="2317"/>
          <w:marTop w:val="0"/>
          <w:marBottom w:val="0"/>
          <w:divBdr>
            <w:top w:val="none" w:sz="0" w:space="0" w:color="auto"/>
            <w:left w:val="none" w:sz="0" w:space="0" w:color="auto"/>
            <w:bottom w:val="none" w:sz="0" w:space="0" w:color="auto"/>
            <w:right w:val="none" w:sz="0" w:space="0" w:color="auto"/>
          </w:divBdr>
          <w:divsChild>
            <w:div w:id="237250571">
              <w:marLeft w:val="0"/>
              <w:marRight w:val="0"/>
              <w:marTop w:val="0"/>
              <w:marBottom w:val="0"/>
              <w:divBdr>
                <w:top w:val="none" w:sz="0" w:space="0" w:color="auto"/>
                <w:left w:val="none" w:sz="0" w:space="0" w:color="auto"/>
                <w:bottom w:val="none" w:sz="0" w:space="0" w:color="auto"/>
                <w:right w:val="none" w:sz="0" w:space="0" w:color="auto"/>
              </w:divBdr>
            </w:div>
            <w:div w:id="1355837728">
              <w:marLeft w:val="0"/>
              <w:marRight w:val="0"/>
              <w:marTop w:val="0"/>
              <w:marBottom w:val="0"/>
              <w:divBdr>
                <w:top w:val="none" w:sz="0" w:space="0" w:color="auto"/>
                <w:left w:val="none" w:sz="0" w:space="0" w:color="auto"/>
                <w:bottom w:val="none" w:sz="0" w:space="0" w:color="auto"/>
                <w:right w:val="none" w:sz="0" w:space="0" w:color="auto"/>
              </w:divBdr>
            </w:div>
            <w:div w:id="18788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2089">
      <w:bodyDiv w:val="1"/>
      <w:marLeft w:val="0"/>
      <w:marRight w:val="0"/>
      <w:marTop w:val="0"/>
      <w:marBottom w:val="0"/>
      <w:divBdr>
        <w:top w:val="none" w:sz="0" w:space="0" w:color="auto"/>
        <w:left w:val="none" w:sz="0" w:space="0" w:color="auto"/>
        <w:bottom w:val="none" w:sz="0" w:space="0" w:color="auto"/>
        <w:right w:val="none" w:sz="0" w:space="0" w:color="auto"/>
      </w:divBdr>
    </w:div>
    <w:div w:id="899950010">
      <w:bodyDiv w:val="1"/>
      <w:marLeft w:val="0"/>
      <w:marRight w:val="0"/>
      <w:marTop w:val="0"/>
      <w:marBottom w:val="0"/>
      <w:divBdr>
        <w:top w:val="none" w:sz="0" w:space="0" w:color="auto"/>
        <w:left w:val="none" w:sz="0" w:space="0" w:color="auto"/>
        <w:bottom w:val="none" w:sz="0" w:space="0" w:color="auto"/>
        <w:right w:val="none" w:sz="0" w:space="0" w:color="auto"/>
      </w:divBdr>
    </w:div>
    <w:div w:id="931398499">
      <w:bodyDiv w:val="1"/>
      <w:marLeft w:val="0"/>
      <w:marRight w:val="0"/>
      <w:marTop w:val="0"/>
      <w:marBottom w:val="0"/>
      <w:divBdr>
        <w:top w:val="none" w:sz="0" w:space="0" w:color="auto"/>
        <w:left w:val="none" w:sz="0" w:space="0" w:color="auto"/>
        <w:bottom w:val="none" w:sz="0" w:space="0" w:color="auto"/>
        <w:right w:val="none" w:sz="0" w:space="0" w:color="auto"/>
      </w:divBdr>
    </w:div>
    <w:div w:id="982270366">
      <w:bodyDiv w:val="1"/>
      <w:marLeft w:val="0"/>
      <w:marRight w:val="0"/>
      <w:marTop w:val="0"/>
      <w:marBottom w:val="0"/>
      <w:divBdr>
        <w:top w:val="none" w:sz="0" w:space="0" w:color="auto"/>
        <w:left w:val="none" w:sz="0" w:space="0" w:color="auto"/>
        <w:bottom w:val="none" w:sz="0" w:space="0" w:color="auto"/>
        <w:right w:val="none" w:sz="0" w:space="0" w:color="auto"/>
      </w:divBdr>
    </w:div>
    <w:div w:id="991324209">
      <w:bodyDiv w:val="1"/>
      <w:marLeft w:val="0"/>
      <w:marRight w:val="0"/>
      <w:marTop w:val="0"/>
      <w:marBottom w:val="0"/>
      <w:divBdr>
        <w:top w:val="none" w:sz="0" w:space="0" w:color="auto"/>
        <w:left w:val="none" w:sz="0" w:space="0" w:color="auto"/>
        <w:bottom w:val="none" w:sz="0" w:space="0" w:color="auto"/>
        <w:right w:val="none" w:sz="0" w:space="0" w:color="auto"/>
      </w:divBdr>
    </w:div>
    <w:div w:id="1041855984">
      <w:bodyDiv w:val="1"/>
      <w:marLeft w:val="0"/>
      <w:marRight w:val="0"/>
      <w:marTop w:val="0"/>
      <w:marBottom w:val="0"/>
      <w:divBdr>
        <w:top w:val="none" w:sz="0" w:space="0" w:color="auto"/>
        <w:left w:val="none" w:sz="0" w:space="0" w:color="auto"/>
        <w:bottom w:val="none" w:sz="0" w:space="0" w:color="auto"/>
        <w:right w:val="none" w:sz="0" w:space="0" w:color="auto"/>
      </w:divBdr>
    </w:div>
    <w:div w:id="1096636305">
      <w:bodyDiv w:val="1"/>
      <w:marLeft w:val="0"/>
      <w:marRight w:val="0"/>
      <w:marTop w:val="0"/>
      <w:marBottom w:val="0"/>
      <w:divBdr>
        <w:top w:val="none" w:sz="0" w:space="0" w:color="auto"/>
        <w:left w:val="none" w:sz="0" w:space="0" w:color="auto"/>
        <w:bottom w:val="none" w:sz="0" w:space="0" w:color="auto"/>
        <w:right w:val="none" w:sz="0" w:space="0" w:color="auto"/>
      </w:divBdr>
    </w:div>
    <w:div w:id="1132362795">
      <w:bodyDiv w:val="1"/>
      <w:marLeft w:val="0"/>
      <w:marRight w:val="0"/>
      <w:marTop w:val="0"/>
      <w:marBottom w:val="0"/>
      <w:divBdr>
        <w:top w:val="none" w:sz="0" w:space="0" w:color="auto"/>
        <w:left w:val="none" w:sz="0" w:space="0" w:color="auto"/>
        <w:bottom w:val="none" w:sz="0" w:space="0" w:color="auto"/>
        <w:right w:val="none" w:sz="0" w:space="0" w:color="auto"/>
      </w:divBdr>
    </w:div>
    <w:div w:id="1155537187">
      <w:bodyDiv w:val="1"/>
      <w:marLeft w:val="0"/>
      <w:marRight w:val="0"/>
      <w:marTop w:val="0"/>
      <w:marBottom w:val="0"/>
      <w:divBdr>
        <w:top w:val="none" w:sz="0" w:space="0" w:color="auto"/>
        <w:left w:val="none" w:sz="0" w:space="0" w:color="auto"/>
        <w:bottom w:val="none" w:sz="0" w:space="0" w:color="auto"/>
        <w:right w:val="none" w:sz="0" w:space="0" w:color="auto"/>
      </w:divBdr>
    </w:div>
    <w:div w:id="1159735127">
      <w:bodyDiv w:val="1"/>
      <w:marLeft w:val="0"/>
      <w:marRight w:val="0"/>
      <w:marTop w:val="0"/>
      <w:marBottom w:val="0"/>
      <w:divBdr>
        <w:top w:val="none" w:sz="0" w:space="0" w:color="auto"/>
        <w:left w:val="none" w:sz="0" w:space="0" w:color="auto"/>
        <w:bottom w:val="none" w:sz="0" w:space="0" w:color="auto"/>
        <w:right w:val="none" w:sz="0" w:space="0" w:color="auto"/>
      </w:divBdr>
    </w:div>
    <w:div w:id="1168863729">
      <w:bodyDiv w:val="1"/>
      <w:marLeft w:val="0"/>
      <w:marRight w:val="0"/>
      <w:marTop w:val="0"/>
      <w:marBottom w:val="0"/>
      <w:divBdr>
        <w:top w:val="none" w:sz="0" w:space="0" w:color="auto"/>
        <w:left w:val="none" w:sz="0" w:space="0" w:color="auto"/>
        <w:bottom w:val="none" w:sz="0" w:space="0" w:color="auto"/>
        <w:right w:val="none" w:sz="0" w:space="0" w:color="auto"/>
      </w:divBdr>
    </w:div>
    <w:div w:id="1191457257">
      <w:bodyDiv w:val="1"/>
      <w:marLeft w:val="0"/>
      <w:marRight w:val="0"/>
      <w:marTop w:val="0"/>
      <w:marBottom w:val="0"/>
      <w:divBdr>
        <w:top w:val="none" w:sz="0" w:space="0" w:color="auto"/>
        <w:left w:val="none" w:sz="0" w:space="0" w:color="auto"/>
        <w:bottom w:val="none" w:sz="0" w:space="0" w:color="auto"/>
        <w:right w:val="none" w:sz="0" w:space="0" w:color="auto"/>
      </w:divBdr>
    </w:div>
    <w:div w:id="1192839393">
      <w:bodyDiv w:val="1"/>
      <w:marLeft w:val="0"/>
      <w:marRight w:val="0"/>
      <w:marTop w:val="0"/>
      <w:marBottom w:val="0"/>
      <w:divBdr>
        <w:top w:val="none" w:sz="0" w:space="0" w:color="auto"/>
        <w:left w:val="none" w:sz="0" w:space="0" w:color="auto"/>
        <w:bottom w:val="none" w:sz="0" w:space="0" w:color="auto"/>
        <w:right w:val="none" w:sz="0" w:space="0" w:color="auto"/>
      </w:divBdr>
    </w:div>
    <w:div w:id="1225945285">
      <w:bodyDiv w:val="1"/>
      <w:marLeft w:val="0"/>
      <w:marRight w:val="0"/>
      <w:marTop w:val="0"/>
      <w:marBottom w:val="0"/>
      <w:divBdr>
        <w:top w:val="none" w:sz="0" w:space="0" w:color="auto"/>
        <w:left w:val="none" w:sz="0" w:space="0" w:color="auto"/>
        <w:bottom w:val="none" w:sz="0" w:space="0" w:color="auto"/>
        <w:right w:val="none" w:sz="0" w:space="0" w:color="auto"/>
      </w:divBdr>
    </w:div>
    <w:div w:id="1264991722">
      <w:bodyDiv w:val="1"/>
      <w:marLeft w:val="0"/>
      <w:marRight w:val="0"/>
      <w:marTop w:val="0"/>
      <w:marBottom w:val="0"/>
      <w:divBdr>
        <w:top w:val="none" w:sz="0" w:space="0" w:color="auto"/>
        <w:left w:val="none" w:sz="0" w:space="0" w:color="auto"/>
        <w:bottom w:val="none" w:sz="0" w:space="0" w:color="auto"/>
        <w:right w:val="none" w:sz="0" w:space="0" w:color="auto"/>
      </w:divBdr>
    </w:div>
    <w:div w:id="1268544833">
      <w:bodyDiv w:val="1"/>
      <w:marLeft w:val="0"/>
      <w:marRight w:val="0"/>
      <w:marTop w:val="0"/>
      <w:marBottom w:val="0"/>
      <w:divBdr>
        <w:top w:val="none" w:sz="0" w:space="0" w:color="auto"/>
        <w:left w:val="none" w:sz="0" w:space="0" w:color="auto"/>
        <w:bottom w:val="none" w:sz="0" w:space="0" w:color="auto"/>
        <w:right w:val="none" w:sz="0" w:space="0" w:color="auto"/>
      </w:divBdr>
      <w:divsChild>
        <w:div w:id="591470679">
          <w:marLeft w:val="2317"/>
          <w:marRight w:val="2317"/>
          <w:marTop w:val="0"/>
          <w:marBottom w:val="0"/>
          <w:divBdr>
            <w:top w:val="none" w:sz="0" w:space="0" w:color="auto"/>
            <w:left w:val="none" w:sz="0" w:space="0" w:color="auto"/>
            <w:bottom w:val="none" w:sz="0" w:space="0" w:color="auto"/>
            <w:right w:val="none" w:sz="0" w:space="0" w:color="auto"/>
          </w:divBdr>
        </w:div>
      </w:divsChild>
    </w:div>
    <w:div w:id="1270889182">
      <w:bodyDiv w:val="1"/>
      <w:marLeft w:val="0"/>
      <w:marRight w:val="0"/>
      <w:marTop w:val="0"/>
      <w:marBottom w:val="0"/>
      <w:divBdr>
        <w:top w:val="none" w:sz="0" w:space="0" w:color="auto"/>
        <w:left w:val="none" w:sz="0" w:space="0" w:color="auto"/>
        <w:bottom w:val="none" w:sz="0" w:space="0" w:color="auto"/>
        <w:right w:val="none" w:sz="0" w:space="0" w:color="auto"/>
      </w:divBdr>
    </w:div>
    <w:div w:id="1299452856">
      <w:bodyDiv w:val="1"/>
      <w:marLeft w:val="0"/>
      <w:marRight w:val="0"/>
      <w:marTop w:val="0"/>
      <w:marBottom w:val="0"/>
      <w:divBdr>
        <w:top w:val="none" w:sz="0" w:space="0" w:color="auto"/>
        <w:left w:val="none" w:sz="0" w:space="0" w:color="auto"/>
        <w:bottom w:val="none" w:sz="0" w:space="0" w:color="auto"/>
        <w:right w:val="none" w:sz="0" w:space="0" w:color="auto"/>
      </w:divBdr>
    </w:div>
    <w:div w:id="1325428274">
      <w:bodyDiv w:val="1"/>
      <w:marLeft w:val="0"/>
      <w:marRight w:val="0"/>
      <w:marTop w:val="0"/>
      <w:marBottom w:val="0"/>
      <w:divBdr>
        <w:top w:val="none" w:sz="0" w:space="0" w:color="auto"/>
        <w:left w:val="none" w:sz="0" w:space="0" w:color="auto"/>
        <w:bottom w:val="none" w:sz="0" w:space="0" w:color="auto"/>
        <w:right w:val="none" w:sz="0" w:space="0" w:color="auto"/>
      </w:divBdr>
    </w:div>
    <w:div w:id="1340229140">
      <w:bodyDiv w:val="1"/>
      <w:marLeft w:val="0"/>
      <w:marRight w:val="0"/>
      <w:marTop w:val="0"/>
      <w:marBottom w:val="0"/>
      <w:divBdr>
        <w:top w:val="none" w:sz="0" w:space="0" w:color="auto"/>
        <w:left w:val="none" w:sz="0" w:space="0" w:color="auto"/>
        <w:bottom w:val="none" w:sz="0" w:space="0" w:color="auto"/>
        <w:right w:val="none" w:sz="0" w:space="0" w:color="auto"/>
      </w:divBdr>
    </w:div>
    <w:div w:id="1343430555">
      <w:bodyDiv w:val="1"/>
      <w:marLeft w:val="0"/>
      <w:marRight w:val="0"/>
      <w:marTop w:val="0"/>
      <w:marBottom w:val="0"/>
      <w:divBdr>
        <w:top w:val="none" w:sz="0" w:space="0" w:color="auto"/>
        <w:left w:val="none" w:sz="0" w:space="0" w:color="auto"/>
        <w:bottom w:val="none" w:sz="0" w:space="0" w:color="auto"/>
        <w:right w:val="none" w:sz="0" w:space="0" w:color="auto"/>
      </w:divBdr>
    </w:div>
    <w:div w:id="1425686058">
      <w:bodyDiv w:val="1"/>
      <w:marLeft w:val="0"/>
      <w:marRight w:val="0"/>
      <w:marTop w:val="0"/>
      <w:marBottom w:val="0"/>
      <w:divBdr>
        <w:top w:val="none" w:sz="0" w:space="0" w:color="auto"/>
        <w:left w:val="none" w:sz="0" w:space="0" w:color="auto"/>
        <w:bottom w:val="none" w:sz="0" w:space="0" w:color="auto"/>
        <w:right w:val="none" w:sz="0" w:space="0" w:color="auto"/>
      </w:divBdr>
    </w:div>
    <w:div w:id="1428115199">
      <w:bodyDiv w:val="1"/>
      <w:marLeft w:val="0"/>
      <w:marRight w:val="0"/>
      <w:marTop w:val="0"/>
      <w:marBottom w:val="0"/>
      <w:divBdr>
        <w:top w:val="none" w:sz="0" w:space="0" w:color="auto"/>
        <w:left w:val="none" w:sz="0" w:space="0" w:color="auto"/>
        <w:bottom w:val="none" w:sz="0" w:space="0" w:color="auto"/>
        <w:right w:val="none" w:sz="0" w:space="0" w:color="auto"/>
      </w:divBdr>
    </w:div>
    <w:div w:id="1476679246">
      <w:bodyDiv w:val="1"/>
      <w:marLeft w:val="0"/>
      <w:marRight w:val="0"/>
      <w:marTop w:val="0"/>
      <w:marBottom w:val="0"/>
      <w:divBdr>
        <w:top w:val="none" w:sz="0" w:space="0" w:color="auto"/>
        <w:left w:val="none" w:sz="0" w:space="0" w:color="auto"/>
        <w:bottom w:val="none" w:sz="0" w:space="0" w:color="auto"/>
        <w:right w:val="none" w:sz="0" w:space="0" w:color="auto"/>
      </w:divBdr>
    </w:div>
    <w:div w:id="1486120222">
      <w:bodyDiv w:val="1"/>
      <w:marLeft w:val="0"/>
      <w:marRight w:val="0"/>
      <w:marTop w:val="0"/>
      <w:marBottom w:val="0"/>
      <w:divBdr>
        <w:top w:val="none" w:sz="0" w:space="0" w:color="auto"/>
        <w:left w:val="none" w:sz="0" w:space="0" w:color="auto"/>
        <w:bottom w:val="none" w:sz="0" w:space="0" w:color="auto"/>
        <w:right w:val="none" w:sz="0" w:space="0" w:color="auto"/>
      </w:divBdr>
    </w:div>
    <w:div w:id="1508520238">
      <w:bodyDiv w:val="1"/>
      <w:marLeft w:val="0"/>
      <w:marRight w:val="0"/>
      <w:marTop w:val="0"/>
      <w:marBottom w:val="0"/>
      <w:divBdr>
        <w:top w:val="none" w:sz="0" w:space="0" w:color="auto"/>
        <w:left w:val="none" w:sz="0" w:space="0" w:color="auto"/>
        <w:bottom w:val="none" w:sz="0" w:space="0" w:color="auto"/>
        <w:right w:val="none" w:sz="0" w:space="0" w:color="auto"/>
      </w:divBdr>
    </w:div>
    <w:div w:id="1521239350">
      <w:bodyDiv w:val="1"/>
      <w:marLeft w:val="0"/>
      <w:marRight w:val="0"/>
      <w:marTop w:val="0"/>
      <w:marBottom w:val="0"/>
      <w:divBdr>
        <w:top w:val="none" w:sz="0" w:space="0" w:color="auto"/>
        <w:left w:val="none" w:sz="0" w:space="0" w:color="auto"/>
        <w:bottom w:val="none" w:sz="0" w:space="0" w:color="auto"/>
        <w:right w:val="none" w:sz="0" w:space="0" w:color="auto"/>
      </w:divBdr>
    </w:div>
    <w:div w:id="1544245158">
      <w:bodyDiv w:val="1"/>
      <w:marLeft w:val="0"/>
      <w:marRight w:val="0"/>
      <w:marTop w:val="0"/>
      <w:marBottom w:val="0"/>
      <w:divBdr>
        <w:top w:val="none" w:sz="0" w:space="0" w:color="auto"/>
        <w:left w:val="none" w:sz="0" w:space="0" w:color="auto"/>
        <w:bottom w:val="none" w:sz="0" w:space="0" w:color="auto"/>
        <w:right w:val="none" w:sz="0" w:space="0" w:color="auto"/>
      </w:divBdr>
    </w:div>
    <w:div w:id="1607813592">
      <w:bodyDiv w:val="1"/>
      <w:marLeft w:val="0"/>
      <w:marRight w:val="0"/>
      <w:marTop w:val="0"/>
      <w:marBottom w:val="0"/>
      <w:divBdr>
        <w:top w:val="none" w:sz="0" w:space="0" w:color="auto"/>
        <w:left w:val="none" w:sz="0" w:space="0" w:color="auto"/>
        <w:bottom w:val="none" w:sz="0" w:space="0" w:color="auto"/>
        <w:right w:val="none" w:sz="0" w:space="0" w:color="auto"/>
      </w:divBdr>
    </w:div>
    <w:div w:id="1678536698">
      <w:bodyDiv w:val="1"/>
      <w:marLeft w:val="0"/>
      <w:marRight w:val="0"/>
      <w:marTop w:val="0"/>
      <w:marBottom w:val="0"/>
      <w:divBdr>
        <w:top w:val="none" w:sz="0" w:space="0" w:color="auto"/>
        <w:left w:val="none" w:sz="0" w:space="0" w:color="auto"/>
        <w:bottom w:val="none" w:sz="0" w:space="0" w:color="auto"/>
        <w:right w:val="none" w:sz="0" w:space="0" w:color="auto"/>
      </w:divBdr>
    </w:div>
    <w:div w:id="1689520630">
      <w:bodyDiv w:val="1"/>
      <w:marLeft w:val="0"/>
      <w:marRight w:val="0"/>
      <w:marTop w:val="0"/>
      <w:marBottom w:val="0"/>
      <w:divBdr>
        <w:top w:val="none" w:sz="0" w:space="0" w:color="auto"/>
        <w:left w:val="none" w:sz="0" w:space="0" w:color="auto"/>
        <w:bottom w:val="none" w:sz="0" w:space="0" w:color="auto"/>
        <w:right w:val="none" w:sz="0" w:space="0" w:color="auto"/>
      </w:divBdr>
    </w:div>
    <w:div w:id="1706834334">
      <w:bodyDiv w:val="1"/>
      <w:marLeft w:val="0"/>
      <w:marRight w:val="0"/>
      <w:marTop w:val="0"/>
      <w:marBottom w:val="0"/>
      <w:divBdr>
        <w:top w:val="none" w:sz="0" w:space="0" w:color="auto"/>
        <w:left w:val="none" w:sz="0" w:space="0" w:color="auto"/>
        <w:bottom w:val="none" w:sz="0" w:space="0" w:color="auto"/>
        <w:right w:val="none" w:sz="0" w:space="0" w:color="auto"/>
      </w:divBdr>
    </w:div>
    <w:div w:id="1758793680">
      <w:bodyDiv w:val="1"/>
      <w:marLeft w:val="0"/>
      <w:marRight w:val="0"/>
      <w:marTop w:val="0"/>
      <w:marBottom w:val="0"/>
      <w:divBdr>
        <w:top w:val="none" w:sz="0" w:space="0" w:color="auto"/>
        <w:left w:val="none" w:sz="0" w:space="0" w:color="auto"/>
        <w:bottom w:val="none" w:sz="0" w:space="0" w:color="auto"/>
        <w:right w:val="none" w:sz="0" w:space="0" w:color="auto"/>
      </w:divBdr>
    </w:div>
    <w:div w:id="1770351970">
      <w:bodyDiv w:val="1"/>
      <w:marLeft w:val="0"/>
      <w:marRight w:val="0"/>
      <w:marTop w:val="0"/>
      <w:marBottom w:val="0"/>
      <w:divBdr>
        <w:top w:val="none" w:sz="0" w:space="0" w:color="auto"/>
        <w:left w:val="none" w:sz="0" w:space="0" w:color="auto"/>
        <w:bottom w:val="none" w:sz="0" w:space="0" w:color="auto"/>
        <w:right w:val="none" w:sz="0" w:space="0" w:color="auto"/>
      </w:divBdr>
      <w:divsChild>
        <w:div w:id="966814860">
          <w:marLeft w:val="2317"/>
          <w:marRight w:val="2317"/>
          <w:marTop w:val="0"/>
          <w:marBottom w:val="0"/>
          <w:divBdr>
            <w:top w:val="none" w:sz="0" w:space="0" w:color="auto"/>
            <w:left w:val="none" w:sz="0" w:space="0" w:color="auto"/>
            <w:bottom w:val="none" w:sz="0" w:space="0" w:color="auto"/>
            <w:right w:val="none" w:sz="0" w:space="0" w:color="auto"/>
          </w:divBdr>
        </w:div>
      </w:divsChild>
    </w:div>
    <w:div w:id="1787577598">
      <w:bodyDiv w:val="1"/>
      <w:marLeft w:val="0"/>
      <w:marRight w:val="0"/>
      <w:marTop w:val="0"/>
      <w:marBottom w:val="0"/>
      <w:divBdr>
        <w:top w:val="none" w:sz="0" w:space="0" w:color="auto"/>
        <w:left w:val="none" w:sz="0" w:space="0" w:color="auto"/>
        <w:bottom w:val="none" w:sz="0" w:space="0" w:color="auto"/>
        <w:right w:val="none" w:sz="0" w:space="0" w:color="auto"/>
      </w:divBdr>
    </w:div>
    <w:div w:id="1798182505">
      <w:bodyDiv w:val="1"/>
      <w:marLeft w:val="0"/>
      <w:marRight w:val="0"/>
      <w:marTop w:val="0"/>
      <w:marBottom w:val="0"/>
      <w:divBdr>
        <w:top w:val="none" w:sz="0" w:space="0" w:color="auto"/>
        <w:left w:val="none" w:sz="0" w:space="0" w:color="auto"/>
        <w:bottom w:val="none" w:sz="0" w:space="0" w:color="auto"/>
        <w:right w:val="none" w:sz="0" w:space="0" w:color="auto"/>
      </w:divBdr>
    </w:div>
    <w:div w:id="1818452741">
      <w:bodyDiv w:val="1"/>
      <w:marLeft w:val="0"/>
      <w:marRight w:val="0"/>
      <w:marTop w:val="0"/>
      <w:marBottom w:val="0"/>
      <w:divBdr>
        <w:top w:val="none" w:sz="0" w:space="0" w:color="auto"/>
        <w:left w:val="none" w:sz="0" w:space="0" w:color="auto"/>
        <w:bottom w:val="none" w:sz="0" w:space="0" w:color="auto"/>
        <w:right w:val="none" w:sz="0" w:space="0" w:color="auto"/>
      </w:divBdr>
      <w:divsChild>
        <w:div w:id="2099252041">
          <w:marLeft w:val="2317"/>
          <w:marRight w:val="2317"/>
          <w:marTop w:val="0"/>
          <w:marBottom w:val="0"/>
          <w:divBdr>
            <w:top w:val="none" w:sz="0" w:space="0" w:color="auto"/>
            <w:left w:val="none" w:sz="0" w:space="0" w:color="auto"/>
            <w:bottom w:val="none" w:sz="0" w:space="0" w:color="auto"/>
            <w:right w:val="none" w:sz="0" w:space="0" w:color="auto"/>
          </w:divBdr>
        </w:div>
      </w:divsChild>
    </w:div>
    <w:div w:id="1820997299">
      <w:bodyDiv w:val="1"/>
      <w:marLeft w:val="0"/>
      <w:marRight w:val="0"/>
      <w:marTop w:val="0"/>
      <w:marBottom w:val="0"/>
      <w:divBdr>
        <w:top w:val="none" w:sz="0" w:space="0" w:color="auto"/>
        <w:left w:val="none" w:sz="0" w:space="0" w:color="auto"/>
        <w:bottom w:val="none" w:sz="0" w:space="0" w:color="auto"/>
        <w:right w:val="none" w:sz="0" w:space="0" w:color="auto"/>
      </w:divBdr>
    </w:div>
    <w:div w:id="1833371813">
      <w:bodyDiv w:val="1"/>
      <w:marLeft w:val="0"/>
      <w:marRight w:val="0"/>
      <w:marTop w:val="0"/>
      <w:marBottom w:val="0"/>
      <w:divBdr>
        <w:top w:val="none" w:sz="0" w:space="0" w:color="auto"/>
        <w:left w:val="none" w:sz="0" w:space="0" w:color="auto"/>
        <w:bottom w:val="none" w:sz="0" w:space="0" w:color="auto"/>
        <w:right w:val="none" w:sz="0" w:space="0" w:color="auto"/>
      </w:divBdr>
      <w:divsChild>
        <w:div w:id="1981416478">
          <w:marLeft w:val="2317"/>
          <w:marRight w:val="2317"/>
          <w:marTop w:val="0"/>
          <w:marBottom w:val="0"/>
          <w:divBdr>
            <w:top w:val="none" w:sz="0" w:space="0" w:color="auto"/>
            <w:left w:val="none" w:sz="0" w:space="0" w:color="auto"/>
            <w:bottom w:val="none" w:sz="0" w:space="0" w:color="auto"/>
            <w:right w:val="none" w:sz="0" w:space="0" w:color="auto"/>
          </w:divBdr>
        </w:div>
      </w:divsChild>
    </w:div>
    <w:div w:id="1839154875">
      <w:bodyDiv w:val="1"/>
      <w:marLeft w:val="0"/>
      <w:marRight w:val="0"/>
      <w:marTop w:val="0"/>
      <w:marBottom w:val="0"/>
      <w:divBdr>
        <w:top w:val="none" w:sz="0" w:space="0" w:color="auto"/>
        <w:left w:val="none" w:sz="0" w:space="0" w:color="auto"/>
        <w:bottom w:val="none" w:sz="0" w:space="0" w:color="auto"/>
        <w:right w:val="none" w:sz="0" w:space="0" w:color="auto"/>
      </w:divBdr>
    </w:div>
    <w:div w:id="1876769208">
      <w:bodyDiv w:val="1"/>
      <w:marLeft w:val="0"/>
      <w:marRight w:val="0"/>
      <w:marTop w:val="0"/>
      <w:marBottom w:val="0"/>
      <w:divBdr>
        <w:top w:val="none" w:sz="0" w:space="0" w:color="auto"/>
        <w:left w:val="none" w:sz="0" w:space="0" w:color="auto"/>
        <w:bottom w:val="none" w:sz="0" w:space="0" w:color="auto"/>
        <w:right w:val="none" w:sz="0" w:space="0" w:color="auto"/>
      </w:divBdr>
    </w:div>
    <w:div w:id="1884900566">
      <w:bodyDiv w:val="1"/>
      <w:marLeft w:val="0"/>
      <w:marRight w:val="0"/>
      <w:marTop w:val="0"/>
      <w:marBottom w:val="0"/>
      <w:divBdr>
        <w:top w:val="none" w:sz="0" w:space="0" w:color="auto"/>
        <w:left w:val="none" w:sz="0" w:space="0" w:color="auto"/>
        <w:bottom w:val="none" w:sz="0" w:space="0" w:color="auto"/>
        <w:right w:val="none" w:sz="0" w:space="0" w:color="auto"/>
      </w:divBdr>
    </w:div>
    <w:div w:id="1896894864">
      <w:bodyDiv w:val="1"/>
      <w:marLeft w:val="0"/>
      <w:marRight w:val="0"/>
      <w:marTop w:val="0"/>
      <w:marBottom w:val="0"/>
      <w:divBdr>
        <w:top w:val="none" w:sz="0" w:space="0" w:color="auto"/>
        <w:left w:val="none" w:sz="0" w:space="0" w:color="auto"/>
        <w:bottom w:val="none" w:sz="0" w:space="0" w:color="auto"/>
        <w:right w:val="none" w:sz="0" w:space="0" w:color="auto"/>
      </w:divBdr>
    </w:div>
    <w:div w:id="1904944083">
      <w:bodyDiv w:val="1"/>
      <w:marLeft w:val="0"/>
      <w:marRight w:val="0"/>
      <w:marTop w:val="0"/>
      <w:marBottom w:val="0"/>
      <w:divBdr>
        <w:top w:val="none" w:sz="0" w:space="0" w:color="auto"/>
        <w:left w:val="none" w:sz="0" w:space="0" w:color="auto"/>
        <w:bottom w:val="none" w:sz="0" w:space="0" w:color="auto"/>
        <w:right w:val="none" w:sz="0" w:space="0" w:color="auto"/>
      </w:divBdr>
    </w:div>
    <w:div w:id="1964074720">
      <w:bodyDiv w:val="1"/>
      <w:marLeft w:val="0"/>
      <w:marRight w:val="0"/>
      <w:marTop w:val="0"/>
      <w:marBottom w:val="0"/>
      <w:divBdr>
        <w:top w:val="none" w:sz="0" w:space="0" w:color="auto"/>
        <w:left w:val="none" w:sz="0" w:space="0" w:color="auto"/>
        <w:bottom w:val="none" w:sz="0" w:space="0" w:color="auto"/>
        <w:right w:val="none" w:sz="0" w:space="0" w:color="auto"/>
      </w:divBdr>
      <w:divsChild>
        <w:div w:id="1947081566">
          <w:marLeft w:val="0"/>
          <w:marRight w:val="0"/>
          <w:marTop w:val="0"/>
          <w:marBottom w:val="0"/>
          <w:divBdr>
            <w:top w:val="none" w:sz="0" w:space="0" w:color="auto"/>
            <w:left w:val="none" w:sz="0" w:space="0" w:color="auto"/>
            <w:bottom w:val="none" w:sz="0" w:space="0" w:color="auto"/>
            <w:right w:val="none" w:sz="0" w:space="0" w:color="auto"/>
          </w:divBdr>
          <w:divsChild>
            <w:div w:id="2007899755">
              <w:marLeft w:val="0"/>
              <w:marRight w:val="0"/>
              <w:marTop w:val="0"/>
              <w:marBottom w:val="0"/>
              <w:divBdr>
                <w:top w:val="none" w:sz="0" w:space="0" w:color="auto"/>
                <w:left w:val="none" w:sz="0" w:space="0" w:color="auto"/>
                <w:bottom w:val="none" w:sz="0" w:space="0" w:color="auto"/>
                <w:right w:val="none" w:sz="0" w:space="0" w:color="auto"/>
              </w:divBdr>
              <w:divsChild>
                <w:div w:id="50888609">
                  <w:marLeft w:val="0"/>
                  <w:marRight w:val="150"/>
                  <w:marTop w:val="0"/>
                  <w:marBottom w:val="0"/>
                  <w:divBdr>
                    <w:top w:val="none" w:sz="0" w:space="0" w:color="auto"/>
                    <w:left w:val="none" w:sz="0" w:space="0" w:color="auto"/>
                    <w:bottom w:val="none" w:sz="0" w:space="0" w:color="auto"/>
                    <w:right w:val="none" w:sz="0" w:space="0" w:color="auto"/>
                  </w:divBdr>
                  <w:divsChild>
                    <w:div w:id="336469034">
                      <w:marLeft w:val="0"/>
                      <w:marRight w:val="0"/>
                      <w:marTop w:val="240"/>
                      <w:marBottom w:val="0"/>
                      <w:divBdr>
                        <w:top w:val="single" w:sz="6" w:space="11" w:color="DDDDDD"/>
                        <w:left w:val="single" w:sz="6" w:space="11" w:color="F0F0F0"/>
                        <w:bottom w:val="single" w:sz="6" w:space="11" w:color="FBFBFB"/>
                        <w:right w:val="single" w:sz="6" w:space="11" w:color="F0F0F0"/>
                      </w:divBdr>
                      <w:divsChild>
                        <w:div w:id="1619216554">
                          <w:blockQuote w:val="1"/>
                          <w:marLeft w:val="360"/>
                          <w:marRight w:val="0"/>
                          <w:marTop w:val="360"/>
                          <w:marBottom w:val="360"/>
                          <w:divBdr>
                            <w:top w:val="none" w:sz="0" w:space="0" w:color="auto"/>
                            <w:left w:val="none" w:sz="0" w:space="0" w:color="auto"/>
                            <w:bottom w:val="none" w:sz="0" w:space="0" w:color="auto"/>
                            <w:right w:val="none" w:sz="0" w:space="0" w:color="auto"/>
                          </w:divBdr>
                          <w:divsChild>
                            <w:div w:id="1486969274">
                              <w:blockQuote w:val="1"/>
                              <w:marLeft w:val="36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139929">
      <w:bodyDiv w:val="1"/>
      <w:marLeft w:val="0"/>
      <w:marRight w:val="0"/>
      <w:marTop w:val="0"/>
      <w:marBottom w:val="0"/>
      <w:divBdr>
        <w:top w:val="none" w:sz="0" w:space="0" w:color="auto"/>
        <w:left w:val="none" w:sz="0" w:space="0" w:color="auto"/>
        <w:bottom w:val="none" w:sz="0" w:space="0" w:color="auto"/>
        <w:right w:val="none" w:sz="0" w:space="0" w:color="auto"/>
      </w:divBdr>
    </w:div>
    <w:div w:id="2020347722">
      <w:bodyDiv w:val="1"/>
      <w:marLeft w:val="0"/>
      <w:marRight w:val="0"/>
      <w:marTop w:val="0"/>
      <w:marBottom w:val="0"/>
      <w:divBdr>
        <w:top w:val="none" w:sz="0" w:space="0" w:color="auto"/>
        <w:left w:val="none" w:sz="0" w:space="0" w:color="auto"/>
        <w:bottom w:val="none" w:sz="0" w:space="0" w:color="auto"/>
        <w:right w:val="none" w:sz="0" w:space="0" w:color="auto"/>
      </w:divBdr>
    </w:div>
    <w:div w:id="2020498806">
      <w:bodyDiv w:val="1"/>
      <w:marLeft w:val="0"/>
      <w:marRight w:val="0"/>
      <w:marTop w:val="0"/>
      <w:marBottom w:val="0"/>
      <w:divBdr>
        <w:top w:val="none" w:sz="0" w:space="0" w:color="auto"/>
        <w:left w:val="none" w:sz="0" w:space="0" w:color="auto"/>
        <w:bottom w:val="none" w:sz="0" w:space="0" w:color="auto"/>
        <w:right w:val="none" w:sz="0" w:space="0" w:color="auto"/>
      </w:divBdr>
    </w:div>
    <w:div w:id="2048094959">
      <w:bodyDiv w:val="1"/>
      <w:marLeft w:val="0"/>
      <w:marRight w:val="0"/>
      <w:marTop w:val="0"/>
      <w:marBottom w:val="0"/>
      <w:divBdr>
        <w:top w:val="none" w:sz="0" w:space="0" w:color="auto"/>
        <w:left w:val="none" w:sz="0" w:space="0" w:color="auto"/>
        <w:bottom w:val="none" w:sz="0" w:space="0" w:color="auto"/>
        <w:right w:val="none" w:sz="0" w:space="0" w:color="auto"/>
      </w:divBdr>
    </w:div>
    <w:div w:id="2048139406">
      <w:bodyDiv w:val="1"/>
      <w:marLeft w:val="0"/>
      <w:marRight w:val="0"/>
      <w:marTop w:val="0"/>
      <w:marBottom w:val="0"/>
      <w:divBdr>
        <w:top w:val="none" w:sz="0" w:space="0" w:color="auto"/>
        <w:left w:val="none" w:sz="0" w:space="0" w:color="auto"/>
        <w:bottom w:val="none" w:sz="0" w:space="0" w:color="auto"/>
        <w:right w:val="none" w:sz="0" w:space="0" w:color="auto"/>
      </w:divBdr>
    </w:div>
    <w:div w:id="2061393947">
      <w:bodyDiv w:val="1"/>
      <w:marLeft w:val="0"/>
      <w:marRight w:val="0"/>
      <w:marTop w:val="0"/>
      <w:marBottom w:val="0"/>
      <w:divBdr>
        <w:top w:val="none" w:sz="0" w:space="0" w:color="auto"/>
        <w:left w:val="none" w:sz="0" w:space="0" w:color="auto"/>
        <w:bottom w:val="none" w:sz="0" w:space="0" w:color="auto"/>
        <w:right w:val="none" w:sz="0" w:space="0" w:color="auto"/>
      </w:divBdr>
    </w:div>
    <w:div w:id="2065329153">
      <w:bodyDiv w:val="1"/>
      <w:marLeft w:val="0"/>
      <w:marRight w:val="0"/>
      <w:marTop w:val="0"/>
      <w:marBottom w:val="0"/>
      <w:divBdr>
        <w:top w:val="none" w:sz="0" w:space="0" w:color="auto"/>
        <w:left w:val="none" w:sz="0" w:space="0" w:color="auto"/>
        <w:bottom w:val="none" w:sz="0" w:space="0" w:color="auto"/>
        <w:right w:val="none" w:sz="0" w:space="0" w:color="auto"/>
      </w:divBdr>
    </w:div>
    <w:div w:id="2068259081">
      <w:bodyDiv w:val="1"/>
      <w:marLeft w:val="0"/>
      <w:marRight w:val="0"/>
      <w:marTop w:val="0"/>
      <w:marBottom w:val="0"/>
      <w:divBdr>
        <w:top w:val="none" w:sz="0" w:space="0" w:color="auto"/>
        <w:left w:val="none" w:sz="0" w:space="0" w:color="auto"/>
        <w:bottom w:val="none" w:sz="0" w:space="0" w:color="auto"/>
        <w:right w:val="none" w:sz="0" w:space="0" w:color="auto"/>
      </w:divBdr>
    </w:div>
    <w:div w:id="2074808909">
      <w:bodyDiv w:val="1"/>
      <w:marLeft w:val="0"/>
      <w:marRight w:val="0"/>
      <w:marTop w:val="0"/>
      <w:marBottom w:val="0"/>
      <w:divBdr>
        <w:top w:val="none" w:sz="0" w:space="0" w:color="auto"/>
        <w:left w:val="none" w:sz="0" w:space="0" w:color="auto"/>
        <w:bottom w:val="none" w:sz="0" w:space="0" w:color="auto"/>
        <w:right w:val="none" w:sz="0" w:space="0" w:color="auto"/>
      </w:divBdr>
    </w:div>
    <w:div w:id="2101636099">
      <w:bodyDiv w:val="1"/>
      <w:marLeft w:val="0"/>
      <w:marRight w:val="0"/>
      <w:marTop w:val="0"/>
      <w:marBottom w:val="0"/>
      <w:divBdr>
        <w:top w:val="none" w:sz="0" w:space="0" w:color="auto"/>
        <w:left w:val="none" w:sz="0" w:space="0" w:color="auto"/>
        <w:bottom w:val="none" w:sz="0" w:space="0" w:color="auto"/>
        <w:right w:val="none" w:sz="0" w:space="0" w:color="auto"/>
      </w:divBdr>
    </w:div>
    <w:div w:id="21452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chart" Target="charts/chart9.xml"/><Relationship Id="rId39" Type="http://schemas.openxmlformats.org/officeDocument/2006/relationships/theme" Target="theme/theme1.xml"/><Relationship Id="rId21" Type="http://schemas.openxmlformats.org/officeDocument/2006/relationships/chart" Target="charts/chart4.xml"/><Relationship Id="rId34" Type="http://schemas.openxmlformats.org/officeDocument/2006/relationships/chart" Target="charts/chart1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chart" Target="charts/chart1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image" Target="media/image6.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hart" Target="charts/chart7.xml"/><Relationship Id="rId32" Type="http://schemas.openxmlformats.org/officeDocument/2006/relationships/chart" Target="charts/chart13.xml"/><Relationship Id="rId37" Type="http://schemas.openxmlformats.org/officeDocument/2006/relationships/chart" Target="charts/chart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6.xml"/><Relationship Id="rId28" Type="http://schemas.openxmlformats.org/officeDocument/2006/relationships/image" Target="media/image7.png"/><Relationship Id="rId36" Type="http://schemas.openxmlformats.org/officeDocument/2006/relationships/chart" Target="charts/chart17.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chart" Target="charts/chart1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1.xml"/><Relationship Id="rId35" Type="http://schemas.openxmlformats.org/officeDocument/2006/relationships/chart" Target="charts/chart16.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Dropbox\NDP\A-Administration\T-Templates\Delta%20report%20&amp;%20proposal%20template%202013-0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NDP%20II%20MTR-ECONOMIC%20MGT\AGDP_Publication_Tables_FY-_Uganda-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NDP%20II%20MTR-ECONOMIC%20MGT\Approved%20Budget%20Estimates%20FY%202018-19%20-%20key%20tables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NDP%20II%20MTR-ECONOMIC%20MGT\Book3-%20budget%20accumulatio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MTIC\trade%20report\CPI_Inflation-Rates_BOU-Websit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MTIC\trade%20report\Balance-of-Payments_Analytical-BPM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NDP%20II%20MTR-ECONOMIC%20MGT\Credit-to-the-Private-Sector.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NDP%20II%20MTR-ECONOMIC%20MGT\Credit-to-the-Private-Sector.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MTIC\trade%20report\Data_Extract_From_World_Development_Indicator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NDP%20II%20MTR-ECONOMIC%20MGT\Interest_rat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NDP%20II%20MTR-ECONOMIC%20MGT\Expo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KeithJ\Keith's%20docs\Projects\NDP%20Uganda\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NDP%20II%20MTR-ECONOMIC%20MGT\GDP%20growth%20by%20secto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NDP%20II%20MTR-ECONOMIC%20MGT\Approved%20Budget%20Estimates%20FY%202018-19%20-%20key%20tab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NDP%20II%20MTR-ECONOMIC%20MGT\Approved%20Budget%20Estimates%20FY%202018-19%20-%20key%20tabl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NDP%20II%20MTR-ECONOMIC%20MGT\Approved%20Budget%20Estimates%20FY%202018-19%20-%20key%20tabl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NDP%20II%20MTR-ECONOMIC%20MGT\Approved%20Budget%20Estimates%20FY%202018-19%20-%20key%20tables1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NDP%20II%20MTR-ECONOMIC%20MGT\Approved%20Budget%20Estimates%20FY%202018-19%20-%20key%20tabl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NDP%20II%20MTR-ECONOMIC%20MGT\Background%20To%20The%20Budget%202018-19%20Data%20tables1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14646155935886"/>
          <c:y val="5.1455532285334005E-2"/>
          <c:w val="0.84971985205881018"/>
          <c:h val="0.6997328631273575"/>
        </c:manualLayout>
      </c:layout>
      <c:lineChart>
        <c:grouping val="standard"/>
        <c:varyColors val="0"/>
        <c:ser>
          <c:idx val="0"/>
          <c:order val="0"/>
          <c:tx>
            <c:strRef>
              <c:f>'U3 GDPK'!$B$48</c:f>
              <c:strCache>
                <c:ptCount val="1"/>
                <c:pt idx="0">
                  <c:v>GDP (% change) at constant prices</c:v>
                </c:pt>
              </c:strCache>
            </c:strRef>
          </c:tx>
          <c:marker>
            <c:symbol val="none"/>
          </c:marker>
          <c:cat>
            <c:strRef>
              <c:f>'U3 GDPK'!$C$47:$F$47</c:f>
              <c:strCache>
                <c:ptCount val="4"/>
                <c:pt idx="0">
                  <c:v>2014/15</c:v>
                </c:pt>
                <c:pt idx="1">
                  <c:v>2015/16</c:v>
                </c:pt>
                <c:pt idx="2">
                  <c:v>2016/17</c:v>
                </c:pt>
                <c:pt idx="3">
                  <c:v>2017/18</c:v>
                </c:pt>
              </c:strCache>
            </c:strRef>
          </c:cat>
          <c:val>
            <c:numRef>
              <c:f>'U3 GDPK'!$C$48:$F$48</c:f>
              <c:numCache>
                <c:formatCode>_-* #,##0.0_-;\-* #,##0.0_-;_-* "-"??_-;_-@_-</c:formatCode>
                <c:ptCount val="4"/>
                <c:pt idx="0">
                  <c:v>5.1878598625474579</c:v>
                </c:pt>
                <c:pt idx="1">
                  <c:v>4.7810002914463334</c:v>
                </c:pt>
                <c:pt idx="2">
                  <c:v>3.8630237568656116</c:v>
                </c:pt>
                <c:pt idx="3">
                  <c:v>6.0901445528844356</c:v>
                </c:pt>
              </c:numCache>
            </c:numRef>
          </c:val>
          <c:smooth val="1"/>
          <c:extLst>
            <c:ext xmlns:c16="http://schemas.microsoft.com/office/drawing/2014/chart" uri="{C3380CC4-5D6E-409C-BE32-E72D297353CC}">
              <c16:uniqueId val="{00000000-C27D-7F40-A122-AEC2B0B4C4C8}"/>
            </c:ext>
          </c:extLst>
        </c:ser>
        <c:ser>
          <c:idx val="1"/>
          <c:order val="1"/>
          <c:tx>
            <c:strRef>
              <c:f>'U3 GDPK'!$B$49</c:f>
              <c:strCache>
                <c:ptCount val="1"/>
                <c:pt idx="0">
                  <c:v>GDP (% change) at constant prices -NDP II projections</c:v>
                </c:pt>
              </c:strCache>
            </c:strRef>
          </c:tx>
          <c:marker>
            <c:symbol val="none"/>
          </c:marker>
          <c:cat>
            <c:strRef>
              <c:f>'U3 GDPK'!$C$47:$F$47</c:f>
              <c:strCache>
                <c:ptCount val="4"/>
                <c:pt idx="0">
                  <c:v>2014/15</c:v>
                </c:pt>
                <c:pt idx="1">
                  <c:v>2015/16</c:v>
                </c:pt>
                <c:pt idx="2">
                  <c:v>2016/17</c:v>
                </c:pt>
                <c:pt idx="3">
                  <c:v>2017/18</c:v>
                </c:pt>
              </c:strCache>
            </c:strRef>
          </c:cat>
          <c:val>
            <c:numRef>
              <c:f>'U3 GDPK'!$C$49:$F$49</c:f>
              <c:numCache>
                <c:formatCode>_-* #,##0.0_-;\-* #,##0.0_-;_-* "-"??_-;_-@_-</c:formatCode>
                <c:ptCount val="4"/>
                <c:pt idx="0">
                  <c:v>5.3</c:v>
                </c:pt>
                <c:pt idx="1">
                  <c:v>5.8</c:v>
                </c:pt>
                <c:pt idx="2">
                  <c:v>5.9</c:v>
                </c:pt>
                <c:pt idx="3">
                  <c:v>6.4</c:v>
                </c:pt>
              </c:numCache>
            </c:numRef>
          </c:val>
          <c:smooth val="1"/>
          <c:extLst>
            <c:ext xmlns:c16="http://schemas.microsoft.com/office/drawing/2014/chart" uri="{C3380CC4-5D6E-409C-BE32-E72D297353CC}">
              <c16:uniqueId val="{00000001-C27D-7F40-A122-AEC2B0B4C4C8}"/>
            </c:ext>
          </c:extLst>
        </c:ser>
        <c:dLbls>
          <c:showLegendKey val="0"/>
          <c:showVal val="0"/>
          <c:showCatName val="0"/>
          <c:showSerName val="0"/>
          <c:showPercent val="0"/>
          <c:showBubbleSize val="0"/>
        </c:dLbls>
        <c:dropLines/>
        <c:smooth val="0"/>
        <c:axId val="431559744"/>
        <c:axId val="431557000"/>
      </c:lineChart>
      <c:catAx>
        <c:axId val="431559744"/>
        <c:scaling>
          <c:orientation val="minMax"/>
        </c:scaling>
        <c:delete val="0"/>
        <c:axPos val="b"/>
        <c:numFmt formatCode="General" sourceLinked="0"/>
        <c:majorTickMark val="none"/>
        <c:minorTickMark val="none"/>
        <c:tickLblPos val="nextTo"/>
        <c:crossAx val="431557000"/>
        <c:crosses val="autoZero"/>
        <c:auto val="1"/>
        <c:lblAlgn val="ctr"/>
        <c:lblOffset val="100"/>
        <c:noMultiLvlLbl val="0"/>
      </c:catAx>
      <c:valAx>
        <c:axId val="431557000"/>
        <c:scaling>
          <c:orientation val="minMax"/>
          <c:min val="0"/>
        </c:scaling>
        <c:delete val="0"/>
        <c:axPos val="l"/>
        <c:title>
          <c:tx>
            <c:rich>
              <a:bodyPr/>
              <a:lstStyle/>
              <a:p>
                <a:pPr>
                  <a:defRPr/>
                </a:pPr>
                <a:r>
                  <a:rPr lang="en-US"/>
                  <a:t>GDP (%</a:t>
                </a:r>
                <a:r>
                  <a:rPr lang="en-US" baseline="0"/>
                  <a:t> change)</a:t>
                </a:r>
                <a:endParaRPr lang="en-US"/>
              </a:p>
            </c:rich>
          </c:tx>
          <c:layout>
            <c:manualLayout>
              <c:xMode val="edge"/>
              <c:yMode val="edge"/>
              <c:x val="1.7049714751426238E-2"/>
              <c:y val="0.17730795019157194"/>
            </c:manualLayout>
          </c:layout>
          <c:overlay val="0"/>
        </c:title>
        <c:numFmt formatCode="_-* #,##0.0_-;\-* #,##0.0_-;_-* &quot;-&quot;??_-;_-@_-" sourceLinked="1"/>
        <c:majorTickMark val="out"/>
        <c:minorTickMark val="none"/>
        <c:tickLblPos val="nextTo"/>
        <c:crossAx val="431559744"/>
        <c:crosses val="autoZero"/>
        <c:crossBetween val="between"/>
      </c:valAx>
      <c:spPr>
        <a:noFill/>
        <a:effectLst>
          <a:outerShdw blurRad="50800" dist="50800" dir="5400000" algn="ctr" rotWithShape="0">
            <a:schemeClr val="accent4">
              <a:lumMod val="20000"/>
              <a:lumOff val="80000"/>
            </a:schemeClr>
          </a:outerShdw>
        </a:effectLst>
      </c:spPr>
    </c:plotArea>
    <c:legend>
      <c:legendPos val="b"/>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393011614740189E-2"/>
          <c:y val="5.2021274554800184E-2"/>
          <c:w val="0.7996779208271465"/>
          <c:h val="0.76451857069122742"/>
        </c:manualLayout>
      </c:layout>
      <c:barChart>
        <c:barDir val="col"/>
        <c:grouping val="clustered"/>
        <c:varyColors val="0"/>
        <c:ser>
          <c:idx val="0"/>
          <c:order val="0"/>
          <c:tx>
            <c:strRef>
              <c:f>Sheet1!$J$83</c:f>
              <c:strCache>
                <c:ptCount val="1"/>
                <c:pt idx="0">
                  <c:v>      domestic Interest payments</c:v>
                </c:pt>
              </c:strCache>
            </c:strRef>
          </c:tx>
          <c:invertIfNegative val="0"/>
          <c:cat>
            <c:strRef>
              <c:f>Sheet1!$K$81:$N$81</c:f>
              <c:strCache>
                <c:ptCount val="4"/>
                <c:pt idx="0">
                  <c:v>2015/16</c:v>
                </c:pt>
                <c:pt idx="1">
                  <c:v>2016/17</c:v>
                </c:pt>
                <c:pt idx="2">
                  <c:v>2017/18</c:v>
                </c:pt>
                <c:pt idx="3">
                  <c:v>2018/19</c:v>
                </c:pt>
              </c:strCache>
            </c:strRef>
          </c:cat>
          <c:val>
            <c:numRef>
              <c:f>Sheet1!$K$83:$N$83</c:f>
              <c:numCache>
                <c:formatCode>#,##0</c:formatCode>
                <c:ptCount val="4"/>
                <c:pt idx="0">
                  <c:v>1469.7001177320001</c:v>
                </c:pt>
                <c:pt idx="1">
                  <c:v>1954</c:v>
                </c:pt>
                <c:pt idx="2" formatCode="#,##0_ ;\-#,##0\ ">
                  <c:v>1985.2642664319308</c:v>
                </c:pt>
                <c:pt idx="3" formatCode="#,##0_ ;\-#,##0\ ">
                  <c:v>2212.3999219736229</c:v>
                </c:pt>
              </c:numCache>
            </c:numRef>
          </c:val>
          <c:extLst>
            <c:ext xmlns:c16="http://schemas.microsoft.com/office/drawing/2014/chart" uri="{C3380CC4-5D6E-409C-BE32-E72D297353CC}">
              <c16:uniqueId val="{00000000-6F44-9F4C-82C7-B6AE9B18B207}"/>
            </c:ext>
          </c:extLst>
        </c:ser>
        <c:ser>
          <c:idx val="1"/>
          <c:order val="1"/>
          <c:tx>
            <c:strRef>
              <c:f>Sheet1!$J$84</c:f>
              <c:strCache>
                <c:ptCount val="1"/>
                <c:pt idx="0">
                  <c:v>      foreign Interest payments</c:v>
                </c:pt>
              </c:strCache>
            </c:strRef>
          </c:tx>
          <c:invertIfNegative val="0"/>
          <c:cat>
            <c:strRef>
              <c:f>Sheet1!$K$81:$N$81</c:f>
              <c:strCache>
                <c:ptCount val="4"/>
                <c:pt idx="0">
                  <c:v>2015/16</c:v>
                </c:pt>
                <c:pt idx="1">
                  <c:v>2016/17</c:v>
                </c:pt>
                <c:pt idx="2">
                  <c:v>2017/18</c:v>
                </c:pt>
                <c:pt idx="3">
                  <c:v>2018/19</c:v>
                </c:pt>
              </c:strCache>
            </c:strRef>
          </c:cat>
          <c:val>
            <c:numRef>
              <c:f>Sheet1!$K$84:$N$84</c:f>
              <c:numCache>
                <c:formatCode>#,##0</c:formatCode>
                <c:ptCount val="4"/>
                <c:pt idx="0">
                  <c:v>212.08599653270599</c:v>
                </c:pt>
                <c:pt idx="1">
                  <c:v>406.22698391048863</c:v>
                </c:pt>
                <c:pt idx="2" formatCode="#,##0_ ;\-#,##0\ ">
                  <c:v>662.95161966484739</c:v>
                </c:pt>
                <c:pt idx="3" formatCode="#,##0_ ;\-#,##0\ ">
                  <c:v>421.70870470240823</c:v>
                </c:pt>
              </c:numCache>
            </c:numRef>
          </c:val>
          <c:extLst>
            <c:ext xmlns:c16="http://schemas.microsoft.com/office/drawing/2014/chart" uri="{C3380CC4-5D6E-409C-BE32-E72D297353CC}">
              <c16:uniqueId val="{00000001-6F44-9F4C-82C7-B6AE9B18B207}"/>
            </c:ext>
          </c:extLst>
        </c:ser>
        <c:dLbls>
          <c:showLegendKey val="0"/>
          <c:showVal val="0"/>
          <c:showCatName val="0"/>
          <c:showSerName val="0"/>
          <c:showPercent val="0"/>
          <c:showBubbleSize val="0"/>
        </c:dLbls>
        <c:gapWidth val="150"/>
        <c:axId val="429403936"/>
        <c:axId val="429404720"/>
      </c:barChart>
      <c:catAx>
        <c:axId val="429403936"/>
        <c:scaling>
          <c:orientation val="minMax"/>
        </c:scaling>
        <c:delete val="0"/>
        <c:axPos val="b"/>
        <c:numFmt formatCode="General" sourceLinked="0"/>
        <c:majorTickMark val="out"/>
        <c:minorTickMark val="none"/>
        <c:tickLblPos val="nextTo"/>
        <c:crossAx val="429404720"/>
        <c:crosses val="autoZero"/>
        <c:auto val="1"/>
        <c:lblAlgn val="ctr"/>
        <c:lblOffset val="100"/>
        <c:noMultiLvlLbl val="0"/>
      </c:catAx>
      <c:valAx>
        <c:axId val="429404720"/>
        <c:scaling>
          <c:orientation val="minMax"/>
        </c:scaling>
        <c:delete val="0"/>
        <c:axPos val="l"/>
        <c:majorGridlines/>
        <c:numFmt formatCode="#,##0" sourceLinked="1"/>
        <c:majorTickMark val="out"/>
        <c:minorTickMark val="none"/>
        <c:tickLblPos val="nextTo"/>
        <c:crossAx val="429403936"/>
        <c:crosses val="autoZero"/>
        <c:crossBetween val="between"/>
      </c:valAx>
    </c:plotArea>
    <c:legend>
      <c:legendPos val="r"/>
      <c:layout>
        <c:manualLayout>
          <c:xMode val="edge"/>
          <c:yMode val="edge"/>
          <c:x val="4.2284582149162565E-2"/>
          <c:y val="0.91368963193486374"/>
          <c:w val="0.94441571452133266"/>
          <c:h val="8.279119328010183E-2"/>
        </c:manualLayout>
      </c:layout>
      <c:overlay val="0"/>
    </c:legend>
    <c:plotVisOnly val="1"/>
    <c:dispBlanksAs val="zero"/>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2209870824995"/>
          <c:y val="5.1400554097404488E-2"/>
          <c:w val="0.83199801005266494"/>
          <c:h val="0.7284669914794375"/>
        </c:manualLayout>
      </c:layout>
      <c:barChart>
        <c:barDir val="col"/>
        <c:grouping val="clustered"/>
        <c:varyColors val="0"/>
        <c:ser>
          <c:idx val="0"/>
          <c:order val="0"/>
          <c:tx>
            <c:strRef>
              <c:f>Sheet1!$A$4</c:f>
              <c:strCache>
                <c:ptCount val="1"/>
                <c:pt idx="0">
                  <c:v>Budget </c:v>
                </c:pt>
              </c:strCache>
            </c:strRef>
          </c:tx>
          <c:invertIfNegative val="0"/>
          <c:cat>
            <c:strRef>
              <c:f>Sheet1!$B$3:$E$3</c:f>
              <c:strCache>
                <c:ptCount val="4"/>
                <c:pt idx="0">
                  <c:v>2015/16</c:v>
                </c:pt>
                <c:pt idx="1">
                  <c:v>2016/17</c:v>
                </c:pt>
                <c:pt idx="2">
                  <c:v>2017/18</c:v>
                </c:pt>
                <c:pt idx="3">
                  <c:v>2015/16- 2017/18</c:v>
                </c:pt>
              </c:strCache>
            </c:strRef>
          </c:cat>
          <c:val>
            <c:numRef>
              <c:f>Sheet1!$B$4:$E$4</c:f>
              <c:numCache>
                <c:formatCode>#,##0</c:formatCode>
                <c:ptCount val="4"/>
                <c:pt idx="0">
                  <c:v>23972</c:v>
                </c:pt>
                <c:pt idx="1">
                  <c:v>26360</c:v>
                </c:pt>
                <c:pt idx="2">
                  <c:v>29008</c:v>
                </c:pt>
                <c:pt idx="3">
                  <c:v>79340</c:v>
                </c:pt>
              </c:numCache>
            </c:numRef>
          </c:val>
          <c:extLst>
            <c:ext xmlns:c16="http://schemas.microsoft.com/office/drawing/2014/chart" uri="{C3380CC4-5D6E-409C-BE32-E72D297353CC}">
              <c16:uniqueId val="{00000000-4A78-DD40-AA3B-DBD6851B9D4F}"/>
            </c:ext>
          </c:extLst>
        </c:ser>
        <c:ser>
          <c:idx val="1"/>
          <c:order val="1"/>
          <c:tx>
            <c:strRef>
              <c:f>Sheet1!$A$5</c:f>
              <c:strCache>
                <c:ptCount val="1"/>
                <c:pt idx="0">
                  <c:v>Actual Expenditures</c:v>
                </c:pt>
              </c:strCache>
            </c:strRef>
          </c:tx>
          <c:invertIfNegative val="0"/>
          <c:cat>
            <c:strRef>
              <c:f>Sheet1!$B$3:$E$3</c:f>
              <c:strCache>
                <c:ptCount val="4"/>
                <c:pt idx="0">
                  <c:v>2015/16</c:v>
                </c:pt>
                <c:pt idx="1">
                  <c:v>2016/17</c:v>
                </c:pt>
                <c:pt idx="2">
                  <c:v>2017/18</c:v>
                </c:pt>
                <c:pt idx="3">
                  <c:v>2015/16- 2017/18</c:v>
                </c:pt>
              </c:strCache>
            </c:strRef>
          </c:cat>
          <c:val>
            <c:numRef>
              <c:f>Sheet1!$B$5:$E$5</c:f>
              <c:numCache>
                <c:formatCode>#,##0</c:formatCode>
                <c:ptCount val="4"/>
                <c:pt idx="0">
                  <c:v>16726.865287461671</c:v>
                </c:pt>
                <c:pt idx="1">
                  <c:v>17437.460943793925</c:v>
                </c:pt>
                <c:pt idx="2" formatCode="#,##0_ ;\-#,##0\ ">
                  <c:v>20450.198523441202</c:v>
                </c:pt>
                <c:pt idx="3">
                  <c:v>54614.524754696657</c:v>
                </c:pt>
              </c:numCache>
            </c:numRef>
          </c:val>
          <c:extLst>
            <c:ext xmlns:c16="http://schemas.microsoft.com/office/drawing/2014/chart" uri="{C3380CC4-5D6E-409C-BE32-E72D297353CC}">
              <c16:uniqueId val="{00000001-4A78-DD40-AA3B-DBD6851B9D4F}"/>
            </c:ext>
          </c:extLst>
        </c:ser>
        <c:dLbls>
          <c:showLegendKey val="0"/>
          <c:showVal val="0"/>
          <c:showCatName val="0"/>
          <c:showSerName val="0"/>
          <c:showPercent val="0"/>
          <c:showBubbleSize val="0"/>
        </c:dLbls>
        <c:gapWidth val="40"/>
        <c:axId val="429407464"/>
        <c:axId val="429409816"/>
      </c:barChart>
      <c:catAx>
        <c:axId val="429407464"/>
        <c:scaling>
          <c:orientation val="minMax"/>
        </c:scaling>
        <c:delete val="0"/>
        <c:axPos val="b"/>
        <c:numFmt formatCode="General" sourceLinked="0"/>
        <c:majorTickMark val="none"/>
        <c:minorTickMark val="none"/>
        <c:tickLblPos val="nextTo"/>
        <c:crossAx val="429409816"/>
        <c:crosses val="autoZero"/>
        <c:auto val="1"/>
        <c:lblAlgn val="ctr"/>
        <c:lblOffset val="100"/>
        <c:noMultiLvlLbl val="0"/>
      </c:catAx>
      <c:valAx>
        <c:axId val="429409816"/>
        <c:scaling>
          <c:orientation val="minMax"/>
        </c:scaling>
        <c:delete val="0"/>
        <c:axPos val="l"/>
        <c:title>
          <c:tx>
            <c:rich>
              <a:bodyPr/>
              <a:lstStyle/>
              <a:p>
                <a:pPr>
                  <a:defRPr/>
                </a:pPr>
                <a:r>
                  <a:rPr lang="en-US"/>
                  <a:t>Uganda shs (Trillion)</a:t>
                </a:r>
              </a:p>
            </c:rich>
          </c:tx>
          <c:layout>
            <c:manualLayout>
              <c:xMode val="edge"/>
              <c:yMode val="edge"/>
              <c:x val="1.4328958880139979E-2"/>
              <c:y val="0.28632436570429409"/>
            </c:manualLayout>
          </c:layout>
          <c:overlay val="0"/>
        </c:title>
        <c:numFmt formatCode="#,##0" sourceLinked="1"/>
        <c:majorTickMark val="out"/>
        <c:minorTickMark val="none"/>
        <c:tickLblPos val="nextTo"/>
        <c:crossAx val="429407464"/>
        <c:crosses val="autoZero"/>
        <c:crossBetween val="between"/>
      </c:valAx>
    </c:plotArea>
    <c:legend>
      <c:legendPos val="r"/>
      <c:layout>
        <c:manualLayout>
          <c:xMode val="edge"/>
          <c:yMode val="edge"/>
          <c:x val="0.18562642169728791"/>
          <c:y val="0.90589666027816962"/>
          <c:w val="0.49929185322422931"/>
          <c:h val="9.4103339721831006E-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16035550842794"/>
          <c:y val="5.3653729071537294E-2"/>
          <c:w val="0.82739790294675741"/>
          <c:h val="0.65742043457171784"/>
        </c:manualLayout>
      </c:layout>
      <c:lineChart>
        <c:grouping val="standard"/>
        <c:varyColors val="0"/>
        <c:ser>
          <c:idx val="0"/>
          <c:order val="0"/>
          <c:tx>
            <c:strRef>
              <c:f>'Decomposed 2009_10'!$EV$31</c:f>
              <c:strCache>
                <c:ptCount val="1"/>
                <c:pt idx="0">
                  <c:v>Food crops and Related Items</c:v>
                </c:pt>
              </c:strCache>
            </c:strRef>
          </c:tx>
          <c:marker>
            <c:symbol val="none"/>
          </c:marker>
          <c:cat>
            <c:strRef>
              <c:f>'Decomposed 2009_10'!$EW$30:$FD$30</c:f>
              <c:strCache>
                <c:ptCount val="8"/>
                <c:pt idx="0">
                  <c:v>2010/11</c:v>
                </c:pt>
                <c:pt idx="1">
                  <c:v>2011/12</c:v>
                </c:pt>
                <c:pt idx="2">
                  <c:v>2012/13</c:v>
                </c:pt>
                <c:pt idx="3">
                  <c:v>2013/14</c:v>
                </c:pt>
                <c:pt idx="4">
                  <c:v>2014/15</c:v>
                </c:pt>
                <c:pt idx="5">
                  <c:v>2015/16</c:v>
                </c:pt>
                <c:pt idx="6">
                  <c:v>2016/17</c:v>
                </c:pt>
                <c:pt idx="7">
                  <c:v>2017/18</c:v>
                </c:pt>
              </c:strCache>
            </c:strRef>
          </c:cat>
          <c:val>
            <c:numRef>
              <c:f>'Decomposed 2009_10'!$EW$31:$FD$31</c:f>
              <c:numCache>
                <c:formatCode>#,##0.0</c:formatCode>
                <c:ptCount val="8"/>
                <c:pt idx="0">
                  <c:v>11.490693624239531</c:v>
                </c:pt>
                <c:pt idx="1">
                  <c:v>27.616274196711291</c:v>
                </c:pt>
                <c:pt idx="2">
                  <c:v>0.77412405001742501</c:v>
                </c:pt>
                <c:pt idx="3">
                  <c:v>13.20240302859073</c:v>
                </c:pt>
                <c:pt idx="4">
                  <c:v>1.4276178332745271</c:v>
                </c:pt>
                <c:pt idx="5">
                  <c:v>5.9235598744288405</c:v>
                </c:pt>
                <c:pt idx="6">
                  <c:v>12.46857992680142</c:v>
                </c:pt>
                <c:pt idx="7">
                  <c:v>3.5387378955051711</c:v>
                </c:pt>
              </c:numCache>
            </c:numRef>
          </c:val>
          <c:smooth val="1"/>
          <c:extLst>
            <c:ext xmlns:c16="http://schemas.microsoft.com/office/drawing/2014/chart" uri="{C3380CC4-5D6E-409C-BE32-E72D297353CC}">
              <c16:uniqueId val="{00000000-E670-6742-9D30-44730F2F6B21}"/>
            </c:ext>
          </c:extLst>
        </c:ser>
        <c:ser>
          <c:idx val="1"/>
          <c:order val="1"/>
          <c:tx>
            <c:strRef>
              <c:f>'Decomposed 2009_10'!$EV$32</c:f>
              <c:strCache>
                <c:ptCount val="1"/>
                <c:pt idx="0">
                  <c:v>Core</c:v>
                </c:pt>
              </c:strCache>
            </c:strRef>
          </c:tx>
          <c:marker>
            <c:symbol val="none"/>
          </c:marker>
          <c:cat>
            <c:strRef>
              <c:f>'Decomposed 2009_10'!$EW$30:$FD$30</c:f>
              <c:strCache>
                <c:ptCount val="8"/>
                <c:pt idx="0">
                  <c:v>2010/11</c:v>
                </c:pt>
                <c:pt idx="1">
                  <c:v>2011/12</c:v>
                </c:pt>
                <c:pt idx="2">
                  <c:v>2012/13</c:v>
                </c:pt>
                <c:pt idx="3">
                  <c:v>2013/14</c:v>
                </c:pt>
                <c:pt idx="4">
                  <c:v>2014/15</c:v>
                </c:pt>
                <c:pt idx="5">
                  <c:v>2015/16</c:v>
                </c:pt>
                <c:pt idx="6">
                  <c:v>2016/17</c:v>
                </c:pt>
                <c:pt idx="7">
                  <c:v>2017/18</c:v>
                </c:pt>
              </c:strCache>
            </c:strRef>
          </c:cat>
          <c:val>
            <c:numRef>
              <c:f>'Decomposed 2009_10'!$EW$32:$FD$32</c:f>
              <c:numCache>
                <c:formatCode>#,##0.0</c:formatCode>
                <c:ptCount val="8"/>
                <c:pt idx="0">
                  <c:v>6.5340874436492875</c:v>
                </c:pt>
                <c:pt idx="1">
                  <c:v>18.912123110894495</c:v>
                </c:pt>
                <c:pt idx="2">
                  <c:v>5.4426206427784409</c:v>
                </c:pt>
                <c:pt idx="3">
                  <c:v>4.6693505737450645</c:v>
                </c:pt>
                <c:pt idx="4">
                  <c:v>3.2056643656936417</c:v>
                </c:pt>
                <c:pt idx="5">
                  <c:v>6.6754162296349255</c:v>
                </c:pt>
                <c:pt idx="6">
                  <c:v>5.1320353853876712</c:v>
                </c:pt>
                <c:pt idx="7">
                  <c:v>2.6879766116938879</c:v>
                </c:pt>
              </c:numCache>
            </c:numRef>
          </c:val>
          <c:smooth val="1"/>
          <c:extLst>
            <c:ext xmlns:c16="http://schemas.microsoft.com/office/drawing/2014/chart" uri="{C3380CC4-5D6E-409C-BE32-E72D297353CC}">
              <c16:uniqueId val="{00000001-E670-6742-9D30-44730F2F6B21}"/>
            </c:ext>
          </c:extLst>
        </c:ser>
        <c:ser>
          <c:idx val="2"/>
          <c:order val="2"/>
          <c:tx>
            <c:strRef>
              <c:f>'Decomposed 2009_10'!$EV$33</c:f>
              <c:strCache>
                <c:ptCount val="1"/>
                <c:pt idx="0">
                  <c:v>Energy Fuel and Utilities</c:v>
                </c:pt>
              </c:strCache>
            </c:strRef>
          </c:tx>
          <c:marker>
            <c:symbol val="none"/>
          </c:marker>
          <c:cat>
            <c:strRef>
              <c:f>'Decomposed 2009_10'!$EW$30:$FD$30</c:f>
              <c:strCache>
                <c:ptCount val="8"/>
                <c:pt idx="0">
                  <c:v>2010/11</c:v>
                </c:pt>
                <c:pt idx="1">
                  <c:v>2011/12</c:v>
                </c:pt>
                <c:pt idx="2">
                  <c:v>2012/13</c:v>
                </c:pt>
                <c:pt idx="3">
                  <c:v>2013/14</c:v>
                </c:pt>
                <c:pt idx="4">
                  <c:v>2014/15</c:v>
                </c:pt>
                <c:pt idx="5">
                  <c:v>2015/16</c:v>
                </c:pt>
                <c:pt idx="6">
                  <c:v>2016/17</c:v>
                </c:pt>
                <c:pt idx="7">
                  <c:v>2017/18</c:v>
                </c:pt>
              </c:strCache>
            </c:strRef>
          </c:cat>
          <c:val>
            <c:numRef>
              <c:f>'Decomposed 2009_10'!$EW$33:$FD$33</c:f>
              <c:numCache>
                <c:formatCode>#,##0.0</c:formatCode>
                <c:ptCount val="8"/>
                <c:pt idx="0">
                  <c:v>7.5033595458648934</c:v>
                </c:pt>
                <c:pt idx="1">
                  <c:v>32.393676065650794</c:v>
                </c:pt>
                <c:pt idx="2">
                  <c:v>6.1380840428660655</c:v>
                </c:pt>
                <c:pt idx="3">
                  <c:v>1.9802327593150582</c:v>
                </c:pt>
                <c:pt idx="4">
                  <c:v>1.7576405232338121</c:v>
                </c:pt>
                <c:pt idx="5">
                  <c:v>6.7152069767648337</c:v>
                </c:pt>
                <c:pt idx="6">
                  <c:v>2.1597887501169892</c:v>
                </c:pt>
                <c:pt idx="7">
                  <c:v>11.131771594965818</c:v>
                </c:pt>
              </c:numCache>
            </c:numRef>
          </c:val>
          <c:smooth val="1"/>
          <c:extLst>
            <c:ext xmlns:c16="http://schemas.microsoft.com/office/drawing/2014/chart" uri="{C3380CC4-5D6E-409C-BE32-E72D297353CC}">
              <c16:uniqueId val="{00000002-E670-6742-9D30-44730F2F6B21}"/>
            </c:ext>
          </c:extLst>
        </c:ser>
        <c:ser>
          <c:idx val="3"/>
          <c:order val="3"/>
          <c:tx>
            <c:strRef>
              <c:f>'Decomposed 2009_10'!$EV$34</c:f>
              <c:strCache>
                <c:ptCount val="1"/>
                <c:pt idx="0">
                  <c:v>All Items Index</c:v>
                </c:pt>
              </c:strCache>
            </c:strRef>
          </c:tx>
          <c:marker>
            <c:symbol val="none"/>
          </c:marker>
          <c:cat>
            <c:strRef>
              <c:f>'Decomposed 2009_10'!$EW$30:$FD$30</c:f>
              <c:strCache>
                <c:ptCount val="8"/>
                <c:pt idx="0">
                  <c:v>2010/11</c:v>
                </c:pt>
                <c:pt idx="1">
                  <c:v>2011/12</c:v>
                </c:pt>
                <c:pt idx="2">
                  <c:v>2012/13</c:v>
                </c:pt>
                <c:pt idx="3">
                  <c:v>2013/14</c:v>
                </c:pt>
                <c:pt idx="4">
                  <c:v>2014/15</c:v>
                </c:pt>
                <c:pt idx="5">
                  <c:v>2015/16</c:v>
                </c:pt>
                <c:pt idx="6">
                  <c:v>2016/17</c:v>
                </c:pt>
                <c:pt idx="7">
                  <c:v>2017/18</c:v>
                </c:pt>
              </c:strCache>
            </c:strRef>
          </c:cat>
          <c:val>
            <c:numRef>
              <c:f>'Decomposed 2009_10'!$EW$34:$FD$34</c:f>
              <c:numCache>
                <c:formatCode>#,##0.0</c:formatCode>
                <c:ptCount val="8"/>
                <c:pt idx="0">
                  <c:v>7.0386445769024055</c:v>
                </c:pt>
                <c:pt idx="1">
                  <c:v>20.844032418326929</c:v>
                </c:pt>
                <c:pt idx="2">
                  <c:v>4.9034736823604534</c:v>
                </c:pt>
                <c:pt idx="3">
                  <c:v>5.3287576033091719</c:v>
                </c:pt>
                <c:pt idx="4">
                  <c:v>2.8828290471643672</c:v>
                </c:pt>
                <c:pt idx="5">
                  <c:v>6.5602661025714903</c:v>
                </c:pt>
                <c:pt idx="6">
                  <c:v>5.6808041811241434</c:v>
                </c:pt>
                <c:pt idx="7">
                  <c:v>3.4272557167918181</c:v>
                </c:pt>
              </c:numCache>
            </c:numRef>
          </c:val>
          <c:smooth val="1"/>
          <c:extLst>
            <c:ext xmlns:c16="http://schemas.microsoft.com/office/drawing/2014/chart" uri="{C3380CC4-5D6E-409C-BE32-E72D297353CC}">
              <c16:uniqueId val="{00000003-E670-6742-9D30-44730F2F6B21}"/>
            </c:ext>
          </c:extLst>
        </c:ser>
        <c:dLbls>
          <c:showLegendKey val="0"/>
          <c:showVal val="0"/>
          <c:showCatName val="0"/>
          <c:showSerName val="0"/>
          <c:showPercent val="0"/>
          <c:showBubbleSize val="0"/>
        </c:dLbls>
        <c:dropLines/>
        <c:smooth val="0"/>
        <c:axId val="429407856"/>
        <c:axId val="429409032"/>
      </c:lineChart>
      <c:catAx>
        <c:axId val="429407856"/>
        <c:scaling>
          <c:orientation val="minMax"/>
        </c:scaling>
        <c:delete val="0"/>
        <c:axPos val="b"/>
        <c:numFmt formatCode="General" sourceLinked="0"/>
        <c:majorTickMark val="none"/>
        <c:minorTickMark val="none"/>
        <c:tickLblPos val="nextTo"/>
        <c:crossAx val="429409032"/>
        <c:crosses val="autoZero"/>
        <c:auto val="1"/>
        <c:lblAlgn val="ctr"/>
        <c:lblOffset val="100"/>
        <c:noMultiLvlLbl val="0"/>
      </c:catAx>
      <c:valAx>
        <c:axId val="429409032"/>
        <c:scaling>
          <c:orientation val="minMax"/>
        </c:scaling>
        <c:delete val="0"/>
        <c:axPos val="l"/>
        <c:majorGridlines/>
        <c:title>
          <c:tx>
            <c:rich>
              <a:bodyPr/>
              <a:lstStyle/>
              <a:p>
                <a:pPr>
                  <a:defRPr/>
                </a:pPr>
                <a:r>
                  <a:rPr lang="en-US"/>
                  <a:t>Annual Inflation rate</a:t>
                </a:r>
              </a:p>
            </c:rich>
          </c:tx>
          <c:overlay val="0"/>
        </c:title>
        <c:numFmt formatCode="#,##0.0" sourceLinked="1"/>
        <c:majorTickMark val="out"/>
        <c:minorTickMark val="none"/>
        <c:tickLblPos val="nextTo"/>
        <c:crossAx val="429407856"/>
        <c:crosses val="autoZero"/>
        <c:crossBetween val="between"/>
      </c:valAx>
      <c:spPr>
        <a:noFill/>
      </c:spPr>
    </c:plotArea>
    <c:legend>
      <c:legendPos val="r"/>
      <c:layout>
        <c:manualLayout>
          <c:xMode val="edge"/>
          <c:yMode val="edge"/>
          <c:x val="7.7008807376101232E-2"/>
          <c:y val="0.87543094680512601"/>
          <c:w val="0.90527280527960707"/>
          <c:h val="9.9654981771145748E-2"/>
        </c:manualLayout>
      </c:layout>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6072087413084"/>
          <c:y val="0.16475665428659858"/>
          <c:w val="0.74278114800624351"/>
          <c:h val="0.57412062828845911"/>
        </c:manualLayout>
      </c:layout>
      <c:lineChart>
        <c:grouping val="standard"/>
        <c:varyColors val="0"/>
        <c:ser>
          <c:idx val="0"/>
          <c:order val="0"/>
          <c:tx>
            <c:strRef>
              <c:f>Sheet1!$B$2</c:f>
              <c:strCache>
                <c:ptCount val="1"/>
                <c:pt idx="0">
                  <c:v>Average exchange rate (UShs per 1 US$)</c:v>
                </c:pt>
              </c:strCache>
            </c:strRef>
          </c:tx>
          <c:marker>
            <c:symbol val="none"/>
          </c:marker>
          <c:cat>
            <c:strRef>
              <c:f>Sheet1!$C$1:$J$1</c:f>
              <c:strCache>
                <c:ptCount val="8"/>
                <c:pt idx="0">
                  <c:v>2010/11</c:v>
                </c:pt>
                <c:pt idx="1">
                  <c:v>2011/12</c:v>
                </c:pt>
                <c:pt idx="2">
                  <c:v>2012/13</c:v>
                </c:pt>
                <c:pt idx="3">
                  <c:v>2013/14</c:v>
                </c:pt>
                <c:pt idx="4">
                  <c:v>2014/15</c:v>
                </c:pt>
                <c:pt idx="5">
                  <c:v>2015/16</c:v>
                </c:pt>
                <c:pt idx="6">
                  <c:v>2016/17</c:v>
                </c:pt>
                <c:pt idx="7">
                  <c:v>2017/18</c:v>
                </c:pt>
              </c:strCache>
            </c:strRef>
          </c:cat>
          <c:val>
            <c:numRef>
              <c:f>Sheet1!$C$2:$J$2</c:f>
              <c:numCache>
                <c:formatCode>#,##0.0</c:formatCode>
                <c:ptCount val="8"/>
                <c:pt idx="0">
                  <c:v>2323.4309814212447</c:v>
                </c:pt>
                <c:pt idx="1">
                  <c:v>2559.1205440517297</c:v>
                </c:pt>
                <c:pt idx="2">
                  <c:v>2591.1160875269588</c:v>
                </c:pt>
                <c:pt idx="3">
                  <c:v>2538.3389528160783</c:v>
                </c:pt>
                <c:pt idx="4">
                  <c:v>2823.2195911499707</c:v>
                </c:pt>
                <c:pt idx="5">
                  <c:v>3442.9570270296699</c:v>
                </c:pt>
                <c:pt idx="6">
                  <c:v>3528.3</c:v>
                </c:pt>
                <c:pt idx="7">
                  <c:v>3658.7220579999998</c:v>
                </c:pt>
              </c:numCache>
            </c:numRef>
          </c:val>
          <c:smooth val="1"/>
          <c:extLst>
            <c:ext xmlns:c16="http://schemas.microsoft.com/office/drawing/2014/chart" uri="{C3380CC4-5D6E-409C-BE32-E72D297353CC}">
              <c16:uniqueId val="{00000000-7BEF-D34B-AE2A-B8555789BD54}"/>
            </c:ext>
          </c:extLst>
        </c:ser>
        <c:dLbls>
          <c:showLegendKey val="0"/>
          <c:showVal val="0"/>
          <c:showCatName val="0"/>
          <c:showSerName val="0"/>
          <c:showPercent val="0"/>
          <c:showBubbleSize val="0"/>
        </c:dLbls>
        <c:smooth val="0"/>
        <c:axId val="429404328"/>
        <c:axId val="429405112"/>
      </c:lineChart>
      <c:catAx>
        <c:axId val="429404328"/>
        <c:scaling>
          <c:orientation val="minMax"/>
        </c:scaling>
        <c:delete val="0"/>
        <c:axPos val="b"/>
        <c:numFmt formatCode="General" sourceLinked="0"/>
        <c:majorTickMark val="none"/>
        <c:minorTickMark val="none"/>
        <c:tickLblPos val="nextTo"/>
        <c:crossAx val="429405112"/>
        <c:crosses val="autoZero"/>
        <c:auto val="1"/>
        <c:lblAlgn val="ctr"/>
        <c:lblOffset val="100"/>
        <c:noMultiLvlLbl val="0"/>
      </c:catAx>
      <c:valAx>
        <c:axId val="429405112"/>
        <c:scaling>
          <c:orientation val="minMax"/>
          <c:max val="3750"/>
          <c:min val="2200"/>
        </c:scaling>
        <c:delete val="0"/>
        <c:axPos val="l"/>
        <c:majorGridlines/>
        <c:title>
          <c:tx>
            <c:rich>
              <a:bodyPr/>
              <a:lstStyle/>
              <a:p>
                <a:pPr>
                  <a:defRPr/>
                </a:pPr>
                <a:r>
                  <a:rPr lang="en-US"/>
                  <a:t>Exchange rate</a:t>
                </a:r>
              </a:p>
            </c:rich>
          </c:tx>
          <c:overlay val="0"/>
        </c:title>
        <c:numFmt formatCode="#,##0.0" sourceLinked="1"/>
        <c:majorTickMark val="none"/>
        <c:minorTickMark val="none"/>
        <c:tickLblPos val="nextTo"/>
        <c:crossAx val="429404328"/>
        <c:crosses val="autoZero"/>
        <c:crossBetween val="between"/>
      </c:valAx>
    </c:plotArea>
    <c:legend>
      <c:legendPos val="r"/>
      <c:layout>
        <c:manualLayout>
          <c:xMode val="edge"/>
          <c:yMode val="edge"/>
          <c:x val="0.26937154108131117"/>
          <c:y val="0.88880261528938465"/>
          <c:w val="0.71711206896551727"/>
          <c:h val="7.9428195605075816E-2"/>
        </c:manualLayout>
      </c:layout>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15366204878812"/>
          <c:y val="5.1400554097404488E-2"/>
          <c:w val="0.83429072705954765"/>
          <c:h val="0.71382728200641665"/>
        </c:manualLayout>
      </c:layout>
      <c:lineChart>
        <c:grouping val="standard"/>
        <c:varyColors val="0"/>
        <c:ser>
          <c:idx val="0"/>
          <c:order val="0"/>
          <c:tx>
            <c:strRef>
              <c:f>Sheet2!$B$24</c:f>
              <c:strCache>
                <c:ptCount val="1"/>
                <c:pt idx="0">
                  <c:v>Credit to private sector (% of GDP)</c:v>
                </c:pt>
              </c:strCache>
            </c:strRef>
          </c:tx>
          <c:marker>
            <c:symbol val="none"/>
          </c:marker>
          <c:cat>
            <c:numRef>
              <c:f>Sheet2!$C$23:$K$23</c:f>
              <c:numCache>
                <c:formatCode>[$-409]mmm\-yy;@</c:formatCode>
                <c:ptCount val="9"/>
                <c:pt idx="0">
                  <c:v>40330</c:v>
                </c:pt>
                <c:pt idx="1">
                  <c:v>40695</c:v>
                </c:pt>
                <c:pt idx="2">
                  <c:v>41061</c:v>
                </c:pt>
                <c:pt idx="3">
                  <c:v>41426</c:v>
                </c:pt>
                <c:pt idx="4">
                  <c:v>41791</c:v>
                </c:pt>
                <c:pt idx="5">
                  <c:v>42157</c:v>
                </c:pt>
                <c:pt idx="6">
                  <c:v>42522</c:v>
                </c:pt>
                <c:pt idx="7">
                  <c:v>42887</c:v>
                </c:pt>
                <c:pt idx="8">
                  <c:v>43253</c:v>
                </c:pt>
              </c:numCache>
            </c:numRef>
          </c:cat>
          <c:val>
            <c:numRef>
              <c:f>Sheet2!$C$24:$K$24</c:f>
              <c:numCache>
                <c:formatCode>#,##0.00_);\(#,##0.00\)</c:formatCode>
                <c:ptCount val="9"/>
                <c:pt idx="0">
                  <c:v>11.491020867060284</c:v>
                </c:pt>
                <c:pt idx="1">
                  <c:v>15.052481564620438</c:v>
                </c:pt>
                <c:pt idx="2">
                  <c:v>16.12756770457743</c:v>
                </c:pt>
                <c:pt idx="3">
                  <c:v>16.608262803908129</c:v>
                </c:pt>
                <c:pt idx="4">
                  <c:v>18.026052655062902</c:v>
                </c:pt>
                <c:pt idx="5">
                  <c:v>20.598547073495254</c:v>
                </c:pt>
                <c:pt idx="6">
                  <c:v>20.526375549783189</c:v>
                </c:pt>
                <c:pt idx="7">
                  <c:v>20.899856145323639</c:v>
                </c:pt>
                <c:pt idx="8">
                  <c:v>21.791192872868884</c:v>
                </c:pt>
              </c:numCache>
            </c:numRef>
          </c:val>
          <c:smooth val="0"/>
          <c:extLst>
            <c:ext xmlns:c16="http://schemas.microsoft.com/office/drawing/2014/chart" uri="{C3380CC4-5D6E-409C-BE32-E72D297353CC}">
              <c16:uniqueId val="{00000000-BC29-EE47-88A2-C0EDBC082F17}"/>
            </c:ext>
          </c:extLst>
        </c:ser>
        <c:dLbls>
          <c:showLegendKey val="0"/>
          <c:showVal val="0"/>
          <c:showCatName val="0"/>
          <c:showSerName val="0"/>
          <c:showPercent val="0"/>
          <c:showBubbleSize val="0"/>
        </c:dLbls>
        <c:dropLines/>
        <c:smooth val="0"/>
        <c:axId val="429406680"/>
        <c:axId val="429408248"/>
      </c:lineChart>
      <c:dateAx>
        <c:axId val="429406680"/>
        <c:scaling>
          <c:orientation val="minMax"/>
        </c:scaling>
        <c:delete val="0"/>
        <c:axPos val="b"/>
        <c:numFmt formatCode="[$-409]mmm\-yy;@" sourceLinked="1"/>
        <c:majorTickMark val="none"/>
        <c:minorTickMark val="none"/>
        <c:tickLblPos val="nextTo"/>
        <c:crossAx val="429408248"/>
        <c:crosses val="autoZero"/>
        <c:auto val="1"/>
        <c:lblOffset val="100"/>
        <c:baseTimeUnit val="years"/>
      </c:dateAx>
      <c:valAx>
        <c:axId val="429408248"/>
        <c:scaling>
          <c:orientation val="minMax"/>
        </c:scaling>
        <c:delete val="0"/>
        <c:axPos val="l"/>
        <c:majorGridlines/>
        <c:title>
          <c:tx>
            <c:rich>
              <a:bodyPr/>
              <a:lstStyle/>
              <a:p>
                <a:pPr>
                  <a:defRPr/>
                </a:pPr>
                <a:r>
                  <a:rPr lang="en-US"/>
                  <a:t>percentage</a:t>
                </a:r>
              </a:p>
            </c:rich>
          </c:tx>
          <c:layout>
            <c:manualLayout>
              <c:xMode val="edge"/>
              <c:yMode val="edge"/>
              <c:x val="1.4199047776247318E-2"/>
              <c:y val="0.28165901137357835"/>
            </c:manualLayout>
          </c:layout>
          <c:overlay val="0"/>
        </c:title>
        <c:numFmt formatCode="#,##0.00_);\(#,##0.00\)" sourceLinked="1"/>
        <c:majorTickMark val="out"/>
        <c:minorTickMark val="none"/>
        <c:tickLblPos val="nextTo"/>
        <c:crossAx val="429406680"/>
        <c:crosses val="autoZero"/>
        <c:crossBetween val="between"/>
      </c:valAx>
    </c:plotArea>
    <c:legend>
      <c:legendPos val="r"/>
      <c:layout>
        <c:manualLayout>
          <c:xMode val="edge"/>
          <c:yMode val="edge"/>
          <c:x val="0.22500000000000001"/>
          <c:y val="0.9116531787693205"/>
          <c:w val="0.58333333333333337"/>
          <c:h val="6.0952901720618687E-2"/>
        </c:manualLayout>
      </c:layout>
      <c:overlay val="0"/>
    </c:legend>
    <c:plotVisOnly val="1"/>
    <c:dispBlanksAs val="gap"/>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631931201376282"/>
          <c:y val="3.3733843273351792E-2"/>
          <c:w val="0.66431324380486123"/>
          <c:h val="0.79891536285237053"/>
        </c:manualLayout>
      </c:layout>
      <c:barChart>
        <c:barDir val="bar"/>
        <c:grouping val="clustered"/>
        <c:varyColors val="0"/>
        <c:ser>
          <c:idx val="0"/>
          <c:order val="0"/>
          <c:tx>
            <c:strRef>
              <c:f>Sheet3!$C$39</c:f>
              <c:strCache>
                <c:ptCount val="1"/>
                <c:pt idx="0">
                  <c:v>%age share</c:v>
                </c:pt>
              </c:strCache>
            </c:strRef>
          </c:tx>
          <c:invertIfNegative val="0"/>
          <c:cat>
            <c:strRef>
              <c:f>Sheet3!$B$40:$B$50</c:f>
              <c:strCache>
                <c:ptCount val="11"/>
                <c:pt idx="0">
                  <c:v>Trade</c:v>
                </c:pt>
                <c:pt idx="1">
                  <c:v>Building/Mortgage &amp;Real Estate </c:v>
                </c:pt>
                <c:pt idx="2">
                  <c:v>Personal Loans and Household Loans</c:v>
                </c:pt>
                <c:pt idx="3">
                  <c:v>Manufacturing</c:v>
                </c:pt>
                <c:pt idx="4">
                  <c:v>Agriculture</c:v>
                </c:pt>
                <c:pt idx="5">
                  <c:v>Transport and Communication </c:v>
                </c:pt>
                <c:pt idx="6">
                  <c:v>Business Services </c:v>
                </c:pt>
                <c:pt idx="7">
                  <c:v>Community, Social &amp; Other Services</c:v>
                </c:pt>
                <c:pt idx="8">
                  <c:v>Electricity and Water </c:v>
                </c:pt>
                <c:pt idx="9">
                  <c:v>Mining and Quarrying</c:v>
                </c:pt>
                <c:pt idx="10">
                  <c:v>Other Services </c:v>
                </c:pt>
              </c:strCache>
            </c:strRef>
          </c:cat>
          <c:val>
            <c:numRef>
              <c:f>Sheet3!$C$40:$C$50</c:f>
              <c:numCache>
                <c:formatCode>#,##0.0</c:formatCode>
                <c:ptCount val="11"/>
                <c:pt idx="0">
                  <c:v>20.333794559360889</c:v>
                </c:pt>
                <c:pt idx="1">
                  <c:v>20.246501586262593</c:v>
                </c:pt>
                <c:pt idx="2">
                  <c:v>18.065640914102797</c:v>
                </c:pt>
                <c:pt idx="3">
                  <c:v>12.6361008140302</c:v>
                </c:pt>
                <c:pt idx="4">
                  <c:v>12.338292517954494</c:v>
                </c:pt>
                <c:pt idx="5">
                  <c:v>5.3941446634827646</c:v>
                </c:pt>
                <c:pt idx="6">
                  <c:v>3.9472756655589678</c:v>
                </c:pt>
                <c:pt idx="7">
                  <c:v>3.8071913268785202</c:v>
                </c:pt>
                <c:pt idx="8">
                  <c:v>2.1361142655778642</c:v>
                </c:pt>
                <c:pt idx="9">
                  <c:v>0.67522395638244392</c:v>
                </c:pt>
                <c:pt idx="10">
                  <c:v>0.41971973040795701</c:v>
                </c:pt>
              </c:numCache>
            </c:numRef>
          </c:val>
          <c:extLst>
            <c:ext xmlns:c16="http://schemas.microsoft.com/office/drawing/2014/chart" uri="{C3380CC4-5D6E-409C-BE32-E72D297353CC}">
              <c16:uniqueId val="{00000000-B8F7-1E49-B58B-19DA700A8123}"/>
            </c:ext>
          </c:extLst>
        </c:ser>
        <c:dLbls>
          <c:showLegendKey val="0"/>
          <c:showVal val="0"/>
          <c:showCatName val="0"/>
          <c:showSerName val="0"/>
          <c:showPercent val="0"/>
          <c:showBubbleSize val="0"/>
        </c:dLbls>
        <c:gapWidth val="0"/>
        <c:overlap val="-100"/>
        <c:axId val="434233992"/>
        <c:axId val="434234384"/>
      </c:barChart>
      <c:catAx>
        <c:axId val="434233992"/>
        <c:scaling>
          <c:orientation val="minMax"/>
        </c:scaling>
        <c:delete val="0"/>
        <c:axPos val="l"/>
        <c:numFmt formatCode="General" sourceLinked="0"/>
        <c:majorTickMark val="none"/>
        <c:minorTickMark val="none"/>
        <c:tickLblPos val="nextTo"/>
        <c:txPr>
          <a:bodyPr/>
          <a:lstStyle/>
          <a:p>
            <a:pPr>
              <a:defRPr sz="800"/>
            </a:pPr>
            <a:endParaRPr lang="en-US"/>
          </a:p>
        </c:txPr>
        <c:crossAx val="434234384"/>
        <c:crosses val="autoZero"/>
        <c:auto val="1"/>
        <c:lblAlgn val="ctr"/>
        <c:lblOffset val="100"/>
        <c:noMultiLvlLbl val="0"/>
      </c:catAx>
      <c:valAx>
        <c:axId val="434234384"/>
        <c:scaling>
          <c:orientation val="minMax"/>
        </c:scaling>
        <c:delete val="0"/>
        <c:axPos val="b"/>
        <c:title>
          <c:tx>
            <c:rich>
              <a:bodyPr/>
              <a:lstStyle/>
              <a:p>
                <a:pPr>
                  <a:defRPr/>
                </a:pPr>
                <a:r>
                  <a:rPr lang="en-US"/>
                  <a:t>%age share</a:t>
                </a:r>
              </a:p>
            </c:rich>
          </c:tx>
          <c:overlay val="0"/>
        </c:title>
        <c:numFmt formatCode="#,##0.0" sourceLinked="1"/>
        <c:majorTickMark val="out"/>
        <c:minorTickMark val="none"/>
        <c:tickLblPos val="nextTo"/>
        <c:crossAx val="434233992"/>
        <c:crosses val="autoZero"/>
        <c:crossBetween val="between"/>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Sheet1!$B$8</c:f>
              <c:strCache>
                <c:ptCount val="1"/>
                <c:pt idx="0">
                  <c:v>Uganda</c:v>
                </c:pt>
              </c:strCache>
            </c:strRef>
          </c:tx>
          <c:marker>
            <c:symbol val="none"/>
          </c:marker>
          <c:cat>
            <c:numRef>
              <c:f>Sheet1!$C$7:$H$7</c:f>
              <c:numCache>
                <c:formatCode>General</c:formatCode>
                <c:ptCount val="6"/>
                <c:pt idx="0">
                  <c:v>2012</c:v>
                </c:pt>
                <c:pt idx="1">
                  <c:v>2013</c:v>
                </c:pt>
                <c:pt idx="2">
                  <c:v>2014</c:v>
                </c:pt>
                <c:pt idx="3">
                  <c:v>2015</c:v>
                </c:pt>
                <c:pt idx="4">
                  <c:v>2016</c:v>
                </c:pt>
                <c:pt idx="5">
                  <c:v>2017</c:v>
                </c:pt>
              </c:numCache>
            </c:numRef>
          </c:cat>
          <c:val>
            <c:numRef>
              <c:f>Sheet1!$C$8:$H$8</c:f>
              <c:numCache>
                <c:formatCode>_(* #,##0.0_);_(* \(#,##0.0\);_(* "-"??_);_(@_)</c:formatCode>
                <c:ptCount val="6"/>
                <c:pt idx="0">
                  <c:v>26.150130248938499</c:v>
                </c:pt>
                <c:pt idx="1">
                  <c:v>23.283572716586189</c:v>
                </c:pt>
                <c:pt idx="2">
                  <c:v>21.584226857012599</c:v>
                </c:pt>
                <c:pt idx="3">
                  <c:v>22.601357269420031</c:v>
                </c:pt>
                <c:pt idx="4">
                  <c:v>23.886132624662789</c:v>
                </c:pt>
                <c:pt idx="5">
                  <c:v>21.278671488959599</c:v>
                </c:pt>
              </c:numCache>
            </c:numRef>
          </c:val>
          <c:smooth val="1"/>
          <c:extLst>
            <c:ext xmlns:c16="http://schemas.microsoft.com/office/drawing/2014/chart" uri="{C3380CC4-5D6E-409C-BE32-E72D297353CC}">
              <c16:uniqueId val="{00000000-D662-4146-8730-8FB051D8DCD9}"/>
            </c:ext>
          </c:extLst>
        </c:ser>
        <c:ser>
          <c:idx val="1"/>
          <c:order val="1"/>
          <c:tx>
            <c:strRef>
              <c:f>Sheet1!$B$9</c:f>
              <c:strCache>
                <c:ptCount val="1"/>
                <c:pt idx="0">
                  <c:v>Tanzania</c:v>
                </c:pt>
              </c:strCache>
            </c:strRef>
          </c:tx>
          <c:marker>
            <c:symbol val="none"/>
          </c:marker>
          <c:cat>
            <c:numRef>
              <c:f>Sheet1!$C$7:$H$7</c:f>
              <c:numCache>
                <c:formatCode>General</c:formatCode>
                <c:ptCount val="6"/>
                <c:pt idx="0">
                  <c:v>2012</c:v>
                </c:pt>
                <c:pt idx="1">
                  <c:v>2013</c:v>
                </c:pt>
                <c:pt idx="2">
                  <c:v>2014</c:v>
                </c:pt>
                <c:pt idx="3">
                  <c:v>2015</c:v>
                </c:pt>
                <c:pt idx="4">
                  <c:v>2016</c:v>
                </c:pt>
                <c:pt idx="5">
                  <c:v>2017</c:v>
                </c:pt>
              </c:numCache>
            </c:numRef>
          </c:cat>
          <c:val>
            <c:numRef>
              <c:f>Sheet1!$C$9:$H$9</c:f>
              <c:numCache>
                <c:formatCode>_(* #,##0.0_);_(* \(#,##0.0\);_(* "-"??_);_(@_)</c:formatCode>
                <c:ptCount val="6"/>
                <c:pt idx="0">
                  <c:v>15.555857092456026</c:v>
                </c:pt>
                <c:pt idx="1">
                  <c:v>15.861441413628476</c:v>
                </c:pt>
                <c:pt idx="2">
                  <c:v>16.289174048709587</c:v>
                </c:pt>
                <c:pt idx="3">
                  <c:v>16.104520759613301</c:v>
                </c:pt>
                <c:pt idx="4">
                  <c:v>15.958270140632298</c:v>
                </c:pt>
              </c:numCache>
            </c:numRef>
          </c:val>
          <c:smooth val="0"/>
          <c:extLst>
            <c:ext xmlns:c16="http://schemas.microsoft.com/office/drawing/2014/chart" uri="{C3380CC4-5D6E-409C-BE32-E72D297353CC}">
              <c16:uniqueId val="{00000001-D662-4146-8730-8FB051D8DCD9}"/>
            </c:ext>
          </c:extLst>
        </c:ser>
        <c:ser>
          <c:idx val="2"/>
          <c:order val="2"/>
          <c:tx>
            <c:strRef>
              <c:f>Sheet1!$B$10</c:f>
              <c:strCache>
                <c:ptCount val="1"/>
                <c:pt idx="0">
                  <c:v>Rwanda</c:v>
                </c:pt>
              </c:strCache>
            </c:strRef>
          </c:tx>
          <c:marker>
            <c:symbol val="none"/>
          </c:marker>
          <c:cat>
            <c:numRef>
              <c:f>Sheet1!$C$7:$H$7</c:f>
              <c:numCache>
                <c:formatCode>General</c:formatCode>
                <c:ptCount val="6"/>
                <c:pt idx="0">
                  <c:v>2012</c:v>
                </c:pt>
                <c:pt idx="1">
                  <c:v>2013</c:v>
                </c:pt>
                <c:pt idx="2">
                  <c:v>2014</c:v>
                </c:pt>
                <c:pt idx="3">
                  <c:v>2015</c:v>
                </c:pt>
                <c:pt idx="4">
                  <c:v>2016</c:v>
                </c:pt>
                <c:pt idx="5">
                  <c:v>2017</c:v>
                </c:pt>
              </c:numCache>
            </c:numRef>
          </c:cat>
          <c:val>
            <c:numRef>
              <c:f>Sheet1!$C$10:$H$10</c:f>
              <c:numCache>
                <c:formatCode>_(* #,##0.0_);_(* \(#,##0.0\);_(* "-"??_);_(@_)</c:formatCode>
                <c:ptCount val="6"/>
                <c:pt idx="0">
                  <c:v>16.7016666666667</c:v>
                </c:pt>
                <c:pt idx="1">
                  <c:v>17.319166666666735</c:v>
                </c:pt>
                <c:pt idx="2">
                  <c:v>17.259166666666701</c:v>
                </c:pt>
                <c:pt idx="3">
                  <c:v>17.333333333333059</c:v>
                </c:pt>
                <c:pt idx="4">
                  <c:v>17.292870091669499</c:v>
                </c:pt>
                <c:pt idx="5">
                  <c:v>17.167307196699031</c:v>
                </c:pt>
              </c:numCache>
            </c:numRef>
          </c:val>
          <c:smooth val="0"/>
          <c:extLst>
            <c:ext xmlns:c16="http://schemas.microsoft.com/office/drawing/2014/chart" uri="{C3380CC4-5D6E-409C-BE32-E72D297353CC}">
              <c16:uniqueId val="{00000002-D662-4146-8730-8FB051D8DCD9}"/>
            </c:ext>
          </c:extLst>
        </c:ser>
        <c:ser>
          <c:idx val="3"/>
          <c:order val="3"/>
          <c:tx>
            <c:strRef>
              <c:f>Sheet1!$B$11</c:f>
              <c:strCache>
                <c:ptCount val="1"/>
                <c:pt idx="0">
                  <c:v>Kenya</c:v>
                </c:pt>
              </c:strCache>
            </c:strRef>
          </c:tx>
          <c:marker>
            <c:symbol val="none"/>
          </c:marker>
          <c:cat>
            <c:numRef>
              <c:f>Sheet1!$C$7:$H$7</c:f>
              <c:numCache>
                <c:formatCode>General</c:formatCode>
                <c:ptCount val="6"/>
                <c:pt idx="0">
                  <c:v>2012</c:v>
                </c:pt>
                <c:pt idx="1">
                  <c:v>2013</c:v>
                </c:pt>
                <c:pt idx="2">
                  <c:v>2014</c:v>
                </c:pt>
                <c:pt idx="3">
                  <c:v>2015</c:v>
                </c:pt>
                <c:pt idx="4">
                  <c:v>2016</c:v>
                </c:pt>
                <c:pt idx="5">
                  <c:v>2017</c:v>
                </c:pt>
              </c:numCache>
            </c:numRef>
          </c:cat>
          <c:val>
            <c:numRef>
              <c:f>Sheet1!$C$11:$H$11</c:f>
              <c:numCache>
                <c:formatCode>_(* #,##0.0_);_(* \(#,##0.0\);_(* "-"??_);_(@_)</c:formatCode>
                <c:ptCount val="6"/>
                <c:pt idx="0">
                  <c:v>19.723406653395177</c:v>
                </c:pt>
                <c:pt idx="1">
                  <c:v>17.313457691404835</c:v>
                </c:pt>
                <c:pt idx="2">
                  <c:v>16.513930706294978</c:v>
                </c:pt>
                <c:pt idx="3">
                  <c:v>16.086613785738781</c:v>
                </c:pt>
                <c:pt idx="4">
                  <c:v>16.559630646054501</c:v>
                </c:pt>
                <c:pt idx="5">
                  <c:v>13.667572516437302</c:v>
                </c:pt>
              </c:numCache>
            </c:numRef>
          </c:val>
          <c:smooth val="1"/>
          <c:extLst>
            <c:ext xmlns:c16="http://schemas.microsoft.com/office/drawing/2014/chart" uri="{C3380CC4-5D6E-409C-BE32-E72D297353CC}">
              <c16:uniqueId val="{00000003-D662-4146-8730-8FB051D8DCD9}"/>
            </c:ext>
          </c:extLst>
        </c:ser>
        <c:ser>
          <c:idx val="4"/>
          <c:order val="4"/>
          <c:tx>
            <c:strRef>
              <c:f>Sheet1!$B$12</c:f>
              <c:strCache>
                <c:ptCount val="1"/>
                <c:pt idx="0">
                  <c:v>Burundi</c:v>
                </c:pt>
              </c:strCache>
            </c:strRef>
          </c:tx>
          <c:marker>
            <c:symbol val="none"/>
          </c:marker>
          <c:cat>
            <c:numRef>
              <c:f>Sheet1!$C$7:$H$7</c:f>
              <c:numCache>
                <c:formatCode>General</c:formatCode>
                <c:ptCount val="6"/>
                <c:pt idx="0">
                  <c:v>2012</c:v>
                </c:pt>
                <c:pt idx="1">
                  <c:v>2013</c:v>
                </c:pt>
                <c:pt idx="2">
                  <c:v>2014</c:v>
                </c:pt>
                <c:pt idx="3">
                  <c:v>2015</c:v>
                </c:pt>
                <c:pt idx="4">
                  <c:v>2016</c:v>
                </c:pt>
                <c:pt idx="5">
                  <c:v>2017</c:v>
                </c:pt>
              </c:numCache>
            </c:numRef>
          </c:cat>
          <c:val>
            <c:numRef>
              <c:f>Sheet1!$C$12:$H$12</c:f>
              <c:numCache>
                <c:formatCode>_(* #,##0.0_);_(* \(#,##0.0\);_(* "-"??_);_(@_)</c:formatCode>
                <c:ptCount val="6"/>
                <c:pt idx="0">
                  <c:v>14.32</c:v>
                </c:pt>
                <c:pt idx="1">
                  <c:v>15.147500000000001</c:v>
                </c:pt>
                <c:pt idx="2">
                  <c:v>15.668333333333299</c:v>
                </c:pt>
                <c:pt idx="3">
                  <c:v>15.329166666666724</c:v>
                </c:pt>
                <c:pt idx="4">
                  <c:v>14.238333333333298</c:v>
                </c:pt>
                <c:pt idx="5">
                  <c:v>14.796666666666702</c:v>
                </c:pt>
              </c:numCache>
            </c:numRef>
          </c:val>
          <c:smooth val="1"/>
          <c:extLst>
            <c:ext xmlns:c16="http://schemas.microsoft.com/office/drawing/2014/chart" uri="{C3380CC4-5D6E-409C-BE32-E72D297353CC}">
              <c16:uniqueId val="{00000004-D662-4146-8730-8FB051D8DCD9}"/>
            </c:ext>
          </c:extLst>
        </c:ser>
        <c:dLbls>
          <c:showLegendKey val="0"/>
          <c:showVal val="0"/>
          <c:showCatName val="0"/>
          <c:showSerName val="0"/>
          <c:showPercent val="0"/>
          <c:showBubbleSize val="0"/>
        </c:dLbls>
        <c:dropLines/>
        <c:smooth val="0"/>
        <c:axId val="434235560"/>
        <c:axId val="434234776"/>
      </c:lineChart>
      <c:catAx>
        <c:axId val="434235560"/>
        <c:scaling>
          <c:orientation val="minMax"/>
        </c:scaling>
        <c:delete val="0"/>
        <c:axPos val="b"/>
        <c:numFmt formatCode="General" sourceLinked="1"/>
        <c:majorTickMark val="none"/>
        <c:minorTickMark val="none"/>
        <c:tickLblPos val="nextTo"/>
        <c:crossAx val="434234776"/>
        <c:crosses val="autoZero"/>
        <c:auto val="1"/>
        <c:lblAlgn val="ctr"/>
        <c:lblOffset val="100"/>
        <c:noMultiLvlLbl val="0"/>
      </c:catAx>
      <c:valAx>
        <c:axId val="434234776"/>
        <c:scaling>
          <c:orientation val="minMax"/>
        </c:scaling>
        <c:delete val="0"/>
        <c:axPos val="l"/>
        <c:majorGridlines/>
        <c:title>
          <c:tx>
            <c:rich>
              <a:bodyPr/>
              <a:lstStyle/>
              <a:p>
                <a:pPr>
                  <a:defRPr/>
                </a:pPr>
                <a:r>
                  <a:rPr lang="en-US"/>
                  <a:t>Lending rates (%)</a:t>
                </a:r>
              </a:p>
            </c:rich>
          </c:tx>
          <c:overlay val="0"/>
        </c:title>
        <c:numFmt formatCode="_(* #,##0.0_);_(* \(#,##0.0\);_(* &quot;-&quot;??_);_(@_)" sourceLinked="1"/>
        <c:majorTickMark val="out"/>
        <c:minorTickMark val="none"/>
        <c:tickLblPos val="nextTo"/>
        <c:crossAx val="434235560"/>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87931100449148"/>
          <c:y val="4.3158482740677816E-2"/>
          <c:w val="0.82295248808184696"/>
          <c:h val="0.69841249435657282"/>
        </c:manualLayout>
      </c:layout>
      <c:lineChart>
        <c:grouping val="standard"/>
        <c:varyColors val="0"/>
        <c:ser>
          <c:idx val="0"/>
          <c:order val="0"/>
          <c:tx>
            <c:strRef>
              <c:f>Sheet2!$A$2</c:f>
              <c:strCache>
                <c:ptCount val="1"/>
                <c:pt idx="0">
                  <c:v>Central Bank Rate (CBR) </c:v>
                </c:pt>
              </c:strCache>
            </c:strRef>
          </c:tx>
          <c:cat>
            <c:strRef>
              <c:f>Sheet2!$B$1:$H$1</c:f>
              <c:strCache>
                <c:ptCount val="7"/>
                <c:pt idx="0">
                  <c:v>2011/12</c:v>
                </c:pt>
                <c:pt idx="1">
                  <c:v>2012/13</c:v>
                </c:pt>
                <c:pt idx="2">
                  <c:v>2013/14</c:v>
                </c:pt>
                <c:pt idx="3">
                  <c:v>2014/15</c:v>
                </c:pt>
                <c:pt idx="4">
                  <c:v>2015/16</c:v>
                </c:pt>
                <c:pt idx="5">
                  <c:v>2016/17</c:v>
                </c:pt>
                <c:pt idx="6">
                  <c:v>2017/18</c:v>
                </c:pt>
              </c:strCache>
            </c:strRef>
          </c:cat>
          <c:val>
            <c:numRef>
              <c:f>Sheet2!$B$2:$H$2</c:f>
              <c:numCache>
                <c:formatCode>_(* #,##0.0_);_(* \(#,##0.0\);_(* "-"??_);_(@_)</c:formatCode>
                <c:ptCount val="7"/>
                <c:pt idx="0">
                  <c:v>19.75</c:v>
                </c:pt>
                <c:pt idx="1">
                  <c:v>13.291666666666666</c:v>
                </c:pt>
                <c:pt idx="2">
                  <c:v>11.5</c:v>
                </c:pt>
                <c:pt idx="3">
                  <c:v>11.333333333333334</c:v>
                </c:pt>
                <c:pt idx="4">
                  <c:v>16.291666666666668</c:v>
                </c:pt>
                <c:pt idx="5">
                  <c:v>12.333333333333334</c:v>
                </c:pt>
                <c:pt idx="6">
                  <c:v>9.4166666666666767</c:v>
                </c:pt>
              </c:numCache>
            </c:numRef>
          </c:val>
          <c:smooth val="0"/>
          <c:extLst>
            <c:ext xmlns:c16="http://schemas.microsoft.com/office/drawing/2014/chart" uri="{C3380CC4-5D6E-409C-BE32-E72D297353CC}">
              <c16:uniqueId val="{00000000-5954-4F80-8914-2933E2227C13}"/>
            </c:ext>
          </c:extLst>
        </c:ser>
        <c:ser>
          <c:idx val="1"/>
          <c:order val="1"/>
          <c:tx>
            <c:strRef>
              <c:f>Sheet2!$A$3</c:f>
              <c:strCache>
                <c:ptCount val="1"/>
                <c:pt idx="0">
                  <c:v>Treasury Bills -364 Days</c:v>
                </c:pt>
              </c:strCache>
            </c:strRef>
          </c:tx>
          <c:cat>
            <c:strRef>
              <c:f>Sheet2!$B$1:$H$1</c:f>
              <c:strCache>
                <c:ptCount val="7"/>
                <c:pt idx="0">
                  <c:v>2011/12</c:v>
                </c:pt>
                <c:pt idx="1">
                  <c:v>2012/13</c:v>
                </c:pt>
                <c:pt idx="2">
                  <c:v>2013/14</c:v>
                </c:pt>
                <c:pt idx="3">
                  <c:v>2014/15</c:v>
                </c:pt>
                <c:pt idx="4">
                  <c:v>2015/16</c:v>
                </c:pt>
                <c:pt idx="5">
                  <c:v>2016/17</c:v>
                </c:pt>
                <c:pt idx="6">
                  <c:v>2017/18</c:v>
                </c:pt>
              </c:strCache>
            </c:strRef>
          </c:cat>
          <c:val>
            <c:numRef>
              <c:f>Sheet2!$B$3:$H$3</c:f>
              <c:numCache>
                <c:formatCode>_(* #,##0.0_);_(* \(#,##0.0\);_(* "-"??_);_(@_)</c:formatCode>
                <c:ptCount val="7"/>
                <c:pt idx="0">
                  <c:v>16.917188663635628</c:v>
                </c:pt>
                <c:pt idx="1">
                  <c:v>12.033611211468306</c:v>
                </c:pt>
                <c:pt idx="2">
                  <c:v>11.343856533421128</c:v>
                </c:pt>
                <c:pt idx="3">
                  <c:v>12.648860541307981</c:v>
                </c:pt>
                <c:pt idx="4">
                  <c:v>16.649305485490519</c:v>
                </c:pt>
                <c:pt idx="5">
                  <c:v>13.078896202565339</c:v>
                </c:pt>
                <c:pt idx="6">
                  <c:v>9.1811552196973061</c:v>
                </c:pt>
              </c:numCache>
            </c:numRef>
          </c:val>
          <c:smooth val="1"/>
          <c:extLst>
            <c:ext xmlns:c16="http://schemas.microsoft.com/office/drawing/2014/chart" uri="{C3380CC4-5D6E-409C-BE32-E72D297353CC}">
              <c16:uniqueId val="{00000001-5954-4F80-8914-2933E2227C13}"/>
            </c:ext>
          </c:extLst>
        </c:ser>
        <c:ser>
          <c:idx val="2"/>
          <c:order val="2"/>
          <c:tx>
            <c:strRef>
              <c:f>Sheet2!$A$4</c:f>
              <c:strCache>
                <c:ptCount val="1"/>
                <c:pt idx="0">
                  <c:v>Lending Intertest Rates </c:v>
                </c:pt>
              </c:strCache>
            </c:strRef>
          </c:tx>
          <c:cat>
            <c:strRef>
              <c:f>Sheet2!$B$1:$H$1</c:f>
              <c:strCache>
                <c:ptCount val="7"/>
                <c:pt idx="0">
                  <c:v>2011/12</c:v>
                </c:pt>
                <c:pt idx="1">
                  <c:v>2012/13</c:v>
                </c:pt>
                <c:pt idx="2">
                  <c:v>2013/14</c:v>
                </c:pt>
                <c:pt idx="3">
                  <c:v>2014/15</c:v>
                </c:pt>
                <c:pt idx="4">
                  <c:v>2015/16</c:v>
                </c:pt>
                <c:pt idx="5">
                  <c:v>2016/17</c:v>
                </c:pt>
                <c:pt idx="6">
                  <c:v>2017/18</c:v>
                </c:pt>
              </c:strCache>
            </c:strRef>
          </c:cat>
          <c:val>
            <c:numRef>
              <c:f>Sheet2!$B$4:$H$4</c:f>
              <c:numCache>
                <c:formatCode>_(* #,##0.0_);_(* \(#,##0.0\);_(* "-"??_);_(@_)</c:formatCode>
                <c:ptCount val="7"/>
                <c:pt idx="0">
                  <c:v>25.339012527393493</c:v>
                </c:pt>
                <c:pt idx="1">
                  <c:v>24.634526150771269</c:v>
                </c:pt>
                <c:pt idx="2">
                  <c:v>22.161624710305443</c:v>
                </c:pt>
                <c:pt idx="3">
                  <c:v>21.579221264222088</c:v>
                </c:pt>
                <c:pt idx="4">
                  <c:v>23.964999999999989</c:v>
                </c:pt>
                <c:pt idx="5">
                  <c:v>22.59341236167786</c:v>
                </c:pt>
                <c:pt idx="6">
                  <c:v>20.341877301617735</c:v>
                </c:pt>
              </c:numCache>
            </c:numRef>
          </c:val>
          <c:smooth val="1"/>
          <c:extLst>
            <c:ext xmlns:c16="http://schemas.microsoft.com/office/drawing/2014/chart" uri="{C3380CC4-5D6E-409C-BE32-E72D297353CC}">
              <c16:uniqueId val="{00000002-5954-4F80-8914-2933E2227C13}"/>
            </c:ext>
          </c:extLst>
        </c:ser>
        <c:ser>
          <c:idx val="3"/>
          <c:order val="3"/>
          <c:tx>
            <c:strRef>
              <c:f>Sheet2!$A$5</c:f>
              <c:strCache>
                <c:ptCount val="1"/>
                <c:pt idx="0">
                  <c:v>Core Inflation</c:v>
                </c:pt>
              </c:strCache>
            </c:strRef>
          </c:tx>
          <c:marker>
            <c:symbol val="none"/>
          </c:marker>
          <c:cat>
            <c:strRef>
              <c:f>Sheet2!$B$1:$H$1</c:f>
              <c:strCache>
                <c:ptCount val="7"/>
                <c:pt idx="0">
                  <c:v>2011/12</c:v>
                </c:pt>
                <c:pt idx="1">
                  <c:v>2012/13</c:v>
                </c:pt>
                <c:pt idx="2">
                  <c:v>2013/14</c:v>
                </c:pt>
                <c:pt idx="3">
                  <c:v>2014/15</c:v>
                </c:pt>
                <c:pt idx="4">
                  <c:v>2015/16</c:v>
                </c:pt>
                <c:pt idx="5">
                  <c:v>2016/17</c:v>
                </c:pt>
                <c:pt idx="6">
                  <c:v>2017/18</c:v>
                </c:pt>
              </c:strCache>
            </c:strRef>
          </c:cat>
          <c:val>
            <c:numRef>
              <c:f>Sheet2!$B$5:$H$5</c:f>
              <c:numCache>
                <c:formatCode>_(* #,##0.0_);_(* \(#,##0.0\);_(* "-"??_);_(@_)</c:formatCode>
                <c:ptCount val="7"/>
                <c:pt idx="0">
                  <c:v>18.912123110894495</c:v>
                </c:pt>
                <c:pt idx="1">
                  <c:v>5.4426206427784409</c:v>
                </c:pt>
                <c:pt idx="2">
                  <c:v>4.669350573745076</c:v>
                </c:pt>
                <c:pt idx="3">
                  <c:v>3.2056643656936417</c:v>
                </c:pt>
                <c:pt idx="4">
                  <c:v>6.6754162296349273</c:v>
                </c:pt>
                <c:pt idx="5">
                  <c:v>5.1320353853876712</c:v>
                </c:pt>
                <c:pt idx="6">
                  <c:v>2.6877518201464103</c:v>
                </c:pt>
              </c:numCache>
            </c:numRef>
          </c:val>
          <c:smooth val="1"/>
          <c:extLst>
            <c:ext xmlns:c16="http://schemas.microsoft.com/office/drawing/2014/chart" uri="{C3380CC4-5D6E-409C-BE32-E72D297353CC}">
              <c16:uniqueId val="{00000003-5954-4F80-8914-2933E2227C13}"/>
            </c:ext>
          </c:extLst>
        </c:ser>
        <c:dLbls>
          <c:showLegendKey val="0"/>
          <c:showVal val="0"/>
          <c:showCatName val="0"/>
          <c:showSerName val="0"/>
          <c:showPercent val="0"/>
          <c:showBubbleSize val="0"/>
        </c:dLbls>
        <c:dropLines/>
        <c:marker val="1"/>
        <c:smooth val="0"/>
        <c:axId val="434236344"/>
        <c:axId val="434232816"/>
      </c:lineChart>
      <c:catAx>
        <c:axId val="434236344"/>
        <c:scaling>
          <c:orientation val="minMax"/>
        </c:scaling>
        <c:delete val="0"/>
        <c:axPos val="b"/>
        <c:numFmt formatCode="General" sourceLinked="0"/>
        <c:majorTickMark val="none"/>
        <c:minorTickMark val="none"/>
        <c:tickLblPos val="nextTo"/>
        <c:crossAx val="434232816"/>
        <c:crosses val="autoZero"/>
        <c:auto val="1"/>
        <c:lblAlgn val="ctr"/>
        <c:lblOffset val="100"/>
        <c:noMultiLvlLbl val="0"/>
      </c:catAx>
      <c:valAx>
        <c:axId val="434232816"/>
        <c:scaling>
          <c:orientation val="minMax"/>
        </c:scaling>
        <c:delete val="0"/>
        <c:axPos val="l"/>
        <c:majorGridlines/>
        <c:title>
          <c:tx>
            <c:rich>
              <a:bodyPr/>
              <a:lstStyle/>
              <a:p>
                <a:pPr>
                  <a:defRPr/>
                </a:pPr>
                <a:r>
                  <a:rPr lang="en-US"/>
                  <a:t>Rate (%)</a:t>
                </a:r>
              </a:p>
            </c:rich>
          </c:tx>
          <c:overlay val="0"/>
        </c:title>
        <c:numFmt formatCode="_(* #,##0.0_);_(* \(#,##0.0\);_(* &quot;-&quot;??_);_(@_)" sourceLinked="1"/>
        <c:majorTickMark val="out"/>
        <c:minorTickMark val="none"/>
        <c:tickLblPos val="nextTo"/>
        <c:crossAx val="434236344"/>
        <c:crosses val="autoZero"/>
        <c:crossBetween val="between"/>
      </c:valAx>
    </c:plotArea>
    <c:legend>
      <c:legendPos val="r"/>
      <c:layout>
        <c:manualLayout>
          <c:xMode val="edge"/>
          <c:yMode val="edge"/>
          <c:x val="4.8872615412869309E-2"/>
          <c:y val="0.8453221918688737"/>
          <c:w val="0.94335284620034743"/>
          <c:h val="0.14123091756387593"/>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20426728732916852"/>
          <c:y val="4.6994792317627002E-2"/>
          <c:w val="0.77490504247572034"/>
          <c:h val="0.83953910453275449"/>
        </c:manualLayout>
      </c:layout>
      <c:bar3DChart>
        <c:barDir val="col"/>
        <c:grouping val="clustered"/>
        <c:varyColors val="0"/>
        <c:ser>
          <c:idx val="0"/>
          <c:order val="0"/>
          <c:tx>
            <c:strRef>
              <c:f>Sheet3!$E$8</c:f>
              <c:strCache>
                <c:ptCount val="1"/>
                <c:pt idx="0">
                  <c:v>Exports</c:v>
                </c:pt>
              </c:strCache>
            </c:strRef>
          </c:tx>
          <c:invertIfNegative val="0"/>
          <c:cat>
            <c:strRef>
              <c:f>Sheet3!$F$7:$I$7</c:f>
              <c:strCache>
                <c:ptCount val="4"/>
                <c:pt idx="0">
                  <c:v>2014/15</c:v>
                </c:pt>
                <c:pt idx="1">
                  <c:v>2015/16</c:v>
                </c:pt>
                <c:pt idx="2">
                  <c:v>2016/17</c:v>
                </c:pt>
                <c:pt idx="3">
                  <c:v>2017/18</c:v>
                </c:pt>
              </c:strCache>
            </c:strRef>
          </c:cat>
          <c:val>
            <c:numRef>
              <c:f>Sheet3!$F$8:$I$8</c:f>
              <c:numCache>
                <c:formatCode>#,##0.00</c:formatCode>
                <c:ptCount val="4"/>
                <c:pt idx="0">
                  <c:v>2738.369080424508</c:v>
                </c:pt>
                <c:pt idx="1">
                  <c:v>2687.8284806448537</c:v>
                </c:pt>
                <c:pt idx="2">
                  <c:v>3274.23935402907</c:v>
                </c:pt>
                <c:pt idx="3">
                  <c:v>3536.6478457364447</c:v>
                </c:pt>
              </c:numCache>
            </c:numRef>
          </c:val>
          <c:extLst>
            <c:ext xmlns:c16="http://schemas.microsoft.com/office/drawing/2014/chart" uri="{C3380CC4-5D6E-409C-BE32-E72D297353CC}">
              <c16:uniqueId val="{00000000-24A6-44CB-B0A6-64562BC90AFD}"/>
            </c:ext>
          </c:extLst>
        </c:ser>
        <c:ser>
          <c:idx val="1"/>
          <c:order val="1"/>
          <c:tx>
            <c:strRef>
              <c:f>Sheet3!$E$9</c:f>
              <c:strCache>
                <c:ptCount val="1"/>
                <c:pt idx="0">
                  <c:v>Imports</c:v>
                </c:pt>
              </c:strCache>
            </c:strRef>
          </c:tx>
          <c:invertIfNegative val="0"/>
          <c:cat>
            <c:strRef>
              <c:f>Sheet3!$F$7:$I$7</c:f>
              <c:strCache>
                <c:ptCount val="4"/>
                <c:pt idx="0">
                  <c:v>2014/15</c:v>
                </c:pt>
                <c:pt idx="1">
                  <c:v>2015/16</c:v>
                </c:pt>
                <c:pt idx="2">
                  <c:v>2016/17</c:v>
                </c:pt>
                <c:pt idx="3">
                  <c:v>2017/18</c:v>
                </c:pt>
              </c:strCache>
            </c:strRef>
          </c:cat>
          <c:val>
            <c:numRef>
              <c:f>Sheet3!$F$9:$I$9</c:f>
              <c:numCache>
                <c:formatCode>_(* #,##0.00_);_(* \(#,##0.00\);_(* "-"??_);_(@_)</c:formatCode>
                <c:ptCount val="4"/>
                <c:pt idx="0">
                  <c:v>6065.4181734250014</c:v>
                </c:pt>
                <c:pt idx="1">
                  <c:v>5705.4433339890575</c:v>
                </c:pt>
                <c:pt idx="2">
                  <c:v>5759.8515538976544</c:v>
                </c:pt>
                <c:pt idx="3">
                  <c:v>6838.1983315218313</c:v>
                </c:pt>
              </c:numCache>
            </c:numRef>
          </c:val>
          <c:extLst>
            <c:ext xmlns:c16="http://schemas.microsoft.com/office/drawing/2014/chart" uri="{C3380CC4-5D6E-409C-BE32-E72D297353CC}">
              <c16:uniqueId val="{00000001-24A6-44CB-B0A6-64562BC90AFD}"/>
            </c:ext>
          </c:extLst>
        </c:ser>
        <c:ser>
          <c:idx val="2"/>
          <c:order val="2"/>
          <c:tx>
            <c:strRef>
              <c:f>Sheet3!$E$10</c:f>
              <c:strCache>
                <c:ptCount val="1"/>
                <c:pt idx="0">
                  <c:v>Trade Balance</c:v>
                </c:pt>
              </c:strCache>
            </c:strRef>
          </c:tx>
          <c:invertIfNegative val="0"/>
          <c:cat>
            <c:strRef>
              <c:f>Sheet3!$F$7:$I$7</c:f>
              <c:strCache>
                <c:ptCount val="4"/>
                <c:pt idx="0">
                  <c:v>2014/15</c:v>
                </c:pt>
                <c:pt idx="1">
                  <c:v>2015/16</c:v>
                </c:pt>
                <c:pt idx="2">
                  <c:v>2016/17</c:v>
                </c:pt>
                <c:pt idx="3">
                  <c:v>2017/18</c:v>
                </c:pt>
              </c:strCache>
            </c:strRef>
          </c:cat>
          <c:val>
            <c:numRef>
              <c:f>Sheet3!$F$10:$I$10</c:f>
              <c:numCache>
                <c:formatCode>_(* #,##0.00_);_(* \(#,##0.00\);_(* "-"??_);_(@_)</c:formatCode>
                <c:ptCount val="4"/>
                <c:pt idx="0">
                  <c:v>-3327.0490930004921</c:v>
                </c:pt>
                <c:pt idx="1">
                  <c:v>-3017.6148533442092</c:v>
                </c:pt>
                <c:pt idx="2">
                  <c:v>-2485.6121998685821</c:v>
                </c:pt>
                <c:pt idx="3">
                  <c:v>-3301.550485785373</c:v>
                </c:pt>
              </c:numCache>
            </c:numRef>
          </c:val>
          <c:extLst>
            <c:ext xmlns:c16="http://schemas.microsoft.com/office/drawing/2014/chart" uri="{C3380CC4-5D6E-409C-BE32-E72D297353CC}">
              <c16:uniqueId val="{00000002-24A6-44CB-B0A6-64562BC90AFD}"/>
            </c:ext>
          </c:extLst>
        </c:ser>
        <c:dLbls>
          <c:showLegendKey val="0"/>
          <c:showVal val="0"/>
          <c:showCatName val="0"/>
          <c:showSerName val="0"/>
          <c:showPercent val="0"/>
          <c:showBubbleSize val="0"/>
        </c:dLbls>
        <c:gapWidth val="300"/>
        <c:shape val="cylinder"/>
        <c:axId val="431144872"/>
        <c:axId val="431143304"/>
        <c:axId val="0"/>
      </c:bar3DChart>
      <c:catAx>
        <c:axId val="431144872"/>
        <c:scaling>
          <c:orientation val="minMax"/>
        </c:scaling>
        <c:delete val="0"/>
        <c:axPos val="b"/>
        <c:numFmt formatCode="General" sourceLinked="0"/>
        <c:majorTickMark val="none"/>
        <c:minorTickMark val="none"/>
        <c:tickLblPos val="nextTo"/>
        <c:crossAx val="431143304"/>
        <c:crosses val="autoZero"/>
        <c:auto val="1"/>
        <c:lblAlgn val="ctr"/>
        <c:lblOffset val="100"/>
        <c:noMultiLvlLbl val="0"/>
      </c:catAx>
      <c:valAx>
        <c:axId val="431143304"/>
        <c:scaling>
          <c:orientation val="minMax"/>
        </c:scaling>
        <c:delete val="0"/>
        <c:axPos val="l"/>
        <c:majorGridlines/>
        <c:minorGridlines/>
        <c:title>
          <c:tx>
            <c:rich>
              <a:bodyPr/>
              <a:lstStyle/>
              <a:p>
                <a:pPr>
                  <a:defRPr/>
                </a:pPr>
                <a:r>
                  <a:rPr lang="en-US"/>
                  <a:t>Value ($,000)</a:t>
                </a:r>
              </a:p>
              <a:p>
                <a:pPr>
                  <a:defRPr/>
                </a:pPr>
                <a:endParaRPr lang="en-US"/>
              </a:p>
            </c:rich>
          </c:tx>
          <c:overlay val="0"/>
        </c:title>
        <c:numFmt formatCode="#,##0.00" sourceLinked="1"/>
        <c:majorTickMark val="out"/>
        <c:minorTickMark val="none"/>
        <c:tickLblPos val="nextTo"/>
        <c:crossAx val="431144872"/>
        <c:crosses val="autoZero"/>
        <c:crossBetween val="between"/>
      </c:valAx>
    </c:plotArea>
    <c:legend>
      <c:legendPos val="r"/>
      <c:layout>
        <c:manualLayout>
          <c:xMode val="edge"/>
          <c:yMode val="edge"/>
          <c:x val="0.21028245610668084"/>
          <c:y val="0.91852118485189349"/>
          <c:w val="0.61688350888334842"/>
          <c:h val="8.1476148814731503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Sheet1!$O$4</c:f>
              <c:strCache>
                <c:ptCount val="1"/>
                <c:pt idx="0">
                  <c:v>Agriculture</c:v>
                </c:pt>
              </c:strCache>
            </c:strRef>
          </c:tx>
          <c:spPr>
            <a:solidFill>
              <a:schemeClr val="accent1"/>
            </a:solidFill>
            <a:ln>
              <a:noFill/>
            </a:ln>
            <a:effectLst/>
          </c:spPr>
          <c:invertIfNegative val="0"/>
          <c:cat>
            <c:strRef>
              <c:f>Sheet1!$Q$3:$T$3</c:f>
              <c:strCache>
                <c:ptCount val="4"/>
                <c:pt idx="0">
                  <c:v>2014/15</c:v>
                </c:pt>
                <c:pt idx="1">
                  <c:v>2015/16</c:v>
                </c:pt>
                <c:pt idx="2">
                  <c:v>2016/17</c:v>
                </c:pt>
                <c:pt idx="3">
                  <c:v>2017/18</c:v>
                </c:pt>
              </c:strCache>
            </c:strRef>
          </c:cat>
          <c:val>
            <c:numRef>
              <c:f>Sheet1!$Q$4:$T$4</c:f>
              <c:numCache>
                <c:formatCode>0</c:formatCode>
                <c:ptCount val="4"/>
                <c:pt idx="0">
                  <c:v>24.454148471615721</c:v>
                </c:pt>
                <c:pt idx="1">
                  <c:v>23.965141612200426</c:v>
                </c:pt>
                <c:pt idx="2">
                  <c:v>23.369565217391287</c:v>
                </c:pt>
                <c:pt idx="3">
                  <c:v>22.751895991332631</c:v>
                </c:pt>
              </c:numCache>
            </c:numRef>
          </c:val>
          <c:extLst>
            <c:ext xmlns:c16="http://schemas.microsoft.com/office/drawing/2014/chart" uri="{C3380CC4-5D6E-409C-BE32-E72D297353CC}">
              <c16:uniqueId val="{00000000-0E48-9140-8A28-D894094DB461}"/>
            </c:ext>
          </c:extLst>
        </c:ser>
        <c:ser>
          <c:idx val="1"/>
          <c:order val="1"/>
          <c:tx>
            <c:strRef>
              <c:f>Sheet1!$O$5</c:f>
              <c:strCache>
                <c:ptCount val="1"/>
                <c:pt idx="0">
                  <c:v>Industry</c:v>
                </c:pt>
              </c:strCache>
            </c:strRef>
          </c:tx>
          <c:spPr>
            <a:solidFill>
              <a:schemeClr val="accent2"/>
            </a:solidFill>
            <a:ln>
              <a:noFill/>
            </a:ln>
            <a:effectLst/>
          </c:spPr>
          <c:invertIfNegative val="0"/>
          <c:cat>
            <c:strRef>
              <c:f>Sheet1!$Q$3:$T$3</c:f>
              <c:strCache>
                <c:ptCount val="4"/>
                <c:pt idx="0">
                  <c:v>2014/15</c:v>
                </c:pt>
                <c:pt idx="1">
                  <c:v>2015/16</c:v>
                </c:pt>
                <c:pt idx="2">
                  <c:v>2016/17</c:v>
                </c:pt>
                <c:pt idx="3">
                  <c:v>2017/18</c:v>
                </c:pt>
              </c:strCache>
            </c:strRef>
          </c:cat>
          <c:val>
            <c:numRef>
              <c:f>Sheet1!$Q$5:$T$5</c:f>
              <c:numCache>
                <c:formatCode>0</c:formatCode>
                <c:ptCount val="4"/>
                <c:pt idx="0">
                  <c:v>20.414847161572055</c:v>
                </c:pt>
                <c:pt idx="1">
                  <c:v>20.370370370370289</c:v>
                </c:pt>
                <c:pt idx="2">
                  <c:v>20.217391304347828</c:v>
                </c:pt>
                <c:pt idx="3">
                  <c:v>20.151679306608891</c:v>
                </c:pt>
              </c:numCache>
            </c:numRef>
          </c:val>
          <c:extLst>
            <c:ext xmlns:c16="http://schemas.microsoft.com/office/drawing/2014/chart" uri="{C3380CC4-5D6E-409C-BE32-E72D297353CC}">
              <c16:uniqueId val="{00000001-0E48-9140-8A28-D894094DB461}"/>
            </c:ext>
          </c:extLst>
        </c:ser>
        <c:ser>
          <c:idx val="2"/>
          <c:order val="2"/>
          <c:tx>
            <c:strRef>
              <c:f>Sheet1!$O$6</c:f>
              <c:strCache>
                <c:ptCount val="1"/>
                <c:pt idx="0">
                  <c:v>Services</c:v>
                </c:pt>
              </c:strCache>
            </c:strRef>
          </c:tx>
          <c:spPr>
            <a:solidFill>
              <a:schemeClr val="accent3"/>
            </a:solidFill>
            <a:ln>
              <a:noFill/>
            </a:ln>
            <a:effectLst/>
          </c:spPr>
          <c:invertIfNegative val="0"/>
          <c:cat>
            <c:strRef>
              <c:f>Sheet1!$Q$3:$T$3</c:f>
              <c:strCache>
                <c:ptCount val="4"/>
                <c:pt idx="0">
                  <c:v>2014/15</c:v>
                </c:pt>
                <c:pt idx="1">
                  <c:v>2015/16</c:v>
                </c:pt>
                <c:pt idx="2">
                  <c:v>2016/17</c:v>
                </c:pt>
                <c:pt idx="3">
                  <c:v>2017/18</c:v>
                </c:pt>
              </c:strCache>
            </c:strRef>
          </c:cat>
          <c:val>
            <c:numRef>
              <c:f>Sheet1!$Q$6:$T$6</c:f>
              <c:numCache>
                <c:formatCode>0</c:formatCode>
                <c:ptCount val="4"/>
                <c:pt idx="0">
                  <c:v>55.131004366812057</c:v>
                </c:pt>
                <c:pt idx="1">
                  <c:v>55.664488017429193</c:v>
                </c:pt>
                <c:pt idx="2">
                  <c:v>56.413043478260576</c:v>
                </c:pt>
                <c:pt idx="3">
                  <c:v>57.096424702058499</c:v>
                </c:pt>
              </c:numCache>
            </c:numRef>
          </c:val>
          <c:extLst>
            <c:ext xmlns:c16="http://schemas.microsoft.com/office/drawing/2014/chart" uri="{C3380CC4-5D6E-409C-BE32-E72D297353CC}">
              <c16:uniqueId val="{00000002-0E48-9140-8A28-D894094DB461}"/>
            </c:ext>
          </c:extLst>
        </c:ser>
        <c:dLbls>
          <c:showLegendKey val="0"/>
          <c:showVal val="0"/>
          <c:showCatName val="0"/>
          <c:showSerName val="0"/>
          <c:showPercent val="0"/>
          <c:showBubbleSize val="0"/>
        </c:dLbls>
        <c:gapWidth val="219"/>
        <c:overlap val="-27"/>
        <c:axId val="431562096"/>
        <c:axId val="431555824"/>
      </c:barChart>
      <c:catAx>
        <c:axId val="43156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555824"/>
        <c:crosses val="autoZero"/>
        <c:auto val="1"/>
        <c:lblAlgn val="ctr"/>
        <c:lblOffset val="100"/>
        <c:noMultiLvlLbl val="0"/>
      </c:catAx>
      <c:valAx>
        <c:axId val="431555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GDP (value added)</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156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89120882361619"/>
          <c:y val="9.2951662292214618E-2"/>
          <c:w val="0.82539010981836158"/>
          <c:h val="0.61946902654867886"/>
        </c:manualLayout>
      </c:layout>
      <c:lineChart>
        <c:grouping val="standard"/>
        <c:varyColors val="0"/>
        <c:ser>
          <c:idx val="0"/>
          <c:order val="0"/>
          <c:tx>
            <c:strRef>
              <c:f>Sheet6!$A$5</c:f>
              <c:strCache>
                <c:ptCount val="1"/>
                <c:pt idx="0">
                  <c:v>GDP at market prices</c:v>
                </c:pt>
              </c:strCache>
            </c:strRef>
          </c:tx>
          <c:marker>
            <c:symbol val="none"/>
          </c:marker>
          <c:cat>
            <c:strRef>
              <c:f>Sheet6!$B$4:$I$4</c:f>
              <c:strCache>
                <c:ptCount val="8"/>
                <c:pt idx="0">
                  <c:v>2010/11</c:v>
                </c:pt>
                <c:pt idx="1">
                  <c:v>2011/12</c:v>
                </c:pt>
                <c:pt idx="2">
                  <c:v>2012/13</c:v>
                </c:pt>
                <c:pt idx="3">
                  <c:v>2013/14</c:v>
                </c:pt>
                <c:pt idx="4">
                  <c:v>2014/15</c:v>
                </c:pt>
                <c:pt idx="5">
                  <c:v>2015/16</c:v>
                </c:pt>
                <c:pt idx="6">
                  <c:v>2016/17</c:v>
                </c:pt>
                <c:pt idx="7">
                  <c:v>2017/18</c:v>
                </c:pt>
              </c:strCache>
            </c:strRef>
          </c:cat>
          <c:val>
            <c:numRef>
              <c:f>Sheet6!$B$5:$I$5</c:f>
              <c:numCache>
                <c:formatCode>_-* #,##0.0_-;\-* #,##0.0_-;_-* "-"??_-;_-@_-</c:formatCode>
                <c:ptCount val="8"/>
                <c:pt idx="0" formatCode="0.0">
                  <c:v>9.391655492883654</c:v>
                </c:pt>
                <c:pt idx="1">
                  <c:v>3.8374556059454168</c:v>
                </c:pt>
                <c:pt idx="2">
                  <c:v>3.5869058263229281</c:v>
                </c:pt>
                <c:pt idx="3">
                  <c:v>5.1063073242908334</c:v>
                </c:pt>
                <c:pt idx="4">
                  <c:v>5.1878598625474197</c:v>
                </c:pt>
                <c:pt idx="5">
                  <c:v>4.7810002914463334</c:v>
                </c:pt>
                <c:pt idx="6">
                  <c:v>3.8630237568656294</c:v>
                </c:pt>
                <c:pt idx="7">
                  <c:v>6.0901445528844356</c:v>
                </c:pt>
              </c:numCache>
            </c:numRef>
          </c:val>
          <c:smooth val="1"/>
          <c:extLst>
            <c:ext xmlns:c16="http://schemas.microsoft.com/office/drawing/2014/chart" uri="{C3380CC4-5D6E-409C-BE32-E72D297353CC}">
              <c16:uniqueId val="{00000000-DE2B-A34E-BA07-703DC96598B7}"/>
            </c:ext>
          </c:extLst>
        </c:ser>
        <c:ser>
          <c:idx val="1"/>
          <c:order val="1"/>
          <c:tx>
            <c:strRef>
              <c:f>Sheet6!$A$6</c:f>
              <c:strCache>
                <c:ptCount val="1"/>
                <c:pt idx="0">
                  <c:v>Agriculture, forestry and fishing</c:v>
                </c:pt>
              </c:strCache>
            </c:strRef>
          </c:tx>
          <c:marker>
            <c:symbol val="none"/>
          </c:marker>
          <c:cat>
            <c:strRef>
              <c:f>Sheet6!$B$4:$I$4</c:f>
              <c:strCache>
                <c:ptCount val="8"/>
                <c:pt idx="0">
                  <c:v>2010/11</c:v>
                </c:pt>
                <c:pt idx="1">
                  <c:v>2011/12</c:v>
                </c:pt>
                <c:pt idx="2">
                  <c:v>2012/13</c:v>
                </c:pt>
                <c:pt idx="3">
                  <c:v>2013/14</c:v>
                </c:pt>
                <c:pt idx="4">
                  <c:v>2014/15</c:v>
                </c:pt>
                <c:pt idx="5">
                  <c:v>2015/16</c:v>
                </c:pt>
                <c:pt idx="6">
                  <c:v>2016/17</c:v>
                </c:pt>
                <c:pt idx="7">
                  <c:v>2017/18</c:v>
                </c:pt>
              </c:strCache>
            </c:strRef>
          </c:cat>
          <c:val>
            <c:numRef>
              <c:f>Sheet6!$B$6:$I$6</c:f>
              <c:numCache>
                <c:formatCode>0.0</c:formatCode>
                <c:ptCount val="8"/>
                <c:pt idx="0">
                  <c:v>3.1100634955016178</c:v>
                </c:pt>
                <c:pt idx="1">
                  <c:v>0.594148627128394</c:v>
                </c:pt>
                <c:pt idx="2">
                  <c:v>1.8620029574987549</c:v>
                </c:pt>
                <c:pt idx="3">
                  <c:v>2.6976982953957673</c:v>
                </c:pt>
                <c:pt idx="4">
                  <c:v>2.3457162388595751</c:v>
                </c:pt>
                <c:pt idx="5">
                  <c:v>2.8093306565000442</c:v>
                </c:pt>
                <c:pt idx="6">
                  <c:v>1.6102504544909575</c:v>
                </c:pt>
                <c:pt idx="7">
                  <c:v>3.8120899271694135</c:v>
                </c:pt>
              </c:numCache>
            </c:numRef>
          </c:val>
          <c:smooth val="1"/>
          <c:extLst>
            <c:ext xmlns:c16="http://schemas.microsoft.com/office/drawing/2014/chart" uri="{C3380CC4-5D6E-409C-BE32-E72D297353CC}">
              <c16:uniqueId val="{00000001-DE2B-A34E-BA07-703DC96598B7}"/>
            </c:ext>
          </c:extLst>
        </c:ser>
        <c:ser>
          <c:idx val="2"/>
          <c:order val="2"/>
          <c:tx>
            <c:strRef>
              <c:f>Sheet6!$A$7</c:f>
              <c:strCache>
                <c:ptCount val="1"/>
                <c:pt idx="0">
                  <c:v>Industry</c:v>
                </c:pt>
              </c:strCache>
            </c:strRef>
          </c:tx>
          <c:marker>
            <c:symbol val="none"/>
          </c:marker>
          <c:cat>
            <c:strRef>
              <c:f>Sheet6!$B$4:$I$4</c:f>
              <c:strCache>
                <c:ptCount val="8"/>
                <c:pt idx="0">
                  <c:v>2010/11</c:v>
                </c:pt>
                <c:pt idx="1">
                  <c:v>2011/12</c:v>
                </c:pt>
                <c:pt idx="2">
                  <c:v>2012/13</c:v>
                </c:pt>
                <c:pt idx="3">
                  <c:v>2013/14</c:v>
                </c:pt>
                <c:pt idx="4">
                  <c:v>2014/15</c:v>
                </c:pt>
                <c:pt idx="5">
                  <c:v>2015/16</c:v>
                </c:pt>
                <c:pt idx="6">
                  <c:v>2016/17</c:v>
                </c:pt>
                <c:pt idx="7">
                  <c:v>2017/18</c:v>
                </c:pt>
              </c:strCache>
            </c:strRef>
          </c:cat>
          <c:val>
            <c:numRef>
              <c:f>Sheet6!$B$7:$I$7</c:f>
              <c:numCache>
                <c:formatCode>0.0</c:formatCode>
                <c:ptCount val="8"/>
                <c:pt idx="0">
                  <c:v>11.297059972492148</c:v>
                </c:pt>
                <c:pt idx="1">
                  <c:v>3.0565898686663946</c:v>
                </c:pt>
                <c:pt idx="2">
                  <c:v>2.1425314344373891</c:v>
                </c:pt>
                <c:pt idx="3">
                  <c:v>6.3417633722787023</c:v>
                </c:pt>
                <c:pt idx="4">
                  <c:v>7.7536548000414651</c:v>
                </c:pt>
                <c:pt idx="5">
                  <c:v>4.5526067405483817</c:v>
                </c:pt>
                <c:pt idx="6">
                  <c:v>3.3963427844845167</c:v>
                </c:pt>
                <c:pt idx="7">
                  <c:v>6.1239607506704266</c:v>
                </c:pt>
              </c:numCache>
            </c:numRef>
          </c:val>
          <c:smooth val="1"/>
          <c:extLst>
            <c:ext xmlns:c16="http://schemas.microsoft.com/office/drawing/2014/chart" uri="{C3380CC4-5D6E-409C-BE32-E72D297353CC}">
              <c16:uniqueId val="{00000002-DE2B-A34E-BA07-703DC96598B7}"/>
            </c:ext>
          </c:extLst>
        </c:ser>
        <c:ser>
          <c:idx val="3"/>
          <c:order val="3"/>
          <c:tx>
            <c:strRef>
              <c:f>Sheet6!$A$8</c:f>
              <c:strCache>
                <c:ptCount val="1"/>
                <c:pt idx="0">
                  <c:v>Services</c:v>
                </c:pt>
              </c:strCache>
            </c:strRef>
          </c:tx>
          <c:marker>
            <c:symbol val="none"/>
          </c:marker>
          <c:cat>
            <c:strRef>
              <c:f>Sheet6!$B$4:$I$4</c:f>
              <c:strCache>
                <c:ptCount val="8"/>
                <c:pt idx="0">
                  <c:v>2010/11</c:v>
                </c:pt>
                <c:pt idx="1">
                  <c:v>2011/12</c:v>
                </c:pt>
                <c:pt idx="2">
                  <c:v>2012/13</c:v>
                </c:pt>
                <c:pt idx="3">
                  <c:v>2013/14</c:v>
                </c:pt>
                <c:pt idx="4">
                  <c:v>2014/15</c:v>
                </c:pt>
                <c:pt idx="5">
                  <c:v>2015/16</c:v>
                </c:pt>
                <c:pt idx="6">
                  <c:v>2016/17</c:v>
                </c:pt>
                <c:pt idx="7">
                  <c:v>2017/18</c:v>
                </c:pt>
              </c:strCache>
            </c:strRef>
          </c:cat>
          <c:val>
            <c:numRef>
              <c:f>Sheet6!$B$8:$I$8</c:f>
              <c:numCache>
                <c:formatCode>0.0</c:formatCode>
                <c:ptCount val="8"/>
                <c:pt idx="0">
                  <c:v>11.706616873847798</c:v>
                </c:pt>
                <c:pt idx="1">
                  <c:v>4.0483373849517834</c:v>
                </c:pt>
                <c:pt idx="2">
                  <c:v>5.4326331076587131</c:v>
                </c:pt>
                <c:pt idx="3">
                  <c:v>5.4205625169500671</c:v>
                </c:pt>
                <c:pt idx="4">
                  <c:v>4.8062872742312264</c:v>
                </c:pt>
                <c:pt idx="5" formatCode="_-* #,##0.0_-;\-* #,##0.0_-;_-* &quot;-&quot;??_-;_-@_-">
                  <c:v>6.1799247087771292</c:v>
                </c:pt>
                <c:pt idx="6" formatCode="_-* #,##0.0_-;\-* #,##0.0_-;_-* &quot;-&quot;??_-;_-@_-">
                  <c:v>5.4197489612872518</c:v>
                </c:pt>
                <c:pt idx="7" formatCode="_-* #,##0.0_-;\-* #,##0.0_-;_-* &quot;-&quot;??_-;_-@_-">
                  <c:v>7.7154219500549015</c:v>
                </c:pt>
              </c:numCache>
            </c:numRef>
          </c:val>
          <c:smooth val="1"/>
          <c:extLst>
            <c:ext xmlns:c16="http://schemas.microsoft.com/office/drawing/2014/chart" uri="{C3380CC4-5D6E-409C-BE32-E72D297353CC}">
              <c16:uniqueId val="{00000003-DE2B-A34E-BA07-703DC96598B7}"/>
            </c:ext>
          </c:extLst>
        </c:ser>
        <c:dLbls>
          <c:showLegendKey val="0"/>
          <c:showVal val="0"/>
          <c:showCatName val="0"/>
          <c:showSerName val="0"/>
          <c:showPercent val="0"/>
          <c:showBubbleSize val="0"/>
        </c:dLbls>
        <c:smooth val="0"/>
        <c:axId val="431557784"/>
        <c:axId val="431563664"/>
      </c:lineChart>
      <c:catAx>
        <c:axId val="431557784"/>
        <c:scaling>
          <c:orientation val="minMax"/>
        </c:scaling>
        <c:delete val="0"/>
        <c:axPos val="b"/>
        <c:numFmt formatCode="General" sourceLinked="0"/>
        <c:majorTickMark val="none"/>
        <c:minorTickMark val="none"/>
        <c:tickLblPos val="nextTo"/>
        <c:crossAx val="431563664"/>
        <c:crosses val="autoZero"/>
        <c:auto val="1"/>
        <c:lblAlgn val="ctr"/>
        <c:lblOffset val="100"/>
        <c:noMultiLvlLbl val="0"/>
      </c:catAx>
      <c:valAx>
        <c:axId val="431563664"/>
        <c:scaling>
          <c:orientation val="minMax"/>
          <c:max val="12"/>
        </c:scaling>
        <c:delete val="0"/>
        <c:axPos val="l"/>
        <c:majorGridlines/>
        <c:title>
          <c:tx>
            <c:rich>
              <a:bodyPr/>
              <a:lstStyle/>
              <a:p>
                <a:pPr>
                  <a:defRPr/>
                </a:pPr>
                <a:r>
                  <a:rPr lang="en-US"/>
                  <a:t>%</a:t>
                </a:r>
                <a:r>
                  <a:rPr lang="en-US" baseline="0"/>
                  <a:t> change</a:t>
                </a:r>
                <a:endParaRPr lang="en-US"/>
              </a:p>
            </c:rich>
          </c:tx>
          <c:overlay val="0"/>
        </c:title>
        <c:numFmt formatCode="0" sourceLinked="0"/>
        <c:majorTickMark val="none"/>
        <c:minorTickMark val="none"/>
        <c:tickLblPos val="nextTo"/>
        <c:crossAx val="431557784"/>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994448123891083E-2"/>
          <c:y val="5.9690966048599123E-2"/>
          <c:w val="0.86369455789576033"/>
          <c:h val="0.79196049996704643"/>
        </c:manualLayout>
      </c:layout>
      <c:lineChart>
        <c:grouping val="standard"/>
        <c:varyColors val="0"/>
        <c:ser>
          <c:idx val="0"/>
          <c:order val="0"/>
          <c:tx>
            <c:strRef>
              <c:f>Sheet1!$B$55</c:f>
              <c:strCache>
                <c:ptCount val="1"/>
                <c:pt idx="0">
                  <c:v>    Including grants and HIPC debt relief</c:v>
                </c:pt>
              </c:strCache>
            </c:strRef>
          </c:tx>
          <c:marker>
            <c:symbol val="none"/>
          </c:marker>
          <c:cat>
            <c:strRef>
              <c:f>Sheet1!$C$54:$H$54</c:f>
              <c:strCache>
                <c:ptCount val="6"/>
                <c:pt idx="0">
                  <c:v>2013/14</c:v>
                </c:pt>
                <c:pt idx="1">
                  <c:v>2014/15</c:v>
                </c:pt>
                <c:pt idx="2">
                  <c:v>2015/16</c:v>
                </c:pt>
                <c:pt idx="3">
                  <c:v>2016/17</c:v>
                </c:pt>
                <c:pt idx="4">
                  <c:v>2017/18</c:v>
                </c:pt>
                <c:pt idx="5">
                  <c:v>2018/19.proj</c:v>
                </c:pt>
              </c:strCache>
            </c:strRef>
          </c:cat>
          <c:val>
            <c:numRef>
              <c:f>Sheet1!$C$55:$H$55</c:f>
              <c:numCache>
                <c:formatCode>General</c:formatCode>
                <c:ptCount val="6"/>
                <c:pt idx="0">
                  <c:v>-2.7</c:v>
                </c:pt>
                <c:pt idx="1">
                  <c:v>-2.8</c:v>
                </c:pt>
                <c:pt idx="2">
                  <c:v>-4.9000000000000004</c:v>
                </c:pt>
                <c:pt idx="3">
                  <c:v>-3.9</c:v>
                </c:pt>
                <c:pt idx="4">
                  <c:v>-4.8</c:v>
                </c:pt>
                <c:pt idx="5">
                  <c:v>-5.5</c:v>
                </c:pt>
              </c:numCache>
            </c:numRef>
          </c:val>
          <c:smooth val="1"/>
          <c:extLst>
            <c:ext xmlns:c16="http://schemas.microsoft.com/office/drawing/2014/chart" uri="{C3380CC4-5D6E-409C-BE32-E72D297353CC}">
              <c16:uniqueId val="{00000000-2042-2744-B8D4-AC1320DB4E86}"/>
            </c:ext>
          </c:extLst>
        </c:ser>
        <c:ser>
          <c:idx val="1"/>
          <c:order val="1"/>
          <c:tx>
            <c:strRef>
              <c:f>Sheet1!$B$56</c:f>
              <c:strCache>
                <c:ptCount val="1"/>
                <c:pt idx="0">
                  <c:v>    Excluding grants </c:v>
                </c:pt>
              </c:strCache>
            </c:strRef>
          </c:tx>
          <c:marker>
            <c:symbol val="none"/>
          </c:marker>
          <c:cat>
            <c:strRef>
              <c:f>Sheet1!$C$54:$H$54</c:f>
              <c:strCache>
                <c:ptCount val="6"/>
                <c:pt idx="0">
                  <c:v>2013/14</c:v>
                </c:pt>
                <c:pt idx="1">
                  <c:v>2014/15</c:v>
                </c:pt>
                <c:pt idx="2">
                  <c:v>2015/16</c:v>
                </c:pt>
                <c:pt idx="3">
                  <c:v>2016/17</c:v>
                </c:pt>
                <c:pt idx="4">
                  <c:v>2017/18</c:v>
                </c:pt>
                <c:pt idx="5">
                  <c:v>2018/19.proj</c:v>
                </c:pt>
              </c:strCache>
            </c:strRef>
          </c:cat>
          <c:val>
            <c:numRef>
              <c:f>Sheet1!$C$56:$H$56</c:f>
              <c:numCache>
                <c:formatCode>General</c:formatCode>
                <c:ptCount val="6"/>
                <c:pt idx="0">
                  <c:v>-4.0999999999999996</c:v>
                </c:pt>
                <c:pt idx="1">
                  <c:v>-4.5</c:v>
                </c:pt>
                <c:pt idx="2">
                  <c:v>-6.3</c:v>
                </c:pt>
                <c:pt idx="3">
                  <c:v>-4.9000000000000004</c:v>
                </c:pt>
                <c:pt idx="4">
                  <c:v>-6</c:v>
                </c:pt>
                <c:pt idx="5">
                  <c:v>-7</c:v>
                </c:pt>
              </c:numCache>
            </c:numRef>
          </c:val>
          <c:smooth val="1"/>
          <c:extLst>
            <c:ext xmlns:c16="http://schemas.microsoft.com/office/drawing/2014/chart" uri="{C3380CC4-5D6E-409C-BE32-E72D297353CC}">
              <c16:uniqueId val="{00000001-2042-2744-B8D4-AC1320DB4E86}"/>
            </c:ext>
          </c:extLst>
        </c:ser>
        <c:dLbls>
          <c:showLegendKey val="0"/>
          <c:showVal val="0"/>
          <c:showCatName val="0"/>
          <c:showSerName val="0"/>
          <c:showPercent val="0"/>
          <c:showBubbleSize val="0"/>
        </c:dLbls>
        <c:smooth val="0"/>
        <c:axId val="431558568"/>
        <c:axId val="431559352"/>
      </c:lineChart>
      <c:catAx>
        <c:axId val="431558568"/>
        <c:scaling>
          <c:orientation val="minMax"/>
        </c:scaling>
        <c:delete val="0"/>
        <c:axPos val="b"/>
        <c:numFmt formatCode="General" sourceLinked="0"/>
        <c:majorTickMark val="out"/>
        <c:minorTickMark val="none"/>
        <c:tickLblPos val="nextTo"/>
        <c:crossAx val="431559352"/>
        <c:crosses val="autoZero"/>
        <c:auto val="1"/>
        <c:lblAlgn val="ctr"/>
        <c:lblOffset val="100"/>
        <c:noMultiLvlLbl val="0"/>
      </c:catAx>
      <c:valAx>
        <c:axId val="431559352"/>
        <c:scaling>
          <c:orientation val="minMax"/>
          <c:max val="0"/>
          <c:min val="-8"/>
        </c:scaling>
        <c:delete val="0"/>
        <c:axPos val="l"/>
        <c:majorGridlines/>
        <c:numFmt formatCode="General" sourceLinked="1"/>
        <c:majorTickMark val="out"/>
        <c:minorTickMark val="none"/>
        <c:tickLblPos val="nextTo"/>
        <c:crossAx val="431558568"/>
        <c:crosses val="autoZero"/>
        <c:crossBetween val="between"/>
      </c:valAx>
    </c:plotArea>
    <c:legend>
      <c:legendPos val="b"/>
      <c:layout>
        <c:manualLayout>
          <c:xMode val="edge"/>
          <c:yMode val="edge"/>
          <c:x val="0.13961874957938042"/>
          <c:y val="0.89254624291438445"/>
          <c:w val="0.72503583875293753"/>
          <c:h val="7.8027673725250379E-2"/>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88407699037621E-2"/>
          <c:y val="0.12895974422950218"/>
          <c:w val="0.84594080912299763"/>
          <c:h val="0.61787844420682403"/>
        </c:manualLayout>
      </c:layout>
      <c:lineChart>
        <c:grouping val="standard"/>
        <c:varyColors val="0"/>
        <c:ser>
          <c:idx val="0"/>
          <c:order val="0"/>
          <c:tx>
            <c:strRef>
              <c:f>Sheet1!$B$58</c:f>
              <c:strCache>
                <c:ptCount val="1"/>
                <c:pt idx="0">
                  <c:v>Expenditure(% GDP)</c:v>
                </c:pt>
              </c:strCache>
            </c:strRef>
          </c:tx>
          <c:marker>
            <c:symbol val="none"/>
          </c:marker>
          <c:cat>
            <c:strRef>
              <c:f>Sheet1!$C$57:$H$57</c:f>
              <c:strCache>
                <c:ptCount val="6"/>
                <c:pt idx="0">
                  <c:v>2013/14</c:v>
                </c:pt>
                <c:pt idx="1">
                  <c:v>2014/15</c:v>
                </c:pt>
                <c:pt idx="2">
                  <c:v>2015/16</c:v>
                </c:pt>
                <c:pt idx="3">
                  <c:v>2016/17</c:v>
                </c:pt>
                <c:pt idx="4">
                  <c:v>2017/18</c:v>
                </c:pt>
                <c:pt idx="5">
                  <c:v>2018/19.proj</c:v>
                </c:pt>
              </c:strCache>
            </c:strRef>
          </c:cat>
          <c:val>
            <c:numRef>
              <c:f>Sheet1!$C$58:$H$58</c:f>
              <c:numCache>
                <c:formatCode>General</c:formatCode>
                <c:ptCount val="6"/>
                <c:pt idx="0">
                  <c:v>17</c:v>
                </c:pt>
                <c:pt idx="1">
                  <c:v>18.899999999999999</c:v>
                </c:pt>
                <c:pt idx="2">
                  <c:v>20.2</c:v>
                </c:pt>
                <c:pt idx="3">
                  <c:v>19.100000000000001</c:v>
                </c:pt>
                <c:pt idx="4">
                  <c:v>20.399999999999999</c:v>
                </c:pt>
                <c:pt idx="5">
                  <c:v>21.7</c:v>
                </c:pt>
              </c:numCache>
            </c:numRef>
          </c:val>
          <c:smooth val="1"/>
          <c:extLst>
            <c:ext xmlns:c16="http://schemas.microsoft.com/office/drawing/2014/chart" uri="{C3380CC4-5D6E-409C-BE32-E72D297353CC}">
              <c16:uniqueId val="{00000000-7AB2-4541-9D1F-D167D697F74F}"/>
            </c:ext>
          </c:extLst>
        </c:ser>
        <c:dLbls>
          <c:showLegendKey val="0"/>
          <c:showVal val="0"/>
          <c:showCatName val="0"/>
          <c:showSerName val="0"/>
          <c:showPercent val="0"/>
          <c:showBubbleSize val="0"/>
        </c:dLbls>
        <c:smooth val="0"/>
        <c:axId val="431558960"/>
        <c:axId val="431566408"/>
      </c:lineChart>
      <c:catAx>
        <c:axId val="431558960"/>
        <c:scaling>
          <c:orientation val="minMax"/>
        </c:scaling>
        <c:delete val="0"/>
        <c:axPos val="b"/>
        <c:numFmt formatCode="General" sourceLinked="0"/>
        <c:majorTickMark val="out"/>
        <c:minorTickMark val="none"/>
        <c:tickLblPos val="nextTo"/>
        <c:crossAx val="431566408"/>
        <c:crosses val="autoZero"/>
        <c:auto val="1"/>
        <c:lblAlgn val="ctr"/>
        <c:lblOffset val="100"/>
        <c:noMultiLvlLbl val="0"/>
      </c:catAx>
      <c:valAx>
        <c:axId val="431566408"/>
        <c:scaling>
          <c:orientation val="minMax"/>
        </c:scaling>
        <c:delete val="0"/>
        <c:axPos val="l"/>
        <c:majorGridlines/>
        <c:numFmt formatCode="General" sourceLinked="1"/>
        <c:majorTickMark val="out"/>
        <c:minorTickMark val="none"/>
        <c:tickLblPos val="nextTo"/>
        <c:crossAx val="431558960"/>
        <c:crosses val="autoZero"/>
        <c:crossBetween val="between"/>
      </c:valAx>
    </c:plotArea>
    <c:legend>
      <c:legendPos val="r"/>
      <c:layout>
        <c:manualLayout>
          <c:xMode val="edge"/>
          <c:yMode val="edge"/>
          <c:x val="0.38775000000000032"/>
          <c:y val="0.90484288422280545"/>
          <c:w val="0.31225000000000008"/>
          <c:h val="8.3717191601050026E-2"/>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Sheet2!$A$3</c:f>
              <c:strCache>
                <c:ptCount val="1"/>
                <c:pt idx="0">
                  <c:v> Recurrent expenditures</c:v>
                </c:pt>
              </c:strCache>
            </c:strRef>
          </c:tx>
          <c:invertIfNegative val="0"/>
          <c:cat>
            <c:strRef>
              <c:f>Sheet2!$B$2:$E$2</c:f>
              <c:strCache>
                <c:ptCount val="4"/>
                <c:pt idx="0">
                  <c:v>2015/16</c:v>
                </c:pt>
                <c:pt idx="1">
                  <c:v>2016/17</c:v>
                </c:pt>
                <c:pt idx="2">
                  <c:v>2017/18</c:v>
                </c:pt>
                <c:pt idx="3">
                  <c:v>2018/19</c:v>
                </c:pt>
              </c:strCache>
            </c:strRef>
          </c:cat>
          <c:val>
            <c:numRef>
              <c:f>Sheet2!$B$3:$E$3</c:f>
              <c:numCache>
                <c:formatCode>#,##0</c:formatCode>
                <c:ptCount val="4"/>
                <c:pt idx="0">
                  <c:v>9168.6232649186968</c:v>
                </c:pt>
                <c:pt idx="1">
                  <c:v>9994.3017347647183</c:v>
                </c:pt>
                <c:pt idx="2" formatCode="#,##0_ ;\-#,##0\ ">
                  <c:v>11212.955211893383</c:v>
                </c:pt>
                <c:pt idx="3" formatCode="#,##0_ ;\-#,##0\ ">
                  <c:v>11495.049944839298</c:v>
                </c:pt>
              </c:numCache>
            </c:numRef>
          </c:val>
          <c:extLst>
            <c:ext xmlns:c16="http://schemas.microsoft.com/office/drawing/2014/chart" uri="{C3380CC4-5D6E-409C-BE32-E72D297353CC}">
              <c16:uniqueId val="{00000000-4569-3743-8C87-48F343B00453}"/>
            </c:ext>
          </c:extLst>
        </c:ser>
        <c:ser>
          <c:idx val="1"/>
          <c:order val="1"/>
          <c:tx>
            <c:strRef>
              <c:f>Sheet2!$A$4</c:f>
              <c:strCache>
                <c:ptCount val="1"/>
                <c:pt idx="0">
                  <c:v> Development expenditures</c:v>
                </c:pt>
              </c:strCache>
            </c:strRef>
          </c:tx>
          <c:invertIfNegative val="0"/>
          <c:cat>
            <c:strRef>
              <c:f>Sheet2!$B$2:$E$2</c:f>
              <c:strCache>
                <c:ptCount val="4"/>
                <c:pt idx="0">
                  <c:v>2015/16</c:v>
                </c:pt>
                <c:pt idx="1">
                  <c:v>2016/17</c:v>
                </c:pt>
                <c:pt idx="2">
                  <c:v>2017/18</c:v>
                </c:pt>
                <c:pt idx="3">
                  <c:v>2018/19</c:v>
                </c:pt>
              </c:strCache>
            </c:strRef>
          </c:cat>
          <c:val>
            <c:numRef>
              <c:f>Sheet2!$B$4:$E$4</c:f>
              <c:numCache>
                <c:formatCode>#,##0</c:formatCode>
                <c:ptCount val="4"/>
                <c:pt idx="0">
                  <c:v>5906.8384059738846</c:v>
                </c:pt>
                <c:pt idx="1">
                  <c:v>6718.1113444318516</c:v>
                </c:pt>
                <c:pt idx="2" formatCode="#,##0_ ;\-#,##0\ ">
                  <c:v>7590.1930985688969</c:v>
                </c:pt>
                <c:pt idx="3" formatCode="#,##0_ ;\-#,##0\ ">
                  <c:v>11051.124685618914</c:v>
                </c:pt>
              </c:numCache>
            </c:numRef>
          </c:val>
          <c:extLst>
            <c:ext xmlns:c16="http://schemas.microsoft.com/office/drawing/2014/chart" uri="{C3380CC4-5D6E-409C-BE32-E72D297353CC}">
              <c16:uniqueId val="{00000001-4569-3743-8C87-48F343B00453}"/>
            </c:ext>
          </c:extLst>
        </c:ser>
        <c:dLbls>
          <c:showLegendKey val="0"/>
          <c:showVal val="0"/>
          <c:showCatName val="0"/>
          <c:showSerName val="0"/>
          <c:showPercent val="0"/>
          <c:showBubbleSize val="0"/>
        </c:dLbls>
        <c:gapWidth val="150"/>
        <c:axId val="431566800"/>
        <c:axId val="431560528"/>
      </c:barChart>
      <c:catAx>
        <c:axId val="431566800"/>
        <c:scaling>
          <c:orientation val="minMax"/>
        </c:scaling>
        <c:delete val="0"/>
        <c:axPos val="b"/>
        <c:numFmt formatCode="General" sourceLinked="0"/>
        <c:majorTickMark val="none"/>
        <c:minorTickMark val="none"/>
        <c:tickLblPos val="nextTo"/>
        <c:crossAx val="431560528"/>
        <c:crosses val="autoZero"/>
        <c:auto val="1"/>
        <c:lblAlgn val="ctr"/>
        <c:lblOffset val="100"/>
        <c:noMultiLvlLbl val="0"/>
      </c:catAx>
      <c:valAx>
        <c:axId val="431560528"/>
        <c:scaling>
          <c:orientation val="minMax"/>
          <c:max val="12000"/>
        </c:scaling>
        <c:delete val="0"/>
        <c:axPos val="l"/>
        <c:majorGridlines/>
        <c:numFmt formatCode="#,##0" sourceLinked="1"/>
        <c:majorTickMark val="none"/>
        <c:minorTickMark val="none"/>
        <c:tickLblPos val="nextTo"/>
        <c:crossAx val="431566800"/>
        <c:crosses val="autoZero"/>
        <c:crossBetween val="between"/>
      </c:valAx>
    </c:plotArea>
    <c:legend>
      <c:legendPos val="b"/>
      <c:overlay val="0"/>
    </c:legend>
    <c:plotVisOnly val="1"/>
    <c:dispBlanksAs val="zero"/>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48862642169741"/>
          <c:y val="5.1400554097404488E-2"/>
          <c:w val="0.78970713035870665"/>
          <c:h val="0.68248432487605426"/>
        </c:manualLayout>
      </c:layout>
      <c:barChart>
        <c:barDir val="col"/>
        <c:grouping val="stacked"/>
        <c:varyColors val="0"/>
        <c:ser>
          <c:idx val="0"/>
          <c:order val="0"/>
          <c:tx>
            <c:strRef>
              <c:f>Sheet1!$J$29</c:f>
              <c:strCache>
                <c:ptCount val="1"/>
                <c:pt idx="0">
                  <c:v>External financing (net)</c:v>
                </c:pt>
              </c:strCache>
            </c:strRef>
          </c:tx>
          <c:invertIfNegative val="0"/>
          <c:cat>
            <c:strRef>
              <c:f>Sheet1!$K$28:$N$28</c:f>
              <c:strCache>
                <c:ptCount val="4"/>
                <c:pt idx="0">
                  <c:v>2015/16</c:v>
                </c:pt>
                <c:pt idx="1">
                  <c:v>2016/17</c:v>
                </c:pt>
                <c:pt idx="2">
                  <c:v>2017/18</c:v>
                </c:pt>
                <c:pt idx="3">
                  <c:v>2018/19</c:v>
                </c:pt>
              </c:strCache>
            </c:strRef>
          </c:cat>
          <c:val>
            <c:numRef>
              <c:f>Sheet1!$K$29:$N$29</c:f>
              <c:numCache>
                <c:formatCode>#,##0</c:formatCode>
                <c:ptCount val="4"/>
                <c:pt idx="0">
                  <c:v>2493.9948657778123</c:v>
                </c:pt>
                <c:pt idx="1">
                  <c:v>2608.6004354710235</c:v>
                </c:pt>
                <c:pt idx="2">
                  <c:v>2649.1252781464286</c:v>
                </c:pt>
                <c:pt idx="3">
                  <c:v>4757.8546552823727</c:v>
                </c:pt>
              </c:numCache>
            </c:numRef>
          </c:val>
          <c:extLst>
            <c:ext xmlns:c16="http://schemas.microsoft.com/office/drawing/2014/chart" uri="{C3380CC4-5D6E-409C-BE32-E72D297353CC}">
              <c16:uniqueId val="{00000000-5C97-4F6D-BD7C-FBFE5FED40B8}"/>
            </c:ext>
          </c:extLst>
        </c:ser>
        <c:ser>
          <c:idx val="1"/>
          <c:order val="1"/>
          <c:tx>
            <c:strRef>
              <c:f>Sheet1!$J$30</c:f>
              <c:strCache>
                <c:ptCount val="1"/>
                <c:pt idx="0">
                  <c:v>Domestic financing (net)</c:v>
                </c:pt>
              </c:strCache>
            </c:strRef>
          </c:tx>
          <c:invertIfNegative val="0"/>
          <c:cat>
            <c:strRef>
              <c:f>Sheet1!$K$28:$N$28</c:f>
              <c:strCache>
                <c:ptCount val="4"/>
                <c:pt idx="0">
                  <c:v>2015/16</c:v>
                </c:pt>
                <c:pt idx="1">
                  <c:v>2016/17</c:v>
                </c:pt>
                <c:pt idx="2">
                  <c:v>2017/18</c:v>
                </c:pt>
                <c:pt idx="3">
                  <c:v>2018/19</c:v>
                </c:pt>
              </c:strCache>
            </c:strRef>
          </c:cat>
          <c:val>
            <c:numRef>
              <c:f>Sheet1!$K$30:$N$30</c:f>
              <c:numCache>
                <c:formatCode>#,##0</c:formatCode>
                <c:ptCount val="4"/>
                <c:pt idx="0">
                  <c:v>1898.8412278484298</c:v>
                </c:pt>
                <c:pt idx="1">
                  <c:v>603.09054931328615</c:v>
                </c:pt>
                <c:pt idx="2">
                  <c:v>2146.9292025280315</c:v>
                </c:pt>
                <c:pt idx="3">
                  <c:v>1293.357566893791</c:v>
                </c:pt>
              </c:numCache>
            </c:numRef>
          </c:val>
          <c:extLst>
            <c:ext xmlns:c16="http://schemas.microsoft.com/office/drawing/2014/chart" uri="{C3380CC4-5D6E-409C-BE32-E72D297353CC}">
              <c16:uniqueId val="{00000001-5C97-4F6D-BD7C-FBFE5FED40B8}"/>
            </c:ext>
          </c:extLst>
        </c:ser>
        <c:dLbls>
          <c:showLegendKey val="0"/>
          <c:showVal val="0"/>
          <c:showCatName val="0"/>
          <c:showSerName val="0"/>
          <c:showPercent val="0"/>
          <c:showBubbleSize val="0"/>
        </c:dLbls>
        <c:gapWidth val="75"/>
        <c:overlap val="100"/>
        <c:axId val="431561312"/>
        <c:axId val="431567976"/>
      </c:barChart>
      <c:catAx>
        <c:axId val="431561312"/>
        <c:scaling>
          <c:orientation val="minMax"/>
        </c:scaling>
        <c:delete val="0"/>
        <c:axPos val="b"/>
        <c:numFmt formatCode="General" sourceLinked="0"/>
        <c:majorTickMark val="none"/>
        <c:minorTickMark val="none"/>
        <c:tickLblPos val="nextTo"/>
        <c:crossAx val="431567976"/>
        <c:crosses val="autoZero"/>
        <c:auto val="1"/>
        <c:lblAlgn val="ctr"/>
        <c:lblOffset val="100"/>
        <c:noMultiLvlLbl val="0"/>
      </c:catAx>
      <c:valAx>
        <c:axId val="431567976"/>
        <c:scaling>
          <c:orientation val="minMax"/>
        </c:scaling>
        <c:delete val="0"/>
        <c:axPos val="l"/>
        <c:majorGridlines/>
        <c:minorGridlines/>
        <c:title>
          <c:tx>
            <c:rich>
              <a:bodyPr/>
              <a:lstStyle/>
              <a:p>
                <a:pPr>
                  <a:defRPr/>
                </a:pPr>
                <a:r>
                  <a:rPr lang="en-US"/>
                  <a:t>Billion (Uganda shillings)</a:t>
                </a:r>
              </a:p>
            </c:rich>
          </c:tx>
          <c:overlay val="0"/>
        </c:title>
        <c:numFmt formatCode="#,##0" sourceLinked="1"/>
        <c:majorTickMark val="out"/>
        <c:minorTickMark val="none"/>
        <c:tickLblPos val="nextTo"/>
        <c:crossAx val="431561312"/>
        <c:crosses val="autoZero"/>
        <c:crossBetween val="between"/>
      </c:valAx>
    </c:plotArea>
    <c:legend>
      <c:legendPos val="r"/>
      <c:layout>
        <c:manualLayout>
          <c:xMode val="edge"/>
          <c:yMode val="edge"/>
          <c:x val="0.10708464566929163"/>
          <c:y val="0.87423228346456694"/>
          <c:w val="0.72347090988626173"/>
          <c:h val="0.1257677165354336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135768280180566E-2"/>
          <c:y val="5.1400554097404488E-2"/>
          <c:w val="0.83711333723937864"/>
          <c:h val="0.6747286427906215"/>
        </c:manualLayout>
      </c:layout>
      <c:barChart>
        <c:barDir val="col"/>
        <c:grouping val="clustered"/>
        <c:varyColors val="0"/>
        <c:ser>
          <c:idx val="0"/>
          <c:order val="0"/>
          <c:tx>
            <c:strRef>
              <c:f>Sheet1!$J$36</c:f>
              <c:strCache>
                <c:ptCount val="1"/>
                <c:pt idx="0">
                  <c:v>        Budget support</c:v>
                </c:pt>
              </c:strCache>
            </c:strRef>
          </c:tx>
          <c:invertIfNegative val="0"/>
          <c:cat>
            <c:strRef>
              <c:f>Sheet1!$K$35:$N$35</c:f>
              <c:strCache>
                <c:ptCount val="4"/>
                <c:pt idx="0">
                  <c:v>2015/16</c:v>
                </c:pt>
                <c:pt idx="1">
                  <c:v>2016/17</c:v>
                </c:pt>
                <c:pt idx="2">
                  <c:v>2017/18</c:v>
                </c:pt>
                <c:pt idx="3">
                  <c:v>2018/19</c:v>
                </c:pt>
              </c:strCache>
            </c:strRef>
          </c:cat>
          <c:val>
            <c:numRef>
              <c:f>Sheet1!$K$36:$N$36</c:f>
              <c:numCache>
                <c:formatCode>#,##0</c:formatCode>
                <c:ptCount val="4"/>
                <c:pt idx="0">
                  <c:v>0</c:v>
                </c:pt>
                <c:pt idx="1">
                  <c:v>572.86570624230751</c:v>
                </c:pt>
                <c:pt idx="2" formatCode="#,##0_ ;\-#,##0\ ">
                  <c:v>0</c:v>
                </c:pt>
                <c:pt idx="3" formatCode="#,##0_ ;\-#,##0\ ">
                  <c:v>187.27441501376092</c:v>
                </c:pt>
              </c:numCache>
            </c:numRef>
          </c:val>
          <c:extLst>
            <c:ext xmlns:c16="http://schemas.microsoft.com/office/drawing/2014/chart" uri="{C3380CC4-5D6E-409C-BE32-E72D297353CC}">
              <c16:uniqueId val="{00000000-644A-214E-9AE8-C117D7DD4B64}"/>
            </c:ext>
          </c:extLst>
        </c:ser>
        <c:ser>
          <c:idx val="1"/>
          <c:order val="1"/>
          <c:tx>
            <c:strRef>
              <c:f>Sheet1!$J$37</c:f>
              <c:strCache>
                <c:ptCount val="1"/>
                <c:pt idx="0">
                  <c:v>        Concessional project loans</c:v>
                </c:pt>
              </c:strCache>
            </c:strRef>
          </c:tx>
          <c:invertIfNegative val="0"/>
          <c:cat>
            <c:strRef>
              <c:f>Sheet1!$K$35:$N$35</c:f>
              <c:strCache>
                <c:ptCount val="4"/>
                <c:pt idx="0">
                  <c:v>2015/16</c:v>
                </c:pt>
                <c:pt idx="1">
                  <c:v>2016/17</c:v>
                </c:pt>
                <c:pt idx="2">
                  <c:v>2017/18</c:v>
                </c:pt>
                <c:pt idx="3">
                  <c:v>2018/19</c:v>
                </c:pt>
              </c:strCache>
            </c:strRef>
          </c:cat>
          <c:val>
            <c:numRef>
              <c:f>Sheet1!$K$37:$N$37</c:f>
              <c:numCache>
                <c:formatCode>#,##0</c:formatCode>
                <c:ptCount val="4"/>
                <c:pt idx="0">
                  <c:v>1739.4008357271805</c:v>
                </c:pt>
                <c:pt idx="1">
                  <c:v>1674.9158343747931</c:v>
                </c:pt>
                <c:pt idx="2" formatCode="#,##0_ ;\-#,##0\ ">
                  <c:v>1420.9925407422811</c:v>
                </c:pt>
                <c:pt idx="3" formatCode="#,##0_ ;\-#,##0\ ">
                  <c:v>3289.4654448246797</c:v>
                </c:pt>
              </c:numCache>
            </c:numRef>
          </c:val>
          <c:extLst>
            <c:ext xmlns:c16="http://schemas.microsoft.com/office/drawing/2014/chart" uri="{C3380CC4-5D6E-409C-BE32-E72D297353CC}">
              <c16:uniqueId val="{00000001-644A-214E-9AE8-C117D7DD4B64}"/>
            </c:ext>
          </c:extLst>
        </c:ser>
        <c:ser>
          <c:idx val="2"/>
          <c:order val="2"/>
          <c:tx>
            <c:strRef>
              <c:f>Sheet1!$J$38</c:f>
              <c:strCache>
                <c:ptCount val="1"/>
                <c:pt idx="0">
                  <c:v>        Non-concessional borrowing</c:v>
                </c:pt>
              </c:strCache>
            </c:strRef>
          </c:tx>
          <c:invertIfNegative val="0"/>
          <c:cat>
            <c:strRef>
              <c:f>Sheet1!$K$35:$N$35</c:f>
              <c:strCache>
                <c:ptCount val="4"/>
                <c:pt idx="0">
                  <c:v>2015/16</c:v>
                </c:pt>
                <c:pt idx="1">
                  <c:v>2016/17</c:v>
                </c:pt>
                <c:pt idx="2">
                  <c:v>2017/18</c:v>
                </c:pt>
                <c:pt idx="3">
                  <c:v>2018/19</c:v>
                </c:pt>
              </c:strCache>
            </c:strRef>
          </c:cat>
          <c:val>
            <c:numRef>
              <c:f>Sheet1!$K$38:$N$38</c:f>
              <c:numCache>
                <c:formatCode>#,##0</c:formatCode>
                <c:ptCount val="4"/>
                <c:pt idx="0">
                  <c:v>1074.1014584690934</c:v>
                </c:pt>
                <c:pt idx="1">
                  <c:v>735.62899957043805</c:v>
                </c:pt>
                <c:pt idx="2">
                  <c:v>2148.8444732835155</c:v>
                </c:pt>
                <c:pt idx="3">
                  <c:v>2175.1609079346399</c:v>
                </c:pt>
              </c:numCache>
            </c:numRef>
          </c:val>
          <c:extLst>
            <c:ext xmlns:c16="http://schemas.microsoft.com/office/drawing/2014/chart" uri="{C3380CC4-5D6E-409C-BE32-E72D297353CC}">
              <c16:uniqueId val="{00000002-644A-214E-9AE8-C117D7DD4B64}"/>
            </c:ext>
          </c:extLst>
        </c:ser>
        <c:ser>
          <c:idx val="3"/>
          <c:order val="3"/>
          <c:tx>
            <c:strRef>
              <c:f>Sheet1!$J$39</c:f>
              <c:strCache>
                <c:ptCount val="1"/>
                <c:pt idx="0">
                  <c:v>        Revolving credit</c:v>
                </c:pt>
              </c:strCache>
            </c:strRef>
          </c:tx>
          <c:invertIfNegative val="0"/>
          <c:cat>
            <c:strRef>
              <c:f>Sheet1!$K$35:$N$35</c:f>
              <c:strCache>
                <c:ptCount val="4"/>
                <c:pt idx="0">
                  <c:v>2015/16</c:v>
                </c:pt>
                <c:pt idx="1">
                  <c:v>2016/17</c:v>
                </c:pt>
                <c:pt idx="2">
                  <c:v>2017/18</c:v>
                </c:pt>
                <c:pt idx="3">
                  <c:v>2018/19</c:v>
                </c:pt>
              </c:strCache>
            </c:strRef>
          </c:cat>
          <c:val>
            <c:numRef>
              <c:f>Sheet1!$K$39:$N$39</c:f>
              <c:numCache>
                <c:formatCode>#,##0</c:formatCode>
                <c:ptCount val="4"/>
                <c:pt idx="0">
                  <c:v>0</c:v>
                </c:pt>
                <c:pt idx="1">
                  <c:v>572.86570624230751</c:v>
                </c:pt>
                <c:pt idx="2">
                  <c:v>147.03542219999997</c:v>
                </c:pt>
                <c:pt idx="3">
                  <c:v>0</c:v>
                </c:pt>
              </c:numCache>
            </c:numRef>
          </c:val>
          <c:extLst>
            <c:ext xmlns:c16="http://schemas.microsoft.com/office/drawing/2014/chart" uri="{C3380CC4-5D6E-409C-BE32-E72D297353CC}">
              <c16:uniqueId val="{00000003-644A-214E-9AE8-C117D7DD4B64}"/>
            </c:ext>
          </c:extLst>
        </c:ser>
        <c:dLbls>
          <c:showLegendKey val="0"/>
          <c:showVal val="0"/>
          <c:showCatName val="0"/>
          <c:showSerName val="0"/>
          <c:showPercent val="0"/>
          <c:showBubbleSize val="0"/>
        </c:dLbls>
        <c:gapWidth val="150"/>
        <c:axId val="431563272"/>
        <c:axId val="431564448"/>
      </c:barChart>
      <c:catAx>
        <c:axId val="431563272"/>
        <c:scaling>
          <c:orientation val="minMax"/>
        </c:scaling>
        <c:delete val="0"/>
        <c:axPos val="b"/>
        <c:numFmt formatCode="General" sourceLinked="0"/>
        <c:majorTickMark val="out"/>
        <c:minorTickMark val="none"/>
        <c:tickLblPos val="nextTo"/>
        <c:crossAx val="431564448"/>
        <c:crosses val="autoZero"/>
        <c:auto val="1"/>
        <c:lblAlgn val="ctr"/>
        <c:lblOffset val="100"/>
        <c:noMultiLvlLbl val="0"/>
      </c:catAx>
      <c:valAx>
        <c:axId val="431564448"/>
        <c:scaling>
          <c:orientation val="minMax"/>
        </c:scaling>
        <c:delete val="0"/>
        <c:axPos val="l"/>
        <c:numFmt formatCode="#,##0" sourceLinked="1"/>
        <c:majorTickMark val="out"/>
        <c:minorTickMark val="none"/>
        <c:tickLblPos val="nextTo"/>
        <c:crossAx val="431563272"/>
        <c:crosses val="autoZero"/>
        <c:crossBetween val="between"/>
      </c:valAx>
    </c:plotArea>
    <c:legend>
      <c:legendPos val="b"/>
      <c:layout>
        <c:manualLayout>
          <c:xMode val="edge"/>
          <c:yMode val="edge"/>
          <c:x val="0.11949127164473569"/>
          <c:y val="0.85902123438583888"/>
          <c:w val="0.83603241064921363"/>
          <c:h val="0.11422274108481062"/>
        </c:manualLayout>
      </c:layout>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705479009894426"/>
          <c:y val="0.19754722561088314"/>
          <c:w val="0.80766865974237168"/>
          <c:h val="0.49972570330117261"/>
        </c:manualLayout>
      </c:layout>
      <c:lineChart>
        <c:grouping val="standard"/>
        <c:varyColors val="0"/>
        <c:ser>
          <c:idx val="0"/>
          <c:order val="0"/>
          <c:tx>
            <c:strRef>
              <c:f>'Table 4.17'!$A$26</c:f>
              <c:strCache>
                <c:ptCount val="1"/>
                <c:pt idx="0">
                  <c:v>Total public debt / GDP </c:v>
                </c:pt>
              </c:strCache>
            </c:strRef>
          </c:tx>
          <c:marker>
            <c:symbol val="none"/>
          </c:marker>
          <c:cat>
            <c:strRef>
              <c:f>'Table 4.17'!$D$25:$G$25</c:f>
              <c:strCache>
                <c:ptCount val="4"/>
                <c:pt idx="0">
                  <c:v>2014/15</c:v>
                </c:pt>
                <c:pt idx="1">
                  <c:v>2015/16</c:v>
                </c:pt>
                <c:pt idx="2">
                  <c:v>2016/17</c:v>
                </c:pt>
                <c:pt idx="3">
                  <c:v>2017/18</c:v>
                </c:pt>
              </c:strCache>
            </c:strRef>
          </c:cat>
          <c:val>
            <c:numRef>
              <c:f>'Table 4.17'!$D$26:$G$26</c:f>
              <c:numCache>
                <c:formatCode>0.0%</c:formatCode>
                <c:ptCount val="4"/>
                <c:pt idx="0">
                  <c:v>0.31200000000000028</c:v>
                </c:pt>
                <c:pt idx="1">
                  <c:v>0.34600000000000025</c:v>
                </c:pt>
                <c:pt idx="2">
                  <c:v>0.37000000000000027</c:v>
                </c:pt>
                <c:pt idx="3">
                  <c:v>0.41500000000000026</c:v>
                </c:pt>
              </c:numCache>
            </c:numRef>
          </c:val>
          <c:smooth val="1"/>
          <c:extLst>
            <c:ext xmlns:c16="http://schemas.microsoft.com/office/drawing/2014/chart" uri="{C3380CC4-5D6E-409C-BE32-E72D297353CC}">
              <c16:uniqueId val="{00000000-9050-432D-8A63-E2FD5B15ADEF}"/>
            </c:ext>
          </c:extLst>
        </c:ser>
        <c:ser>
          <c:idx val="1"/>
          <c:order val="1"/>
          <c:tx>
            <c:strRef>
              <c:f>'Table 4.17'!$A$27</c:f>
              <c:strCache>
                <c:ptCount val="1"/>
                <c:pt idx="0">
                  <c:v>o/w Domestic debt / GDP</c:v>
                </c:pt>
              </c:strCache>
            </c:strRef>
          </c:tx>
          <c:marker>
            <c:symbol val="none"/>
          </c:marker>
          <c:cat>
            <c:strRef>
              <c:f>'Table 4.17'!$D$25:$G$25</c:f>
              <c:strCache>
                <c:ptCount val="4"/>
                <c:pt idx="0">
                  <c:v>2014/15</c:v>
                </c:pt>
                <c:pt idx="1">
                  <c:v>2015/16</c:v>
                </c:pt>
                <c:pt idx="2">
                  <c:v>2016/17</c:v>
                </c:pt>
                <c:pt idx="3">
                  <c:v>2017/18</c:v>
                </c:pt>
              </c:strCache>
            </c:strRef>
          </c:cat>
          <c:val>
            <c:numRef>
              <c:f>'Table 4.17'!$D$27:$G$27</c:f>
              <c:numCache>
                <c:formatCode>0.0%</c:formatCode>
                <c:ptCount val="4"/>
                <c:pt idx="0">
                  <c:v>0.12300000000000007</c:v>
                </c:pt>
                <c:pt idx="1">
                  <c:v>0.13100000000000001</c:v>
                </c:pt>
                <c:pt idx="2">
                  <c:v>0.127</c:v>
                </c:pt>
                <c:pt idx="3">
                  <c:v>0.129</c:v>
                </c:pt>
              </c:numCache>
            </c:numRef>
          </c:val>
          <c:smooth val="1"/>
          <c:extLst>
            <c:ext xmlns:c16="http://schemas.microsoft.com/office/drawing/2014/chart" uri="{C3380CC4-5D6E-409C-BE32-E72D297353CC}">
              <c16:uniqueId val="{00000001-9050-432D-8A63-E2FD5B15ADEF}"/>
            </c:ext>
          </c:extLst>
        </c:ser>
        <c:ser>
          <c:idx val="2"/>
          <c:order val="2"/>
          <c:tx>
            <c:strRef>
              <c:f>'Table 4.17'!$A$28</c:f>
              <c:strCache>
                <c:ptCount val="1"/>
                <c:pt idx="0">
                  <c:v>o/w External debt / GDP</c:v>
                </c:pt>
              </c:strCache>
            </c:strRef>
          </c:tx>
          <c:marker>
            <c:symbol val="none"/>
          </c:marker>
          <c:cat>
            <c:strRef>
              <c:f>'Table 4.17'!$D$25:$G$25</c:f>
              <c:strCache>
                <c:ptCount val="4"/>
                <c:pt idx="0">
                  <c:v>2014/15</c:v>
                </c:pt>
                <c:pt idx="1">
                  <c:v>2015/16</c:v>
                </c:pt>
                <c:pt idx="2">
                  <c:v>2016/17</c:v>
                </c:pt>
                <c:pt idx="3">
                  <c:v>2017/18</c:v>
                </c:pt>
              </c:strCache>
            </c:strRef>
          </c:cat>
          <c:val>
            <c:numRef>
              <c:f>'Table 4.17'!$D$28:$G$28</c:f>
              <c:numCache>
                <c:formatCode>0.0%</c:formatCode>
                <c:ptCount val="4"/>
                <c:pt idx="0">
                  <c:v>0.18900000000000014</c:v>
                </c:pt>
                <c:pt idx="1">
                  <c:v>0.21500000000000014</c:v>
                </c:pt>
                <c:pt idx="2">
                  <c:v>0.24300000000000013</c:v>
                </c:pt>
                <c:pt idx="3">
                  <c:v>0.27300000000000002</c:v>
                </c:pt>
              </c:numCache>
            </c:numRef>
          </c:val>
          <c:smooth val="1"/>
          <c:extLst>
            <c:ext xmlns:c16="http://schemas.microsoft.com/office/drawing/2014/chart" uri="{C3380CC4-5D6E-409C-BE32-E72D297353CC}">
              <c16:uniqueId val="{00000002-9050-432D-8A63-E2FD5B15ADEF}"/>
            </c:ext>
          </c:extLst>
        </c:ser>
        <c:ser>
          <c:idx val="3"/>
          <c:order val="3"/>
          <c:tx>
            <c:strRef>
              <c:f>'Table 4.17'!$A$29</c:f>
              <c:strCache>
                <c:ptCount val="1"/>
                <c:pt idx="0">
                  <c:v>NDP II Public Debt Projections
</c:v>
                </c:pt>
              </c:strCache>
            </c:strRef>
          </c:tx>
          <c:marker>
            <c:symbol val="none"/>
          </c:marker>
          <c:cat>
            <c:strRef>
              <c:f>'Table 4.17'!$D$25:$G$25</c:f>
              <c:strCache>
                <c:ptCount val="4"/>
                <c:pt idx="0">
                  <c:v>2014/15</c:v>
                </c:pt>
                <c:pt idx="1">
                  <c:v>2015/16</c:v>
                </c:pt>
                <c:pt idx="2">
                  <c:v>2016/17</c:v>
                </c:pt>
                <c:pt idx="3">
                  <c:v>2017/18</c:v>
                </c:pt>
              </c:strCache>
            </c:strRef>
          </c:cat>
          <c:val>
            <c:numRef>
              <c:f>'Table 4.17'!$D$29:$G$29</c:f>
              <c:numCache>
                <c:formatCode>0.00%</c:formatCode>
                <c:ptCount val="4"/>
                <c:pt idx="0">
                  <c:v>0.30800000000000027</c:v>
                </c:pt>
                <c:pt idx="1">
                  <c:v>0.34600000000000025</c:v>
                </c:pt>
                <c:pt idx="2">
                  <c:v>0.38200000000000034</c:v>
                </c:pt>
                <c:pt idx="3" formatCode="0%">
                  <c:v>0.42000000000000026</c:v>
                </c:pt>
              </c:numCache>
            </c:numRef>
          </c:val>
          <c:smooth val="0"/>
          <c:extLst>
            <c:ext xmlns:c16="http://schemas.microsoft.com/office/drawing/2014/chart" uri="{C3380CC4-5D6E-409C-BE32-E72D297353CC}">
              <c16:uniqueId val="{00000003-9050-432D-8A63-E2FD5B15ADEF}"/>
            </c:ext>
          </c:extLst>
        </c:ser>
        <c:dLbls>
          <c:showLegendKey val="0"/>
          <c:showVal val="0"/>
          <c:showCatName val="0"/>
          <c:showSerName val="0"/>
          <c:showPercent val="0"/>
          <c:showBubbleSize val="0"/>
        </c:dLbls>
        <c:smooth val="0"/>
        <c:axId val="431565624"/>
        <c:axId val="431566016"/>
      </c:lineChart>
      <c:catAx>
        <c:axId val="431565624"/>
        <c:scaling>
          <c:orientation val="minMax"/>
        </c:scaling>
        <c:delete val="0"/>
        <c:axPos val="b"/>
        <c:numFmt formatCode="General" sourceLinked="0"/>
        <c:majorTickMark val="none"/>
        <c:minorTickMark val="none"/>
        <c:tickLblPos val="nextTo"/>
        <c:crossAx val="431566016"/>
        <c:crosses val="autoZero"/>
        <c:auto val="1"/>
        <c:lblAlgn val="ctr"/>
        <c:lblOffset val="100"/>
        <c:noMultiLvlLbl val="0"/>
      </c:catAx>
      <c:valAx>
        <c:axId val="431566016"/>
        <c:scaling>
          <c:orientation val="minMax"/>
        </c:scaling>
        <c:delete val="0"/>
        <c:axPos val="l"/>
        <c:majorGridlines/>
        <c:title>
          <c:tx>
            <c:rich>
              <a:bodyPr/>
              <a:lstStyle/>
              <a:p>
                <a:pPr>
                  <a:defRPr/>
                </a:pPr>
                <a:r>
                  <a:rPr lang="en-US"/>
                  <a:t>% of GDP</a:t>
                </a:r>
              </a:p>
            </c:rich>
          </c:tx>
          <c:overlay val="0"/>
        </c:title>
        <c:numFmt formatCode="0.0%" sourceLinked="1"/>
        <c:majorTickMark val="none"/>
        <c:minorTickMark val="none"/>
        <c:tickLblPos val="nextTo"/>
        <c:crossAx val="431565624"/>
        <c:crosses val="autoZero"/>
        <c:crossBetween val="between"/>
      </c:valAx>
    </c:plotArea>
    <c:legend>
      <c:legendPos val="r"/>
      <c:layout>
        <c:manualLayout>
          <c:xMode val="edge"/>
          <c:yMode val="edge"/>
          <c:x val="3.7373571711468802E-2"/>
          <c:y val="0.87342923480718981"/>
          <c:w val="0.96041060732686501"/>
          <c:h val="9.9900060569352467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63F07C-F78A-4188-A087-D6C568B7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 report &amp; proposal template 2013-04</Template>
  <TotalTime>1</TotalTime>
  <Pages>111</Pages>
  <Words>31544</Words>
  <Characters>179806</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Development Partnerships Thematic Report First Draft</vt:lpstr>
    </vt:vector>
  </TitlesOfParts>
  <Company>Development Partnerships Thematic Report- First Draft – 1 September 2013</Company>
  <LinksUpToDate>false</LinksUpToDate>
  <CharactersWithSpaces>210929</CharactersWithSpaces>
  <SharedDoc>false</SharedDoc>
  <HLinks>
    <vt:vector size="246" baseType="variant">
      <vt:variant>
        <vt:i4>1048629</vt:i4>
      </vt:variant>
      <vt:variant>
        <vt:i4>242</vt:i4>
      </vt:variant>
      <vt:variant>
        <vt:i4>0</vt:i4>
      </vt:variant>
      <vt:variant>
        <vt:i4>5</vt:i4>
      </vt:variant>
      <vt:variant>
        <vt:lpwstr/>
      </vt:variant>
      <vt:variant>
        <vt:lpwstr>_Toc530315123</vt:lpwstr>
      </vt:variant>
      <vt:variant>
        <vt:i4>1048629</vt:i4>
      </vt:variant>
      <vt:variant>
        <vt:i4>236</vt:i4>
      </vt:variant>
      <vt:variant>
        <vt:i4>0</vt:i4>
      </vt:variant>
      <vt:variant>
        <vt:i4>5</vt:i4>
      </vt:variant>
      <vt:variant>
        <vt:lpwstr/>
      </vt:variant>
      <vt:variant>
        <vt:lpwstr>_Toc530315122</vt:lpwstr>
      </vt:variant>
      <vt:variant>
        <vt:i4>1048629</vt:i4>
      </vt:variant>
      <vt:variant>
        <vt:i4>230</vt:i4>
      </vt:variant>
      <vt:variant>
        <vt:i4>0</vt:i4>
      </vt:variant>
      <vt:variant>
        <vt:i4>5</vt:i4>
      </vt:variant>
      <vt:variant>
        <vt:lpwstr/>
      </vt:variant>
      <vt:variant>
        <vt:lpwstr>_Toc530315121</vt:lpwstr>
      </vt:variant>
      <vt:variant>
        <vt:i4>1048629</vt:i4>
      </vt:variant>
      <vt:variant>
        <vt:i4>224</vt:i4>
      </vt:variant>
      <vt:variant>
        <vt:i4>0</vt:i4>
      </vt:variant>
      <vt:variant>
        <vt:i4>5</vt:i4>
      </vt:variant>
      <vt:variant>
        <vt:lpwstr/>
      </vt:variant>
      <vt:variant>
        <vt:lpwstr>_Toc530315120</vt:lpwstr>
      </vt:variant>
      <vt:variant>
        <vt:i4>1245237</vt:i4>
      </vt:variant>
      <vt:variant>
        <vt:i4>218</vt:i4>
      </vt:variant>
      <vt:variant>
        <vt:i4>0</vt:i4>
      </vt:variant>
      <vt:variant>
        <vt:i4>5</vt:i4>
      </vt:variant>
      <vt:variant>
        <vt:lpwstr/>
      </vt:variant>
      <vt:variant>
        <vt:lpwstr>_Toc530315119</vt:lpwstr>
      </vt:variant>
      <vt:variant>
        <vt:i4>1245237</vt:i4>
      </vt:variant>
      <vt:variant>
        <vt:i4>212</vt:i4>
      </vt:variant>
      <vt:variant>
        <vt:i4>0</vt:i4>
      </vt:variant>
      <vt:variant>
        <vt:i4>5</vt:i4>
      </vt:variant>
      <vt:variant>
        <vt:lpwstr/>
      </vt:variant>
      <vt:variant>
        <vt:lpwstr>_Toc530315118</vt:lpwstr>
      </vt:variant>
      <vt:variant>
        <vt:i4>1245237</vt:i4>
      </vt:variant>
      <vt:variant>
        <vt:i4>206</vt:i4>
      </vt:variant>
      <vt:variant>
        <vt:i4>0</vt:i4>
      </vt:variant>
      <vt:variant>
        <vt:i4>5</vt:i4>
      </vt:variant>
      <vt:variant>
        <vt:lpwstr/>
      </vt:variant>
      <vt:variant>
        <vt:lpwstr>_Toc530315117</vt:lpwstr>
      </vt:variant>
      <vt:variant>
        <vt:i4>1245237</vt:i4>
      </vt:variant>
      <vt:variant>
        <vt:i4>200</vt:i4>
      </vt:variant>
      <vt:variant>
        <vt:i4>0</vt:i4>
      </vt:variant>
      <vt:variant>
        <vt:i4>5</vt:i4>
      </vt:variant>
      <vt:variant>
        <vt:lpwstr/>
      </vt:variant>
      <vt:variant>
        <vt:lpwstr>_Toc530315116</vt:lpwstr>
      </vt:variant>
      <vt:variant>
        <vt:i4>1245237</vt:i4>
      </vt:variant>
      <vt:variant>
        <vt:i4>194</vt:i4>
      </vt:variant>
      <vt:variant>
        <vt:i4>0</vt:i4>
      </vt:variant>
      <vt:variant>
        <vt:i4>5</vt:i4>
      </vt:variant>
      <vt:variant>
        <vt:lpwstr/>
      </vt:variant>
      <vt:variant>
        <vt:lpwstr>_Toc530315115</vt:lpwstr>
      </vt:variant>
      <vt:variant>
        <vt:i4>1245237</vt:i4>
      </vt:variant>
      <vt:variant>
        <vt:i4>188</vt:i4>
      </vt:variant>
      <vt:variant>
        <vt:i4>0</vt:i4>
      </vt:variant>
      <vt:variant>
        <vt:i4>5</vt:i4>
      </vt:variant>
      <vt:variant>
        <vt:lpwstr/>
      </vt:variant>
      <vt:variant>
        <vt:lpwstr>_Toc530315114</vt:lpwstr>
      </vt:variant>
      <vt:variant>
        <vt:i4>1245237</vt:i4>
      </vt:variant>
      <vt:variant>
        <vt:i4>182</vt:i4>
      </vt:variant>
      <vt:variant>
        <vt:i4>0</vt:i4>
      </vt:variant>
      <vt:variant>
        <vt:i4>5</vt:i4>
      </vt:variant>
      <vt:variant>
        <vt:lpwstr/>
      </vt:variant>
      <vt:variant>
        <vt:lpwstr>_Toc530315113</vt:lpwstr>
      </vt:variant>
      <vt:variant>
        <vt:i4>1245237</vt:i4>
      </vt:variant>
      <vt:variant>
        <vt:i4>176</vt:i4>
      </vt:variant>
      <vt:variant>
        <vt:i4>0</vt:i4>
      </vt:variant>
      <vt:variant>
        <vt:i4>5</vt:i4>
      </vt:variant>
      <vt:variant>
        <vt:lpwstr/>
      </vt:variant>
      <vt:variant>
        <vt:lpwstr>_Toc530315112</vt:lpwstr>
      </vt:variant>
      <vt:variant>
        <vt:i4>1245237</vt:i4>
      </vt:variant>
      <vt:variant>
        <vt:i4>170</vt:i4>
      </vt:variant>
      <vt:variant>
        <vt:i4>0</vt:i4>
      </vt:variant>
      <vt:variant>
        <vt:i4>5</vt:i4>
      </vt:variant>
      <vt:variant>
        <vt:lpwstr/>
      </vt:variant>
      <vt:variant>
        <vt:lpwstr>_Toc530315111</vt:lpwstr>
      </vt:variant>
      <vt:variant>
        <vt:i4>1245237</vt:i4>
      </vt:variant>
      <vt:variant>
        <vt:i4>164</vt:i4>
      </vt:variant>
      <vt:variant>
        <vt:i4>0</vt:i4>
      </vt:variant>
      <vt:variant>
        <vt:i4>5</vt:i4>
      </vt:variant>
      <vt:variant>
        <vt:lpwstr/>
      </vt:variant>
      <vt:variant>
        <vt:lpwstr>_Toc530315110</vt:lpwstr>
      </vt:variant>
      <vt:variant>
        <vt:i4>1179701</vt:i4>
      </vt:variant>
      <vt:variant>
        <vt:i4>158</vt:i4>
      </vt:variant>
      <vt:variant>
        <vt:i4>0</vt:i4>
      </vt:variant>
      <vt:variant>
        <vt:i4>5</vt:i4>
      </vt:variant>
      <vt:variant>
        <vt:lpwstr/>
      </vt:variant>
      <vt:variant>
        <vt:lpwstr>_Toc530315109</vt:lpwstr>
      </vt:variant>
      <vt:variant>
        <vt:i4>1179701</vt:i4>
      </vt:variant>
      <vt:variant>
        <vt:i4>152</vt:i4>
      </vt:variant>
      <vt:variant>
        <vt:i4>0</vt:i4>
      </vt:variant>
      <vt:variant>
        <vt:i4>5</vt:i4>
      </vt:variant>
      <vt:variant>
        <vt:lpwstr/>
      </vt:variant>
      <vt:variant>
        <vt:lpwstr>_Toc530315108</vt:lpwstr>
      </vt:variant>
      <vt:variant>
        <vt:i4>1179701</vt:i4>
      </vt:variant>
      <vt:variant>
        <vt:i4>146</vt:i4>
      </vt:variant>
      <vt:variant>
        <vt:i4>0</vt:i4>
      </vt:variant>
      <vt:variant>
        <vt:i4>5</vt:i4>
      </vt:variant>
      <vt:variant>
        <vt:lpwstr/>
      </vt:variant>
      <vt:variant>
        <vt:lpwstr>_Toc530315107</vt:lpwstr>
      </vt:variant>
      <vt:variant>
        <vt:i4>1179701</vt:i4>
      </vt:variant>
      <vt:variant>
        <vt:i4>140</vt:i4>
      </vt:variant>
      <vt:variant>
        <vt:i4>0</vt:i4>
      </vt:variant>
      <vt:variant>
        <vt:i4>5</vt:i4>
      </vt:variant>
      <vt:variant>
        <vt:lpwstr/>
      </vt:variant>
      <vt:variant>
        <vt:lpwstr>_Toc530315106</vt:lpwstr>
      </vt:variant>
      <vt:variant>
        <vt:i4>1179701</vt:i4>
      </vt:variant>
      <vt:variant>
        <vt:i4>134</vt:i4>
      </vt:variant>
      <vt:variant>
        <vt:i4>0</vt:i4>
      </vt:variant>
      <vt:variant>
        <vt:i4>5</vt:i4>
      </vt:variant>
      <vt:variant>
        <vt:lpwstr/>
      </vt:variant>
      <vt:variant>
        <vt:lpwstr>_Toc530315105</vt:lpwstr>
      </vt:variant>
      <vt:variant>
        <vt:i4>1179701</vt:i4>
      </vt:variant>
      <vt:variant>
        <vt:i4>128</vt:i4>
      </vt:variant>
      <vt:variant>
        <vt:i4>0</vt:i4>
      </vt:variant>
      <vt:variant>
        <vt:i4>5</vt:i4>
      </vt:variant>
      <vt:variant>
        <vt:lpwstr/>
      </vt:variant>
      <vt:variant>
        <vt:lpwstr>_Toc530315104</vt:lpwstr>
      </vt:variant>
      <vt:variant>
        <vt:i4>1179701</vt:i4>
      </vt:variant>
      <vt:variant>
        <vt:i4>122</vt:i4>
      </vt:variant>
      <vt:variant>
        <vt:i4>0</vt:i4>
      </vt:variant>
      <vt:variant>
        <vt:i4>5</vt:i4>
      </vt:variant>
      <vt:variant>
        <vt:lpwstr/>
      </vt:variant>
      <vt:variant>
        <vt:lpwstr>_Toc530315103</vt:lpwstr>
      </vt:variant>
      <vt:variant>
        <vt:i4>1179701</vt:i4>
      </vt:variant>
      <vt:variant>
        <vt:i4>116</vt:i4>
      </vt:variant>
      <vt:variant>
        <vt:i4>0</vt:i4>
      </vt:variant>
      <vt:variant>
        <vt:i4>5</vt:i4>
      </vt:variant>
      <vt:variant>
        <vt:lpwstr/>
      </vt:variant>
      <vt:variant>
        <vt:lpwstr>_Toc530315102</vt:lpwstr>
      </vt:variant>
      <vt:variant>
        <vt:i4>1179701</vt:i4>
      </vt:variant>
      <vt:variant>
        <vt:i4>110</vt:i4>
      </vt:variant>
      <vt:variant>
        <vt:i4>0</vt:i4>
      </vt:variant>
      <vt:variant>
        <vt:i4>5</vt:i4>
      </vt:variant>
      <vt:variant>
        <vt:lpwstr/>
      </vt:variant>
      <vt:variant>
        <vt:lpwstr>_Toc530315101</vt:lpwstr>
      </vt:variant>
      <vt:variant>
        <vt:i4>1179701</vt:i4>
      </vt:variant>
      <vt:variant>
        <vt:i4>104</vt:i4>
      </vt:variant>
      <vt:variant>
        <vt:i4>0</vt:i4>
      </vt:variant>
      <vt:variant>
        <vt:i4>5</vt:i4>
      </vt:variant>
      <vt:variant>
        <vt:lpwstr/>
      </vt:variant>
      <vt:variant>
        <vt:lpwstr>_Toc530315100</vt:lpwstr>
      </vt:variant>
      <vt:variant>
        <vt:i4>1769524</vt:i4>
      </vt:variant>
      <vt:variant>
        <vt:i4>98</vt:i4>
      </vt:variant>
      <vt:variant>
        <vt:i4>0</vt:i4>
      </vt:variant>
      <vt:variant>
        <vt:i4>5</vt:i4>
      </vt:variant>
      <vt:variant>
        <vt:lpwstr/>
      </vt:variant>
      <vt:variant>
        <vt:lpwstr>_Toc530315099</vt:lpwstr>
      </vt:variant>
      <vt:variant>
        <vt:i4>1769524</vt:i4>
      </vt:variant>
      <vt:variant>
        <vt:i4>92</vt:i4>
      </vt:variant>
      <vt:variant>
        <vt:i4>0</vt:i4>
      </vt:variant>
      <vt:variant>
        <vt:i4>5</vt:i4>
      </vt:variant>
      <vt:variant>
        <vt:lpwstr/>
      </vt:variant>
      <vt:variant>
        <vt:lpwstr>_Toc530315098</vt:lpwstr>
      </vt:variant>
      <vt:variant>
        <vt:i4>1769524</vt:i4>
      </vt:variant>
      <vt:variant>
        <vt:i4>86</vt:i4>
      </vt:variant>
      <vt:variant>
        <vt:i4>0</vt:i4>
      </vt:variant>
      <vt:variant>
        <vt:i4>5</vt:i4>
      </vt:variant>
      <vt:variant>
        <vt:lpwstr/>
      </vt:variant>
      <vt:variant>
        <vt:lpwstr>_Toc530315097</vt:lpwstr>
      </vt:variant>
      <vt:variant>
        <vt:i4>1769524</vt:i4>
      </vt:variant>
      <vt:variant>
        <vt:i4>80</vt:i4>
      </vt:variant>
      <vt:variant>
        <vt:i4>0</vt:i4>
      </vt:variant>
      <vt:variant>
        <vt:i4>5</vt:i4>
      </vt:variant>
      <vt:variant>
        <vt:lpwstr/>
      </vt:variant>
      <vt:variant>
        <vt:lpwstr>_Toc530315096</vt:lpwstr>
      </vt:variant>
      <vt:variant>
        <vt:i4>1769524</vt:i4>
      </vt:variant>
      <vt:variant>
        <vt:i4>74</vt:i4>
      </vt:variant>
      <vt:variant>
        <vt:i4>0</vt:i4>
      </vt:variant>
      <vt:variant>
        <vt:i4>5</vt:i4>
      </vt:variant>
      <vt:variant>
        <vt:lpwstr/>
      </vt:variant>
      <vt:variant>
        <vt:lpwstr>_Toc530315095</vt:lpwstr>
      </vt:variant>
      <vt:variant>
        <vt:i4>1769524</vt:i4>
      </vt:variant>
      <vt:variant>
        <vt:i4>68</vt:i4>
      </vt:variant>
      <vt:variant>
        <vt:i4>0</vt:i4>
      </vt:variant>
      <vt:variant>
        <vt:i4>5</vt:i4>
      </vt:variant>
      <vt:variant>
        <vt:lpwstr/>
      </vt:variant>
      <vt:variant>
        <vt:lpwstr>_Toc530315094</vt:lpwstr>
      </vt:variant>
      <vt:variant>
        <vt:i4>1769524</vt:i4>
      </vt:variant>
      <vt:variant>
        <vt:i4>62</vt:i4>
      </vt:variant>
      <vt:variant>
        <vt:i4>0</vt:i4>
      </vt:variant>
      <vt:variant>
        <vt:i4>5</vt:i4>
      </vt:variant>
      <vt:variant>
        <vt:lpwstr/>
      </vt:variant>
      <vt:variant>
        <vt:lpwstr>_Toc530315093</vt:lpwstr>
      </vt:variant>
      <vt:variant>
        <vt:i4>1769524</vt:i4>
      </vt:variant>
      <vt:variant>
        <vt:i4>56</vt:i4>
      </vt:variant>
      <vt:variant>
        <vt:i4>0</vt:i4>
      </vt:variant>
      <vt:variant>
        <vt:i4>5</vt:i4>
      </vt:variant>
      <vt:variant>
        <vt:lpwstr/>
      </vt:variant>
      <vt:variant>
        <vt:lpwstr>_Toc530315092</vt:lpwstr>
      </vt:variant>
      <vt:variant>
        <vt:i4>1769524</vt:i4>
      </vt:variant>
      <vt:variant>
        <vt:i4>50</vt:i4>
      </vt:variant>
      <vt:variant>
        <vt:i4>0</vt:i4>
      </vt:variant>
      <vt:variant>
        <vt:i4>5</vt:i4>
      </vt:variant>
      <vt:variant>
        <vt:lpwstr/>
      </vt:variant>
      <vt:variant>
        <vt:lpwstr>_Toc530315091</vt:lpwstr>
      </vt:variant>
      <vt:variant>
        <vt:i4>1769524</vt:i4>
      </vt:variant>
      <vt:variant>
        <vt:i4>44</vt:i4>
      </vt:variant>
      <vt:variant>
        <vt:i4>0</vt:i4>
      </vt:variant>
      <vt:variant>
        <vt:i4>5</vt:i4>
      </vt:variant>
      <vt:variant>
        <vt:lpwstr/>
      </vt:variant>
      <vt:variant>
        <vt:lpwstr>_Toc530315090</vt:lpwstr>
      </vt:variant>
      <vt:variant>
        <vt:i4>1703988</vt:i4>
      </vt:variant>
      <vt:variant>
        <vt:i4>38</vt:i4>
      </vt:variant>
      <vt:variant>
        <vt:i4>0</vt:i4>
      </vt:variant>
      <vt:variant>
        <vt:i4>5</vt:i4>
      </vt:variant>
      <vt:variant>
        <vt:lpwstr/>
      </vt:variant>
      <vt:variant>
        <vt:lpwstr>_Toc530315089</vt:lpwstr>
      </vt:variant>
      <vt:variant>
        <vt:i4>1703988</vt:i4>
      </vt:variant>
      <vt:variant>
        <vt:i4>32</vt:i4>
      </vt:variant>
      <vt:variant>
        <vt:i4>0</vt:i4>
      </vt:variant>
      <vt:variant>
        <vt:i4>5</vt:i4>
      </vt:variant>
      <vt:variant>
        <vt:lpwstr/>
      </vt:variant>
      <vt:variant>
        <vt:lpwstr>_Toc530315088</vt:lpwstr>
      </vt:variant>
      <vt:variant>
        <vt:i4>1703988</vt:i4>
      </vt:variant>
      <vt:variant>
        <vt:i4>26</vt:i4>
      </vt:variant>
      <vt:variant>
        <vt:i4>0</vt:i4>
      </vt:variant>
      <vt:variant>
        <vt:i4>5</vt:i4>
      </vt:variant>
      <vt:variant>
        <vt:lpwstr/>
      </vt:variant>
      <vt:variant>
        <vt:lpwstr>_Toc530315087</vt:lpwstr>
      </vt:variant>
      <vt:variant>
        <vt:i4>1703988</vt:i4>
      </vt:variant>
      <vt:variant>
        <vt:i4>20</vt:i4>
      </vt:variant>
      <vt:variant>
        <vt:i4>0</vt:i4>
      </vt:variant>
      <vt:variant>
        <vt:i4>5</vt:i4>
      </vt:variant>
      <vt:variant>
        <vt:lpwstr/>
      </vt:variant>
      <vt:variant>
        <vt:lpwstr>_Toc530315086</vt:lpwstr>
      </vt:variant>
      <vt:variant>
        <vt:i4>1703988</vt:i4>
      </vt:variant>
      <vt:variant>
        <vt:i4>14</vt:i4>
      </vt:variant>
      <vt:variant>
        <vt:i4>0</vt:i4>
      </vt:variant>
      <vt:variant>
        <vt:i4>5</vt:i4>
      </vt:variant>
      <vt:variant>
        <vt:lpwstr/>
      </vt:variant>
      <vt:variant>
        <vt:lpwstr>_Toc530315085</vt:lpwstr>
      </vt:variant>
      <vt:variant>
        <vt:i4>1703988</vt:i4>
      </vt:variant>
      <vt:variant>
        <vt:i4>8</vt:i4>
      </vt:variant>
      <vt:variant>
        <vt:i4>0</vt:i4>
      </vt:variant>
      <vt:variant>
        <vt:i4>5</vt:i4>
      </vt:variant>
      <vt:variant>
        <vt:lpwstr/>
      </vt:variant>
      <vt:variant>
        <vt:lpwstr>_Toc530315084</vt:lpwstr>
      </vt:variant>
      <vt:variant>
        <vt:i4>1703988</vt:i4>
      </vt:variant>
      <vt:variant>
        <vt:i4>2</vt:i4>
      </vt:variant>
      <vt:variant>
        <vt:i4>0</vt:i4>
      </vt:variant>
      <vt:variant>
        <vt:i4>5</vt:i4>
      </vt:variant>
      <vt:variant>
        <vt:lpwstr/>
      </vt:variant>
      <vt:variant>
        <vt:lpwstr>_Toc530315083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Partnerships Thematic Report First Draft</dc:title>
  <dc:subject>Mid-Term Review of the National Development Plan    (2010/11-2014/15)</dc:subject>
  <dc:creator>Ibrahim</dc:creator>
  <cp:lastModifiedBy>Epiaka</cp:lastModifiedBy>
  <cp:revision>2</cp:revision>
  <cp:lastPrinted>2019-03-25T14:18:00Z</cp:lastPrinted>
  <dcterms:created xsi:type="dcterms:W3CDTF">2020-01-21T11:30:00Z</dcterms:created>
  <dcterms:modified xsi:type="dcterms:W3CDTF">2020-01-21T11:30:00Z</dcterms:modified>
</cp:coreProperties>
</file>