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38562008"/>
        <w:docPartObj>
          <w:docPartGallery w:val="Cover Pages"/>
          <w:docPartUnique/>
        </w:docPartObj>
      </w:sdtPr>
      <w:sdtEndPr/>
      <w:sdtContent>
        <w:p w14:paraId="40F9607B" w14:textId="641E2234" w:rsidR="00773884" w:rsidRPr="00773884" w:rsidRDefault="00773884" w:rsidP="006F31B1">
          <w:pPr>
            <w:pStyle w:val="Heading2"/>
            <w:numPr>
              <w:ilvl w:val="0"/>
              <w:numId w:val="0"/>
            </w:numPr>
          </w:pPr>
          <w:r w:rsidRPr="00773884">
            <w:rPr>
              <w:noProof/>
              <w:lang w:val="en-GB" w:eastAsia="en-GB"/>
            </w:rPr>
            <mc:AlternateContent>
              <mc:Choice Requires="wpg">
                <w:drawing>
                  <wp:anchor distT="0" distB="0" distL="114300" distR="114300" simplePos="0" relativeHeight="251668480" behindDoc="0" locked="0" layoutInCell="1" allowOverlap="1" wp14:anchorId="336AFB45" wp14:editId="4794B159">
                    <wp:simplePos x="0" y="0"/>
                    <wp:positionH relativeFrom="column">
                      <wp:posOffset>-300990</wp:posOffset>
                    </wp:positionH>
                    <wp:positionV relativeFrom="paragraph">
                      <wp:posOffset>-729615</wp:posOffset>
                    </wp:positionV>
                    <wp:extent cx="7125970" cy="10692130"/>
                    <wp:effectExtent l="0" t="0" r="36830" b="0"/>
                    <wp:wrapNone/>
                    <wp:docPr id="11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970" cy="10692130"/>
                              <a:chOff x="1004" y="-390"/>
                              <a:chExt cx="11222" cy="16838"/>
                            </a:xfrm>
                          </wpg:grpSpPr>
                          <wps:wsp>
                            <wps:cNvPr id="116" name="Freeform 154"/>
                            <wps:cNvSpPr>
                              <a:spLocks/>
                            </wps:cNvSpPr>
                            <wps:spPr bwMode="auto">
                              <a:xfrm>
                                <a:off x="7188" y="-390"/>
                                <a:ext cx="5038" cy="16838"/>
                              </a:xfrm>
                              <a:custGeom>
                                <a:avLst/>
                                <a:gdLst>
                                  <a:gd name="T0" fmla="+- 0 680 680"/>
                                  <a:gd name="T1" fmla="*/ T0 w 4701"/>
                                  <a:gd name="T2" fmla="*/ 16838 h 16838"/>
                                  <a:gd name="T3" fmla="+- 0 5381 680"/>
                                  <a:gd name="T4" fmla="*/ T3 w 4701"/>
                                  <a:gd name="T5" fmla="*/ 16838 h 16838"/>
                                  <a:gd name="T6" fmla="+- 0 5381 680"/>
                                  <a:gd name="T7" fmla="*/ T6 w 4701"/>
                                  <a:gd name="T8" fmla="*/ 0 h 16838"/>
                                  <a:gd name="T9" fmla="+- 0 680 680"/>
                                  <a:gd name="T10" fmla="*/ T9 w 4701"/>
                                  <a:gd name="T11" fmla="*/ 0 h 16838"/>
                                  <a:gd name="T12" fmla="+- 0 680 680"/>
                                  <a:gd name="T13" fmla="*/ T12 w 4701"/>
                                  <a:gd name="T14" fmla="*/ 16838 h 16838"/>
                                </a:gdLst>
                                <a:ahLst/>
                                <a:cxnLst>
                                  <a:cxn ang="0">
                                    <a:pos x="T1" y="T2"/>
                                  </a:cxn>
                                  <a:cxn ang="0">
                                    <a:pos x="T4" y="T5"/>
                                  </a:cxn>
                                  <a:cxn ang="0">
                                    <a:pos x="T7" y="T8"/>
                                  </a:cxn>
                                  <a:cxn ang="0">
                                    <a:pos x="T10" y="T11"/>
                                  </a:cxn>
                                  <a:cxn ang="0">
                                    <a:pos x="T13" y="T14"/>
                                  </a:cxn>
                                </a:cxnLst>
                                <a:rect l="0" t="0" r="r" b="b"/>
                                <a:pathLst>
                                  <a:path w="4701" h="16838">
                                    <a:moveTo>
                                      <a:pt x="0" y="16838"/>
                                    </a:moveTo>
                                    <a:lnTo>
                                      <a:pt x="4701" y="16838"/>
                                    </a:lnTo>
                                    <a:lnTo>
                                      <a:pt x="4701" y="0"/>
                                    </a:lnTo>
                                    <a:lnTo>
                                      <a:pt x="0" y="0"/>
                                    </a:lnTo>
                                    <a:lnTo>
                                      <a:pt x="0" y="16838"/>
                                    </a:lnTo>
                                  </a:path>
                                </a:pathLst>
                              </a:custGeom>
                              <a:solidFill>
                                <a:schemeClr val="accent4">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7" name="Group 227"/>
                            <wpg:cNvGrpSpPr>
                              <a:grpSpLocks/>
                            </wpg:cNvGrpSpPr>
                            <wpg:grpSpPr bwMode="auto">
                              <a:xfrm>
                                <a:off x="1349" y="815"/>
                                <a:ext cx="9828" cy="1710"/>
                                <a:chOff x="1349" y="815"/>
                                <a:chExt cx="9828" cy="1710"/>
                              </a:xfrm>
                            </wpg:grpSpPr>
                            <wps:wsp>
                              <wps:cNvPr id="118" name="Text Box 161"/>
                              <wps:cNvSpPr txBox="1">
                                <a:spLocks noChangeArrowheads="1"/>
                              </wps:cNvSpPr>
                              <wps:spPr bwMode="auto">
                                <a:xfrm>
                                  <a:off x="8849" y="860"/>
                                  <a:ext cx="2328"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C0C43B1" w14:textId="77777777" w:rsidR="00EF20A9" w:rsidRDefault="00EF20A9">
                                    <w:r w:rsidRPr="00D31687">
                                      <w:rPr>
                                        <w:rFonts w:ascii="Arial Unicode MS" w:eastAsia="Arial Unicode MS" w:hAnsi="Arial Unicode MS" w:cs="Arial Unicode MS"/>
                                        <w:noProof/>
                                        <w:sz w:val="32"/>
                                        <w:lang w:eastAsia="en-GB"/>
                                      </w:rPr>
                                      <w:drawing>
                                        <wp:inline distT="0" distB="0" distL="0" distR="0" wp14:anchorId="71054E41" wp14:editId="73981742">
                                          <wp:extent cx="1304925" cy="876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87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9" name="Text Box 162"/>
                              <wps:cNvSpPr txBox="1">
                                <a:spLocks noChangeArrowheads="1"/>
                              </wps:cNvSpPr>
                              <wps:spPr bwMode="auto">
                                <a:xfrm>
                                  <a:off x="1349" y="815"/>
                                  <a:ext cx="1881"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CC144BA" w14:textId="77777777" w:rsidR="00EF20A9" w:rsidRDefault="00EF20A9" w:rsidP="00773884">
                                    <w:r w:rsidRPr="00D31687">
                                      <w:rPr>
                                        <w:rFonts w:ascii="Arial Unicode MS" w:eastAsia="Arial Unicode MS" w:hAnsi="Arial Unicode MS" w:cs="Arial Unicode MS"/>
                                        <w:noProof/>
                                        <w:sz w:val="32"/>
                                        <w:lang w:eastAsia="en-GB"/>
                                      </w:rPr>
                                      <w:drawing>
                                        <wp:inline distT="0" distB="0" distL="0" distR="0" wp14:anchorId="0EE399C6" wp14:editId="21C40BEC">
                                          <wp:extent cx="1038225" cy="1038225"/>
                                          <wp:effectExtent l="0" t="0" r="9525" b="9525"/>
                                          <wp:docPr id="34" name="Picture 34" descr="C:\Users\smdhizaala\Documents\Server\desk\Flash, April 2010\NP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dhizaala\Documents\Server\desk\Flash, April 2010\NPA logo.png"/>
                                                  <pic:cNvPicPr>
                                                    <a:picLocks noChangeAspect="1" noChangeArrowheads="1"/>
                                                  </pic:cNvPicPr>
                                                </pic:nvPicPr>
                                                <pic:blipFill>
                                                  <a:blip r:embed="rId10" cstate="print">
                                                    <a:clrChange>
                                                      <a:clrFrom>
                                                        <a:srgbClr val="FCFCFA"/>
                                                      </a:clrFrom>
                                                      <a:clrTo>
                                                        <a:srgbClr val="FCFCFA">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20" name="Group 234"/>
                            <wpg:cNvGrpSpPr>
                              <a:grpSpLocks/>
                            </wpg:cNvGrpSpPr>
                            <wpg:grpSpPr bwMode="auto">
                              <a:xfrm>
                                <a:off x="1004" y="5876"/>
                                <a:ext cx="11222" cy="7969"/>
                                <a:chOff x="1004" y="5876"/>
                                <a:chExt cx="11222" cy="7969"/>
                              </a:xfrm>
                            </wpg:grpSpPr>
                            <wpg:grpSp>
                              <wpg:cNvPr id="121" name="Group 229"/>
                              <wpg:cNvGrpSpPr>
                                <a:grpSpLocks/>
                              </wpg:cNvGrpSpPr>
                              <wpg:grpSpPr bwMode="auto">
                                <a:xfrm>
                                  <a:off x="1004" y="5876"/>
                                  <a:ext cx="11222" cy="2844"/>
                                  <a:chOff x="1004" y="5876"/>
                                  <a:chExt cx="11222" cy="2844"/>
                                </a:xfrm>
                              </wpg:grpSpPr>
                              <wps:wsp>
                                <wps:cNvPr id="122" name="Text Box 163"/>
                                <wps:cNvSpPr txBox="1">
                                  <a:spLocks noChangeArrowheads="1"/>
                                </wps:cNvSpPr>
                                <wps:spPr bwMode="auto">
                                  <a:xfrm>
                                    <a:off x="7188" y="6265"/>
                                    <a:ext cx="5038" cy="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EF6C3" w14:textId="5AE93849" w:rsidR="00EF20A9" w:rsidRPr="00773884" w:rsidRDefault="00EF20A9" w:rsidP="00293FE5">
                                      <w:pPr>
                                        <w:spacing w:after="0" w:line="240" w:lineRule="auto"/>
                                        <w:ind w:left="142" w:right="-20"/>
                                        <w:jc w:val="center"/>
                                        <w:rPr>
                                          <w:sz w:val="20"/>
                                        </w:rPr>
                                      </w:pPr>
                                      <w:r w:rsidRPr="00773884">
                                        <w:rPr>
                                          <w:rFonts w:ascii="Times New Roman" w:eastAsia="Arial" w:hAnsi="Times New Roman"/>
                                          <w:color w:val="000000" w:themeColor="text1"/>
                                          <w:position w:val="-1"/>
                                          <w:sz w:val="50"/>
                                          <w:szCs w:val="34"/>
                                        </w:rPr>
                                        <w:t xml:space="preserve">Development Partnerships Thematic Report </w:t>
                                      </w:r>
                                    </w:p>
                                  </w:txbxContent>
                                </wps:txbx>
                                <wps:bodyPr rot="0" vert="horz" wrap="square" lIns="91440" tIns="45720" rIns="91440" bIns="45720" anchor="t" anchorCtr="0" upright="1">
                                  <a:noAutofit/>
                                </wps:bodyPr>
                              </wps:wsp>
                              <wps:wsp>
                                <wps:cNvPr id="123" name="Text Box 215"/>
                                <wps:cNvSpPr txBox="1">
                                  <a:spLocks noChangeArrowheads="1"/>
                                </wps:cNvSpPr>
                                <wps:spPr bwMode="auto">
                                  <a:xfrm>
                                    <a:off x="1004" y="5876"/>
                                    <a:ext cx="5910"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36212" w14:textId="3ED1DD5E" w:rsidR="00EF20A9" w:rsidRPr="00FC3BD2" w:rsidRDefault="00EF20A9" w:rsidP="00293FE5">
                                      <w:pPr>
                                        <w:spacing w:after="0" w:line="240" w:lineRule="auto"/>
                                        <w:jc w:val="center"/>
                                        <w:rPr>
                                          <w:rFonts w:ascii="Times New Roman" w:eastAsia="Times New Roman" w:hAnsi="Times New Roman"/>
                                          <w:color w:val="000000" w:themeColor="text1"/>
                                          <w:spacing w:val="-9"/>
                                          <w:sz w:val="52"/>
                                          <w:szCs w:val="52"/>
                                        </w:rPr>
                                      </w:pPr>
                                      <w:r w:rsidRPr="00FC3BD2">
                                        <w:rPr>
                                          <w:rFonts w:ascii="Times New Roman" w:eastAsia="Times New Roman" w:hAnsi="Times New Roman"/>
                                          <w:color w:val="000000" w:themeColor="text1"/>
                                          <w:spacing w:val="-9"/>
                                          <w:sz w:val="52"/>
                                          <w:szCs w:val="52"/>
                                        </w:rPr>
                                        <w:t>Mid-Term Review of the Second National Development Plan</w:t>
                                      </w:r>
                                      <w:r>
                                        <w:rPr>
                                          <w:rFonts w:ascii="Times New Roman" w:eastAsia="Times New Roman" w:hAnsi="Times New Roman"/>
                                          <w:color w:val="000000" w:themeColor="text1"/>
                                          <w:spacing w:val="-9"/>
                                          <w:sz w:val="52"/>
                                          <w:szCs w:val="52"/>
                                        </w:rPr>
                                        <w:t xml:space="preserve"> (NDPII)</w:t>
                                      </w:r>
                                      <w:r w:rsidRPr="00FC3BD2">
                                        <w:rPr>
                                          <w:rFonts w:ascii="Times New Roman" w:eastAsia="Times New Roman" w:hAnsi="Times New Roman"/>
                                          <w:color w:val="000000" w:themeColor="text1"/>
                                          <w:spacing w:val="-9"/>
                                          <w:sz w:val="52"/>
                                          <w:szCs w:val="52"/>
                                        </w:rPr>
                                        <w:t xml:space="preserve"> </w:t>
                                      </w:r>
                                    </w:p>
                                    <w:p w14:paraId="4AE64AA5" w14:textId="77777777" w:rsidR="00EF20A9" w:rsidRPr="00FC3BD2" w:rsidRDefault="00EF20A9" w:rsidP="00293FE5">
                                      <w:pPr>
                                        <w:spacing w:after="0" w:line="240" w:lineRule="auto"/>
                                        <w:jc w:val="center"/>
                                        <w:rPr>
                                          <w:sz w:val="28"/>
                                        </w:rPr>
                                      </w:pPr>
                                      <w:r w:rsidRPr="00FC3BD2">
                                        <w:rPr>
                                          <w:rFonts w:ascii="Times New Roman" w:eastAsia="Times New Roman" w:hAnsi="Times New Roman"/>
                                          <w:color w:val="000000" w:themeColor="text1"/>
                                          <w:spacing w:val="-9"/>
                                          <w:sz w:val="52"/>
                                          <w:szCs w:val="52"/>
                                        </w:rPr>
                                        <w:t>2015/16-2019/20</w:t>
                                      </w:r>
                                    </w:p>
                                  </w:txbxContent>
                                </wps:txbx>
                                <wps:bodyPr rot="0" vert="horz" wrap="square" lIns="91440" tIns="45720" rIns="91440" bIns="45720" anchor="t" anchorCtr="0" upright="1">
                                  <a:noAutofit/>
                                </wps:bodyPr>
                              </wps:wsp>
                            </wpg:grpSp>
                            <wps:wsp>
                              <wps:cNvPr id="124" name="Text Box 216"/>
                              <wps:cNvSpPr txBox="1">
                                <a:spLocks noChangeArrowheads="1"/>
                              </wps:cNvSpPr>
                              <wps:spPr bwMode="auto">
                                <a:xfrm>
                                  <a:off x="1304" y="11765"/>
                                  <a:ext cx="4538"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D7F1E" w14:textId="061D8FC2" w:rsidR="00EF20A9" w:rsidRPr="00773884" w:rsidRDefault="00952942" w:rsidP="00773884">
                                    <w:pPr>
                                      <w:spacing w:before="59" w:after="0" w:line="240" w:lineRule="auto"/>
                                      <w:ind w:left="142" w:right="-20"/>
                                      <w:jc w:val="center"/>
                                      <w:rPr>
                                        <w:sz w:val="4"/>
                                      </w:rPr>
                                    </w:pPr>
                                    <w:r>
                                      <w:rPr>
                                        <w:rFonts w:ascii="Times New Roman" w:eastAsia="Arial" w:hAnsi="Times New Roman"/>
                                        <w:color w:val="000000" w:themeColor="text1"/>
                                        <w:position w:val="-1"/>
                                        <w:sz w:val="28"/>
                                        <w:szCs w:val="34"/>
                                      </w:rPr>
                                      <w:t>March</w:t>
                                    </w:r>
                                    <w:r w:rsidR="00EF20A9" w:rsidRPr="00773884">
                                      <w:rPr>
                                        <w:rFonts w:ascii="Times New Roman" w:eastAsia="Arial" w:hAnsi="Times New Roman"/>
                                        <w:color w:val="000000" w:themeColor="text1"/>
                                        <w:position w:val="-1"/>
                                        <w:sz w:val="28"/>
                                        <w:szCs w:val="34"/>
                                      </w:rPr>
                                      <w:t xml:space="preserve"> 201</w:t>
                                    </w:r>
                                    <w:r>
                                      <w:rPr>
                                        <w:rFonts w:ascii="Times New Roman" w:eastAsia="Arial" w:hAnsi="Times New Roman"/>
                                        <w:color w:val="000000" w:themeColor="text1"/>
                                        <w:position w:val="-1"/>
                                        <w:sz w:val="28"/>
                                        <w:szCs w:val="34"/>
                                      </w:rPr>
                                      <w:t>9</w:t>
                                    </w:r>
                                  </w:p>
                                </w:txbxContent>
                              </wps:txbx>
                              <wps:bodyPr rot="0" vert="horz" wrap="square" lIns="91440" tIns="45720" rIns="91440" bIns="45720" anchor="t" anchorCtr="0" upright="1">
                                <a:noAutofit/>
                              </wps:bodyPr>
                            </wps:wsp>
                            <wpg:grpSp>
                              <wpg:cNvPr id="125" name="Group 233"/>
                              <wpg:cNvGrpSpPr>
                                <a:grpSpLocks/>
                              </wpg:cNvGrpSpPr>
                              <wpg:grpSpPr bwMode="auto">
                                <a:xfrm>
                                  <a:off x="7173" y="10630"/>
                                  <a:ext cx="4703" cy="3215"/>
                                  <a:chOff x="7173" y="10630"/>
                                  <a:chExt cx="4703" cy="3215"/>
                                </a:xfrm>
                              </wpg:grpSpPr>
                              <wpg:grpSp>
                                <wpg:cNvPr id="126" name="Group 232"/>
                                <wpg:cNvGrpSpPr>
                                  <a:grpSpLocks/>
                                </wpg:cNvGrpSpPr>
                                <wpg:grpSpPr bwMode="auto">
                                  <a:xfrm>
                                    <a:off x="7248" y="12010"/>
                                    <a:ext cx="4628" cy="1344"/>
                                    <a:chOff x="7248" y="12010"/>
                                    <a:chExt cx="4628" cy="1344"/>
                                  </a:xfrm>
                                </wpg:grpSpPr>
                                <wps:wsp>
                                  <wps:cNvPr id="127" name="Text Box 223"/>
                                  <wps:cNvSpPr txBox="1">
                                    <a:spLocks noChangeArrowheads="1"/>
                                  </wps:cNvSpPr>
                                  <wps:spPr bwMode="auto">
                                    <a:xfrm>
                                      <a:off x="7248" y="12415"/>
                                      <a:ext cx="2618"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4B95A"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r w:rsidRPr="00027FB2">
                                          <w:rPr>
                                            <w:rFonts w:ascii="Times New Roman" w:eastAsia="Arial" w:hAnsi="Times New Roman"/>
                                            <w:color w:val="000000" w:themeColor="text1"/>
                                            <w:position w:val="-1"/>
                                            <w:sz w:val="28"/>
                                            <w:szCs w:val="34"/>
                                          </w:rPr>
                                          <w:t>In Association with</w:t>
                                        </w:r>
                                      </w:p>
                                    </w:txbxContent>
                                  </wps:txbx>
                                  <wps:bodyPr rot="0" vert="horz" wrap="square" lIns="91440" tIns="45720" rIns="91440" bIns="45720" anchor="t" anchorCtr="0" upright="1">
                                    <a:noAutofit/>
                                  </wps:bodyPr>
                                </wps:wsp>
                                <wps:wsp>
                                  <wps:cNvPr id="128" name="Text Box 224"/>
                                  <wps:cNvSpPr txBox="1">
                                    <a:spLocks noChangeArrowheads="1"/>
                                  </wps:cNvSpPr>
                                  <wps:spPr bwMode="auto">
                                    <a:xfrm>
                                      <a:off x="9731" y="12010"/>
                                      <a:ext cx="2145"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32C0" w14:textId="77777777" w:rsidR="00EF20A9" w:rsidRDefault="00EF20A9" w:rsidP="00773884">
                                        <w:pPr>
                                          <w:spacing w:before="59" w:after="0" w:line="240" w:lineRule="auto"/>
                                          <w:ind w:left="142" w:right="-20"/>
                                          <w:rPr>
                                            <w:rFonts w:ascii="Times New Roman" w:eastAsia="Arial" w:hAnsi="Times New Roman"/>
                                            <w:color w:val="000000" w:themeColor="text1"/>
                                            <w:position w:val="-1"/>
                                            <w:sz w:val="36"/>
                                            <w:szCs w:val="34"/>
                                          </w:rPr>
                                        </w:pPr>
                                        <w:r w:rsidRPr="008A105A">
                                          <w:rPr>
                                            <w:noProof/>
                                            <w:lang w:eastAsia="en-GB"/>
                                          </w:rPr>
                                          <w:drawing>
                                            <wp:inline distT="0" distB="0" distL="0" distR="0" wp14:anchorId="3929103D" wp14:editId="7760BAAA">
                                              <wp:extent cx="960120" cy="695412"/>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960120" cy="695412"/>
                                                      </a:xfrm>
                                                      <a:prstGeom prst="rect">
                                                        <a:avLst/>
                                                      </a:prstGeom>
                                                      <a:noFill/>
                                                      <a:ln w="9525">
                                                        <a:noFill/>
                                                        <a:miter lim="800000"/>
                                                        <a:headEnd/>
                                                        <a:tailEnd/>
                                                      </a:ln>
                                                    </pic:spPr>
                                                  </pic:pic>
                                                </a:graphicData>
                                              </a:graphic>
                                            </wp:inline>
                                          </w:drawing>
                                        </w:r>
                                      </w:p>
                                      <w:p w14:paraId="2E6FE863"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p>
                                    </w:txbxContent>
                                  </wps:txbx>
                                  <wps:bodyPr rot="0" vert="horz" wrap="square" lIns="91440" tIns="45720" rIns="91440" bIns="45720" anchor="t" anchorCtr="0" upright="1">
                                    <a:noAutofit/>
                                  </wps:bodyPr>
                                </wps:wsp>
                              </wpg:grpSp>
                              <wpg:grpSp>
                                <wpg:cNvPr id="129" name="Group 231"/>
                                <wpg:cNvGrpSpPr>
                                  <a:grpSpLocks/>
                                </wpg:cNvGrpSpPr>
                                <wpg:grpSpPr bwMode="auto">
                                  <a:xfrm>
                                    <a:off x="7233" y="10630"/>
                                    <a:ext cx="4283" cy="1554"/>
                                    <a:chOff x="7233" y="10630"/>
                                    <a:chExt cx="4283" cy="1554"/>
                                  </a:xfrm>
                                </wpg:grpSpPr>
                                <wps:wsp>
                                  <wps:cNvPr id="130" name="Text Box 218"/>
                                  <wps:cNvSpPr txBox="1">
                                    <a:spLocks noChangeArrowheads="1"/>
                                  </wps:cNvSpPr>
                                  <wps:spPr bwMode="auto">
                                    <a:xfrm>
                                      <a:off x="7233" y="11080"/>
                                      <a:ext cx="2618"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0909" w14:textId="77777777" w:rsidR="00EF20A9" w:rsidRPr="00027FB2" w:rsidRDefault="00EF20A9" w:rsidP="00773884">
                                        <w:pPr>
                                          <w:spacing w:before="59" w:after="0" w:line="240" w:lineRule="auto"/>
                                          <w:ind w:left="142" w:right="-20"/>
                                          <w:rPr>
                                            <w:rFonts w:ascii="Times New Roman" w:eastAsia="Arial" w:hAnsi="Times New Roman"/>
                                            <w:color w:val="000000" w:themeColor="text1"/>
                                            <w:position w:val="-1"/>
                                            <w:sz w:val="28"/>
                                            <w:szCs w:val="34"/>
                                          </w:rPr>
                                        </w:pPr>
                                        <w:r w:rsidRPr="00027FB2">
                                          <w:rPr>
                                            <w:rFonts w:ascii="Times New Roman" w:eastAsia="Arial" w:hAnsi="Times New Roman"/>
                                            <w:color w:val="000000" w:themeColor="text1"/>
                                            <w:position w:val="-1"/>
                                            <w:sz w:val="28"/>
                                            <w:szCs w:val="34"/>
                                          </w:rPr>
                                          <w:t>Prepared by</w:t>
                                        </w:r>
                                      </w:p>
                                      <w:p w14:paraId="17F59316"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p>
                                    </w:txbxContent>
                                  </wps:txbx>
                                  <wps:bodyPr rot="0" vert="horz" wrap="square" lIns="91440" tIns="45720" rIns="91440" bIns="45720" anchor="t" anchorCtr="0" upright="1">
                                    <a:noAutofit/>
                                  </wps:bodyPr>
                                </wps:wsp>
                                <wps:wsp>
                                  <wps:cNvPr id="131" name="Text Box 219"/>
                                  <wps:cNvSpPr txBox="1">
                                    <a:spLocks noChangeArrowheads="1"/>
                                  </wps:cNvSpPr>
                                  <wps:spPr bwMode="auto">
                                    <a:xfrm>
                                      <a:off x="9716" y="10630"/>
                                      <a:ext cx="1800"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6F80" w14:textId="77777777" w:rsidR="00EF20A9" w:rsidRDefault="00EF20A9" w:rsidP="00773884">
                                        <w:pPr>
                                          <w:spacing w:before="59" w:after="0" w:line="240" w:lineRule="auto"/>
                                          <w:ind w:left="142" w:right="-20"/>
                                          <w:rPr>
                                            <w:rFonts w:ascii="Times New Roman" w:eastAsia="Arial" w:hAnsi="Times New Roman"/>
                                            <w:color w:val="000000" w:themeColor="text1"/>
                                            <w:position w:val="-1"/>
                                            <w:sz w:val="36"/>
                                            <w:szCs w:val="34"/>
                                          </w:rPr>
                                        </w:pPr>
                                        <w:r w:rsidRPr="008A105A">
                                          <w:rPr>
                                            <w:noProof/>
                                            <w:lang w:eastAsia="en-GB"/>
                                          </w:rPr>
                                          <w:drawing>
                                            <wp:inline distT="0" distB="0" distL="0" distR="0" wp14:anchorId="5EA6CD3E" wp14:editId="401CBABC">
                                              <wp:extent cx="885257" cy="85725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98979" cy="870538"/>
                                                      </a:xfrm>
                                                      <a:prstGeom prst="rect">
                                                        <a:avLst/>
                                                      </a:prstGeom>
                                                      <a:noFill/>
                                                      <a:ln w="9525">
                                                        <a:noFill/>
                                                        <a:miter lim="800000"/>
                                                        <a:headEnd/>
                                                        <a:tailEnd/>
                                                      </a:ln>
                                                    </pic:spPr>
                                                  </pic:pic>
                                                </a:graphicData>
                                              </a:graphic>
                                            </wp:inline>
                                          </w:drawing>
                                        </w:r>
                                      </w:p>
                                      <w:p w14:paraId="06333D26"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p>
                                    </w:txbxContent>
                                  </wps:txbx>
                                  <wps:bodyPr rot="0" vert="horz" wrap="square" lIns="91440" tIns="45720" rIns="91440" bIns="45720" anchor="t" anchorCtr="0" upright="1">
                                    <a:noAutofit/>
                                  </wps:bodyPr>
                                </wps:wsp>
                              </wpg:grpSp>
                              <wps:wsp>
                                <wps:cNvPr id="132" name="Text Box 225"/>
                                <wps:cNvSpPr txBox="1">
                                  <a:spLocks noChangeArrowheads="1"/>
                                </wps:cNvSpPr>
                                <wps:spPr bwMode="auto">
                                  <a:xfrm>
                                    <a:off x="7173" y="13225"/>
                                    <a:ext cx="460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97C3"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r>
                                        <w:rPr>
                                          <w:rFonts w:ascii="Times New Roman" w:eastAsia="Arial" w:hAnsi="Times New Roman"/>
                                          <w:color w:val="000000" w:themeColor="text1"/>
                                          <w:position w:val="-1"/>
                                          <w:sz w:val="28"/>
                                          <w:szCs w:val="34"/>
                                        </w:rPr>
                                        <w:t xml:space="preserve">For </w:t>
                                      </w:r>
                                      <w:r w:rsidRPr="00027FB2">
                                        <w:rPr>
                                          <w:rFonts w:ascii="Times New Roman" w:eastAsia="Arial" w:hAnsi="Times New Roman"/>
                                          <w:color w:val="000000" w:themeColor="text1"/>
                                          <w:position w:val="-1"/>
                                          <w:sz w:val="28"/>
                                          <w:szCs w:val="34"/>
                                        </w:rPr>
                                        <w:t>the National Planning Authority</w:t>
                                      </w:r>
                                    </w:p>
                                  </w:txbxContent>
                                </wps:txbx>
                                <wps:bodyPr rot="0" vert="horz" wrap="square" lIns="91440" tIns="45720" rIns="91440" bIns="45720" anchor="t" anchorCtr="0" upright="1">
                                  <a:noAutofit/>
                                </wps:bodyPr>
                              </wps:wsp>
                            </wpg:grpSp>
                            <wps:wsp>
                              <wps:cNvPr id="133" name="AutoShape 226"/>
                              <wps:cNvCnPr>
                                <a:cxnSpLocks noChangeShapeType="1"/>
                              </wps:cNvCnPr>
                              <wps:spPr bwMode="auto">
                                <a:xfrm flipV="1">
                                  <a:off x="7173" y="9691"/>
                                  <a:ext cx="5053" cy="14"/>
                                </a:xfrm>
                                <a:prstGeom prst="straightConnector1">
                                  <a:avLst/>
                                </a:prstGeom>
                                <a:noFill/>
                                <a:ln w="57150" cmpd="sng">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6AFB45" id="Group 235" o:spid="_x0000_s1026" style="position:absolute;left:0;text-align:left;margin-left:-23.7pt;margin-top:-57.45pt;width:561.1pt;height:841.9pt;z-index:251668480" coordorigin="1004,-390" coordsize="1122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">
                    <v:shape id="Freeform 154" o:spid="_x0000_s1027" style="position:absolute;left:7188;top:-390;width:5038;height:16838;visibility:visible;mso-wrap-style:square;v-text-anchor:top" coordsize="4701,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" path="m,16838r4701,l4701,,,,,16838e" fillcolor="#ffe599 [1303]" stroked="f">
                      <v:path arrowok="t" o:connecttype="custom" o:connectlocs="0,16838;5038,16838;5038,0;0,0;0,16838" o:connectangles="0,0,0,0,0"/>
                    </v:shape>
                    <v:group id="Group 227" o:spid="_x0000_s1028" style="position:absolute;left:1349;top:815;width:9828;height:1710" coordorigin="1349,815" coordsize="982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type id="_x0000_t202" coordsize="21600,21600" o:spt="202" path="m,l,21600r21600,l21600,xe">
                        <v:stroke joinstyle="miter"/>
                        <v:path gradientshapeok="t" o:connecttype="rect"/>
                      </v:shapetype>
                      <v:shape id="Text Box 161" o:spid="_x0000_s1029" type="#_x0000_t202" style="position:absolute;left:8849;top:860;width:23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" filled="f" stroked="f" strokecolor="white [3212]">
                        <v:textbox>
                          <w:txbxContent>
                            <w:p w14:paraId="2C0C43B1" w14:textId="77777777" w:rsidR="00EF20A9" w:rsidRDefault="00EF20A9">
                              <w:r w:rsidRPr="00D31687">
                                <w:rPr>
                                  <w:rFonts w:ascii="Arial Unicode MS" w:eastAsia="Arial Unicode MS" w:hAnsi="Arial Unicode MS" w:cs="Arial Unicode MS"/>
                                  <w:noProof/>
                                  <w:sz w:val="32"/>
                                  <w:lang w:eastAsia="en-GB"/>
                                </w:rPr>
                                <w:drawing>
                                  <wp:inline distT="0" distB="0" distL="0" distR="0" wp14:anchorId="71054E41" wp14:editId="73981742">
                                    <wp:extent cx="1304925" cy="876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876300"/>
                                            </a:xfrm>
                                            <a:prstGeom prst="rect">
                                              <a:avLst/>
                                            </a:prstGeom>
                                            <a:noFill/>
                                            <a:ln>
                                              <a:noFill/>
                                            </a:ln>
                                          </pic:spPr>
                                        </pic:pic>
                                      </a:graphicData>
                                    </a:graphic>
                                  </wp:inline>
                                </w:drawing>
                              </w:r>
                            </w:p>
                          </w:txbxContent>
                        </v:textbox>
                      </v:shape>
                      <v:shape id="Text Box 162" o:spid="_x0000_s1030" type="#_x0000_t202" style="position:absolute;left:1349;top:815;width:188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" filled="f" stroked="f" strokecolor="black [3213]">
                        <v:textbox>
                          <w:txbxContent>
                            <w:p w14:paraId="2CC144BA" w14:textId="77777777" w:rsidR="00EF20A9" w:rsidRDefault="00EF20A9" w:rsidP="00773884">
                              <w:r w:rsidRPr="00D31687">
                                <w:rPr>
                                  <w:rFonts w:ascii="Arial Unicode MS" w:eastAsia="Arial Unicode MS" w:hAnsi="Arial Unicode MS" w:cs="Arial Unicode MS"/>
                                  <w:noProof/>
                                  <w:sz w:val="32"/>
                                  <w:lang w:eastAsia="en-GB"/>
                                </w:rPr>
                                <w:drawing>
                                  <wp:inline distT="0" distB="0" distL="0" distR="0" wp14:anchorId="0EE399C6" wp14:editId="21C40BEC">
                                    <wp:extent cx="1038225" cy="1038225"/>
                                    <wp:effectExtent l="0" t="0" r="9525" b="9525"/>
                                    <wp:docPr id="34" name="Picture 34" descr="C:\Users\smdhizaala\Documents\Server\desk\Flash, April 2010\NP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dhizaala\Documents\Server\desk\Flash, April 2010\NPA logo.png"/>
                                            <pic:cNvPicPr>
                                              <a:picLocks noChangeAspect="1" noChangeArrowheads="1"/>
                                            </pic:cNvPicPr>
                                          </pic:nvPicPr>
                                          <pic:blipFill>
                                            <a:blip r:embed="rId10" cstate="print">
                                              <a:clrChange>
                                                <a:clrFrom>
                                                  <a:srgbClr val="FCFCFA"/>
                                                </a:clrFrom>
                                                <a:clrTo>
                                                  <a:srgbClr val="FCFCFA">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v:textbox>
                      </v:shape>
                    </v:group>
                    <v:group id="Group 234" o:spid="_x0000_s1031" style="position:absolute;left:1004;top:5876;width:11222;height:7969" coordorigin="1004,5876" coordsize="11222,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229" o:spid="_x0000_s1032" style="position:absolute;left:1004;top:5876;width:11222;height:2844" coordorigin="1004,5876" coordsize="11222,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163" o:spid="_x0000_s1033" type="#_x0000_t202" style="position:absolute;left:7188;top:6265;width:50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50EF6C3" w14:textId="5AE93849" w:rsidR="00EF20A9" w:rsidRPr="00773884" w:rsidRDefault="00EF20A9" w:rsidP="00293FE5">
                                <w:pPr>
                                  <w:spacing w:after="0" w:line="240" w:lineRule="auto"/>
                                  <w:ind w:left="142" w:right="-20"/>
                                  <w:jc w:val="center"/>
                                  <w:rPr>
                                    <w:sz w:val="20"/>
                                  </w:rPr>
                                </w:pPr>
                                <w:r w:rsidRPr="00773884">
                                  <w:rPr>
                                    <w:rFonts w:ascii="Times New Roman" w:eastAsia="Arial" w:hAnsi="Times New Roman"/>
                                    <w:color w:val="000000" w:themeColor="text1"/>
                                    <w:position w:val="-1"/>
                                    <w:sz w:val="50"/>
                                    <w:szCs w:val="34"/>
                                  </w:rPr>
                                  <w:t xml:space="preserve">Development Partnerships Thematic Report </w:t>
                                </w:r>
                              </w:p>
                            </w:txbxContent>
                          </v:textbox>
                        </v:shape>
                        <v:shape id="Text Box 215" o:spid="_x0000_s1034" type="#_x0000_t202" style="position:absolute;left:1004;top:5876;width:591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65536212" w14:textId="3ED1DD5E" w:rsidR="00EF20A9" w:rsidRPr="00FC3BD2" w:rsidRDefault="00EF20A9" w:rsidP="00293FE5">
                                <w:pPr>
                                  <w:spacing w:after="0" w:line="240" w:lineRule="auto"/>
                                  <w:jc w:val="center"/>
                                  <w:rPr>
                                    <w:rFonts w:ascii="Times New Roman" w:eastAsia="Times New Roman" w:hAnsi="Times New Roman"/>
                                    <w:color w:val="000000" w:themeColor="text1"/>
                                    <w:spacing w:val="-9"/>
                                    <w:sz w:val="52"/>
                                    <w:szCs w:val="52"/>
                                  </w:rPr>
                                </w:pPr>
                                <w:r w:rsidRPr="00FC3BD2">
                                  <w:rPr>
                                    <w:rFonts w:ascii="Times New Roman" w:eastAsia="Times New Roman" w:hAnsi="Times New Roman"/>
                                    <w:color w:val="000000" w:themeColor="text1"/>
                                    <w:spacing w:val="-9"/>
                                    <w:sz w:val="52"/>
                                    <w:szCs w:val="52"/>
                                  </w:rPr>
                                  <w:t>Mid-Term Review of the Second National Development Plan</w:t>
                                </w:r>
                                <w:r>
                                  <w:rPr>
                                    <w:rFonts w:ascii="Times New Roman" w:eastAsia="Times New Roman" w:hAnsi="Times New Roman"/>
                                    <w:color w:val="000000" w:themeColor="text1"/>
                                    <w:spacing w:val="-9"/>
                                    <w:sz w:val="52"/>
                                    <w:szCs w:val="52"/>
                                  </w:rPr>
                                  <w:t xml:space="preserve"> (NDPII)</w:t>
                                </w:r>
                                <w:r w:rsidRPr="00FC3BD2">
                                  <w:rPr>
                                    <w:rFonts w:ascii="Times New Roman" w:eastAsia="Times New Roman" w:hAnsi="Times New Roman"/>
                                    <w:color w:val="000000" w:themeColor="text1"/>
                                    <w:spacing w:val="-9"/>
                                    <w:sz w:val="52"/>
                                    <w:szCs w:val="52"/>
                                  </w:rPr>
                                  <w:t xml:space="preserve"> </w:t>
                                </w:r>
                              </w:p>
                              <w:p w14:paraId="4AE64AA5" w14:textId="77777777" w:rsidR="00EF20A9" w:rsidRPr="00FC3BD2" w:rsidRDefault="00EF20A9" w:rsidP="00293FE5">
                                <w:pPr>
                                  <w:spacing w:after="0" w:line="240" w:lineRule="auto"/>
                                  <w:jc w:val="center"/>
                                  <w:rPr>
                                    <w:sz w:val="28"/>
                                  </w:rPr>
                                </w:pPr>
                                <w:r w:rsidRPr="00FC3BD2">
                                  <w:rPr>
                                    <w:rFonts w:ascii="Times New Roman" w:eastAsia="Times New Roman" w:hAnsi="Times New Roman"/>
                                    <w:color w:val="000000" w:themeColor="text1"/>
                                    <w:spacing w:val="-9"/>
                                    <w:sz w:val="52"/>
                                    <w:szCs w:val="52"/>
                                  </w:rPr>
                                  <w:t>2015/16-2019/20</w:t>
                                </w:r>
                              </w:p>
                            </w:txbxContent>
                          </v:textbox>
                        </v:shape>
                      </v:group>
                      <v:shape id="Text Box 216" o:spid="_x0000_s1035" type="#_x0000_t202" style="position:absolute;left:1304;top:11765;width:453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14:paraId="135D7F1E" w14:textId="061D8FC2" w:rsidR="00EF20A9" w:rsidRPr="00773884" w:rsidRDefault="00952942" w:rsidP="00773884">
                              <w:pPr>
                                <w:spacing w:before="59" w:after="0" w:line="240" w:lineRule="auto"/>
                                <w:ind w:left="142" w:right="-20"/>
                                <w:jc w:val="center"/>
                                <w:rPr>
                                  <w:sz w:val="4"/>
                                </w:rPr>
                              </w:pPr>
                              <w:r>
                                <w:rPr>
                                  <w:rFonts w:ascii="Times New Roman" w:eastAsia="Arial" w:hAnsi="Times New Roman"/>
                                  <w:color w:val="000000" w:themeColor="text1"/>
                                  <w:position w:val="-1"/>
                                  <w:sz w:val="28"/>
                                  <w:szCs w:val="34"/>
                                </w:rPr>
                                <w:t>March</w:t>
                              </w:r>
                              <w:r w:rsidR="00EF20A9" w:rsidRPr="00773884">
                                <w:rPr>
                                  <w:rFonts w:ascii="Times New Roman" w:eastAsia="Arial" w:hAnsi="Times New Roman"/>
                                  <w:color w:val="000000" w:themeColor="text1"/>
                                  <w:position w:val="-1"/>
                                  <w:sz w:val="28"/>
                                  <w:szCs w:val="34"/>
                                </w:rPr>
                                <w:t xml:space="preserve"> 201</w:t>
                              </w:r>
                              <w:r>
                                <w:rPr>
                                  <w:rFonts w:ascii="Times New Roman" w:eastAsia="Arial" w:hAnsi="Times New Roman"/>
                                  <w:color w:val="000000" w:themeColor="text1"/>
                                  <w:position w:val="-1"/>
                                  <w:sz w:val="28"/>
                                  <w:szCs w:val="34"/>
                                </w:rPr>
                                <w:t>9</w:t>
                              </w:r>
                            </w:p>
                          </w:txbxContent>
                        </v:textbox>
                      </v:shape>
                      <v:group id="Group 233" o:spid="_x0000_s1036" style="position:absolute;left:7173;top:10630;width:4703;height:3215" coordorigin="7173,10630" coordsize="470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232" o:spid="_x0000_s1037" style="position:absolute;left:7248;top:12010;width:4628;height:1344" coordorigin="7248,12010" coordsize="4628,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23" o:spid="_x0000_s1038" type="#_x0000_t202" style="position:absolute;left:7248;top:12415;width:261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7C64B95A"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r w:rsidRPr="00027FB2">
                                    <w:rPr>
                                      <w:rFonts w:ascii="Times New Roman" w:eastAsia="Arial" w:hAnsi="Times New Roman"/>
                                      <w:color w:val="000000" w:themeColor="text1"/>
                                      <w:position w:val="-1"/>
                                      <w:sz w:val="28"/>
                                      <w:szCs w:val="34"/>
                                    </w:rPr>
                                    <w:t>In Association with</w:t>
                                  </w:r>
                                </w:p>
                              </w:txbxContent>
                            </v:textbox>
                          </v:shape>
                          <v:shape id="Text Box 224" o:spid="_x0000_s1039" type="#_x0000_t202" style="position:absolute;left:9731;top:12010;width:2145;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6E6832C0" w14:textId="77777777" w:rsidR="00EF20A9" w:rsidRDefault="00EF20A9" w:rsidP="00773884">
                                  <w:pPr>
                                    <w:spacing w:before="59" w:after="0" w:line="240" w:lineRule="auto"/>
                                    <w:ind w:left="142" w:right="-20"/>
                                    <w:rPr>
                                      <w:rFonts w:ascii="Times New Roman" w:eastAsia="Arial" w:hAnsi="Times New Roman"/>
                                      <w:color w:val="000000" w:themeColor="text1"/>
                                      <w:position w:val="-1"/>
                                      <w:sz w:val="36"/>
                                      <w:szCs w:val="34"/>
                                    </w:rPr>
                                  </w:pPr>
                                  <w:r w:rsidRPr="008A105A">
                                    <w:rPr>
                                      <w:noProof/>
                                      <w:lang w:eastAsia="en-GB"/>
                                    </w:rPr>
                                    <w:drawing>
                                      <wp:inline distT="0" distB="0" distL="0" distR="0" wp14:anchorId="3929103D" wp14:editId="7760BAAA">
                                        <wp:extent cx="960120" cy="695412"/>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960120" cy="695412"/>
                                                </a:xfrm>
                                                <a:prstGeom prst="rect">
                                                  <a:avLst/>
                                                </a:prstGeom>
                                                <a:noFill/>
                                                <a:ln w="9525">
                                                  <a:noFill/>
                                                  <a:miter lim="800000"/>
                                                  <a:headEnd/>
                                                  <a:tailEnd/>
                                                </a:ln>
                                              </pic:spPr>
                                            </pic:pic>
                                          </a:graphicData>
                                        </a:graphic>
                                      </wp:inline>
                                    </w:drawing>
                                  </w:r>
                                </w:p>
                                <w:p w14:paraId="2E6FE863"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p>
                              </w:txbxContent>
                            </v:textbox>
                          </v:shape>
                        </v:group>
                        <v:group id="Group 231" o:spid="_x0000_s1040" style="position:absolute;left:7233;top:10630;width:4283;height:1554" coordorigin="7233,10630" coordsize="428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18" o:spid="_x0000_s1041" type="#_x0000_t202" style="position:absolute;left:7233;top:11080;width:261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54E60909" w14:textId="77777777" w:rsidR="00EF20A9" w:rsidRPr="00027FB2" w:rsidRDefault="00EF20A9" w:rsidP="00773884">
                                  <w:pPr>
                                    <w:spacing w:before="59" w:after="0" w:line="240" w:lineRule="auto"/>
                                    <w:ind w:left="142" w:right="-20"/>
                                    <w:rPr>
                                      <w:rFonts w:ascii="Times New Roman" w:eastAsia="Arial" w:hAnsi="Times New Roman"/>
                                      <w:color w:val="000000" w:themeColor="text1"/>
                                      <w:position w:val="-1"/>
                                      <w:sz w:val="28"/>
                                      <w:szCs w:val="34"/>
                                    </w:rPr>
                                  </w:pPr>
                                  <w:r w:rsidRPr="00027FB2">
                                    <w:rPr>
                                      <w:rFonts w:ascii="Times New Roman" w:eastAsia="Arial" w:hAnsi="Times New Roman"/>
                                      <w:color w:val="000000" w:themeColor="text1"/>
                                      <w:position w:val="-1"/>
                                      <w:sz w:val="28"/>
                                      <w:szCs w:val="34"/>
                                    </w:rPr>
                                    <w:t>Prepared by</w:t>
                                  </w:r>
                                </w:p>
                                <w:p w14:paraId="17F59316"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p>
                              </w:txbxContent>
                            </v:textbox>
                          </v:shape>
                          <v:shape id="Text Box 219" o:spid="_x0000_s1042" type="#_x0000_t202" style="position:absolute;left:9716;top:10630;width:1800;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1B256F80" w14:textId="77777777" w:rsidR="00EF20A9" w:rsidRDefault="00EF20A9" w:rsidP="00773884">
                                  <w:pPr>
                                    <w:spacing w:before="59" w:after="0" w:line="240" w:lineRule="auto"/>
                                    <w:ind w:left="142" w:right="-20"/>
                                    <w:rPr>
                                      <w:rFonts w:ascii="Times New Roman" w:eastAsia="Arial" w:hAnsi="Times New Roman"/>
                                      <w:color w:val="000000" w:themeColor="text1"/>
                                      <w:position w:val="-1"/>
                                      <w:sz w:val="36"/>
                                      <w:szCs w:val="34"/>
                                    </w:rPr>
                                  </w:pPr>
                                  <w:r w:rsidRPr="008A105A">
                                    <w:rPr>
                                      <w:noProof/>
                                      <w:lang w:eastAsia="en-GB"/>
                                    </w:rPr>
                                    <w:drawing>
                                      <wp:inline distT="0" distB="0" distL="0" distR="0" wp14:anchorId="5EA6CD3E" wp14:editId="401CBABC">
                                        <wp:extent cx="885257" cy="85725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98979" cy="870538"/>
                                                </a:xfrm>
                                                <a:prstGeom prst="rect">
                                                  <a:avLst/>
                                                </a:prstGeom>
                                                <a:noFill/>
                                                <a:ln w="9525">
                                                  <a:noFill/>
                                                  <a:miter lim="800000"/>
                                                  <a:headEnd/>
                                                  <a:tailEnd/>
                                                </a:ln>
                                              </pic:spPr>
                                            </pic:pic>
                                          </a:graphicData>
                                        </a:graphic>
                                      </wp:inline>
                                    </w:drawing>
                                  </w:r>
                                </w:p>
                                <w:p w14:paraId="06333D26"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p>
                              </w:txbxContent>
                            </v:textbox>
                          </v:shape>
                        </v:group>
                        <v:shape id="Text Box 225" o:spid="_x0000_s1043" type="#_x0000_t202" style="position:absolute;left:7173;top:13225;width:4602;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293497C3" w14:textId="77777777" w:rsidR="00EF20A9" w:rsidRPr="00D51DFF" w:rsidRDefault="00EF20A9" w:rsidP="00773884">
                                <w:pPr>
                                  <w:spacing w:before="59" w:after="0" w:line="240" w:lineRule="auto"/>
                                  <w:ind w:left="142" w:right="-20"/>
                                  <w:jc w:val="center"/>
                                  <w:rPr>
                                    <w:rFonts w:ascii="Times New Roman" w:eastAsia="Arial" w:hAnsi="Times New Roman"/>
                                    <w:color w:val="000000" w:themeColor="text1"/>
                                    <w:position w:val="-1"/>
                                    <w:sz w:val="36"/>
                                    <w:szCs w:val="34"/>
                                  </w:rPr>
                                </w:pPr>
                                <w:r>
                                  <w:rPr>
                                    <w:rFonts w:ascii="Times New Roman" w:eastAsia="Arial" w:hAnsi="Times New Roman"/>
                                    <w:color w:val="000000" w:themeColor="text1"/>
                                    <w:position w:val="-1"/>
                                    <w:sz w:val="28"/>
                                    <w:szCs w:val="34"/>
                                  </w:rPr>
                                  <w:t xml:space="preserve">For </w:t>
                                </w:r>
                                <w:r w:rsidRPr="00027FB2">
                                  <w:rPr>
                                    <w:rFonts w:ascii="Times New Roman" w:eastAsia="Arial" w:hAnsi="Times New Roman"/>
                                    <w:color w:val="000000" w:themeColor="text1"/>
                                    <w:position w:val="-1"/>
                                    <w:sz w:val="28"/>
                                    <w:szCs w:val="34"/>
                                  </w:rPr>
                                  <w:t>the National Planning Authority</w:t>
                                </w:r>
                              </w:p>
                            </w:txbxContent>
                          </v:textbox>
                        </v:shape>
                      </v:group>
                      <v:shapetype id="_x0000_t32" coordsize="21600,21600" o:spt="32" o:oned="t" path="m,l21600,21600e" filled="f">
                        <v:path arrowok="t" fillok="f" o:connecttype="none"/>
                        <o:lock v:ext="edit" shapetype="t"/>
                      </v:shapetype>
                      <v:shape id="AutoShape 226" o:spid="_x0000_s1044" type="#_x0000_t32" style="position:absolute;left:7173;top:9691;width:5053;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" strokecolor="#0070c0" strokeweight="4.5pt"/>
                    </v:group>
                  </v:group>
                </w:pict>
              </mc:Fallback>
            </mc:AlternateContent>
          </w:r>
          <w:r w:rsidRPr="00773884">
            <w:br w:type="page"/>
          </w:r>
        </w:p>
        <w:bookmarkStart w:id="0" w:name="_GoBack" w:displacedByCustomXml="next"/>
        <w:bookmarkEnd w:id="0" w:displacedByCustomXml="next"/>
      </w:sdtContent>
    </w:sdt>
    <w:p w14:paraId="3DFE7ED0" w14:textId="723F1284" w:rsidR="00852B4C" w:rsidRPr="00773884" w:rsidRDefault="00852B4C" w:rsidP="00852B4C">
      <w:pPr>
        <w:rPr>
          <w:rFonts w:ascii="Times New Roman" w:hAnsi="Times New Roman"/>
        </w:rPr>
      </w:pPr>
    </w:p>
    <w:p w14:paraId="35E6DD9D" w14:textId="434672A2" w:rsidR="00EE55E7" w:rsidRPr="00445BF9" w:rsidRDefault="0043743B" w:rsidP="00445BF9">
      <w:pPr>
        <w:rPr>
          <w:rFonts w:ascii="Times New Roman" w:hAnsi="Times New Roman"/>
          <w:b/>
          <w:sz w:val="28"/>
        </w:rPr>
      </w:pPr>
      <w:bookmarkStart w:id="1" w:name="_Toc3505162"/>
      <w:bookmarkStart w:id="2" w:name="_Toc358391031"/>
      <w:bookmarkStart w:id="3" w:name="_Toc361577034"/>
      <w:bookmarkStart w:id="4" w:name="_Toc355642226"/>
      <w:bookmarkStart w:id="5" w:name="_Toc357608133"/>
      <w:r w:rsidRPr="00445BF9">
        <w:rPr>
          <w:rFonts w:ascii="Times New Roman" w:hAnsi="Times New Roman"/>
          <w:b/>
          <w:sz w:val="28"/>
        </w:rPr>
        <w:t>Contents</w:t>
      </w:r>
      <w:bookmarkEnd w:id="1"/>
    </w:p>
    <w:p w14:paraId="4992B1F9" w14:textId="4F546453" w:rsidR="0043743B" w:rsidRPr="0043743B" w:rsidRDefault="0043743B" w:rsidP="00445BF9">
      <w:pPr>
        <w:pStyle w:val="TOC1"/>
        <w:tabs>
          <w:tab w:val="right" w:leader="dot" w:pos="9628"/>
        </w:tabs>
        <w:spacing w:after="0"/>
        <w:jc w:val="both"/>
        <w:rPr>
          <w:rFonts w:eastAsiaTheme="minorEastAsia" w:cs="Times New Roman"/>
          <w:b w:val="0"/>
          <w:bCs w:val="0"/>
          <w:caps/>
          <w:noProof/>
          <w:lang w:eastAsia="en-GB"/>
        </w:rPr>
      </w:pPr>
      <w:r w:rsidRPr="0043743B">
        <w:rPr>
          <w:rFonts w:eastAsia="Arial Unicode MS" w:cs="Times New Roman"/>
          <w:caps/>
        </w:rPr>
        <w:fldChar w:fldCharType="begin"/>
      </w:r>
      <w:r w:rsidRPr="0043743B">
        <w:rPr>
          <w:rFonts w:eastAsia="Arial Unicode MS" w:cs="Times New Roman"/>
        </w:rPr>
        <w:instrText xml:space="preserve"> TOC \o "1-2" \h \z \u </w:instrText>
      </w:r>
      <w:r w:rsidRPr="0043743B">
        <w:rPr>
          <w:rFonts w:eastAsia="Arial Unicode MS" w:cs="Times New Roman"/>
          <w:caps/>
        </w:rPr>
        <w:fldChar w:fldCharType="separate"/>
      </w:r>
      <w:hyperlink w:anchor="_Toc3505163" w:history="1">
        <w:r w:rsidRPr="0043743B">
          <w:rPr>
            <w:rStyle w:val="Hyperlink"/>
            <w:rFonts w:cs="Times New Roman"/>
            <w:noProof/>
          </w:rPr>
          <w:t>List of Tables</w:t>
        </w:r>
        <w:r w:rsidRPr="0043743B">
          <w:rPr>
            <w:rFonts w:cs="Times New Roman"/>
            <w:noProof/>
            <w:webHidden/>
          </w:rPr>
          <w:tab/>
        </w:r>
        <w:r w:rsidRPr="0043743B">
          <w:rPr>
            <w:rFonts w:cs="Times New Roman"/>
            <w:noProof/>
            <w:webHidden/>
          </w:rPr>
          <w:fldChar w:fldCharType="begin"/>
        </w:r>
        <w:r w:rsidRPr="0043743B">
          <w:rPr>
            <w:rFonts w:cs="Times New Roman"/>
            <w:noProof/>
            <w:webHidden/>
          </w:rPr>
          <w:instrText xml:space="preserve"> PAGEREF _Toc3505163 \h </w:instrText>
        </w:r>
        <w:r w:rsidRPr="0043743B">
          <w:rPr>
            <w:rFonts w:cs="Times New Roman"/>
            <w:noProof/>
            <w:webHidden/>
          </w:rPr>
        </w:r>
        <w:r w:rsidRPr="0043743B">
          <w:rPr>
            <w:rFonts w:cs="Times New Roman"/>
            <w:noProof/>
            <w:webHidden/>
          </w:rPr>
          <w:fldChar w:fldCharType="separate"/>
        </w:r>
        <w:r w:rsidR="006F31B1">
          <w:rPr>
            <w:rFonts w:cs="Times New Roman"/>
            <w:noProof/>
            <w:webHidden/>
          </w:rPr>
          <w:t>ii</w:t>
        </w:r>
        <w:r w:rsidRPr="0043743B">
          <w:rPr>
            <w:rFonts w:cs="Times New Roman"/>
            <w:noProof/>
            <w:webHidden/>
          </w:rPr>
          <w:fldChar w:fldCharType="end"/>
        </w:r>
      </w:hyperlink>
    </w:p>
    <w:p w14:paraId="1BC27AE5" w14:textId="47934202" w:rsidR="0043743B" w:rsidRPr="0043743B" w:rsidRDefault="00CB551A" w:rsidP="00445BF9">
      <w:pPr>
        <w:pStyle w:val="TOC1"/>
        <w:tabs>
          <w:tab w:val="right" w:leader="dot" w:pos="9628"/>
        </w:tabs>
        <w:spacing w:after="0"/>
        <w:jc w:val="both"/>
        <w:rPr>
          <w:rFonts w:eastAsiaTheme="minorEastAsia" w:cs="Times New Roman"/>
          <w:b w:val="0"/>
          <w:bCs w:val="0"/>
          <w:caps/>
          <w:noProof/>
          <w:lang w:eastAsia="en-GB"/>
        </w:rPr>
      </w:pPr>
      <w:hyperlink w:anchor="_Toc3505164" w:history="1">
        <w:r w:rsidR="0043743B" w:rsidRPr="0043743B">
          <w:rPr>
            <w:rStyle w:val="Hyperlink"/>
            <w:rFonts w:cs="Times New Roman"/>
            <w:noProof/>
          </w:rPr>
          <w:t>List of Figures</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_Toc3505164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iii</w:t>
        </w:r>
        <w:r w:rsidR="0043743B" w:rsidRPr="0043743B">
          <w:rPr>
            <w:rFonts w:cs="Times New Roman"/>
            <w:noProof/>
            <w:webHidden/>
          </w:rPr>
          <w:fldChar w:fldCharType="end"/>
        </w:r>
      </w:hyperlink>
    </w:p>
    <w:p w14:paraId="0EF16A14" w14:textId="0A3F73DA" w:rsidR="0043743B" w:rsidRPr="0043743B" w:rsidRDefault="00CB551A" w:rsidP="00445BF9">
      <w:pPr>
        <w:pStyle w:val="TOC1"/>
        <w:tabs>
          <w:tab w:val="right" w:leader="dot" w:pos="9628"/>
        </w:tabs>
        <w:spacing w:after="0"/>
        <w:jc w:val="both"/>
        <w:rPr>
          <w:rFonts w:eastAsiaTheme="minorEastAsia" w:cs="Times New Roman"/>
          <w:b w:val="0"/>
          <w:bCs w:val="0"/>
          <w:caps/>
          <w:noProof/>
          <w:lang w:eastAsia="en-GB"/>
        </w:rPr>
      </w:pPr>
      <w:hyperlink w:anchor="_Toc3505165" w:history="1">
        <w:r w:rsidR="0043743B" w:rsidRPr="0043743B">
          <w:rPr>
            <w:rStyle w:val="Hyperlink"/>
            <w:rFonts w:cs="Times New Roman"/>
            <w:noProof/>
          </w:rPr>
          <w:t>Acronyms</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_Toc3505165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iv</w:t>
        </w:r>
        <w:r w:rsidR="0043743B" w:rsidRPr="0043743B">
          <w:rPr>
            <w:rFonts w:cs="Times New Roman"/>
            <w:noProof/>
            <w:webHidden/>
          </w:rPr>
          <w:fldChar w:fldCharType="end"/>
        </w:r>
      </w:hyperlink>
    </w:p>
    <w:p w14:paraId="5E7F2E4C" w14:textId="688FFAAB" w:rsidR="0043743B" w:rsidRPr="0043743B" w:rsidRDefault="00CB551A" w:rsidP="00445BF9">
      <w:pPr>
        <w:pStyle w:val="TOC1"/>
        <w:tabs>
          <w:tab w:val="right" w:leader="dot" w:pos="9628"/>
        </w:tabs>
        <w:spacing w:after="0"/>
        <w:jc w:val="both"/>
        <w:rPr>
          <w:rFonts w:eastAsiaTheme="minorEastAsia" w:cs="Times New Roman"/>
          <w:b w:val="0"/>
          <w:bCs w:val="0"/>
          <w:caps/>
          <w:noProof/>
          <w:lang w:eastAsia="en-GB"/>
        </w:rPr>
      </w:pPr>
      <w:hyperlink w:anchor="_Toc3505166" w:history="1">
        <w:r w:rsidR="0043743B" w:rsidRPr="0043743B">
          <w:rPr>
            <w:rStyle w:val="Hyperlink"/>
            <w:rFonts w:cs="Times New Roman"/>
            <w:noProof/>
          </w:rPr>
          <w:t>Executive Summary</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_Toc3505166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vi</w:t>
        </w:r>
        <w:r w:rsidR="0043743B" w:rsidRPr="0043743B">
          <w:rPr>
            <w:rFonts w:cs="Times New Roman"/>
            <w:noProof/>
            <w:webHidden/>
          </w:rPr>
          <w:fldChar w:fldCharType="end"/>
        </w:r>
      </w:hyperlink>
    </w:p>
    <w:p w14:paraId="501FF9D1" w14:textId="1E3F6EAC" w:rsidR="0043743B" w:rsidRPr="0043743B" w:rsidRDefault="00CB551A" w:rsidP="00445BF9">
      <w:pPr>
        <w:pStyle w:val="TOC1"/>
        <w:tabs>
          <w:tab w:val="left" w:pos="660"/>
          <w:tab w:val="right" w:leader="dot" w:pos="9628"/>
        </w:tabs>
        <w:spacing w:after="0"/>
        <w:jc w:val="both"/>
        <w:rPr>
          <w:rFonts w:eastAsiaTheme="minorEastAsia" w:cs="Times New Roman"/>
          <w:b w:val="0"/>
          <w:bCs w:val="0"/>
          <w:caps/>
          <w:noProof/>
          <w:lang w:eastAsia="en-GB"/>
        </w:rPr>
      </w:pPr>
      <w:hyperlink w:anchor="_Toc3505167" w:history="1">
        <w:r w:rsidR="0043743B" w:rsidRPr="0043743B">
          <w:rPr>
            <w:rStyle w:val="Hyperlink"/>
            <w:rFonts w:cs="Times New Roman"/>
            <w:noProof/>
          </w:rPr>
          <w:t>1.0</w:t>
        </w:r>
        <w:r w:rsidR="0043743B" w:rsidRPr="0043743B">
          <w:rPr>
            <w:rFonts w:eastAsiaTheme="minorEastAsia" w:cs="Times New Roman"/>
            <w:b w:val="0"/>
            <w:bCs w:val="0"/>
            <w:noProof/>
            <w:lang w:eastAsia="en-GB"/>
          </w:rPr>
          <w:tab/>
        </w:r>
        <w:r w:rsidR="0043743B" w:rsidRPr="0043743B">
          <w:rPr>
            <w:rStyle w:val="Hyperlink"/>
            <w:rFonts w:cs="Times New Roman"/>
            <w:noProof/>
          </w:rPr>
          <w:t>Introduction</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_Toc3505167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1</w:t>
        </w:r>
        <w:r w:rsidR="0043743B" w:rsidRPr="0043743B">
          <w:rPr>
            <w:rFonts w:cs="Times New Roman"/>
            <w:noProof/>
            <w:webHidden/>
          </w:rPr>
          <w:fldChar w:fldCharType="end"/>
        </w:r>
      </w:hyperlink>
    </w:p>
    <w:p w14:paraId="75BFA974" w14:textId="562A6AC2" w:rsidR="0043743B" w:rsidRPr="0043743B" w:rsidRDefault="00CB551A" w:rsidP="00445BF9">
      <w:pPr>
        <w:pStyle w:val="TOC1"/>
        <w:tabs>
          <w:tab w:val="left" w:pos="660"/>
          <w:tab w:val="right" w:leader="dot" w:pos="9628"/>
        </w:tabs>
        <w:spacing w:after="0"/>
        <w:jc w:val="both"/>
        <w:rPr>
          <w:rFonts w:eastAsiaTheme="minorEastAsia" w:cs="Times New Roman"/>
          <w:b w:val="0"/>
          <w:bCs w:val="0"/>
          <w:caps/>
          <w:noProof/>
          <w:lang w:eastAsia="en-GB"/>
        </w:rPr>
      </w:pPr>
      <w:hyperlink w:anchor="_Toc3505168" w:history="1">
        <w:r w:rsidR="0043743B" w:rsidRPr="0043743B">
          <w:rPr>
            <w:rStyle w:val="Hyperlink"/>
            <w:rFonts w:cs="Times New Roman"/>
            <w:noProof/>
          </w:rPr>
          <w:t>2.0</w:t>
        </w:r>
        <w:r w:rsidR="0043743B" w:rsidRPr="0043743B">
          <w:rPr>
            <w:rFonts w:eastAsiaTheme="minorEastAsia" w:cs="Times New Roman"/>
            <w:b w:val="0"/>
            <w:bCs w:val="0"/>
            <w:noProof/>
            <w:lang w:eastAsia="en-GB"/>
          </w:rPr>
          <w:tab/>
        </w:r>
        <w:r w:rsidR="0043743B" w:rsidRPr="0043743B">
          <w:rPr>
            <w:rStyle w:val="Hyperlink"/>
            <w:rFonts w:cs="Times New Roman"/>
            <w:noProof/>
          </w:rPr>
          <w:t>Methodology</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_Toc3505168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3</w:t>
        </w:r>
        <w:r w:rsidR="0043743B" w:rsidRPr="0043743B">
          <w:rPr>
            <w:rFonts w:cs="Times New Roman"/>
            <w:noProof/>
            <w:webHidden/>
          </w:rPr>
          <w:fldChar w:fldCharType="end"/>
        </w:r>
      </w:hyperlink>
    </w:p>
    <w:p w14:paraId="54D4C1DF" w14:textId="43AB16E8" w:rsidR="0043743B" w:rsidRPr="0043743B" w:rsidRDefault="00CB551A" w:rsidP="00445BF9">
      <w:pPr>
        <w:pStyle w:val="TOC1"/>
        <w:tabs>
          <w:tab w:val="left" w:pos="660"/>
          <w:tab w:val="right" w:leader="dot" w:pos="9628"/>
        </w:tabs>
        <w:spacing w:after="0"/>
        <w:jc w:val="both"/>
        <w:rPr>
          <w:rFonts w:eastAsiaTheme="minorEastAsia" w:cs="Times New Roman"/>
          <w:b w:val="0"/>
          <w:bCs w:val="0"/>
          <w:caps/>
          <w:noProof/>
          <w:lang w:eastAsia="en-GB"/>
        </w:rPr>
      </w:pPr>
      <w:hyperlink w:anchor="_Toc3505169" w:history="1">
        <w:r w:rsidR="0043743B" w:rsidRPr="0043743B">
          <w:rPr>
            <w:rStyle w:val="Hyperlink"/>
            <w:rFonts w:cs="Times New Roman"/>
            <w:noProof/>
          </w:rPr>
          <w:t>3.0</w:t>
        </w:r>
        <w:r w:rsidR="0043743B" w:rsidRPr="0043743B">
          <w:rPr>
            <w:rFonts w:eastAsiaTheme="minorEastAsia" w:cs="Times New Roman"/>
            <w:b w:val="0"/>
            <w:bCs w:val="0"/>
            <w:noProof/>
            <w:lang w:eastAsia="en-GB"/>
          </w:rPr>
          <w:tab/>
        </w:r>
        <w:r w:rsidR="0043743B" w:rsidRPr="0043743B">
          <w:rPr>
            <w:rStyle w:val="Hyperlink"/>
            <w:rFonts w:cs="Times New Roman"/>
            <w:noProof/>
          </w:rPr>
          <w:t>Background</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_Toc3505169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6</w:t>
        </w:r>
        <w:r w:rsidR="0043743B" w:rsidRPr="0043743B">
          <w:rPr>
            <w:rFonts w:cs="Times New Roman"/>
            <w:noProof/>
            <w:webHidden/>
          </w:rPr>
          <w:fldChar w:fldCharType="end"/>
        </w:r>
      </w:hyperlink>
    </w:p>
    <w:p w14:paraId="011E763C" w14:textId="66A94B56"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70" w:history="1">
        <w:r w:rsidR="0043743B" w:rsidRPr="0043743B">
          <w:rPr>
            <w:rStyle w:val="Hyperlink"/>
            <w:rFonts w:cs="Times New Roman"/>
            <w:noProof/>
          </w:rPr>
          <w:t>3.1</w:t>
        </w:r>
        <w:r w:rsidR="0043743B" w:rsidRPr="0043743B">
          <w:rPr>
            <w:rFonts w:eastAsiaTheme="minorEastAsia" w:cs="Times New Roman"/>
            <w:noProof/>
            <w:lang w:eastAsia="en-GB"/>
          </w:rPr>
          <w:tab/>
        </w:r>
        <w:r w:rsidR="0043743B" w:rsidRPr="0043743B">
          <w:rPr>
            <w:rStyle w:val="Hyperlink"/>
            <w:rFonts w:cs="Times New Roman"/>
            <w:noProof/>
          </w:rPr>
          <w:t>Overview of the NDP-II</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_Toc3505170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6</w:t>
        </w:r>
        <w:r w:rsidR="0043743B" w:rsidRPr="0043743B">
          <w:rPr>
            <w:rFonts w:cs="Times New Roman"/>
            <w:noProof/>
            <w:webHidden/>
          </w:rPr>
          <w:fldChar w:fldCharType="end"/>
        </w:r>
      </w:hyperlink>
    </w:p>
    <w:p w14:paraId="08AA96B2" w14:textId="57572306"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71" w:history="1">
        <w:r w:rsidR="0043743B" w:rsidRPr="0043743B">
          <w:rPr>
            <w:rStyle w:val="Hyperlink"/>
            <w:rFonts w:cs="Times New Roman"/>
            <w:noProof/>
          </w:rPr>
          <w:t>3.2</w:t>
        </w:r>
        <w:r w:rsidR="0043743B" w:rsidRPr="0043743B">
          <w:rPr>
            <w:rFonts w:eastAsiaTheme="minorEastAsia" w:cs="Times New Roman"/>
            <w:noProof/>
            <w:lang w:eastAsia="en-GB"/>
          </w:rPr>
          <w:tab/>
        </w:r>
        <w:r w:rsidR="0043743B" w:rsidRPr="0043743B">
          <w:rPr>
            <w:rStyle w:val="Hyperlink"/>
            <w:rFonts w:cs="Times New Roman"/>
            <w:noProof/>
          </w:rPr>
          <w:t>Development Partner engagement in NDP-II preparation</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_Toc3505171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7</w:t>
        </w:r>
        <w:r w:rsidR="0043743B" w:rsidRPr="0043743B">
          <w:rPr>
            <w:rFonts w:cs="Times New Roman"/>
            <w:noProof/>
            <w:webHidden/>
          </w:rPr>
          <w:fldChar w:fldCharType="end"/>
        </w:r>
      </w:hyperlink>
    </w:p>
    <w:p w14:paraId="1363D54D" w14:textId="024044CA"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72" w:history="1">
        <w:r w:rsidR="0043743B" w:rsidRPr="0043743B">
          <w:rPr>
            <w:rStyle w:val="Hyperlink"/>
            <w:rFonts w:cs="Times New Roman"/>
            <w:noProof/>
          </w:rPr>
          <w:t>3.3</w:t>
        </w:r>
        <w:r w:rsidR="0043743B" w:rsidRPr="0043743B">
          <w:rPr>
            <w:rFonts w:eastAsiaTheme="minorEastAsia" w:cs="Times New Roman"/>
            <w:noProof/>
            <w:lang w:eastAsia="en-GB"/>
          </w:rPr>
          <w:tab/>
        </w:r>
        <w:r w:rsidR="0043743B" w:rsidRPr="0043743B">
          <w:rPr>
            <w:rStyle w:val="Hyperlink"/>
            <w:rFonts w:cs="Times New Roman"/>
            <w:noProof/>
          </w:rPr>
          <w:t>Development partnership arrangements in the NDP-II</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_Toc3505172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7</w:t>
        </w:r>
        <w:r w:rsidR="0043743B" w:rsidRPr="0043743B">
          <w:rPr>
            <w:rFonts w:cs="Times New Roman"/>
            <w:noProof/>
            <w:webHidden/>
          </w:rPr>
          <w:fldChar w:fldCharType="end"/>
        </w:r>
      </w:hyperlink>
    </w:p>
    <w:p w14:paraId="77FAB782" w14:textId="4D51A4F3"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73" w:history="1">
        <w:r w:rsidR="0043743B" w:rsidRPr="0043743B">
          <w:rPr>
            <w:rStyle w:val="Hyperlink"/>
            <w:rFonts w:cs="Times New Roman"/>
            <w:noProof/>
          </w:rPr>
          <w:t>3.4</w:t>
        </w:r>
        <w:r w:rsidR="0043743B" w:rsidRPr="0043743B">
          <w:rPr>
            <w:rFonts w:eastAsiaTheme="minorEastAsia" w:cs="Times New Roman"/>
            <w:noProof/>
            <w:lang w:eastAsia="en-GB"/>
          </w:rPr>
          <w:tab/>
        </w:r>
        <w:r w:rsidR="0043743B" w:rsidRPr="0043743B">
          <w:rPr>
            <w:rStyle w:val="Hyperlink"/>
            <w:rFonts w:cs="Times New Roman"/>
            <w:noProof/>
          </w:rPr>
          <w:t>The Institutional Framework in Managing Development Assistance</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_Toc3505173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8</w:t>
        </w:r>
        <w:r w:rsidR="0043743B" w:rsidRPr="0043743B">
          <w:rPr>
            <w:rFonts w:cs="Times New Roman"/>
            <w:noProof/>
            <w:webHidden/>
          </w:rPr>
          <w:fldChar w:fldCharType="end"/>
        </w:r>
      </w:hyperlink>
    </w:p>
    <w:p w14:paraId="685EF830" w14:textId="23878536" w:rsidR="0043743B" w:rsidRPr="0043743B" w:rsidRDefault="00CB551A" w:rsidP="00445BF9">
      <w:pPr>
        <w:pStyle w:val="TOC1"/>
        <w:tabs>
          <w:tab w:val="left" w:pos="660"/>
          <w:tab w:val="right" w:leader="dot" w:pos="9628"/>
        </w:tabs>
        <w:spacing w:after="0"/>
        <w:jc w:val="both"/>
        <w:rPr>
          <w:rFonts w:eastAsiaTheme="minorEastAsia" w:cs="Times New Roman"/>
          <w:b w:val="0"/>
          <w:bCs w:val="0"/>
          <w:caps/>
          <w:noProof/>
          <w:lang w:eastAsia="en-GB"/>
        </w:rPr>
      </w:pPr>
      <w:hyperlink w:anchor="_Toc3505174" w:history="1">
        <w:r w:rsidR="0043743B" w:rsidRPr="0043743B">
          <w:rPr>
            <w:rStyle w:val="Hyperlink"/>
            <w:rFonts w:cs="Times New Roman"/>
            <w:noProof/>
          </w:rPr>
          <w:t>4.0</w:t>
        </w:r>
        <w:r w:rsidR="0043743B" w:rsidRPr="0043743B">
          <w:rPr>
            <w:rFonts w:eastAsiaTheme="minorEastAsia" w:cs="Times New Roman"/>
            <w:b w:val="0"/>
            <w:bCs w:val="0"/>
            <w:noProof/>
            <w:lang w:eastAsia="en-GB"/>
          </w:rPr>
          <w:tab/>
        </w:r>
        <w:r w:rsidR="0043743B" w:rsidRPr="0043743B">
          <w:rPr>
            <w:rStyle w:val="Hyperlink"/>
            <w:rFonts w:cs="Times New Roman"/>
            <w:noProof/>
          </w:rPr>
          <w:t>FINDINGS</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_Toc3505174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10</w:t>
        </w:r>
        <w:r w:rsidR="0043743B" w:rsidRPr="0043743B">
          <w:rPr>
            <w:rFonts w:cs="Times New Roman"/>
            <w:noProof/>
            <w:webHidden/>
          </w:rPr>
          <w:fldChar w:fldCharType="end"/>
        </w:r>
      </w:hyperlink>
    </w:p>
    <w:p w14:paraId="1E6438B5" w14:textId="36780975"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75" w:history="1">
        <w:r w:rsidR="0043743B" w:rsidRPr="0043743B">
          <w:rPr>
            <w:rStyle w:val="Hyperlink"/>
            <w:rFonts w:cs="Times New Roman"/>
            <w:noProof/>
          </w:rPr>
          <w:t>4.1</w:t>
        </w:r>
        <w:r w:rsidR="0043743B" w:rsidRPr="0043743B">
          <w:rPr>
            <w:rFonts w:eastAsiaTheme="minorEastAsia" w:cs="Times New Roman"/>
            <w:noProof/>
            <w:lang w:eastAsia="en-GB"/>
          </w:rPr>
          <w:tab/>
        </w:r>
        <w:r w:rsidR="0043743B" w:rsidRPr="0043743B">
          <w:rPr>
            <w:rStyle w:val="Hyperlink"/>
            <w:rFonts w:cs="Times New Roman"/>
            <w:noProof/>
          </w:rPr>
          <w:t>Trends in Uganda’s Development Partnership</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_Toc3505175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10</w:t>
        </w:r>
        <w:r w:rsidR="0043743B" w:rsidRPr="0043743B">
          <w:rPr>
            <w:rFonts w:cs="Times New Roman"/>
            <w:noProof/>
            <w:webHidden/>
          </w:rPr>
          <w:fldChar w:fldCharType="end"/>
        </w:r>
      </w:hyperlink>
    </w:p>
    <w:p w14:paraId="05E0477B" w14:textId="12FDDC59"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76" w:history="1">
        <w:r w:rsidR="0043743B" w:rsidRPr="0043743B">
          <w:rPr>
            <w:rStyle w:val="Hyperlink"/>
            <w:rFonts w:cs="Times New Roman"/>
            <w:noProof/>
          </w:rPr>
          <w:t>4.2</w:t>
        </w:r>
        <w:r w:rsidR="0043743B" w:rsidRPr="0043743B">
          <w:rPr>
            <w:rFonts w:eastAsiaTheme="minorEastAsia" w:cs="Times New Roman"/>
            <w:noProof/>
            <w:lang w:eastAsia="en-GB"/>
          </w:rPr>
          <w:tab/>
        </w:r>
        <w:r w:rsidR="0043743B" w:rsidRPr="0043743B">
          <w:rPr>
            <w:rStyle w:val="Hyperlink"/>
            <w:rFonts w:cs="Times New Roman"/>
            <w:noProof/>
          </w:rPr>
          <w:t>Development Partner Alignment</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_Toc3505176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22</w:t>
        </w:r>
        <w:r w:rsidR="0043743B" w:rsidRPr="0043743B">
          <w:rPr>
            <w:rFonts w:cs="Times New Roman"/>
            <w:noProof/>
            <w:webHidden/>
          </w:rPr>
          <w:fldChar w:fldCharType="end"/>
        </w:r>
      </w:hyperlink>
    </w:p>
    <w:p w14:paraId="0822F75A" w14:textId="4C4FB9DE"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77" w:history="1">
        <w:r w:rsidR="0043743B" w:rsidRPr="0043743B">
          <w:rPr>
            <w:rStyle w:val="Hyperlink"/>
            <w:rFonts w:cs="Times New Roman"/>
            <w:noProof/>
          </w:rPr>
          <w:t>4.3</w:t>
        </w:r>
        <w:r w:rsidR="0043743B" w:rsidRPr="0043743B">
          <w:rPr>
            <w:rFonts w:eastAsiaTheme="minorEastAsia" w:cs="Times New Roman"/>
            <w:noProof/>
            <w:lang w:eastAsia="en-GB"/>
          </w:rPr>
          <w:tab/>
        </w:r>
        <w:r w:rsidR="0043743B" w:rsidRPr="0043743B">
          <w:rPr>
            <w:rStyle w:val="Hyperlink"/>
            <w:rFonts w:cs="Times New Roman"/>
            <w:noProof/>
          </w:rPr>
          <w:t>Harmonisation, Transaction Costs and Mutual Accountability</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_Toc3505177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28</w:t>
        </w:r>
        <w:r w:rsidR="0043743B" w:rsidRPr="0043743B">
          <w:rPr>
            <w:rFonts w:cs="Times New Roman"/>
            <w:noProof/>
            <w:webHidden/>
          </w:rPr>
          <w:fldChar w:fldCharType="end"/>
        </w:r>
      </w:hyperlink>
    </w:p>
    <w:p w14:paraId="4077FDFA" w14:textId="20E36FB0"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78" w:history="1">
        <w:r w:rsidR="0043743B" w:rsidRPr="0043743B">
          <w:rPr>
            <w:rStyle w:val="Hyperlink"/>
            <w:rFonts w:cs="Times New Roman"/>
            <w:noProof/>
          </w:rPr>
          <w:t>4.4</w:t>
        </w:r>
        <w:r w:rsidR="0043743B" w:rsidRPr="0043743B">
          <w:rPr>
            <w:rFonts w:eastAsiaTheme="minorEastAsia" w:cs="Times New Roman"/>
            <w:noProof/>
            <w:lang w:eastAsia="en-GB"/>
          </w:rPr>
          <w:tab/>
        </w:r>
        <w:r w:rsidR="0043743B" w:rsidRPr="0043743B">
          <w:rPr>
            <w:rStyle w:val="Hyperlink"/>
            <w:rFonts w:cs="Times New Roman"/>
            <w:noProof/>
          </w:rPr>
          <w:t>Development Assistance from Non-Traditional Partners</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_Toc3505178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33</w:t>
        </w:r>
        <w:r w:rsidR="0043743B" w:rsidRPr="0043743B">
          <w:rPr>
            <w:rFonts w:cs="Times New Roman"/>
            <w:noProof/>
            <w:webHidden/>
          </w:rPr>
          <w:fldChar w:fldCharType="end"/>
        </w:r>
      </w:hyperlink>
    </w:p>
    <w:p w14:paraId="56574832" w14:textId="53942BEF" w:rsidR="0043743B" w:rsidRPr="0043743B" w:rsidRDefault="00CB551A" w:rsidP="00445BF9">
      <w:pPr>
        <w:pStyle w:val="TOC1"/>
        <w:tabs>
          <w:tab w:val="left" w:pos="660"/>
          <w:tab w:val="right" w:leader="dot" w:pos="9628"/>
        </w:tabs>
        <w:spacing w:after="0"/>
        <w:jc w:val="both"/>
        <w:rPr>
          <w:rFonts w:eastAsiaTheme="minorEastAsia" w:cs="Times New Roman"/>
          <w:b w:val="0"/>
          <w:bCs w:val="0"/>
          <w:caps/>
          <w:noProof/>
          <w:lang w:eastAsia="en-GB"/>
        </w:rPr>
      </w:pPr>
      <w:hyperlink w:anchor="_Toc3505179" w:history="1">
        <w:r w:rsidR="0043743B" w:rsidRPr="0043743B">
          <w:rPr>
            <w:rStyle w:val="Hyperlink"/>
            <w:rFonts w:cs="Times New Roman"/>
            <w:noProof/>
          </w:rPr>
          <w:t>5.0</w:t>
        </w:r>
        <w:r w:rsidR="0043743B" w:rsidRPr="0043743B">
          <w:rPr>
            <w:rFonts w:eastAsiaTheme="minorEastAsia" w:cs="Times New Roman"/>
            <w:b w:val="0"/>
            <w:bCs w:val="0"/>
            <w:noProof/>
            <w:lang w:eastAsia="en-GB"/>
          </w:rPr>
          <w:tab/>
        </w:r>
        <w:r w:rsidR="0043743B" w:rsidRPr="0043743B">
          <w:rPr>
            <w:rStyle w:val="Hyperlink"/>
            <w:rFonts w:cs="Times New Roman"/>
            <w:noProof/>
          </w:rPr>
          <w:t>RECOMMENDATIONS</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_Toc3505179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36</w:t>
        </w:r>
        <w:r w:rsidR="0043743B" w:rsidRPr="0043743B">
          <w:rPr>
            <w:rFonts w:cs="Times New Roman"/>
            <w:noProof/>
            <w:webHidden/>
          </w:rPr>
          <w:fldChar w:fldCharType="end"/>
        </w:r>
      </w:hyperlink>
    </w:p>
    <w:p w14:paraId="6D7980FA" w14:textId="5015EE8C"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80" w:history="1">
        <w:r w:rsidR="0043743B" w:rsidRPr="0043743B">
          <w:rPr>
            <w:rStyle w:val="Hyperlink"/>
            <w:rFonts w:cs="Times New Roman"/>
            <w:noProof/>
          </w:rPr>
          <w:t>5.1</w:t>
        </w:r>
        <w:r w:rsidR="0043743B" w:rsidRPr="0043743B">
          <w:rPr>
            <w:rFonts w:eastAsiaTheme="minorEastAsia" w:cs="Times New Roman"/>
            <w:noProof/>
            <w:lang w:eastAsia="en-GB"/>
          </w:rPr>
          <w:tab/>
        </w:r>
        <w:r w:rsidR="0043743B" w:rsidRPr="0043743B">
          <w:rPr>
            <w:rStyle w:val="Hyperlink"/>
            <w:rFonts w:cs="Times New Roman"/>
            <w:noProof/>
          </w:rPr>
          <w:t>Uganda’s Development Partnership</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_Toc3505180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36</w:t>
        </w:r>
        <w:r w:rsidR="0043743B" w:rsidRPr="0043743B">
          <w:rPr>
            <w:rFonts w:cs="Times New Roman"/>
            <w:noProof/>
            <w:webHidden/>
          </w:rPr>
          <w:fldChar w:fldCharType="end"/>
        </w:r>
      </w:hyperlink>
    </w:p>
    <w:p w14:paraId="6955D65A" w14:textId="1EF1910C"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81" w:history="1">
        <w:r w:rsidR="0043743B" w:rsidRPr="0043743B">
          <w:rPr>
            <w:rStyle w:val="Hyperlink"/>
            <w:rFonts w:cs="Times New Roman"/>
            <w:noProof/>
          </w:rPr>
          <w:t>5.2</w:t>
        </w:r>
        <w:r w:rsidR="0043743B" w:rsidRPr="0043743B">
          <w:rPr>
            <w:rFonts w:eastAsiaTheme="minorEastAsia" w:cs="Times New Roman"/>
            <w:noProof/>
            <w:lang w:eastAsia="en-GB"/>
          </w:rPr>
          <w:tab/>
        </w:r>
        <w:r w:rsidR="0043743B" w:rsidRPr="0043743B">
          <w:rPr>
            <w:rStyle w:val="Hyperlink"/>
            <w:rFonts w:cs="Times New Roman"/>
            <w:noProof/>
          </w:rPr>
          <w:t>Development Partner Alignment</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_Toc3505181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37</w:t>
        </w:r>
        <w:r w:rsidR="0043743B" w:rsidRPr="0043743B">
          <w:rPr>
            <w:rFonts w:cs="Times New Roman"/>
            <w:noProof/>
            <w:webHidden/>
          </w:rPr>
          <w:fldChar w:fldCharType="end"/>
        </w:r>
      </w:hyperlink>
    </w:p>
    <w:p w14:paraId="1D0D2B51" w14:textId="6C61389D"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82" w:history="1">
        <w:r w:rsidR="0043743B" w:rsidRPr="0043743B">
          <w:rPr>
            <w:rStyle w:val="Hyperlink"/>
            <w:rFonts w:cs="Times New Roman"/>
            <w:noProof/>
          </w:rPr>
          <w:t>5.3</w:t>
        </w:r>
        <w:r w:rsidR="0043743B" w:rsidRPr="0043743B">
          <w:rPr>
            <w:rFonts w:eastAsiaTheme="minorEastAsia" w:cs="Times New Roman"/>
            <w:noProof/>
            <w:lang w:eastAsia="en-GB"/>
          </w:rPr>
          <w:tab/>
        </w:r>
        <w:r w:rsidR="0043743B" w:rsidRPr="0043743B">
          <w:rPr>
            <w:rStyle w:val="Hyperlink"/>
            <w:rFonts w:cs="Times New Roman"/>
            <w:noProof/>
          </w:rPr>
          <w:t>Harmonisation, Transaction Costs and Mutual Accountability</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_Toc3505182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38</w:t>
        </w:r>
        <w:r w:rsidR="0043743B" w:rsidRPr="0043743B">
          <w:rPr>
            <w:rFonts w:cs="Times New Roman"/>
            <w:noProof/>
            <w:webHidden/>
          </w:rPr>
          <w:fldChar w:fldCharType="end"/>
        </w:r>
      </w:hyperlink>
    </w:p>
    <w:p w14:paraId="1D437621" w14:textId="08B348B0" w:rsidR="0043743B" w:rsidRPr="0043743B" w:rsidRDefault="00CB551A" w:rsidP="00445BF9">
      <w:pPr>
        <w:pStyle w:val="TOC2"/>
        <w:tabs>
          <w:tab w:val="left" w:pos="880"/>
          <w:tab w:val="right" w:leader="dot" w:pos="9628"/>
        </w:tabs>
        <w:spacing w:after="0"/>
        <w:jc w:val="both"/>
        <w:rPr>
          <w:rFonts w:eastAsiaTheme="minorEastAsia" w:cs="Times New Roman"/>
          <w:smallCaps/>
          <w:noProof/>
          <w:lang w:eastAsia="en-GB"/>
        </w:rPr>
      </w:pPr>
      <w:hyperlink w:anchor="_Toc3505183" w:history="1">
        <w:r w:rsidR="0043743B" w:rsidRPr="0043743B">
          <w:rPr>
            <w:rStyle w:val="Hyperlink"/>
            <w:rFonts w:cs="Times New Roman"/>
            <w:noProof/>
          </w:rPr>
          <w:t>5.4</w:t>
        </w:r>
        <w:r w:rsidR="0043743B" w:rsidRPr="0043743B">
          <w:rPr>
            <w:rFonts w:eastAsiaTheme="minorEastAsia" w:cs="Times New Roman"/>
            <w:noProof/>
            <w:lang w:eastAsia="en-GB"/>
          </w:rPr>
          <w:tab/>
        </w:r>
        <w:r w:rsidR="0043743B" w:rsidRPr="0043743B">
          <w:rPr>
            <w:rStyle w:val="Hyperlink"/>
            <w:rFonts w:cs="Times New Roman"/>
            <w:noProof/>
          </w:rPr>
          <w:t>Development Assistance from Non-Traditional Partners</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_Toc3505183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39</w:t>
        </w:r>
        <w:r w:rsidR="0043743B" w:rsidRPr="0043743B">
          <w:rPr>
            <w:rFonts w:cs="Times New Roman"/>
            <w:noProof/>
            <w:webHidden/>
          </w:rPr>
          <w:fldChar w:fldCharType="end"/>
        </w:r>
      </w:hyperlink>
    </w:p>
    <w:p w14:paraId="40179034" w14:textId="2FA170F2" w:rsidR="0043743B" w:rsidRPr="0043743B" w:rsidRDefault="00CB551A" w:rsidP="00445BF9">
      <w:pPr>
        <w:pStyle w:val="TOC1"/>
        <w:tabs>
          <w:tab w:val="right" w:leader="dot" w:pos="9628"/>
        </w:tabs>
        <w:spacing w:after="0"/>
        <w:jc w:val="both"/>
        <w:rPr>
          <w:rFonts w:eastAsiaTheme="minorEastAsia" w:cs="Times New Roman"/>
          <w:b w:val="0"/>
          <w:bCs w:val="0"/>
          <w:caps/>
          <w:noProof/>
          <w:lang w:eastAsia="en-GB"/>
        </w:rPr>
      </w:pPr>
      <w:hyperlink w:anchor="_Toc3505184" w:history="1">
        <w:r w:rsidR="0043743B" w:rsidRPr="0043743B">
          <w:rPr>
            <w:rStyle w:val="Hyperlink"/>
            <w:rFonts w:cs="Times New Roman"/>
            <w:noProof/>
          </w:rPr>
          <w:t>Annexes</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_Toc3505184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41</w:t>
        </w:r>
        <w:r w:rsidR="0043743B" w:rsidRPr="0043743B">
          <w:rPr>
            <w:rFonts w:cs="Times New Roman"/>
            <w:noProof/>
            <w:webHidden/>
          </w:rPr>
          <w:fldChar w:fldCharType="end"/>
        </w:r>
      </w:hyperlink>
    </w:p>
    <w:p w14:paraId="6303E7EA" w14:textId="6AD76142" w:rsidR="0043743B" w:rsidRPr="0043743B" w:rsidRDefault="00CB551A" w:rsidP="00445BF9">
      <w:pPr>
        <w:pStyle w:val="TOC2"/>
        <w:tabs>
          <w:tab w:val="right" w:leader="dot" w:pos="9628"/>
        </w:tabs>
        <w:spacing w:after="0"/>
        <w:jc w:val="both"/>
        <w:rPr>
          <w:rFonts w:eastAsiaTheme="minorEastAsia" w:cs="Times New Roman"/>
          <w:smallCaps/>
          <w:noProof/>
          <w:lang w:eastAsia="en-GB"/>
        </w:rPr>
      </w:pPr>
      <w:hyperlink w:anchor="_Toc3505185" w:history="1">
        <w:r w:rsidR="0043743B" w:rsidRPr="0043743B">
          <w:rPr>
            <w:rStyle w:val="Hyperlink"/>
            <w:rFonts w:cs="Times New Roman"/>
            <w:noProof/>
          </w:rPr>
          <w:t>Annex 1: References</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_Toc3505185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41</w:t>
        </w:r>
        <w:r w:rsidR="0043743B" w:rsidRPr="0043743B">
          <w:rPr>
            <w:rFonts w:cs="Times New Roman"/>
            <w:noProof/>
            <w:webHidden/>
          </w:rPr>
          <w:fldChar w:fldCharType="end"/>
        </w:r>
      </w:hyperlink>
    </w:p>
    <w:p w14:paraId="27E4F1B9" w14:textId="1B2BA7F3" w:rsidR="0043743B" w:rsidRPr="0043743B" w:rsidRDefault="00CB551A" w:rsidP="00445BF9">
      <w:pPr>
        <w:pStyle w:val="TOC2"/>
        <w:tabs>
          <w:tab w:val="right" w:leader="dot" w:pos="9628"/>
        </w:tabs>
        <w:spacing w:after="0"/>
        <w:jc w:val="both"/>
        <w:rPr>
          <w:rFonts w:eastAsiaTheme="minorEastAsia" w:cs="Times New Roman"/>
          <w:smallCaps/>
          <w:noProof/>
          <w:lang w:eastAsia="en-GB"/>
        </w:rPr>
      </w:pPr>
      <w:hyperlink w:anchor="_Toc3505186" w:history="1">
        <w:r w:rsidR="0043743B" w:rsidRPr="0043743B">
          <w:rPr>
            <w:rStyle w:val="Hyperlink"/>
            <w:rFonts w:cs="Times New Roman"/>
            <w:noProof/>
          </w:rPr>
          <w:t>Annex 2: Data</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_Toc3505186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43</w:t>
        </w:r>
        <w:r w:rsidR="0043743B" w:rsidRPr="0043743B">
          <w:rPr>
            <w:rFonts w:cs="Times New Roman"/>
            <w:noProof/>
            <w:webHidden/>
          </w:rPr>
          <w:fldChar w:fldCharType="end"/>
        </w:r>
      </w:hyperlink>
    </w:p>
    <w:p w14:paraId="151A0766" w14:textId="6F450142" w:rsidR="0043743B" w:rsidRPr="0043743B" w:rsidRDefault="00CB551A" w:rsidP="00445BF9">
      <w:pPr>
        <w:pStyle w:val="TOC2"/>
        <w:tabs>
          <w:tab w:val="right" w:leader="dot" w:pos="9628"/>
        </w:tabs>
        <w:spacing w:after="0"/>
        <w:jc w:val="both"/>
        <w:rPr>
          <w:rFonts w:eastAsiaTheme="minorEastAsia" w:cs="Times New Roman"/>
          <w:smallCaps/>
          <w:noProof/>
          <w:lang w:eastAsia="en-GB"/>
        </w:rPr>
      </w:pPr>
      <w:hyperlink w:anchor="_Toc3505187" w:history="1">
        <w:r w:rsidR="0043743B" w:rsidRPr="0043743B">
          <w:rPr>
            <w:rStyle w:val="Hyperlink"/>
            <w:rFonts w:cs="Times New Roman"/>
            <w:noProof/>
          </w:rPr>
          <w:t>Annex 3: Evaluation Questions</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_Toc3505187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48</w:t>
        </w:r>
        <w:r w:rsidR="0043743B" w:rsidRPr="0043743B">
          <w:rPr>
            <w:rFonts w:cs="Times New Roman"/>
            <w:noProof/>
            <w:webHidden/>
          </w:rPr>
          <w:fldChar w:fldCharType="end"/>
        </w:r>
      </w:hyperlink>
    </w:p>
    <w:p w14:paraId="229A8895" w14:textId="61BAC669" w:rsidR="0043743B" w:rsidRPr="0043743B" w:rsidRDefault="00CB551A" w:rsidP="00197CA9">
      <w:pPr>
        <w:pStyle w:val="TOC2"/>
        <w:tabs>
          <w:tab w:val="right" w:leader="dot" w:pos="9628"/>
        </w:tabs>
        <w:jc w:val="both"/>
        <w:rPr>
          <w:rFonts w:eastAsiaTheme="minorEastAsia" w:cs="Times New Roman"/>
          <w:smallCaps/>
          <w:noProof/>
          <w:lang w:eastAsia="en-GB"/>
        </w:rPr>
      </w:pPr>
      <w:hyperlink w:anchor="_Toc3505188" w:history="1">
        <w:r w:rsidR="0043743B" w:rsidRPr="0043743B">
          <w:rPr>
            <w:rStyle w:val="Hyperlink"/>
            <w:rFonts w:cs="Times New Roman"/>
            <w:noProof/>
          </w:rPr>
          <w:t>Annex 4: Results of DP’s Workshop</w:t>
        </w:r>
        <w:r w:rsidR="0043743B" w:rsidRPr="0043743B">
          <w:rPr>
            <w:rFonts w:cs="Times New Roman"/>
            <w:noProof/>
            <w:webHidden/>
          </w:rPr>
          <w:tab/>
        </w:r>
        <w:r w:rsidR="0043743B" w:rsidRPr="0043743B">
          <w:rPr>
            <w:rFonts w:cs="Times New Roman"/>
            <w:noProof/>
            <w:webHidden/>
          </w:rPr>
          <w:fldChar w:fldCharType="begin"/>
        </w:r>
        <w:r w:rsidR="0043743B" w:rsidRPr="0043743B">
          <w:rPr>
            <w:rFonts w:cs="Times New Roman"/>
            <w:noProof/>
            <w:webHidden/>
          </w:rPr>
          <w:instrText xml:space="preserve"> PAGEREF _Toc3505188 \h </w:instrText>
        </w:r>
        <w:r w:rsidR="0043743B" w:rsidRPr="0043743B">
          <w:rPr>
            <w:rFonts w:cs="Times New Roman"/>
            <w:noProof/>
            <w:webHidden/>
          </w:rPr>
        </w:r>
        <w:r w:rsidR="0043743B" w:rsidRPr="0043743B">
          <w:rPr>
            <w:rFonts w:cs="Times New Roman"/>
            <w:noProof/>
            <w:webHidden/>
          </w:rPr>
          <w:fldChar w:fldCharType="separate"/>
        </w:r>
        <w:r w:rsidR="006F31B1">
          <w:rPr>
            <w:rFonts w:cs="Times New Roman"/>
            <w:noProof/>
            <w:webHidden/>
          </w:rPr>
          <w:t>49</w:t>
        </w:r>
        <w:r w:rsidR="0043743B" w:rsidRPr="0043743B">
          <w:rPr>
            <w:rFonts w:cs="Times New Roman"/>
            <w:noProof/>
            <w:webHidden/>
          </w:rPr>
          <w:fldChar w:fldCharType="end"/>
        </w:r>
      </w:hyperlink>
    </w:p>
    <w:p w14:paraId="0DEB23B7" w14:textId="763007DD" w:rsidR="0043743B" w:rsidRDefault="0043743B" w:rsidP="00197CA9">
      <w:pPr>
        <w:spacing w:after="0" w:line="360" w:lineRule="auto"/>
        <w:rPr>
          <w:rFonts w:ascii="Times New Roman" w:eastAsia="Arial Unicode MS" w:hAnsi="Times New Roman"/>
          <w:sz w:val="24"/>
          <w:szCs w:val="24"/>
        </w:rPr>
      </w:pPr>
      <w:r w:rsidRPr="0043743B">
        <w:rPr>
          <w:rFonts w:ascii="Times New Roman" w:eastAsia="Arial Unicode MS" w:hAnsi="Times New Roman"/>
          <w:sz w:val="20"/>
          <w:szCs w:val="20"/>
        </w:rPr>
        <w:fldChar w:fldCharType="end"/>
      </w:r>
      <w:r>
        <w:rPr>
          <w:rFonts w:ascii="Times New Roman" w:eastAsia="Arial Unicode MS" w:hAnsi="Times New Roman"/>
          <w:sz w:val="24"/>
          <w:szCs w:val="24"/>
        </w:rPr>
        <w:br w:type="page"/>
      </w:r>
    </w:p>
    <w:p w14:paraId="5B9EA31F" w14:textId="195A9CE2" w:rsidR="0043743B" w:rsidRDefault="0043743B" w:rsidP="0043743B">
      <w:pPr>
        <w:pStyle w:val="Heading1"/>
      </w:pPr>
      <w:bookmarkStart w:id="6" w:name="_Toc3505163"/>
      <w:r w:rsidRPr="0043743B">
        <w:lastRenderedPageBreak/>
        <w:t>List of Tables</w:t>
      </w:r>
      <w:bookmarkEnd w:id="6"/>
    </w:p>
    <w:p w14:paraId="06B2CA27" w14:textId="196D54A2" w:rsidR="0043743B" w:rsidRPr="00197CA9" w:rsidRDefault="0043743B" w:rsidP="00197CA9">
      <w:pPr>
        <w:pStyle w:val="TableofFigures"/>
        <w:tabs>
          <w:tab w:val="right" w:leader="dot" w:pos="9628"/>
        </w:tabs>
        <w:jc w:val="both"/>
        <w:rPr>
          <w:rFonts w:eastAsiaTheme="minorEastAsia" w:cs="Times New Roman"/>
          <w:smallCaps/>
          <w:noProof/>
          <w:lang w:eastAsia="en-GB"/>
        </w:rPr>
      </w:pPr>
      <w:r w:rsidRPr="00197CA9">
        <w:rPr>
          <w:rFonts w:cs="Times New Roman"/>
          <w:smallCaps/>
        </w:rPr>
        <w:fldChar w:fldCharType="begin"/>
      </w:r>
      <w:r w:rsidRPr="00197CA9">
        <w:rPr>
          <w:rFonts w:cs="Times New Roman"/>
        </w:rPr>
        <w:instrText xml:space="preserve"> TOC \h \z \c "Table" </w:instrText>
      </w:r>
      <w:r w:rsidRPr="00197CA9">
        <w:rPr>
          <w:rFonts w:cs="Times New Roman"/>
          <w:smallCaps/>
        </w:rPr>
        <w:fldChar w:fldCharType="separate"/>
      </w:r>
      <w:hyperlink w:anchor="_Toc3505098" w:history="1">
        <w:r w:rsidRPr="00197CA9">
          <w:rPr>
            <w:rStyle w:val="Hyperlink"/>
            <w:rFonts w:cs="Times New Roman"/>
            <w:noProof/>
          </w:rPr>
          <w:t>Table 1: Development Assistance: Disbursement vs Commitment</w:t>
        </w:r>
        <w:r w:rsidRPr="00197CA9">
          <w:rPr>
            <w:rFonts w:cs="Times New Roman"/>
            <w:noProof/>
            <w:webHidden/>
          </w:rPr>
          <w:tab/>
        </w:r>
        <w:r w:rsidRPr="00197CA9">
          <w:rPr>
            <w:rFonts w:cs="Times New Roman"/>
            <w:noProof/>
            <w:webHidden/>
          </w:rPr>
          <w:fldChar w:fldCharType="begin"/>
        </w:r>
        <w:r w:rsidRPr="00197CA9">
          <w:rPr>
            <w:rFonts w:cs="Times New Roman"/>
            <w:noProof/>
            <w:webHidden/>
          </w:rPr>
          <w:instrText xml:space="preserve"> PAGEREF _Toc3505098 \h </w:instrText>
        </w:r>
        <w:r w:rsidRPr="00197CA9">
          <w:rPr>
            <w:rFonts w:cs="Times New Roman"/>
            <w:noProof/>
            <w:webHidden/>
          </w:rPr>
        </w:r>
        <w:r w:rsidRPr="00197CA9">
          <w:rPr>
            <w:rFonts w:cs="Times New Roman"/>
            <w:noProof/>
            <w:webHidden/>
          </w:rPr>
          <w:fldChar w:fldCharType="separate"/>
        </w:r>
        <w:r w:rsidR="006F31B1">
          <w:rPr>
            <w:rFonts w:cs="Times New Roman"/>
            <w:noProof/>
            <w:webHidden/>
          </w:rPr>
          <w:t>18</w:t>
        </w:r>
        <w:r w:rsidRPr="00197CA9">
          <w:rPr>
            <w:rFonts w:cs="Times New Roman"/>
            <w:noProof/>
            <w:webHidden/>
          </w:rPr>
          <w:fldChar w:fldCharType="end"/>
        </w:r>
      </w:hyperlink>
    </w:p>
    <w:p w14:paraId="1401EDF2" w14:textId="5195AA9F"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099" w:history="1">
        <w:r w:rsidR="0043743B" w:rsidRPr="00197CA9">
          <w:rPr>
            <w:rStyle w:val="Hyperlink"/>
            <w:rFonts w:cs="Times New Roman"/>
            <w:noProof/>
          </w:rPr>
          <w:t>Table 2: Table A: Trends in Development Assistance from Non-Traditional Partners ($m.)</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_Toc3505099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34</w:t>
        </w:r>
        <w:r w:rsidR="0043743B" w:rsidRPr="00197CA9">
          <w:rPr>
            <w:rFonts w:cs="Times New Roman"/>
            <w:noProof/>
            <w:webHidden/>
          </w:rPr>
          <w:fldChar w:fldCharType="end"/>
        </w:r>
      </w:hyperlink>
    </w:p>
    <w:p w14:paraId="29122419" w14:textId="4EBB7B00"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0" w:history="1">
        <w:r w:rsidR="0043743B" w:rsidRPr="00197CA9">
          <w:rPr>
            <w:rStyle w:val="Hyperlink"/>
            <w:rFonts w:cs="Times New Roman"/>
            <w:noProof/>
          </w:rPr>
          <w:t>Table 3:</w:t>
        </w:r>
        <w:r w:rsidR="0043743B" w:rsidRPr="00197CA9">
          <w:rPr>
            <w:rStyle w:val="Hyperlink"/>
            <w:rFonts w:eastAsia="Arial Unicode MS" w:cs="Times New Roman"/>
            <w:noProof/>
          </w:rPr>
          <w:t xml:space="preserve"> Total Development Assistance by Type (USD m)</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_Toc3505100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43</w:t>
        </w:r>
        <w:r w:rsidR="0043743B" w:rsidRPr="00197CA9">
          <w:rPr>
            <w:rFonts w:cs="Times New Roman"/>
            <w:noProof/>
            <w:webHidden/>
          </w:rPr>
          <w:fldChar w:fldCharType="end"/>
        </w:r>
      </w:hyperlink>
    </w:p>
    <w:p w14:paraId="37FF9BFD" w14:textId="594F57E9"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1" w:history="1">
        <w:r w:rsidR="0043743B" w:rsidRPr="00197CA9">
          <w:rPr>
            <w:rStyle w:val="Hyperlink"/>
            <w:rFonts w:cs="Times New Roman"/>
            <w:noProof/>
          </w:rPr>
          <w:t>Table 4: Total Development Assistance (DA) by Development Partner (Budget Support, MTEF and NON-MTEF Project)</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_Toc3505101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43</w:t>
        </w:r>
        <w:r w:rsidR="0043743B" w:rsidRPr="00197CA9">
          <w:rPr>
            <w:rFonts w:cs="Times New Roman"/>
            <w:noProof/>
            <w:webHidden/>
          </w:rPr>
          <w:fldChar w:fldCharType="end"/>
        </w:r>
      </w:hyperlink>
    </w:p>
    <w:p w14:paraId="641008A2" w14:textId="30FD885B"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2" w:history="1">
        <w:r w:rsidR="0043743B" w:rsidRPr="00197CA9">
          <w:rPr>
            <w:rStyle w:val="Hyperlink"/>
            <w:rFonts w:cs="Times New Roman"/>
            <w:noProof/>
          </w:rPr>
          <w:t>Table 5: Top Ten Development Partners - Percentage allocation of Total DA by Donor (Budget Support, MTEF and Non-MTEF Project)</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_Toc3505102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44</w:t>
        </w:r>
        <w:r w:rsidR="0043743B" w:rsidRPr="00197CA9">
          <w:rPr>
            <w:rFonts w:cs="Times New Roman"/>
            <w:noProof/>
            <w:webHidden/>
          </w:rPr>
          <w:fldChar w:fldCharType="end"/>
        </w:r>
      </w:hyperlink>
    </w:p>
    <w:p w14:paraId="562812E1" w14:textId="7A80CD55"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3" w:history="1">
        <w:r w:rsidR="0043743B" w:rsidRPr="00197CA9">
          <w:rPr>
            <w:rStyle w:val="Hyperlink"/>
            <w:rFonts w:cs="Times New Roman"/>
            <w:noProof/>
          </w:rPr>
          <w:t>Table 6:</w:t>
        </w:r>
        <w:r w:rsidR="0043743B" w:rsidRPr="00197CA9">
          <w:rPr>
            <w:rStyle w:val="Hyperlink"/>
            <w:rFonts w:eastAsia="Arial Unicode MS" w:cs="Times New Roman"/>
            <w:noProof/>
          </w:rPr>
          <w:t xml:space="preserve"> </w:t>
        </w:r>
        <w:r w:rsidR="0043743B" w:rsidRPr="00197CA9">
          <w:rPr>
            <w:rStyle w:val="Hyperlink"/>
            <w:rFonts w:eastAsia="Arial Unicode MS" w:cs="Times New Roman"/>
            <w:bCs/>
            <w:noProof/>
          </w:rPr>
          <w:t>Total Allocation of Development Assistance (MTEF &amp; Non-MTEF) by sector (USD m)</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_Toc3505103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44</w:t>
        </w:r>
        <w:r w:rsidR="0043743B" w:rsidRPr="00197CA9">
          <w:rPr>
            <w:rFonts w:cs="Times New Roman"/>
            <w:noProof/>
            <w:webHidden/>
          </w:rPr>
          <w:fldChar w:fldCharType="end"/>
        </w:r>
      </w:hyperlink>
    </w:p>
    <w:p w14:paraId="5A692E62" w14:textId="7EA6D8BC"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4" w:history="1">
        <w:r w:rsidR="0043743B" w:rsidRPr="00197CA9">
          <w:rPr>
            <w:rStyle w:val="Hyperlink"/>
            <w:rFonts w:cs="Times New Roman"/>
            <w:noProof/>
          </w:rPr>
          <w:t>Table 7:</w:t>
        </w:r>
        <w:r w:rsidR="0043743B" w:rsidRPr="00197CA9">
          <w:rPr>
            <w:rStyle w:val="Hyperlink"/>
            <w:rFonts w:eastAsia="Arial Unicode MS" w:cs="Times New Roman"/>
            <w:noProof/>
          </w:rPr>
          <w:t xml:space="preserve"> </w:t>
        </w:r>
        <w:r w:rsidR="0043743B" w:rsidRPr="00197CA9">
          <w:rPr>
            <w:rStyle w:val="Hyperlink"/>
            <w:rFonts w:eastAsia="Arial Unicode MS" w:cs="Times New Roman"/>
            <w:bCs/>
            <w:noProof/>
          </w:rPr>
          <w:t>Percentage Allocation of Development Assistance (MTEF &amp; Non-MTEF) by sector</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_Toc3505104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45</w:t>
        </w:r>
        <w:r w:rsidR="0043743B" w:rsidRPr="00197CA9">
          <w:rPr>
            <w:rFonts w:cs="Times New Roman"/>
            <w:noProof/>
            <w:webHidden/>
          </w:rPr>
          <w:fldChar w:fldCharType="end"/>
        </w:r>
      </w:hyperlink>
    </w:p>
    <w:p w14:paraId="10254DFB" w14:textId="5BDDF6A1"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5" w:history="1">
        <w:r w:rsidR="0043743B" w:rsidRPr="00197CA9">
          <w:rPr>
            <w:rStyle w:val="Hyperlink"/>
            <w:rFonts w:cs="Times New Roman"/>
            <w:noProof/>
          </w:rPr>
          <w:t xml:space="preserve">Table 8: </w:t>
        </w:r>
        <w:r w:rsidR="0043743B" w:rsidRPr="00197CA9">
          <w:rPr>
            <w:rStyle w:val="Hyperlink"/>
            <w:rFonts w:eastAsia="Arial Unicode MS" w:cs="Times New Roman"/>
            <w:bCs/>
            <w:noProof/>
          </w:rPr>
          <w:t xml:space="preserve"> Total Allocation of Development Assistance MTEF by sector (USD m)</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_Toc3505105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45</w:t>
        </w:r>
        <w:r w:rsidR="0043743B" w:rsidRPr="00197CA9">
          <w:rPr>
            <w:rFonts w:cs="Times New Roman"/>
            <w:noProof/>
            <w:webHidden/>
          </w:rPr>
          <w:fldChar w:fldCharType="end"/>
        </w:r>
      </w:hyperlink>
    </w:p>
    <w:p w14:paraId="022D4AA3" w14:textId="7EB37E3E"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6" w:history="1">
        <w:r w:rsidR="0043743B" w:rsidRPr="00197CA9">
          <w:rPr>
            <w:rStyle w:val="Hyperlink"/>
            <w:rFonts w:cs="Times New Roman"/>
            <w:noProof/>
          </w:rPr>
          <w:t xml:space="preserve">Table 9: </w:t>
        </w:r>
        <w:r w:rsidR="0043743B" w:rsidRPr="00197CA9">
          <w:rPr>
            <w:rStyle w:val="Hyperlink"/>
            <w:rFonts w:eastAsia="Arial Unicode MS" w:cs="Times New Roman"/>
            <w:noProof/>
          </w:rPr>
          <w:t xml:space="preserve"> </w:t>
        </w:r>
        <w:r w:rsidR="0043743B" w:rsidRPr="00197CA9">
          <w:rPr>
            <w:rStyle w:val="Hyperlink"/>
            <w:rFonts w:eastAsia="Arial Unicode MS" w:cs="Times New Roman"/>
            <w:bCs/>
            <w:noProof/>
          </w:rPr>
          <w:t>Percentage Allocation of Development Assistance MTEF by sector</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_Toc3505106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46</w:t>
        </w:r>
        <w:r w:rsidR="0043743B" w:rsidRPr="00197CA9">
          <w:rPr>
            <w:rFonts w:cs="Times New Roman"/>
            <w:noProof/>
            <w:webHidden/>
          </w:rPr>
          <w:fldChar w:fldCharType="end"/>
        </w:r>
      </w:hyperlink>
    </w:p>
    <w:p w14:paraId="1E950863" w14:textId="445F283A"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7" w:history="1">
        <w:r w:rsidR="0043743B" w:rsidRPr="00197CA9">
          <w:rPr>
            <w:rStyle w:val="Hyperlink"/>
            <w:rFonts w:cs="Times New Roman"/>
            <w:noProof/>
          </w:rPr>
          <w:t xml:space="preserve">Table 10: </w:t>
        </w:r>
        <w:r w:rsidR="0043743B" w:rsidRPr="00197CA9">
          <w:rPr>
            <w:rStyle w:val="Hyperlink"/>
            <w:rFonts w:eastAsia="Arial Unicode MS" w:cs="Times New Roman"/>
            <w:noProof/>
          </w:rPr>
          <w:t xml:space="preserve"> </w:t>
        </w:r>
        <w:r w:rsidR="0043743B" w:rsidRPr="00197CA9">
          <w:rPr>
            <w:rStyle w:val="Hyperlink"/>
            <w:rFonts w:eastAsia="Arial Unicode MS" w:cs="Times New Roman"/>
            <w:bCs/>
            <w:noProof/>
          </w:rPr>
          <w:t>Total Allocation of Development Assistance NON-MTEF (Off Budget) by sector (USD m)</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_Toc3505107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46</w:t>
        </w:r>
        <w:r w:rsidR="0043743B" w:rsidRPr="00197CA9">
          <w:rPr>
            <w:rFonts w:cs="Times New Roman"/>
            <w:noProof/>
            <w:webHidden/>
          </w:rPr>
          <w:fldChar w:fldCharType="end"/>
        </w:r>
      </w:hyperlink>
    </w:p>
    <w:p w14:paraId="566F8825" w14:textId="6DA31075"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8" w:history="1">
        <w:r w:rsidR="0043743B" w:rsidRPr="00197CA9">
          <w:rPr>
            <w:rStyle w:val="Hyperlink"/>
            <w:rFonts w:cs="Times New Roman"/>
            <w:noProof/>
          </w:rPr>
          <w:t>Table 11:</w:t>
        </w:r>
        <w:r w:rsidR="0043743B" w:rsidRPr="00197CA9">
          <w:rPr>
            <w:rStyle w:val="Hyperlink"/>
            <w:rFonts w:eastAsia="Arial Unicode MS" w:cs="Times New Roman"/>
            <w:noProof/>
          </w:rPr>
          <w:t xml:space="preserve"> </w:t>
        </w:r>
        <w:r w:rsidR="0043743B" w:rsidRPr="00197CA9">
          <w:rPr>
            <w:rStyle w:val="Hyperlink"/>
            <w:rFonts w:eastAsia="Arial Unicode MS" w:cs="Times New Roman"/>
            <w:bCs/>
            <w:noProof/>
          </w:rPr>
          <w:t>Percentage Allocation of Development Assistance NON-MTEF (Off Budget) by sector</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_Toc3505108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46</w:t>
        </w:r>
        <w:r w:rsidR="0043743B" w:rsidRPr="00197CA9">
          <w:rPr>
            <w:rFonts w:cs="Times New Roman"/>
            <w:noProof/>
            <w:webHidden/>
          </w:rPr>
          <w:fldChar w:fldCharType="end"/>
        </w:r>
      </w:hyperlink>
    </w:p>
    <w:p w14:paraId="0FC6DD8B" w14:textId="64529491" w:rsidR="0043743B" w:rsidRPr="00197CA9" w:rsidRDefault="00CB551A" w:rsidP="00197CA9">
      <w:pPr>
        <w:pStyle w:val="TableofFigures"/>
        <w:tabs>
          <w:tab w:val="right" w:leader="dot" w:pos="9628"/>
        </w:tabs>
        <w:jc w:val="both"/>
        <w:rPr>
          <w:rFonts w:eastAsiaTheme="minorEastAsia" w:cs="Times New Roman"/>
          <w:smallCaps/>
          <w:noProof/>
          <w:lang w:eastAsia="en-GB"/>
        </w:rPr>
      </w:pPr>
      <w:hyperlink w:anchor="_Toc3505109" w:history="1">
        <w:r w:rsidR="0043743B" w:rsidRPr="00197CA9">
          <w:rPr>
            <w:rStyle w:val="Hyperlink"/>
            <w:rFonts w:cs="Times New Roman"/>
            <w:noProof/>
          </w:rPr>
          <w:t xml:space="preserve">Table 12: </w:t>
        </w:r>
        <w:r w:rsidR="0043743B" w:rsidRPr="00197CA9">
          <w:rPr>
            <w:rStyle w:val="Hyperlink"/>
            <w:rFonts w:eastAsia="Arial Unicode MS" w:cs="Times New Roman"/>
            <w:noProof/>
          </w:rPr>
          <w:t xml:space="preserve"> A Comparison of Planned and Actual MTEF Development Assistance Aid by Sector (USD m)</w:t>
        </w:r>
        <w:r w:rsidR="0043743B" w:rsidRPr="00197CA9">
          <w:rPr>
            <w:rFonts w:cs="Times New Roman"/>
            <w:noProof/>
            <w:webHidden/>
          </w:rPr>
          <w:tab/>
        </w:r>
        <w:r w:rsidR="0043743B" w:rsidRPr="00197CA9">
          <w:rPr>
            <w:rFonts w:cs="Times New Roman"/>
            <w:noProof/>
            <w:webHidden/>
          </w:rPr>
          <w:fldChar w:fldCharType="begin"/>
        </w:r>
        <w:r w:rsidR="0043743B" w:rsidRPr="00197CA9">
          <w:rPr>
            <w:rFonts w:cs="Times New Roman"/>
            <w:noProof/>
            <w:webHidden/>
          </w:rPr>
          <w:instrText xml:space="preserve"> PAGEREF _Toc3505109 \h </w:instrText>
        </w:r>
        <w:r w:rsidR="0043743B" w:rsidRPr="00197CA9">
          <w:rPr>
            <w:rFonts w:cs="Times New Roman"/>
            <w:noProof/>
            <w:webHidden/>
          </w:rPr>
        </w:r>
        <w:r w:rsidR="0043743B" w:rsidRPr="00197CA9">
          <w:rPr>
            <w:rFonts w:cs="Times New Roman"/>
            <w:noProof/>
            <w:webHidden/>
          </w:rPr>
          <w:fldChar w:fldCharType="separate"/>
        </w:r>
        <w:r w:rsidR="006F31B1">
          <w:rPr>
            <w:rFonts w:cs="Times New Roman"/>
            <w:noProof/>
            <w:webHidden/>
          </w:rPr>
          <w:t>47</w:t>
        </w:r>
        <w:r w:rsidR="0043743B" w:rsidRPr="00197CA9">
          <w:rPr>
            <w:rFonts w:cs="Times New Roman"/>
            <w:noProof/>
            <w:webHidden/>
          </w:rPr>
          <w:fldChar w:fldCharType="end"/>
        </w:r>
      </w:hyperlink>
    </w:p>
    <w:p w14:paraId="44415A5A" w14:textId="1923255B" w:rsidR="0043743B" w:rsidRDefault="0043743B" w:rsidP="00197CA9">
      <w:pPr>
        <w:spacing w:after="0" w:line="360" w:lineRule="auto"/>
        <w:rPr>
          <w:rFonts w:ascii="Times New Roman" w:hAnsi="Times New Roman"/>
          <w:b/>
          <w:bCs/>
          <w:color w:val="000000" w:themeColor="text1"/>
          <w:kern w:val="32"/>
          <w:sz w:val="28"/>
          <w:szCs w:val="24"/>
        </w:rPr>
      </w:pPr>
      <w:r w:rsidRPr="00197CA9">
        <w:rPr>
          <w:rFonts w:ascii="Times New Roman" w:hAnsi="Times New Roman"/>
          <w:sz w:val="20"/>
          <w:szCs w:val="20"/>
        </w:rPr>
        <w:fldChar w:fldCharType="end"/>
      </w:r>
      <w:r>
        <w:br w:type="page"/>
      </w:r>
    </w:p>
    <w:p w14:paraId="635A46CA" w14:textId="1252224F" w:rsidR="00EE55E7" w:rsidRPr="0043743B" w:rsidRDefault="0043743B" w:rsidP="0043743B">
      <w:pPr>
        <w:pStyle w:val="Heading1"/>
      </w:pPr>
      <w:bookmarkStart w:id="7" w:name="_Toc3505164"/>
      <w:r>
        <w:lastRenderedPageBreak/>
        <w:t>List of Figures</w:t>
      </w:r>
      <w:bookmarkEnd w:id="7"/>
    </w:p>
    <w:p w14:paraId="36183A8D" w14:textId="438891AE" w:rsidR="00197CA9" w:rsidRPr="00197CA9" w:rsidRDefault="0043743B" w:rsidP="00197CA9">
      <w:pPr>
        <w:pStyle w:val="TableofFigures"/>
        <w:tabs>
          <w:tab w:val="right" w:leader="dot" w:pos="9628"/>
        </w:tabs>
        <w:jc w:val="both"/>
        <w:rPr>
          <w:rFonts w:eastAsiaTheme="minorEastAsia" w:cs="Times New Roman"/>
          <w:smallCaps/>
          <w:noProof/>
          <w:sz w:val="22"/>
          <w:szCs w:val="22"/>
          <w:lang w:eastAsia="en-GB"/>
        </w:rPr>
      </w:pPr>
      <w:r w:rsidRPr="0043743B">
        <w:rPr>
          <w:rFonts w:eastAsia="Arial Unicode MS" w:cs="Times New Roman"/>
          <w:smallCaps/>
          <w:color w:val="0070C0"/>
        </w:rPr>
        <w:fldChar w:fldCharType="begin"/>
      </w:r>
      <w:r w:rsidRPr="0043743B">
        <w:rPr>
          <w:rFonts w:eastAsia="Arial Unicode MS" w:cs="Times New Roman"/>
          <w:color w:val="0070C0"/>
        </w:rPr>
        <w:instrText xml:space="preserve"> TOC \h \z \c "Figure" </w:instrText>
      </w:r>
      <w:r w:rsidRPr="0043743B">
        <w:rPr>
          <w:rFonts w:eastAsia="Arial Unicode MS" w:cs="Times New Roman"/>
          <w:smallCaps/>
          <w:color w:val="0070C0"/>
        </w:rPr>
        <w:fldChar w:fldCharType="separate"/>
      </w:r>
      <w:hyperlink w:anchor="_Toc4410599" w:history="1">
        <w:r w:rsidR="00197CA9" w:rsidRPr="00197CA9">
          <w:rPr>
            <w:rStyle w:val="Hyperlink"/>
            <w:rFonts w:cs="Times New Roman"/>
            <w:noProof/>
          </w:rPr>
          <w:t xml:space="preserve">Figure 1: </w:t>
        </w:r>
        <w:r w:rsidR="00197CA9" w:rsidRPr="00197CA9">
          <w:rPr>
            <w:rStyle w:val="Hyperlink"/>
            <w:rFonts w:eastAsia="Arial Unicode MS" w:cs="Times New Roman"/>
            <w:noProof/>
          </w:rPr>
          <w:t xml:space="preserve"> </w:t>
        </w:r>
        <w:r w:rsidR="00197CA9" w:rsidRPr="00197CA9">
          <w:rPr>
            <w:rStyle w:val="Hyperlink"/>
            <w:rFonts w:cs="Times New Roman"/>
            <w:noProof/>
          </w:rPr>
          <w:t>Composition of budget financing over the first three years of the NDP-II Period</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_Toc4410599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10</w:t>
        </w:r>
        <w:r w:rsidR="00197CA9" w:rsidRPr="00197CA9">
          <w:rPr>
            <w:rFonts w:cs="Times New Roman"/>
            <w:noProof/>
            <w:webHidden/>
          </w:rPr>
          <w:fldChar w:fldCharType="end"/>
        </w:r>
      </w:hyperlink>
    </w:p>
    <w:p w14:paraId="5A8B0CC3" w14:textId="4A457843" w:rsidR="00197CA9" w:rsidRPr="00197CA9" w:rsidRDefault="00CB551A" w:rsidP="00197CA9">
      <w:pPr>
        <w:pStyle w:val="TableofFigures"/>
        <w:tabs>
          <w:tab w:val="right" w:leader="dot" w:pos="9628"/>
        </w:tabs>
        <w:jc w:val="both"/>
        <w:rPr>
          <w:rFonts w:eastAsiaTheme="minorEastAsia" w:cs="Times New Roman"/>
          <w:smallCaps/>
          <w:noProof/>
          <w:sz w:val="22"/>
          <w:szCs w:val="22"/>
          <w:lang w:eastAsia="en-GB"/>
        </w:rPr>
      </w:pPr>
      <w:hyperlink w:anchor="_Toc4410600" w:history="1">
        <w:r w:rsidR="00197CA9" w:rsidRPr="00197CA9">
          <w:rPr>
            <w:rStyle w:val="Hyperlink"/>
            <w:rFonts w:cs="Times New Roman"/>
            <w:noProof/>
          </w:rPr>
          <w:t xml:space="preserve">Figure 2: </w:t>
        </w:r>
        <w:r w:rsidR="00197CA9" w:rsidRPr="00197CA9">
          <w:rPr>
            <w:rStyle w:val="Hyperlink"/>
            <w:rFonts w:eastAsia="Arial Unicode MS" w:cs="Times New Roman"/>
            <w:noProof/>
          </w:rPr>
          <w:t xml:space="preserve"> </w:t>
        </w:r>
        <w:r w:rsidR="00197CA9" w:rsidRPr="00197CA9">
          <w:rPr>
            <w:rStyle w:val="Hyperlink"/>
            <w:rFonts w:cs="Times New Roman"/>
            <w:noProof/>
          </w:rPr>
          <w:t>Development Assistance over the first three years of NDP-II period: Total Disbursements</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_Toc4410600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11</w:t>
        </w:r>
        <w:r w:rsidR="00197CA9" w:rsidRPr="00197CA9">
          <w:rPr>
            <w:rFonts w:cs="Times New Roman"/>
            <w:noProof/>
            <w:webHidden/>
          </w:rPr>
          <w:fldChar w:fldCharType="end"/>
        </w:r>
      </w:hyperlink>
    </w:p>
    <w:p w14:paraId="23757101" w14:textId="7A236518" w:rsidR="00197CA9" w:rsidRPr="00197CA9" w:rsidRDefault="00CB551A" w:rsidP="00197CA9">
      <w:pPr>
        <w:pStyle w:val="TableofFigures"/>
        <w:tabs>
          <w:tab w:val="right" w:leader="dot" w:pos="9628"/>
        </w:tabs>
        <w:jc w:val="both"/>
        <w:rPr>
          <w:rFonts w:eastAsiaTheme="minorEastAsia" w:cs="Times New Roman"/>
          <w:smallCaps/>
          <w:noProof/>
          <w:sz w:val="22"/>
          <w:szCs w:val="22"/>
          <w:lang w:eastAsia="en-GB"/>
        </w:rPr>
      </w:pPr>
      <w:hyperlink w:anchor="_Toc4410601" w:history="1">
        <w:r w:rsidR="00197CA9" w:rsidRPr="00197CA9">
          <w:rPr>
            <w:rStyle w:val="Hyperlink"/>
            <w:rFonts w:cs="Times New Roman"/>
            <w:noProof/>
          </w:rPr>
          <w:t xml:space="preserve">Figure 3: </w:t>
        </w:r>
        <w:r w:rsidR="00197CA9" w:rsidRPr="00197CA9">
          <w:rPr>
            <w:rStyle w:val="Hyperlink"/>
            <w:rFonts w:eastAsia="Arial Unicode MS" w:cs="Times New Roman"/>
            <w:noProof/>
          </w:rPr>
          <w:t xml:space="preserve"> </w:t>
        </w:r>
        <w:r w:rsidR="00197CA9" w:rsidRPr="00197CA9">
          <w:rPr>
            <w:rStyle w:val="Hyperlink"/>
            <w:rFonts w:cs="Times New Roman"/>
            <w:noProof/>
          </w:rPr>
          <w:t>ODA Receipts for Uganda (2015-17) and top ten Donors (2016-17)</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_Toc4410601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12</w:t>
        </w:r>
        <w:r w:rsidR="00197CA9" w:rsidRPr="00197CA9">
          <w:rPr>
            <w:rFonts w:cs="Times New Roman"/>
            <w:noProof/>
            <w:webHidden/>
          </w:rPr>
          <w:fldChar w:fldCharType="end"/>
        </w:r>
      </w:hyperlink>
    </w:p>
    <w:p w14:paraId="6B7CF6DF" w14:textId="4A8A043D" w:rsidR="00197CA9" w:rsidRPr="00197CA9" w:rsidRDefault="00CB551A" w:rsidP="00197CA9">
      <w:pPr>
        <w:pStyle w:val="TableofFigures"/>
        <w:tabs>
          <w:tab w:val="right" w:leader="dot" w:pos="9628"/>
        </w:tabs>
        <w:jc w:val="both"/>
        <w:rPr>
          <w:rFonts w:eastAsiaTheme="minorEastAsia" w:cs="Times New Roman"/>
          <w:smallCaps/>
          <w:noProof/>
          <w:sz w:val="22"/>
          <w:szCs w:val="22"/>
          <w:lang w:eastAsia="en-GB"/>
        </w:rPr>
      </w:pPr>
      <w:hyperlink w:anchor="_Toc4410602" w:history="1">
        <w:r w:rsidR="00197CA9" w:rsidRPr="00197CA9">
          <w:rPr>
            <w:rStyle w:val="Hyperlink"/>
            <w:rFonts w:cs="Times New Roman"/>
            <w:noProof/>
          </w:rPr>
          <w:t xml:space="preserve">Figure 4: </w:t>
        </w:r>
        <w:r w:rsidR="00197CA9" w:rsidRPr="00197CA9">
          <w:rPr>
            <w:rStyle w:val="Hyperlink"/>
            <w:rFonts w:eastAsia="Arial Unicode MS" w:cs="Times New Roman"/>
            <w:noProof/>
          </w:rPr>
          <w:t xml:space="preserve"> </w:t>
        </w:r>
        <w:r w:rsidR="00197CA9" w:rsidRPr="00197CA9">
          <w:rPr>
            <w:rStyle w:val="Hyperlink"/>
            <w:rFonts w:cs="Times New Roman"/>
            <w:noProof/>
          </w:rPr>
          <w:t>Development Assistance over the first three years of NDP-II period: Budget Support vs Project Support</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_Toc4410602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13</w:t>
        </w:r>
        <w:r w:rsidR="00197CA9" w:rsidRPr="00197CA9">
          <w:rPr>
            <w:rFonts w:cs="Times New Roman"/>
            <w:noProof/>
            <w:webHidden/>
          </w:rPr>
          <w:fldChar w:fldCharType="end"/>
        </w:r>
      </w:hyperlink>
    </w:p>
    <w:p w14:paraId="3417BC1A" w14:textId="2048368F" w:rsidR="00197CA9" w:rsidRPr="00197CA9" w:rsidRDefault="00CB551A" w:rsidP="00197CA9">
      <w:pPr>
        <w:pStyle w:val="TableofFigures"/>
        <w:tabs>
          <w:tab w:val="right" w:leader="dot" w:pos="9628"/>
        </w:tabs>
        <w:jc w:val="both"/>
        <w:rPr>
          <w:rFonts w:eastAsiaTheme="minorEastAsia" w:cs="Times New Roman"/>
          <w:smallCaps/>
          <w:noProof/>
          <w:sz w:val="22"/>
          <w:szCs w:val="22"/>
          <w:lang w:eastAsia="en-GB"/>
        </w:rPr>
      </w:pPr>
      <w:hyperlink w:anchor="_Toc4410603" w:history="1">
        <w:r w:rsidR="00197CA9" w:rsidRPr="00197CA9">
          <w:rPr>
            <w:rStyle w:val="Hyperlink"/>
            <w:rFonts w:cs="Times New Roman"/>
            <w:noProof/>
          </w:rPr>
          <w:t xml:space="preserve">Figure 5: </w:t>
        </w:r>
        <w:r w:rsidR="00197CA9" w:rsidRPr="00197CA9">
          <w:rPr>
            <w:rStyle w:val="Hyperlink"/>
            <w:rFonts w:eastAsia="Arial Unicode MS" w:cs="Times New Roman"/>
            <w:noProof/>
          </w:rPr>
          <w:t xml:space="preserve"> </w:t>
        </w:r>
        <w:r w:rsidR="00197CA9" w:rsidRPr="00197CA9">
          <w:rPr>
            <w:rStyle w:val="Hyperlink"/>
            <w:rFonts w:cs="Times New Roman"/>
            <w:noProof/>
          </w:rPr>
          <w:t>Development Assistance over the first three years of NDP-II period: Development Partners</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_Toc4410603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14</w:t>
        </w:r>
        <w:r w:rsidR="00197CA9" w:rsidRPr="00197CA9">
          <w:rPr>
            <w:rFonts w:cs="Times New Roman"/>
            <w:noProof/>
            <w:webHidden/>
          </w:rPr>
          <w:fldChar w:fldCharType="end"/>
        </w:r>
      </w:hyperlink>
    </w:p>
    <w:p w14:paraId="0D980B4A" w14:textId="7AE25FCA" w:rsidR="00197CA9" w:rsidRPr="00197CA9" w:rsidRDefault="00CB551A" w:rsidP="00197CA9">
      <w:pPr>
        <w:pStyle w:val="TableofFigures"/>
        <w:tabs>
          <w:tab w:val="right" w:leader="dot" w:pos="9628"/>
        </w:tabs>
        <w:jc w:val="both"/>
        <w:rPr>
          <w:rFonts w:eastAsiaTheme="minorEastAsia" w:cs="Times New Roman"/>
          <w:smallCaps/>
          <w:noProof/>
          <w:sz w:val="22"/>
          <w:szCs w:val="22"/>
          <w:lang w:eastAsia="en-GB"/>
        </w:rPr>
      </w:pPr>
      <w:hyperlink w:anchor="_Toc4410604" w:history="1">
        <w:r w:rsidR="00197CA9" w:rsidRPr="00197CA9">
          <w:rPr>
            <w:rStyle w:val="Hyperlink"/>
            <w:rFonts w:cs="Times New Roman"/>
            <w:noProof/>
          </w:rPr>
          <w:t xml:space="preserve">Figure 6: </w:t>
        </w:r>
        <w:r w:rsidR="00197CA9" w:rsidRPr="00197CA9">
          <w:rPr>
            <w:rStyle w:val="Hyperlink"/>
            <w:rFonts w:eastAsia="Arial Unicode MS" w:cs="Times New Roman"/>
            <w:noProof/>
          </w:rPr>
          <w:t xml:space="preserve"> </w:t>
        </w:r>
        <w:r w:rsidR="00197CA9" w:rsidRPr="00197CA9">
          <w:rPr>
            <w:rStyle w:val="Hyperlink"/>
            <w:rFonts w:cs="Times New Roman"/>
            <w:noProof/>
          </w:rPr>
          <w:t>Development Assistance over the first three years of NDP-II period: Type and Channel</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_Toc4410604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15</w:t>
        </w:r>
        <w:r w:rsidR="00197CA9" w:rsidRPr="00197CA9">
          <w:rPr>
            <w:rFonts w:cs="Times New Roman"/>
            <w:noProof/>
            <w:webHidden/>
          </w:rPr>
          <w:fldChar w:fldCharType="end"/>
        </w:r>
      </w:hyperlink>
    </w:p>
    <w:p w14:paraId="1CF5C132" w14:textId="649F814D" w:rsidR="00197CA9" w:rsidRPr="00197CA9" w:rsidRDefault="00CB551A" w:rsidP="00197CA9">
      <w:pPr>
        <w:pStyle w:val="TableofFigures"/>
        <w:tabs>
          <w:tab w:val="right" w:leader="dot" w:pos="9628"/>
        </w:tabs>
        <w:jc w:val="both"/>
        <w:rPr>
          <w:rFonts w:eastAsiaTheme="minorEastAsia" w:cs="Times New Roman"/>
          <w:smallCaps/>
          <w:noProof/>
          <w:sz w:val="22"/>
          <w:szCs w:val="22"/>
          <w:lang w:eastAsia="en-GB"/>
        </w:rPr>
      </w:pPr>
      <w:hyperlink w:anchor="_Toc4410605" w:history="1">
        <w:r w:rsidR="00197CA9" w:rsidRPr="00197CA9">
          <w:rPr>
            <w:rStyle w:val="Hyperlink"/>
            <w:rFonts w:cs="Times New Roman"/>
            <w:noProof/>
          </w:rPr>
          <w:t xml:space="preserve">Figure 7: </w:t>
        </w:r>
        <w:r w:rsidR="00197CA9" w:rsidRPr="00197CA9">
          <w:rPr>
            <w:rStyle w:val="Hyperlink"/>
            <w:rFonts w:eastAsia="Arial Unicode MS" w:cs="Times New Roman"/>
            <w:noProof/>
          </w:rPr>
          <w:t xml:space="preserve"> </w:t>
        </w:r>
        <w:r w:rsidR="00197CA9" w:rsidRPr="00197CA9">
          <w:rPr>
            <w:rStyle w:val="Hyperlink"/>
            <w:rFonts w:cs="Times New Roman"/>
            <w:noProof/>
          </w:rPr>
          <w:t>Development Assistance over the first three years of NDP-II period: Total Project Support by sectors</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_Toc4410605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15</w:t>
        </w:r>
        <w:r w:rsidR="00197CA9" w:rsidRPr="00197CA9">
          <w:rPr>
            <w:rFonts w:cs="Times New Roman"/>
            <w:noProof/>
            <w:webHidden/>
          </w:rPr>
          <w:fldChar w:fldCharType="end"/>
        </w:r>
      </w:hyperlink>
    </w:p>
    <w:p w14:paraId="1B014E31" w14:textId="176C381F" w:rsidR="00197CA9" w:rsidRPr="00197CA9" w:rsidRDefault="00CB551A" w:rsidP="00197CA9">
      <w:pPr>
        <w:pStyle w:val="TableofFigures"/>
        <w:tabs>
          <w:tab w:val="right" w:leader="dot" w:pos="9628"/>
        </w:tabs>
        <w:jc w:val="both"/>
        <w:rPr>
          <w:rFonts w:eastAsiaTheme="minorEastAsia" w:cs="Times New Roman"/>
          <w:smallCaps/>
          <w:noProof/>
          <w:sz w:val="22"/>
          <w:szCs w:val="22"/>
          <w:lang w:eastAsia="en-GB"/>
        </w:rPr>
      </w:pPr>
      <w:hyperlink w:anchor="_Toc4410606" w:history="1">
        <w:r w:rsidR="00197CA9" w:rsidRPr="00197CA9">
          <w:rPr>
            <w:rStyle w:val="Hyperlink"/>
            <w:rFonts w:cs="Times New Roman"/>
            <w:noProof/>
          </w:rPr>
          <w:t xml:space="preserve">Figure 8: </w:t>
        </w:r>
        <w:r w:rsidR="00197CA9" w:rsidRPr="00197CA9">
          <w:rPr>
            <w:rStyle w:val="Hyperlink"/>
            <w:rFonts w:eastAsia="Arial Unicode MS" w:cs="Times New Roman"/>
            <w:noProof/>
          </w:rPr>
          <w:t xml:space="preserve"> </w:t>
        </w:r>
        <w:r w:rsidR="00197CA9" w:rsidRPr="00197CA9">
          <w:rPr>
            <w:rStyle w:val="Hyperlink"/>
            <w:rFonts w:cs="Times New Roman"/>
            <w:noProof/>
          </w:rPr>
          <w:t>Development Assistance over the first three years of NDP-II period: On-Budget Project Support by Sectors</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_Toc4410606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17</w:t>
        </w:r>
        <w:r w:rsidR="00197CA9" w:rsidRPr="00197CA9">
          <w:rPr>
            <w:rFonts w:cs="Times New Roman"/>
            <w:noProof/>
            <w:webHidden/>
          </w:rPr>
          <w:fldChar w:fldCharType="end"/>
        </w:r>
      </w:hyperlink>
    </w:p>
    <w:p w14:paraId="1C217C07" w14:textId="15BEE9DC" w:rsidR="00197CA9" w:rsidRPr="00197CA9" w:rsidRDefault="00CB551A" w:rsidP="00197CA9">
      <w:pPr>
        <w:pStyle w:val="TableofFigures"/>
        <w:tabs>
          <w:tab w:val="right" w:leader="dot" w:pos="9628"/>
        </w:tabs>
        <w:jc w:val="both"/>
        <w:rPr>
          <w:rFonts w:eastAsiaTheme="minorEastAsia" w:cs="Times New Roman"/>
          <w:smallCaps/>
          <w:noProof/>
          <w:sz w:val="22"/>
          <w:szCs w:val="22"/>
          <w:lang w:eastAsia="en-GB"/>
        </w:rPr>
      </w:pPr>
      <w:hyperlink w:anchor="_Toc4410607" w:history="1">
        <w:r w:rsidR="00197CA9" w:rsidRPr="00197CA9">
          <w:rPr>
            <w:rStyle w:val="Hyperlink"/>
            <w:rFonts w:cs="Times New Roman"/>
            <w:noProof/>
          </w:rPr>
          <w:t xml:space="preserve">Figure 9: </w:t>
        </w:r>
        <w:r w:rsidR="00197CA9" w:rsidRPr="00197CA9">
          <w:rPr>
            <w:rStyle w:val="Hyperlink"/>
            <w:rFonts w:eastAsia="Arial Unicode MS" w:cs="Times New Roman"/>
            <w:noProof/>
          </w:rPr>
          <w:t xml:space="preserve"> </w:t>
        </w:r>
        <w:r w:rsidR="00197CA9" w:rsidRPr="00197CA9">
          <w:rPr>
            <w:rStyle w:val="Hyperlink"/>
            <w:rFonts w:cs="Times New Roman"/>
            <w:noProof/>
          </w:rPr>
          <w:t>Development Assistance over the first three years of NDP-II period: Off-Budget Project Support by sectors</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_Toc4410607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18</w:t>
        </w:r>
        <w:r w:rsidR="00197CA9" w:rsidRPr="00197CA9">
          <w:rPr>
            <w:rFonts w:cs="Times New Roman"/>
            <w:noProof/>
            <w:webHidden/>
          </w:rPr>
          <w:fldChar w:fldCharType="end"/>
        </w:r>
      </w:hyperlink>
    </w:p>
    <w:p w14:paraId="4B9FE44C" w14:textId="1FA5B7B8" w:rsidR="00197CA9" w:rsidRPr="00197CA9" w:rsidRDefault="00CB551A" w:rsidP="00197CA9">
      <w:pPr>
        <w:pStyle w:val="TableofFigures"/>
        <w:tabs>
          <w:tab w:val="right" w:leader="dot" w:pos="9628"/>
        </w:tabs>
        <w:jc w:val="both"/>
        <w:rPr>
          <w:rFonts w:eastAsiaTheme="minorEastAsia" w:cs="Times New Roman"/>
          <w:smallCaps/>
          <w:noProof/>
          <w:sz w:val="22"/>
          <w:szCs w:val="22"/>
          <w:lang w:eastAsia="en-GB"/>
        </w:rPr>
      </w:pPr>
      <w:hyperlink w:anchor="_Toc4410608" w:history="1">
        <w:r w:rsidR="00197CA9" w:rsidRPr="00197CA9">
          <w:rPr>
            <w:rStyle w:val="Hyperlink"/>
            <w:rFonts w:cs="Times New Roman"/>
            <w:noProof/>
          </w:rPr>
          <w:t xml:space="preserve">Figure 10: </w:t>
        </w:r>
        <w:r w:rsidR="00197CA9" w:rsidRPr="00197CA9">
          <w:rPr>
            <w:rStyle w:val="Hyperlink"/>
            <w:rFonts w:eastAsia="Arial Unicode MS" w:cs="Times New Roman"/>
            <w:noProof/>
          </w:rPr>
          <w:t xml:space="preserve"> </w:t>
        </w:r>
        <w:r w:rsidR="00197CA9" w:rsidRPr="00197CA9">
          <w:rPr>
            <w:rStyle w:val="Hyperlink"/>
            <w:rFonts w:cs="Times New Roman"/>
            <w:noProof/>
          </w:rPr>
          <w:t>Development Assistance over the first three years of NDP-II period: Commitment/plan vs Disbursement</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_Toc4410608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19</w:t>
        </w:r>
        <w:r w:rsidR="00197CA9" w:rsidRPr="00197CA9">
          <w:rPr>
            <w:rFonts w:cs="Times New Roman"/>
            <w:noProof/>
            <w:webHidden/>
          </w:rPr>
          <w:fldChar w:fldCharType="end"/>
        </w:r>
      </w:hyperlink>
    </w:p>
    <w:p w14:paraId="50060396" w14:textId="2E788B66" w:rsidR="00197CA9" w:rsidRDefault="00CB551A" w:rsidP="00197CA9">
      <w:pPr>
        <w:pStyle w:val="TableofFigures"/>
        <w:tabs>
          <w:tab w:val="right" w:leader="dot" w:pos="9628"/>
        </w:tabs>
        <w:jc w:val="both"/>
        <w:rPr>
          <w:rFonts w:eastAsiaTheme="minorEastAsia" w:cstheme="minorBidi"/>
          <w:smallCaps/>
          <w:noProof/>
          <w:sz w:val="22"/>
          <w:szCs w:val="22"/>
          <w:lang w:eastAsia="en-GB"/>
        </w:rPr>
      </w:pPr>
      <w:hyperlink w:anchor="_Toc4410609" w:history="1">
        <w:r w:rsidR="00197CA9" w:rsidRPr="00197CA9">
          <w:rPr>
            <w:rStyle w:val="Hyperlink"/>
            <w:rFonts w:cs="Times New Roman"/>
            <w:noProof/>
          </w:rPr>
          <w:t xml:space="preserve">Figure 11: </w:t>
        </w:r>
        <w:r w:rsidR="00197CA9" w:rsidRPr="00197CA9">
          <w:rPr>
            <w:rStyle w:val="Hyperlink"/>
            <w:rFonts w:eastAsia="Arial Unicode MS" w:cs="Times New Roman"/>
            <w:noProof/>
          </w:rPr>
          <w:t xml:space="preserve"> </w:t>
        </w:r>
        <w:r w:rsidR="00197CA9" w:rsidRPr="00197CA9">
          <w:rPr>
            <w:rStyle w:val="Hyperlink"/>
            <w:rFonts w:cs="Times New Roman"/>
            <w:noProof/>
          </w:rPr>
          <w:t>Development Assistance over the first three years of NDP-II period: Commitment/plan vs Disbursement by Channel</w:t>
        </w:r>
        <w:r w:rsidR="00197CA9" w:rsidRPr="00197CA9">
          <w:rPr>
            <w:rFonts w:cs="Times New Roman"/>
            <w:noProof/>
            <w:webHidden/>
          </w:rPr>
          <w:tab/>
        </w:r>
        <w:r w:rsidR="00197CA9" w:rsidRPr="00197CA9">
          <w:rPr>
            <w:rFonts w:cs="Times New Roman"/>
            <w:noProof/>
            <w:webHidden/>
          </w:rPr>
          <w:fldChar w:fldCharType="begin"/>
        </w:r>
        <w:r w:rsidR="00197CA9" w:rsidRPr="00197CA9">
          <w:rPr>
            <w:rFonts w:cs="Times New Roman"/>
            <w:noProof/>
            <w:webHidden/>
          </w:rPr>
          <w:instrText xml:space="preserve"> PAGEREF _Toc4410609 \h </w:instrText>
        </w:r>
        <w:r w:rsidR="00197CA9" w:rsidRPr="00197CA9">
          <w:rPr>
            <w:rFonts w:cs="Times New Roman"/>
            <w:noProof/>
            <w:webHidden/>
          </w:rPr>
        </w:r>
        <w:r w:rsidR="00197CA9" w:rsidRPr="00197CA9">
          <w:rPr>
            <w:rFonts w:cs="Times New Roman"/>
            <w:noProof/>
            <w:webHidden/>
          </w:rPr>
          <w:fldChar w:fldCharType="separate"/>
        </w:r>
        <w:r w:rsidR="006F31B1">
          <w:rPr>
            <w:rFonts w:cs="Times New Roman"/>
            <w:noProof/>
            <w:webHidden/>
          </w:rPr>
          <w:t>31</w:t>
        </w:r>
        <w:r w:rsidR="00197CA9" w:rsidRPr="00197CA9">
          <w:rPr>
            <w:rFonts w:cs="Times New Roman"/>
            <w:noProof/>
            <w:webHidden/>
          </w:rPr>
          <w:fldChar w:fldCharType="end"/>
        </w:r>
      </w:hyperlink>
    </w:p>
    <w:p w14:paraId="10C5EBC8" w14:textId="79077695" w:rsidR="004A5CB7" w:rsidRPr="0043743B" w:rsidRDefault="0043743B" w:rsidP="0043743B">
      <w:pPr>
        <w:spacing w:before="240" w:after="0" w:line="360" w:lineRule="auto"/>
        <w:rPr>
          <w:rFonts w:ascii="Times New Roman" w:eastAsia="Arial Unicode MS" w:hAnsi="Times New Roman"/>
          <w:color w:val="0070C0"/>
          <w:sz w:val="20"/>
          <w:szCs w:val="20"/>
        </w:rPr>
      </w:pPr>
      <w:r w:rsidRPr="0043743B">
        <w:rPr>
          <w:rFonts w:ascii="Times New Roman" w:eastAsia="Arial Unicode MS" w:hAnsi="Times New Roman"/>
          <w:color w:val="0070C0"/>
          <w:sz w:val="20"/>
          <w:szCs w:val="20"/>
        </w:rPr>
        <w:fldChar w:fldCharType="end"/>
      </w:r>
    </w:p>
    <w:p w14:paraId="13F306C0" w14:textId="77777777" w:rsidR="004A5CB7" w:rsidRPr="00773884" w:rsidRDefault="004A5CB7" w:rsidP="008978AD">
      <w:pPr>
        <w:spacing w:before="240" w:after="0" w:line="240" w:lineRule="auto"/>
        <w:rPr>
          <w:rFonts w:ascii="Times New Roman" w:eastAsia="Arial Unicode MS" w:hAnsi="Times New Roman"/>
          <w:b/>
          <w:color w:val="0070C0"/>
          <w:sz w:val="24"/>
          <w:szCs w:val="24"/>
        </w:rPr>
      </w:pPr>
    </w:p>
    <w:p w14:paraId="6D56C096" w14:textId="77777777" w:rsidR="00CF62CA" w:rsidRPr="00773884" w:rsidRDefault="00CF62CA" w:rsidP="008978AD">
      <w:pPr>
        <w:spacing w:after="0" w:line="240" w:lineRule="auto"/>
        <w:jc w:val="left"/>
        <w:rPr>
          <w:rFonts w:ascii="Times New Roman" w:eastAsia="Arial Unicode MS" w:hAnsi="Times New Roman"/>
          <w:b/>
          <w:bCs/>
          <w:color w:val="0C419A"/>
          <w:kern w:val="32"/>
          <w:sz w:val="24"/>
          <w:szCs w:val="24"/>
        </w:rPr>
      </w:pPr>
      <w:r w:rsidRPr="00773884">
        <w:rPr>
          <w:rFonts w:ascii="Times New Roman" w:eastAsia="Arial Unicode MS" w:hAnsi="Times New Roman"/>
          <w:sz w:val="24"/>
          <w:szCs w:val="24"/>
        </w:rPr>
        <w:br w:type="page"/>
      </w:r>
    </w:p>
    <w:p w14:paraId="342731F7" w14:textId="54E42770" w:rsidR="00E0440D" w:rsidRPr="00773884" w:rsidRDefault="00773884" w:rsidP="00773884">
      <w:pPr>
        <w:pStyle w:val="Heading1"/>
      </w:pPr>
      <w:bookmarkStart w:id="8" w:name="_Toc534926841"/>
      <w:bookmarkStart w:id="9" w:name="_Toc3505165"/>
      <w:r w:rsidRPr="00773884">
        <w:lastRenderedPageBreak/>
        <w:t>Acronyms</w:t>
      </w:r>
      <w:bookmarkEnd w:id="8"/>
      <w:bookmarkEnd w:id="9"/>
    </w:p>
    <w:p w14:paraId="1DFDAA34" w14:textId="77777777" w:rsidR="00883A02" w:rsidRPr="00773884" w:rsidRDefault="00883A02" w:rsidP="0053409B">
      <w:pPr>
        <w:pStyle w:val="PlainText"/>
        <w:rPr>
          <w:rFonts w:ascii="Times New Roman" w:hAnsi="Times New Roman"/>
        </w:rPr>
      </w:pPr>
    </w:p>
    <w:p w14:paraId="1D9C21A5" w14:textId="63E64441" w:rsidR="0053409B" w:rsidRPr="00EF20A9" w:rsidRDefault="0043743B" w:rsidP="0043743B">
      <w:pPr>
        <w:pStyle w:val="PlainText"/>
        <w:spacing w:line="360" w:lineRule="auto"/>
        <w:jc w:val="both"/>
        <w:rPr>
          <w:rFonts w:ascii="Times New Roman" w:eastAsiaTheme="minorHAnsi" w:hAnsi="Times New Roman"/>
          <w:sz w:val="24"/>
        </w:rPr>
      </w:pPr>
      <w:r w:rsidRPr="00EF20A9">
        <w:rPr>
          <w:rFonts w:ascii="Times New Roman" w:hAnsi="Times New Roman"/>
          <w:sz w:val="24"/>
        </w:rPr>
        <w:t>B</w:t>
      </w:r>
      <w:r w:rsidR="0053409B" w:rsidRPr="00EF20A9">
        <w:rPr>
          <w:rFonts w:ascii="Times New Roman" w:hAnsi="Times New Roman"/>
          <w:sz w:val="24"/>
        </w:rPr>
        <w:t>FP</w:t>
      </w:r>
      <w:r w:rsidR="0053409B" w:rsidRPr="00EF20A9">
        <w:rPr>
          <w:rFonts w:ascii="Times New Roman" w:hAnsi="Times New Roman"/>
          <w:sz w:val="24"/>
        </w:rPr>
        <w:tab/>
      </w:r>
      <w:r w:rsidR="0053409B" w:rsidRPr="00EF20A9">
        <w:rPr>
          <w:rFonts w:ascii="Times New Roman" w:hAnsi="Times New Roman"/>
          <w:sz w:val="24"/>
        </w:rPr>
        <w:tab/>
        <w:t>Budget Framework Paper</w:t>
      </w:r>
    </w:p>
    <w:p w14:paraId="09C37822" w14:textId="6AF9576B"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BoU</w:t>
      </w:r>
      <w:r w:rsidRPr="00EF20A9">
        <w:rPr>
          <w:rFonts w:ascii="Times New Roman" w:hAnsi="Times New Roman"/>
          <w:sz w:val="24"/>
        </w:rPr>
        <w:tab/>
      </w:r>
      <w:r w:rsidRPr="00EF20A9">
        <w:rPr>
          <w:rFonts w:ascii="Times New Roman" w:hAnsi="Times New Roman"/>
          <w:sz w:val="24"/>
        </w:rPr>
        <w:tab/>
        <w:t>Bank of Uganda</w:t>
      </w:r>
    </w:p>
    <w:p w14:paraId="2AE464E1" w14:textId="7A9BA0B3"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CSO</w:t>
      </w:r>
      <w:r w:rsidRPr="00EF20A9">
        <w:rPr>
          <w:rFonts w:ascii="Times New Roman" w:hAnsi="Times New Roman"/>
          <w:sz w:val="24"/>
        </w:rPr>
        <w:tab/>
      </w:r>
      <w:r w:rsidRPr="00EF20A9">
        <w:rPr>
          <w:rFonts w:ascii="Times New Roman" w:hAnsi="Times New Roman"/>
          <w:sz w:val="24"/>
        </w:rPr>
        <w:tab/>
        <w:t>Civil Society Organisation</w:t>
      </w:r>
    </w:p>
    <w:p w14:paraId="16FECBE1" w14:textId="3F70E48B"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EAC</w:t>
      </w:r>
      <w:r w:rsidRPr="00EF20A9">
        <w:rPr>
          <w:rFonts w:ascii="Times New Roman" w:hAnsi="Times New Roman"/>
          <w:sz w:val="24"/>
        </w:rPr>
        <w:tab/>
      </w:r>
      <w:r w:rsidRPr="00EF20A9">
        <w:rPr>
          <w:rFonts w:ascii="Times New Roman" w:hAnsi="Times New Roman"/>
          <w:sz w:val="24"/>
        </w:rPr>
        <w:tab/>
        <w:t>East African Community</w:t>
      </w:r>
    </w:p>
    <w:p w14:paraId="47E03CCC" w14:textId="68FC898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GAPR</w:t>
      </w:r>
      <w:r w:rsidRPr="00EF20A9">
        <w:rPr>
          <w:rFonts w:ascii="Times New Roman" w:hAnsi="Times New Roman"/>
          <w:sz w:val="24"/>
        </w:rPr>
        <w:tab/>
      </w:r>
      <w:r w:rsidRPr="00EF20A9">
        <w:rPr>
          <w:rFonts w:ascii="Times New Roman" w:hAnsi="Times New Roman"/>
          <w:sz w:val="24"/>
        </w:rPr>
        <w:tab/>
        <w:t>Government Annual Performance Report</w:t>
      </w:r>
    </w:p>
    <w:p w14:paraId="00893195" w14:textId="3B34E280"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GDP</w:t>
      </w:r>
      <w:r w:rsidRPr="00EF20A9">
        <w:rPr>
          <w:rFonts w:ascii="Times New Roman" w:hAnsi="Times New Roman"/>
          <w:sz w:val="24"/>
        </w:rPr>
        <w:tab/>
      </w:r>
      <w:r w:rsidRPr="00EF20A9">
        <w:rPr>
          <w:rFonts w:ascii="Times New Roman" w:hAnsi="Times New Roman"/>
          <w:sz w:val="24"/>
        </w:rPr>
        <w:tab/>
        <w:t>Gross Domestic Product</w:t>
      </w:r>
    </w:p>
    <w:p w14:paraId="2A3FE1F2" w14:textId="76E215E6"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GoU</w:t>
      </w:r>
      <w:r w:rsidRPr="00EF20A9">
        <w:rPr>
          <w:rFonts w:ascii="Times New Roman" w:hAnsi="Times New Roman"/>
          <w:sz w:val="24"/>
        </w:rPr>
        <w:tab/>
      </w:r>
      <w:r w:rsidRPr="00EF20A9">
        <w:rPr>
          <w:rFonts w:ascii="Times New Roman" w:hAnsi="Times New Roman"/>
          <w:sz w:val="24"/>
        </w:rPr>
        <w:tab/>
        <w:t>Government of Uganda</w:t>
      </w:r>
    </w:p>
    <w:p w14:paraId="6FCBB8F6" w14:textId="5A6F0ABE"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IFC</w:t>
      </w:r>
      <w:r w:rsidRPr="00EF20A9">
        <w:rPr>
          <w:rFonts w:ascii="Times New Roman" w:hAnsi="Times New Roman"/>
          <w:sz w:val="24"/>
        </w:rPr>
        <w:tab/>
      </w:r>
      <w:r w:rsidRPr="00EF20A9">
        <w:rPr>
          <w:rFonts w:ascii="Times New Roman" w:hAnsi="Times New Roman"/>
          <w:sz w:val="24"/>
        </w:rPr>
        <w:tab/>
        <w:t>International Finance Corporation</w:t>
      </w:r>
    </w:p>
    <w:p w14:paraId="7583959C" w14:textId="70FC1454"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JBSF</w:t>
      </w:r>
      <w:r w:rsidRPr="00EF20A9">
        <w:rPr>
          <w:rFonts w:ascii="Times New Roman" w:hAnsi="Times New Roman"/>
          <w:sz w:val="24"/>
        </w:rPr>
        <w:tab/>
      </w:r>
      <w:r w:rsidRPr="00EF20A9">
        <w:rPr>
          <w:rFonts w:ascii="Times New Roman" w:hAnsi="Times New Roman"/>
          <w:sz w:val="24"/>
        </w:rPr>
        <w:tab/>
        <w:t>Joint Budget Support Framework</w:t>
      </w:r>
    </w:p>
    <w:p w14:paraId="540F7AFB" w14:textId="11A4DDA5"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JLOS</w:t>
      </w:r>
      <w:r w:rsidRPr="00EF20A9">
        <w:rPr>
          <w:rFonts w:ascii="Times New Roman" w:hAnsi="Times New Roman"/>
          <w:sz w:val="24"/>
        </w:rPr>
        <w:tab/>
      </w:r>
      <w:r w:rsidRPr="00EF20A9">
        <w:rPr>
          <w:rFonts w:ascii="Times New Roman" w:hAnsi="Times New Roman"/>
          <w:sz w:val="24"/>
        </w:rPr>
        <w:tab/>
        <w:t>Justice Law and Order Sector</w:t>
      </w:r>
    </w:p>
    <w:p w14:paraId="70EDCC04" w14:textId="7CD7B19E"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LDPG</w:t>
      </w:r>
      <w:r w:rsidRPr="00EF20A9">
        <w:rPr>
          <w:rFonts w:ascii="Times New Roman" w:hAnsi="Times New Roman"/>
          <w:sz w:val="24"/>
        </w:rPr>
        <w:tab/>
      </w:r>
      <w:r w:rsidRPr="00EF20A9">
        <w:rPr>
          <w:rFonts w:ascii="Times New Roman" w:hAnsi="Times New Roman"/>
          <w:sz w:val="24"/>
        </w:rPr>
        <w:tab/>
        <w:t>Local Development Partners Group</w:t>
      </w:r>
    </w:p>
    <w:p w14:paraId="6DB8B7AD" w14:textId="79C600D1"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MDA</w:t>
      </w:r>
      <w:r w:rsidRPr="00EF20A9">
        <w:rPr>
          <w:rFonts w:ascii="Times New Roman" w:hAnsi="Times New Roman"/>
          <w:sz w:val="24"/>
        </w:rPr>
        <w:tab/>
      </w:r>
      <w:r w:rsidRPr="00EF20A9">
        <w:rPr>
          <w:rFonts w:ascii="Times New Roman" w:hAnsi="Times New Roman"/>
          <w:sz w:val="24"/>
        </w:rPr>
        <w:tab/>
        <w:t>Ministry, Department and Agency</w:t>
      </w:r>
    </w:p>
    <w:p w14:paraId="626B5C5C" w14:textId="17A3DA73" w:rsidR="0053409B" w:rsidRPr="00EF20A9" w:rsidRDefault="0043743B" w:rsidP="0043743B">
      <w:pPr>
        <w:pStyle w:val="PlainText"/>
        <w:spacing w:line="360" w:lineRule="auto"/>
        <w:jc w:val="both"/>
        <w:rPr>
          <w:rFonts w:ascii="Times New Roman" w:hAnsi="Times New Roman"/>
          <w:sz w:val="24"/>
        </w:rPr>
      </w:pPr>
      <w:r w:rsidRPr="00EF20A9">
        <w:rPr>
          <w:rFonts w:ascii="Times New Roman" w:hAnsi="Times New Roman"/>
          <w:sz w:val="24"/>
        </w:rPr>
        <w:t>MoAAIF</w:t>
      </w:r>
      <w:r w:rsidRPr="00EF20A9">
        <w:rPr>
          <w:rFonts w:ascii="Times New Roman" w:hAnsi="Times New Roman"/>
          <w:sz w:val="24"/>
        </w:rPr>
        <w:tab/>
      </w:r>
      <w:r w:rsidR="0053409B" w:rsidRPr="00EF20A9">
        <w:rPr>
          <w:rFonts w:ascii="Times New Roman" w:hAnsi="Times New Roman"/>
          <w:sz w:val="24"/>
        </w:rPr>
        <w:t>Ministry of Agriculture, Animal Industries and Fisheries</w:t>
      </w:r>
    </w:p>
    <w:p w14:paraId="4BC320A5" w14:textId="580A168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MoD</w:t>
      </w:r>
      <w:r w:rsidRPr="00EF20A9">
        <w:rPr>
          <w:rFonts w:ascii="Times New Roman" w:hAnsi="Times New Roman"/>
          <w:sz w:val="24"/>
        </w:rPr>
        <w:tab/>
      </w:r>
      <w:r w:rsidRPr="00EF20A9">
        <w:rPr>
          <w:rFonts w:ascii="Times New Roman" w:hAnsi="Times New Roman"/>
          <w:sz w:val="24"/>
        </w:rPr>
        <w:tab/>
        <w:t>Ministry of Defence</w:t>
      </w:r>
    </w:p>
    <w:p w14:paraId="17C83103" w14:textId="4A1B94FA"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MoEACA</w:t>
      </w:r>
      <w:r w:rsidRPr="00EF20A9">
        <w:rPr>
          <w:rFonts w:ascii="Times New Roman" w:hAnsi="Times New Roman"/>
          <w:sz w:val="24"/>
        </w:rPr>
        <w:tab/>
        <w:t>Ministry of East African Community Affairs</w:t>
      </w:r>
    </w:p>
    <w:p w14:paraId="760CF61C" w14:textId="7777777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MoEMD</w:t>
      </w:r>
      <w:r w:rsidRPr="00EF20A9">
        <w:rPr>
          <w:rFonts w:ascii="Times New Roman" w:hAnsi="Times New Roman"/>
          <w:sz w:val="24"/>
        </w:rPr>
        <w:tab/>
        <w:t>Ministry of Energy and Minerals Development</w:t>
      </w:r>
    </w:p>
    <w:p w14:paraId="6A4A8EF3" w14:textId="160F2518"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MoES</w:t>
      </w:r>
      <w:r w:rsidRPr="00EF20A9">
        <w:rPr>
          <w:rFonts w:ascii="Times New Roman" w:hAnsi="Times New Roman"/>
          <w:sz w:val="24"/>
        </w:rPr>
        <w:tab/>
      </w:r>
      <w:r w:rsidRPr="00EF20A9">
        <w:rPr>
          <w:rFonts w:ascii="Times New Roman" w:hAnsi="Times New Roman"/>
          <w:sz w:val="24"/>
        </w:rPr>
        <w:tab/>
        <w:t>Ministry of Education &amp; Science</w:t>
      </w:r>
    </w:p>
    <w:p w14:paraId="495AE701" w14:textId="7777777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MoFPED</w:t>
      </w:r>
      <w:r w:rsidRPr="00EF20A9">
        <w:rPr>
          <w:rFonts w:ascii="Times New Roman" w:hAnsi="Times New Roman"/>
          <w:sz w:val="24"/>
        </w:rPr>
        <w:tab/>
        <w:t>Ministry of Finance, Planning and Economic Development</w:t>
      </w:r>
    </w:p>
    <w:p w14:paraId="3F5CEC54" w14:textId="7777777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MoGLSD</w:t>
      </w:r>
      <w:r w:rsidRPr="00EF20A9">
        <w:rPr>
          <w:rFonts w:ascii="Times New Roman" w:hAnsi="Times New Roman"/>
          <w:sz w:val="24"/>
        </w:rPr>
        <w:tab/>
        <w:t>Ministry of Gender, Labour and Social Development</w:t>
      </w:r>
    </w:p>
    <w:p w14:paraId="6AE3199F" w14:textId="27774EE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MoH</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Ministry of Health</w:t>
      </w:r>
    </w:p>
    <w:p w14:paraId="255AD110" w14:textId="271ACEBC"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MoIA</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Ministry of Internal Affairs</w:t>
      </w:r>
    </w:p>
    <w:p w14:paraId="281326A9" w14:textId="52D0C4F8"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MoICT</w:t>
      </w:r>
      <w:r w:rsidRPr="00EF20A9">
        <w:rPr>
          <w:rFonts w:ascii="Times New Roman" w:hAnsi="Times New Roman"/>
          <w:sz w:val="24"/>
        </w:rPr>
        <w:tab/>
        <w:t>Ministry of Information and Communications Technology</w:t>
      </w:r>
    </w:p>
    <w:p w14:paraId="01BEDEB1" w14:textId="432F4B0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MoJCA</w:t>
      </w:r>
      <w:r w:rsidRPr="00EF20A9">
        <w:rPr>
          <w:rFonts w:ascii="Times New Roman" w:hAnsi="Times New Roman"/>
          <w:sz w:val="24"/>
        </w:rPr>
        <w:tab/>
        <w:t>Ministry of Justice and Constitutional Affairs</w:t>
      </w:r>
    </w:p>
    <w:p w14:paraId="1271CFBF" w14:textId="7777777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MoLHUD</w:t>
      </w:r>
      <w:r w:rsidRPr="00EF20A9">
        <w:rPr>
          <w:rFonts w:ascii="Times New Roman" w:hAnsi="Times New Roman"/>
          <w:sz w:val="24"/>
        </w:rPr>
        <w:tab/>
        <w:t>Ministry of Lands, Housing and Urban Development</w:t>
      </w:r>
    </w:p>
    <w:p w14:paraId="333B82A5" w14:textId="0C53359D"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MoTIC</w:t>
      </w:r>
      <w:r w:rsidRPr="00EF20A9">
        <w:rPr>
          <w:rFonts w:ascii="Times New Roman" w:hAnsi="Times New Roman"/>
          <w:sz w:val="24"/>
        </w:rPr>
        <w:tab/>
        <w:t>Ministry of Trade, Industry and Commerce</w:t>
      </w:r>
    </w:p>
    <w:p w14:paraId="0D0FBD86" w14:textId="7777777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MoTWH</w:t>
      </w:r>
      <w:r w:rsidRPr="00EF20A9">
        <w:rPr>
          <w:rFonts w:ascii="Times New Roman" w:hAnsi="Times New Roman"/>
          <w:sz w:val="24"/>
        </w:rPr>
        <w:tab/>
        <w:t>Ministry of Tourism, Wildlife and Heritage</w:t>
      </w:r>
    </w:p>
    <w:p w14:paraId="2FE67F65" w14:textId="3B19B4C6"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MoWE</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Ministry of Water and Environment</w:t>
      </w:r>
    </w:p>
    <w:p w14:paraId="38B204A2" w14:textId="09544F65"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MoWT</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Ministry of Works and Transport</w:t>
      </w:r>
    </w:p>
    <w:p w14:paraId="20688482" w14:textId="0276824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MPS</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Ministerial Policy Statement</w:t>
      </w:r>
    </w:p>
    <w:p w14:paraId="64B037E8" w14:textId="17709432"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MTEF</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Medium Term Expenditure Framework</w:t>
      </w:r>
    </w:p>
    <w:p w14:paraId="575DA076" w14:textId="498B1E6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MTR</w:t>
      </w:r>
      <w:r w:rsidRPr="00EF20A9">
        <w:rPr>
          <w:rFonts w:ascii="Times New Roman" w:hAnsi="Times New Roman"/>
          <w:sz w:val="24"/>
        </w:rPr>
        <w:tab/>
      </w:r>
      <w:r w:rsidR="00883A02" w:rsidRPr="00EF20A9">
        <w:rPr>
          <w:rFonts w:ascii="Times New Roman" w:hAnsi="Times New Roman"/>
          <w:sz w:val="24"/>
        </w:rPr>
        <w:tab/>
      </w:r>
      <w:r w:rsidR="0043743B" w:rsidRPr="00EF20A9">
        <w:rPr>
          <w:rFonts w:ascii="Times New Roman" w:hAnsi="Times New Roman"/>
          <w:sz w:val="24"/>
        </w:rPr>
        <w:t>Mid-</w:t>
      </w:r>
      <w:r w:rsidRPr="00EF20A9">
        <w:rPr>
          <w:rFonts w:ascii="Times New Roman" w:hAnsi="Times New Roman"/>
          <w:sz w:val="24"/>
        </w:rPr>
        <w:t>Term Review</w:t>
      </w:r>
    </w:p>
    <w:p w14:paraId="3DE1BF43" w14:textId="60ABC5C9"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NDP</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National Development Plan</w:t>
      </w:r>
    </w:p>
    <w:p w14:paraId="18733280" w14:textId="38CFAA2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NDR</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National Development Report</w:t>
      </w:r>
    </w:p>
    <w:p w14:paraId="16652514" w14:textId="0233F47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lastRenderedPageBreak/>
        <w:t>NPA</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National Planning Authority</w:t>
      </w:r>
    </w:p>
    <w:p w14:paraId="1E363B8B" w14:textId="51CB93BF" w:rsidR="00897547" w:rsidRPr="00EF20A9" w:rsidRDefault="00897547" w:rsidP="0043743B">
      <w:pPr>
        <w:pStyle w:val="PlainText"/>
        <w:spacing w:line="360" w:lineRule="auto"/>
        <w:jc w:val="both"/>
        <w:rPr>
          <w:rFonts w:ascii="Times New Roman" w:hAnsi="Times New Roman"/>
          <w:sz w:val="24"/>
        </w:rPr>
      </w:pPr>
      <w:r w:rsidRPr="00EF20A9">
        <w:rPr>
          <w:rFonts w:ascii="Times New Roman" w:hAnsi="Times New Roman"/>
          <w:sz w:val="24"/>
        </w:rPr>
        <w:t>NPF</w:t>
      </w:r>
      <w:r w:rsidRPr="00EF20A9">
        <w:rPr>
          <w:rFonts w:ascii="Times New Roman" w:hAnsi="Times New Roman"/>
          <w:sz w:val="24"/>
        </w:rPr>
        <w:tab/>
      </w:r>
      <w:r w:rsidRPr="00EF20A9">
        <w:rPr>
          <w:rFonts w:ascii="Times New Roman" w:hAnsi="Times New Roman"/>
          <w:sz w:val="24"/>
        </w:rPr>
        <w:tab/>
        <w:t>National Partnership Forum</w:t>
      </w:r>
    </w:p>
    <w:p w14:paraId="55D871DC" w14:textId="77777777" w:rsidR="00987634" w:rsidRPr="00EF20A9" w:rsidRDefault="00987634" w:rsidP="0043743B">
      <w:pPr>
        <w:pStyle w:val="PlainText"/>
        <w:spacing w:line="360" w:lineRule="auto"/>
        <w:jc w:val="both"/>
        <w:rPr>
          <w:rFonts w:ascii="Times New Roman" w:hAnsi="Times New Roman"/>
          <w:sz w:val="24"/>
        </w:rPr>
      </w:pPr>
      <w:bookmarkStart w:id="10" w:name="_Hlk534560643"/>
      <w:r w:rsidRPr="00EF20A9">
        <w:rPr>
          <w:rFonts w:ascii="Times New Roman" w:hAnsi="Times New Roman"/>
          <w:sz w:val="24"/>
        </w:rPr>
        <w:t>OECD</w:t>
      </w:r>
      <w:r w:rsidRPr="00EF20A9">
        <w:rPr>
          <w:rFonts w:ascii="Times New Roman" w:hAnsi="Times New Roman"/>
          <w:sz w:val="24"/>
        </w:rPr>
        <w:tab/>
      </w:r>
      <w:r w:rsidRPr="00EF20A9">
        <w:rPr>
          <w:rFonts w:ascii="Times New Roman" w:hAnsi="Times New Roman"/>
          <w:sz w:val="24"/>
        </w:rPr>
        <w:tab/>
        <w:t>Organisation for Economic Co-operation and Development</w:t>
      </w:r>
    </w:p>
    <w:p w14:paraId="6B94F35D" w14:textId="77777777" w:rsidR="00987634" w:rsidRPr="00EF20A9" w:rsidRDefault="00987634" w:rsidP="0043743B">
      <w:pPr>
        <w:pStyle w:val="PlainText"/>
        <w:spacing w:line="360" w:lineRule="auto"/>
        <w:jc w:val="both"/>
        <w:rPr>
          <w:rFonts w:ascii="Times New Roman" w:hAnsi="Times New Roman"/>
          <w:sz w:val="24"/>
        </w:rPr>
      </w:pPr>
      <w:r w:rsidRPr="00EF20A9">
        <w:rPr>
          <w:rFonts w:ascii="Times New Roman" w:hAnsi="Times New Roman"/>
          <w:sz w:val="24"/>
        </w:rPr>
        <w:t>OECD-DAC</w:t>
      </w:r>
      <w:r w:rsidRPr="00EF20A9">
        <w:rPr>
          <w:rFonts w:ascii="Times New Roman" w:hAnsi="Times New Roman"/>
          <w:sz w:val="24"/>
        </w:rPr>
        <w:tab/>
        <w:t>OECD Development Assistance Committee</w:t>
      </w:r>
    </w:p>
    <w:bookmarkEnd w:id="10"/>
    <w:p w14:paraId="414C3C2B" w14:textId="094AEBE3"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OoP</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Office of the President</w:t>
      </w:r>
    </w:p>
    <w:p w14:paraId="24AD1789" w14:textId="13BDD44B"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OPM</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Office of the Prime Minister</w:t>
      </w:r>
    </w:p>
    <w:p w14:paraId="1F6CBB69" w14:textId="7485F76B"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PIP</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Public Investment Plan</w:t>
      </w:r>
    </w:p>
    <w:p w14:paraId="295E806A" w14:textId="5271AA39"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PPP</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Public Private Partnership</w:t>
      </w:r>
    </w:p>
    <w:p w14:paraId="2971311C" w14:textId="6D9C2B57"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SIP</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Sector Investment Plan</w:t>
      </w:r>
    </w:p>
    <w:p w14:paraId="7675C766" w14:textId="1B379242"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SMEs</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Small and Medium Enterprises</w:t>
      </w:r>
    </w:p>
    <w:p w14:paraId="1F6F9828" w14:textId="3DF2A5F3"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SWG</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Sector Working Group</w:t>
      </w:r>
    </w:p>
    <w:p w14:paraId="172CF300" w14:textId="20D5290E"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ToR</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Terms of Reference</w:t>
      </w:r>
    </w:p>
    <w:p w14:paraId="327310E1" w14:textId="2C94C665"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UBOS</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Uganda Bureau of Statistics</w:t>
      </w:r>
    </w:p>
    <w:p w14:paraId="035B6554" w14:textId="628BCF08" w:rsidR="0053409B" w:rsidRPr="00EF20A9" w:rsidRDefault="0053409B" w:rsidP="0043743B">
      <w:pPr>
        <w:pStyle w:val="PlainText"/>
        <w:spacing w:line="360" w:lineRule="auto"/>
        <w:jc w:val="both"/>
        <w:rPr>
          <w:rFonts w:ascii="Times New Roman" w:hAnsi="Times New Roman"/>
          <w:sz w:val="24"/>
        </w:rPr>
      </w:pPr>
      <w:r w:rsidRPr="00EF20A9">
        <w:rPr>
          <w:rFonts w:ascii="Times New Roman" w:hAnsi="Times New Roman"/>
          <w:sz w:val="24"/>
        </w:rPr>
        <w:t>URA</w:t>
      </w:r>
      <w:r w:rsidRPr="00EF20A9">
        <w:rPr>
          <w:rFonts w:ascii="Times New Roman" w:hAnsi="Times New Roman"/>
          <w:sz w:val="24"/>
        </w:rPr>
        <w:tab/>
      </w:r>
      <w:r w:rsidR="00883A02" w:rsidRPr="00EF20A9">
        <w:rPr>
          <w:rFonts w:ascii="Times New Roman" w:hAnsi="Times New Roman"/>
          <w:sz w:val="24"/>
        </w:rPr>
        <w:tab/>
      </w:r>
      <w:r w:rsidRPr="00EF20A9">
        <w:rPr>
          <w:rFonts w:ascii="Times New Roman" w:hAnsi="Times New Roman"/>
          <w:sz w:val="24"/>
        </w:rPr>
        <w:t>Uganda Revenue Authority</w:t>
      </w:r>
    </w:p>
    <w:p w14:paraId="218681EF" w14:textId="77777777" w:rsidR="0053409B" w:rsidRPr="00773884" w:rsidRDefault="0053409B" w:rsidP="00427181">
      <w:pPr>
        <w:rPr>
          <w:rFonts w:ascii="Times New Roman" w:hAnsi="Times New Roman"/>
        </w:rPr>
      </w:pPr>
    </w:p>
    <w:p w14:paraId="6CA7D09A" w14:textId="77777777" w:rsidR="00773884" w:rsidRDefault="00773884">
      <w:pPr>
        <w:spacing w:after="0" w:line="240" w:lineRule="auto"/>
        <w:jc w:val="left"/>
        <w:rPr>
          <w:rFonts w:ascii="Times New Roman" w:hAnsi="Times New Roman"/>
          <w:b/>
          <w:bCs/>
          <w:color w:val="000000" w:themeColor="text1"/>
          <w:kern w:val="32"/>
          <w:sz w:val="28"/>
          <w:szCs w:val="24"/>
        </w:rPr>
      </w:pPr>
      <w:bookmarkStart w:id="11" w:name="_Toc534926842"/>
      <w:r>
        <w:br w:type="page"/>
      </w:r>
    </w:p>
    <w:p w14:paraId="12AE3794" w14:textId="3117534F" w:rsidR="00FF45BB" w:rsidRPr="00773884" w:rsidRDefault="00773884" w:rsidP="00773884">
      <w:pPr>
        <w:pStyle w:val="Heading1"/>
      </w:pPr>
      <w:bookmarkStart w:id="12" w:name="_Toc3505166"/>
      <w:r w:rsidRPr="00773884">
        <w:lastRenderedPageBreak/>
        <w:t>Executive Summary</w:t>
      </w:r>
      <w:bookmarkEnd w:id="11"/>
      <w:bookmarkEnd w:id="12"/>
    </w:p>
    <w:p w14:paraId="6744ECB3" w14:textId="32C6E3C6" w:rsidR="00830B6A" w:rsidRPr="00773884" w:rsidRDefault="00830B6A" w:rsidP="00445BF9">
      <w:pPr>
        <w:pStyle w:val="DeltaBodytext"/>
        <w:spacing w:after="120" w:line="360" w:lineRule="auto"/>
        <w:rPr>
          <w:rFonts w:ascii="Times New Roman" w:eastAsia="Arial Unicode MS" w:hAnsi="Times New Roman"/>
          <w:sz w:val="24"/>
          <w:szCs w:val="24"/>
        </w:rPr>
      </w:pPr>
      <w:r w:rsidRPr="00773884">
        <w:rPr>
          <w:rFonts w:ascii="Times New Roman" w:eastAsia="Arial Unicode MS" w:hAnsi="Times New Roman"/>
          <w:sz w:val="24"/>
          <w:szCs w:val="24"/>
        </w:rPr>
        <w:t xml:space="preserve">This report examines </w:t>
      </w:r>
      <w:r w:rsidR="00B721EB">
        <w:rPr>
          <w:rFonts w:ascii="Times New Roman" w:eastAsia="Arial Unicode MS" w:hAnsi="Times New Roman"/>
          <w:sz w:val="24"/>
          <w:szCs w:val="24"/>
        </w:rPr>
        <w:t xml:space="preserve">the </w:t>
      </w:r>
      <w:r w:rsidRPr="00773884">
        <w:rPr>
          <w:rFonts w:ascii="Times New Roman" w:eastAsia="Arial Unicode MS" w:hAnsi="Times New Roman"/>
          <w:sz w:val="24"/>
          <w:szCs w:val="24"/>
        </w:rPr>
        <w:t xml:space="preserve">development partnerships theme and forms part of the </w:t>
      </w:r>
      <w:r w:rsidR="001F5785" w:rsidRPr="00773884">
        <w:rPr>
          <w:rFonts w:ascii="Times New Roman" w:hAnsi="Times New Roman"/>
          <w:sz w:val="24"/>
          <w:szCs w:val="24"/>
        </w:rPr>
        <w:t xml:space="preserve">Mid-Term Review of Uganda’s Second National Development Plan </w:t>
      </w:r>
      <w:r w:rsidRPr="00773884">
        <w:rPr>
          <w:rFonts w:ascii="Times New Roman" w:eastAsia="Arial Unicode MS" w:hAnsi="Times New Roman"/>
          <w:sz w:val="24"/>
          <w:szCs w:val="24"/>
        </w:rPr>
        <w:t>(NDP-</w:t>
      </w:r>
      <w:r w:rsidR="00153C86" w:rsidRPr="00773884">
        <w:rPr>
          <w:rFonts w:ascii="Times New Roman" w:eastAsia="Arial Unicode MS" w:hAnsi="Times New Roman"/>
          <w:sz w:val="24"/>
          <w:szCs w:val="24"/>
        </w:rPr>
        <w:t>I</w:t>
      </w:r>
      <w:r w:rsidRPr="00773884">
        <w:rPr>
          <w:rFonts w:ascii="Times New Roman" w:eastAsia="Arial Unicode MS" w:hAnsi="Times New Roman"/>
          <w:sz w:val="24"/>
          <w:szCs w:val="24"/>
        </w:rPr>
        <w:t>I).  In the context of a set of questions that were agreed in advance, the evaluation focuses on: recent overall trends in Uganda’s development partnership including trends in the volume and direction of aid; development partner alignment with the NDP-I</w:t>
      </w:r>
      <w:r w:rsidR="00737A14" w:rsidRPr="00773884">
        <w:rPr>
          <w:rFonts w:ascii="Times New Roman" w:eastAsia="Arial Unicode MS" w:hAnsi="Times New Roman"/>
          <w:sz w:val="24"/>
          <w:szCs w:val="24"/>
        </w:rPr>
        <w:t>I</w:t>
      </w:r>
      <w:r w:rsidRPr="00773884">
        <w:rPr>
          <w:rFonts w:ascii="Times New Roman" w:eastAsia="Arial Unicode MS" w:hAnsi="Times New Roman"/>
          <w:sz w:val="24"/>
          <w:szCs w:val="24"/>
        </w:rPr>
        <w:t>; the progress that has been made during the NDP-I</w:t>
      </w:r>
      <w:r w:rsidR="00737A14" w:rsidRPr="00773884">
        <w:rPr>
          <w:rFonts w:ascii="Times New Roman" w:eastAsia="Arial Unicode MS" w:hAnsi="Times New Roman"/>
          <w:sz w:val="24"/>
          <w:szCs w:val="24"/>
        </w:rPr>
        <w:t>I</w:t>
      </w:r>
      <w:r w:rsidRPr="00773884">
        <w:rPr>
          <w:rFonts w:ascii="Times New Roman" w:eastAsia="Arial Unicode MS" w:hAnsi="Times New Roman"/>
          <w:sz w:val="24"/>
          <w:szCs w:val="24"/>
        </w:rPr>
        <w:t xml:space="preserve"> in improving harmonisation, reducing transaction costs, and strengthening mutual accountability; and the growing importance of development assistance from Uganda’s non-traditional development partners.</w:t>
      </w:r>
    </w:p>
    <w:p w14:paraId="5A39766D" w14:textId="77777777" w:rsidR="00830B6A" w:rsidRPr="00773884" w:rsidRDefault="00830B6A" w:rsidP="00445BF9">
      <w:pPr>
        <w:pStyle w:val="DeltaBodytext"/>
        <w:spacing w:after="120" w:line="360" w:lineRule="auto"/>
        <w:rPr>
          <w:rFonts w:ascii="Times New Roman" w:eastAsia="Arial Unicode MS" w:hAnsi="Times New Roman"/>
          <w:sz w:val="24"/>
          <w:szCs w:val="24"/>
        </w:rPr>
      </w:pPr>
      <w:r w:rsidRPr="00773884">
        <w:rPr>
          <w:rFonts w:ascii="Times New Roman" w:eastAsia="Arial Unicode MS" w:hAnsi="Times New Roman"/>
          <w:sz w:val="24"/>
          <w:szCs w:val="24"/>
        </w:rPr>
        <w:t>The preparation of the report has included consultations with relevant stakeholders, including: a</w:t>
      </w:r>
      <w:r w:rsidRPr="00773884">
        <w:rPr>
          <w:rFonts w:ascii="Times New Roman" w:hAnsi="Times New Roman"/>
          <w:sz w:val="24"/>
          <w:szCs w:val="24"/>
        </w:rPr>
        <w:t xml:space="preserve"> round table discussion with the joint Local Development Partner Group; bilateral meetings with Uganda’s main multilateral and bilateral development partners; as well as with key officials in the National Planning Authority and in the Ministry of Finance, Planning and Economic Development</w:t>
      </w:r>
      <w:r w:rsidRPr="00773884">
        <w:rPr>
          <w:rFonts w:ascii="Times New Roman" w:eastAsia="Arial Unicode MS" w:hAnsi="Times New Roman"/>
          <w:sz w:val="24"/>
          <w:szCs w:val="24"/>
        </w:rPr>
        <w:t>. The report has also included statistical data analysis, covering the volume and direction of Uganda’s development assistance.</w:t>
      </w:r>
    </w:p>
    <w:p w14:paraId="698126E9" w14:textId="59611A7E" w:rsidR="00830B6A" w:rsidRPr="00773884" w:rsidRDefault="00830B6A" w:rsidP="00445BF9">
      <w:pPr>
        <w:pStyle w:val="DeltaBodytext"/>
        <w:spacing w:after="120" w:line="360" w:lineRule="auto"/>
        <w:rPr>
          <w:rFonts w:ascii="Times New Roman" w:eastAsia="Arial Unicode MS" w:hAnsi="Times New Roman"/>
          <w:sz w:val="24"/>
          <w:szCs w:val="24"/>
        </w:rPr>
      </w:pPr>
      <w:r w:rsidRPr="00773884">
        <w:rPr>
          <w:rFonts w:ascii="Times New Roman" w:eastAsia="Arial Unicode MS" w:hAnsi="Times New Roman"/>
          <w:sz w:val="24"/>
          <w:szCs w:val="24"/>
        </w:rPr>
        <w:t>The report makes recommendations that address the findings of development partnership theme of NDP-</w:t>
      </w:r>
      <w:r w:rsidR="00737A14" w:rsidRPr="00773884">
        <w:rPr>
          <w:rFonts w:ascii="Times New Roman" w:eastAsia="Arial Unicode MS" w:hAnsi="Times New Roman"/>
          <w:sz w:val="24"/>
          <w:szCs w:val="24"/>
        </w:rPr>
        <w:t>I</w:t>
      </w:r>
      <w:r w:rsidRPr="00773884">
        <w:rPr>
          <w:rFonts w:ascii="Times New Roman" w:eastAsia="Arial Unicode MS" w:hAnsi="Times New Roman"/>
          <w:sz w:val="24"/>
          <w:szCs w:val="24"/>
        </w:rPr>
        <w:t>I and covers the ways in which development partnership can be strengthened so that efficient and effective implementation of the NDP is enhanced. Key recommendations are relating to the following:</w:t>
      </w:r>
    </w:p>
    <w:p w14:paraId="2AAB2551" w14:textId="674F6BB7" w:rsidR="006108C6" w:rsidRPr="00773884" w:rsidRDefault="006108C6" w:rsidP="00445BF9">
      <w:pPr>
        <w:pStyle w:val="DeltaBodytext"/>
        <w:spacing w:after="120" w:line="360" w:lineRule="auto"/>
        <w:rPr>
          <w:rFonts w:ascii="Times New Roman" w:hAnsi="Times New Roman"/>
          <w:sz w:val="24"/>
          <w:szCs w:val="24"/>
        </w:rPr>
      </w:pPr>
      <w:r w:rsidRPr="00773884">
        <w:rPr>
          <w:rFonts w:ascii="Times New Roman" w:eastAsia="Arial Unicode MS" w:hAnsi="Times New Roman"/>
          <w:b/>
          <w:sz w:val="24"/>
          <w:szCs w:val="24"/>
        </w:rPr>
        <w:t xml:space="preserve">To strengthen Uganda’s development partnership: </w:t>
      </w:r>
      <w:r w:rsidRPr="00773884">
        <w:rPr>
          <w:rFonts w:ascii="Times New Roman" w:hAnsi="Times New Roman"/>
          <w:sz w:val="24"/>
          <w:szCs w:val="24"/>
        </w:rPr>
        <w:t xml:space="preserve">The GoU to demonstrate stronger leadership </w:t>
      </w:r>
      <w:r w:rsidR="00855246" w:rsidRPr="00773884">
        <w:rPr>
          <w:rFonts w:ascii="Times New Roman" w:hAnsi="Times New Roman"/>
          <w:sz w:val="24"/>
          <w:szCs w:val="24"/>
        </w:rPr>
        <w:t xml:space="preserve">(one entity) </w:t>
      </w:r>
      <w:r w:rsidRPr="00773884">
        <w:rPr>
          <w:rFonts w:ascii="Times New Roman" w:hAnsi="Times New Roman"/>
          <w:sz w:val="24"/>
          <w:szCs w:val="24"/>
        </w:rPr>
        <w:t>in managing the development cooperation and ensuring enhanced engagement of DPs in NDP-II</w:t>
      </w:r>
      <w:r w:rsidR="009715A9" w:rsidRPr="00773884">
        <w:rPr>
          <w:rFonts w:ascii="Times New Roman" w:hAnsi="Times New Roman"/>
          <w:sz w:val="24"/>
          <w:szCs w:val="24"/>
        </w:rPr>
        <w:t xml:space="preserve"> and beyond</w:t>
      </w:r>
      <w:r w:rsidRPr="00773884">
        <w:rPr>
          <w:rFonts w:ascii="Times New Roman" w:hAnsi="Times New Roman"/>
          <w:sz w:val="24"/>
          <w:szCs w:val="24"/>
        </w:rPr>
        <w:t xml:space="preserve">. Better coordination among the DPs is needed, to implement a division of labour to address an inefficient spread of efforts and resources. </w:t>
      </w:r>
      <w:r w:rsidR="00A343EA" w:rsidRPr="00773884">
        <w:rPr>
          <w:rFonts w:ascii="Times New Roman" w:hAnsi="Times New Roman"/>
          <w:sz w:val="24"/>
          <w:szCs w:val="24"/>
        </w:rPr>
        <w:t xml:space="preserve">Harmonise Development Partnership and Development Cooperation policies in order to have an integrated policy and strategies of achieving the desired outcomes. </w:t>
      </w:r>
      <w:r w:rsidR="00855246" w:rsidRPr="00773884">
        <w:rPr>
          <w:rFonts w:ascii="Times New Roman" w:hAnsi="Times New Roman"/>
          <w:sz w:val="24"/>
          <w:szCs w:val="24"/>
        </w:rPr>
        <w:t xml:space="preserve">Partnership Policy would benefit exploring further on South to South Cooperation. </w:t>
      </w:r>
      <w:r w:rsidRPr="00773884">
        <w:rPr>
          <w:rFonts w:ascii="Times New Roman" w:hAnsi="Times New Roman"/>
          <w:sz w:val="24"/>
          <w:szCs w:val="24"/>
        </w:rPr>
        <w:t>The Partnership dialogue within National Partnership Forum (NPF) to be more inclusive and effective throughout the entire cycle. To streamline joint sector working groups (SWGs) in line with NDP priority areas for SWGs to become a forum on strategic discussion on sector issues.</w:t>
      </w:r>
      <w:r w:rsidR="00E102F0" w:rsidRPr="00773884">
        <w:rPr>
          <w:rFonts w:ascii="Times New Roman" w:hAnsi="Times New Roman"/>
          <w:sz w:val="24"/>
          <w:szCs w:val="24"/>
        </w:rPr>
        <w:t xml:space="preserve"> The GoU to engage DPs to identify together alternative sources of development financing to address global declining ODA</w:t>
      </w:r>
    </w:p>
    <w:p w14:paraId="02C36CB2" w14:textId="6F7EBBDF" w:rsidR="006108C6" w:rsidRPr="00773884" w:rsidRDefault="006108C6" w:rsidP="00445BF9">
      <w:pPr>
        <w:pStyle w:val="DeltaBodytext"/>
        <w:spacing w:after="120" w:line="360" w:lineRule="auto"/>
        <w:rPr>
          <w:rFonts w:ascii="Times New Roman" w:hAnsi="Times New Roman"/>
          <w:sz w:val="24"/>
          <w:szCs w:val="24"/>
        </w:rPr>
      </w:pPr>
      <w:r w:rsidRPr="00773884">
        <w:rPr>
          <w:rFonts w:ascii="Times New Roman" w:eastAsia="Arial Unicode MS" w:hAnsi="Times New Roman"/>
          <w:b/>
          <w:sz w:val="24"/>
          <w:szCs w:val="24"/>
        </w:rPr>
        <w:t xml:space="preserve">To strengthen development partner alignment: </w:t>
      </w:r>
      <w:r w:rsidRPr="00773884">
        <w:rPr>
          <w:rFonts w:ascii="Times New Roman" w:hAnsi="Times New Roman"/>
          <w:sz w:val="24"/>
          <w:szCs w:val="24"/>
        </w:rPr>
        <w:t xml:space="preserve">The development assistance to be stronger aligned with national priorities with a common framework for alignment of DPs’ projects to GoU/NDP priorities. There is a need for structured consultation with DPs on priorities. DPs’ planning cycle to be aligned with the GoU budget calendar and DPs to indicate their long-term financial envelope </w:t>
      </w:r>
      <w:r w:rsidRPr="00773884">
        <w:rPr>
          <w:rFonts w:ascii="Times New Roman" w:hAnsi="Times New Roman"/>
          <w:sz w:val="24"/>
          <w:szCs w:val="24"/>
        </w:rPr>
        <w:lastRenderedPageBreak/>
        <w:t>aligned with GoU Budget Calendar. The Government Annual Performance Review (GAPR) to be more systematic and potentially guide the NPF dialogue to make it more results-oriented and driven by national processes. To improve the quality of budget consultations, including on policy and prioritisation of projects. The sector strategic planning and the plans to be stronger linked to NDP priorities. To strengthen Public Investment management (PIM), and to ensure that all DPs use robust standards for project appraisals.</w:t>
      </w:r>
    </w:p>
    <w:p w14:paraId="46E4A187" w14:textId="6708D2C2" w:rsidR="008B601F" w:rsidRPr="00773884" w:rsidRDefault="006108C6" w:rsidP="00445BF9">
      <w:pPr>
        <w:pStyle w:val="DeltaBodytext"/>
        <w:spacing w:after="120" w:line="360" w:lineRule="auto"/>
        <w:rPr>
          <w:rFonts w:ascii="Times New Roman" w:hAnsi="Times New Roman"/>
          <w:sz w:val="24"/>
          <w:szCs w:val="24"/>
        </w:rPr>
      </w:pPr>
      <w:r w:rsidRPr="00773884">
        <w:rPr>
          <w:rFonts w:ascii="Times New Roman" w:eastAsia="Arial Unicode MS" w:hAnsi="Times New Roman"/>
          <w:b/>
          <w:sz w:val="24"/>
          <w:szCs w:val="24"/>
        </w:rPr>
        <w:t xml:space="preserve">To strengthen harmonisation, transaction costs and mutual accountability: </w:t>
      </w:r>
      <w:r w:rsidRPr="00773884">
        <w:rPr>
          <w:rFonts w:ascii="Times New Roman" w:hAnsi="Times New Roman"/>
          <w:sz w:val="24"/>
          <w:szCs w:val="24"/>
        </w:rPr>
        <w:t>Stronger collaboration framework between the Government and DPs to be in place</w:t>
      </w:r>
      <w:r w:rsidR="00903012" w:rsidRPr="00773884">
        <w:rPr>
          <w:rFonts w:ascii="Times New Roman" w:hAnsi="Times New Roman"/>
          <w:sz w:val="24"/>
          <w:szCs w:val="24"/>
        </w:rPr>
        <w:t xml:space="preserve"> with an</w:t>
      </w:r>
      <w:r w:rsidRPr="00773884">
        <w:rPr>
          <w:rFonts w:ascii="Times New Roman" w:hAnsi="Times New Roman"/>
          <w:sz w:val="24"/>
          <w:szCs w:val="24"/>
        </w:rPr>
        <w:t xml:space="preserve"> agree</w:t>
      </w:r>
      <w:r w:rsidR="00903012" w:rsidRPr="00773884">
        <w:rPr>
          <w:rFonts w:ascii="Times New Roman" w:hAnsi="Times New Roman"/>
          <w:sz w:val="24"/>
          <w:szCs w:val="24"/>
        </w:rPr>
        <w:t>ment</w:t>
      </w:r>
      <w:r w:rsidRPr="00773884">
        <w:rPr>
          <w:rFonts w:ascii="Times New Roman" w:hAnsi="Times New Roman"/>
          <w:sz w:val="24"/>
          <w:szCs w:val="24"/>
        </w:rPr>
        <w:t xml:space="preserve"> on the appropriate mode of collaboration. To strengthen mutual accountability though improved monitoring, joint programme reviews and reporting, including for off-budget projects. The Budget Support </w:t>
      </w:r>
      <w:r w:rsidR="00A97C1E" w:rsidRPr="00773884">
        <w:rPr>
          <w:rFonts w:ascii="Times New Roman" w:hAnsi="Times New Roman"/>
          <w:sz w:val="24"/>
          <w:szCs w:val="24"/>
        </w:rPr>
        <w:t xml:space="preserve">(or blended modality) </w:t>
      </w:r>
      <w:r w:rsidRPr="00773884">
        <w:rPr>
          <w:rFonts w:ascii="Times New Roman" w:hAnsi="Times New Roman"/>
          <w:sz w:val="24"/>
          <w:szCs w:val="24"/>
        </w:rPr>
        <w:t xml:space="preserve">to be encouraged. Harmonisation of DPs reporting is needed. More commitment from DPs to work towards strengthening (and increased use of) country systems. </w:t>
      </w:r>
      <w:r w:rsidR="008B601F" w:rsidRPr="00773884">
        <w:rPr>
          <w:rFonts w:ascii="Times New Roman" w:hAnsi="Times New Roman"/>
          <w:sz w:val="24"/>
          <w:szCs w:val="24"/>
        </w:rPr>
        <w:t>Strong enforcement of Budget Calendar is needed regarding consultations with DPs (on programme reviews, prioritisation, planning and medium-term commitments</w:t>
      </w:r>
      <w:r w:rsidR="00903012" w:rsidRPr="00773884">
        <w:rPr>
          <w:rFonts w:ascii="Times New Roman" w:hAnsi="Times New Roman"/>
          <w:sz w:val="24"/>
          <w:szCs w:val="24"/>
        </w:rPr>
        <w:t xml:space="preserve"> </w:t>
      </w:r>
      <w:r w:rsidR="008B601F" w:rsidRPr="00773884">
        <w:rPr>
          <w:rFonts w:ascii="Times New Roman" w:hAnsi="Times New Roman"/>
          <w:sz w:val="24"/>
          <w:szCs w:val="24"/>
        </w:rPr>
        <w:t>from DPs</w:t>
      </w:r>
      <w:r w:rsidR="00903012" w:rsidRPr="00773884">
        <w:rPr>
          <w:rFonts w:ascii="Times New Roman" w:hAnsi="Times New Roman"/>
          <w:sz w:val="24"/>
          <w:szCs w:val="24"/>
        </w:rPr>
        <w:t>)</w:t>
      </w:r>
      <w:r w:rsidR="008B601F" w:rsidRPr="00773884">
        <w:rPr>
          <w:rFonts w:ascii="Times New Roman" w:hAnsi="Times New Roman"/>
          <w:sz w:val="24"/>
          <w:szCs w:val="24"/>
        </w:rPr>
        <w:t>. To engage private sector in development funding</w:t>
      </w:r>
      <w:r w:rsidR="00903012" w:rsidRPr="00773884">
        <w:rPr>
          <w:rFonts w:ascii="Times New Roman" w:hAnsi="Times New Roman"/>
          <w:sz w:val="24"/>
          <w:szCs w:val="24"/>
        </w:rPr>
        <w:t xml:space="preserve"> with</w:t>
      </w:r>
      <w:r w:rsidR="008B601F" w:rsidRPr="00773884">
        <w:rPr>
          <w:rFonts w:ascii="Times New Roman" w:hAnsi="Times New Roman"/>
          <w:sz w:val="24"/>
          <w:szCs w:val="24"/>
        </w:rPr>
        <w:t xml:space="preserve"> DPs </w:t>
      </w:r>
      <w:r w:rsidR="00903012" w:rsidRPr="00773884">
        <w:rPr>
          <w:rFonts w:ascii="Times New Roman" w:hAnsi="Times New Roman"/>
          <w:sz w:val="24"/>
          <w:szCs w:val="24"/>
        </w:rPr>
        <w:t>playing</w:t>
      </w:r>
      <w:r w:rsidR="008B601F" w:rsidRPr="00773884">
        <w:rPr>
          <w:rFonts w:ascii="Times New Roman" w:hAnsi="Times New Roman"/>
          <w:sz w:val="24"/>
          <w:szCs w:val="24"/>
        </w:rPr>
        <w:t xml:space="preserve"> catalytic role, contributing to </w:t>
      </w:r>
      <w:r w:rsidR="00903012" w:rsidRPr="00773884">
        <w:rPr>
          <w:rFonts w:ascii="Times New Roman" w:hAnsi="Times New Roman"/>
          <w:sz w:val="24"/>
          <w:szCs w:val="24"/>
        </w:rPr>
        <w:t xml:space="preserve">formulation of </w:t>
      </w:r>
      <w:r w:rsidR="008B601F" w:rsidRPr="00773884">
        <w:rPr>
          <w:rFonts w:ascii="Times New Roman" w:hAnsi="Times New Roman"/>
          <w:sz w:val="24"/>
          <w:szCs w:val="24"/>
        </w:rPr>
        <w:t>PPP funds. To accelerate the use of aid management platform (AMP) to improve aid transparency and the government’s ability to manage development assistance in support of the NDP.</w:t>
      </w:r>
    </w:p>
    <w:p w14:paraId="6449F8E2" w14:textId="3466E653" w:rsidR="001A1F36" w:rsidRDefault="006108C6" w:rsidP="00445BF9">
      <w:pPr>
        <w:pStyle w:val="DeltaBodytext"/>
        <w:spacing w:after="120" w:line="360" w:lineRule="auto"/>
        <w:rPr>
          <w:rFonts w:ascii="Times New Roman" w:eastAsia="Arial Unicode MS" w:hAnsi="Times New Roman"/>
          <w:i/>
          <w:color w:val="FF0000"/>
          <w:sz w:val="24"/>
          <w:szCs w:val="24"/>
        </w:rPr>
      </w:pPr>
      <w:r w:rsidRPr="00773884">
        <w:rPr>
          <w:rFonts w:ascii="Times New Roman" w:hAnsi="Times New Roman"/>
          <w:b/>
          <w:sz w:val="24"/>
          <w:szCs w:val="24"/>
        </w:rPr>
        <w:t xml:space="preserve">To streamline the development assistance from non-traditional partners: </w:t>
      </w:r>
      <w:r w:rsidRPr="00773884">
        <w:rPr>
          <w:rFonts w:ascii="Times New Roman" w:hAnsi="Times New Roman"/>
          <w:sz w:val="24"/>
          <w:szCs w:val="24"/>
        </w:rPr>
        <w:t>Stronger involvement of non-traditional partners in partnership forum and partnership platforms. To scrutinise the appetite for non-concessional loans. To encourage mutual accountability and using country systems by non-traditional partners, i.e. less ‘tied’ aid, more development focus, rather than private (profit) gain, including contributing to the objectives of the country sustainability, capacity development, and strengthening country systems.</w:t>
      </w:r>
    </w:p>
    <w:p w14:paraId="4011740A" w14:textId="77777777" w:rsidR="0043743B" w:rsidRDefault="0043743B" w:rsidP="003D56D1">
      <w:pPr>
        <w:pStyle w:val="Heading1"/>
        <w:numPr>
          <w:ilvl w:val="0"/>
          <w:numId w:val="13"/>
        </w:numPr>
        <w:spacing w:before="0" w:after="240"/>
        <w:ind w:left="567" w:hanging="567"/>
        <w:sectPr w:rsidR="0043743B" w:rsidSect="0043743B">
          <w:footerReference w:type="default" r:id="rId13"/>
          <w:pgSz w:w="11906" w:h="16838"/>
          <w:pgMar w:top="1134" w:right="1134" w:bottom="1134" w:left="1134" w:header="709" w:footer="6" w:gutter="0"/>
          <w:pgNumType w:fmt="lowerRoman" w:start="0"/>
          <w:cols w:space="708"/>
          <w:docGrid w:linePitch="360"/>
        </w:sectPr>
      </w:pPr>
      <w:bookmarkStart w:id="13" w:name="_Toc534926843"/>
      <w:bookmarkStart w:id="14" w:name="_Toc3505167"/>
    </w:p>
    <w:p w14:paraId="41ACAEB8" w14:textId="2C4BA258" w:rsidR="00D51A8A" w:rsidRPr="00445BF9" w:rsidRDefault="00773884" w:rsidP="00445BF9">
      <w:pPr>
        <w:pStyle w:val="Heading2"/>
        <w:numPr>
          <w:ilvl w:val="1"/>
          <w:numId w:val="34"/>
        </w:numPr>
        <w:ind w:left="567" w:hanging="567"/>
        <w:rPr>
          <w:sz w:val="28"/>
        </w:rPr>
      </w:pPr>
      <w:r w:rsidRPr="00445BF9">
        <w:rPr>
          <w:sz w:val="28"/>
        </w:rPr>
        <w:lastRenderedPageBreak/>
        <w:t>Introduction</w:t>
      </w:r>
      <w:bookmarkEnd w:id="2"/>
      <w:bookmarkEnd w:id="3"/>
      <w:bookmarkEnd w:id="13"/>
      <w:bookmarkEnd w:id="14"/>
    </w:p>
    <w:bookmarkEnd w:id="4"/>
    <w:bookmarkEnd w:id="5"/>
    <w:p w14:paraId="62285132" w14:textId="401FE59E" w:rsidR="005D2DD7" w:rsidRPr="00773884" w:rsidRDefault="005D2DD7"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b/>
          <w:sz w:val="24"/>
          <w:szCs w:val="24"/>
        </w:rPr>
        <w:t xml:space="preserve">Uganda’s </w:t>
      </w:r>
      <w:r w:rsidR="00813A71" w:rsidRPr="00773884">
        <w:rPr>
          <w:rFonts w:ascii="Times New Roman" w:eastAsia="Arial Unicode MS" w:hAnsi="Times New Roman"/>
          <w:b/>
          <w:sz w:val="24"/>
          <w:szCs w:val="24"/>
        </w:rPr>
        <w:t>s</w:t>
      </w:r>
      <w:r w:rsidRPr="00773884">
        <w:rPr>
          <w:rFonts w:ascii="Times New Roman" w:eastAsia="Arial Unicode MS" w:hAnsi="Times New Roman"/>
          <w:b/>
          <w:sz w:val="24"/>
          <w:szCs w:val="24"/>
        </w:rPr>
        <w:t xml:space="preserve">econd </w:t>
      </w:r>
      <w:r w:rsidR="00813A71" w:rsidRPr="00773884">
        <w:rPr>
          <w:rFonts w:ascii="Times New Roman" w:eastAsia="Arial Unicode MS" w:hAnsi="Times New Roman"/>
          <w:b/>
          <w:sz w:val="24"/>
          <w:szCs w:val="24"/>
        </w:rPr>
        <w:t xml:space="preserve">National Development Plan (NDP-II) </w:t>
      </w:r>
      <w:r w:rsidRPr="00773884">
        <w:rPr>
          <w:rFonts w:ascii="Times New Roman" w:eastAsia="Arial Unicode MS" w:hAnsi="Times New Roman"/>
          <w:b/>
          <w:sz w:val="24"/>
          <w:szCs w:val="24"/>
        </w:rPr>
        <w:t>was launched in June 2015</w:t>
      </w:r>
      <w:r w:rsidR="00F179BF" w:rsidRPr="00773884">
        <w:rPr>
          <w:rFonts w:ascii="Times New Roman" w:eastAsia="Arial Unicode MS" w:hAnsi="Times New Roman"/>
          <w:b/>
          <w:sz w:val="24"/>
          <w:szCs w:val="24"/>
        </w:rPr>
        <w:t xml:space="preserve"> covering 2015/16 - 2019/20 period</w:t>
      </w:r>
      <w:r w:rsidRPr="00773884">
        <w:rPr>
          <w:rFonts w:ascii="Times New Roman" w:eastAsia="Arial Unicode MS" w:hAnsi="Times New Roman"/>
          <w:b/>
          <w:sz w:val="24"/>
          <w:szCs w:val="24"/>
        </w:rPr>
        <w:t>.</w:t>
      </w:r>
      <w:r w:rsidRPr="00773884">
        <w:rPr>
          <w:rFonts w:ascii="Times New Roman" w:eastAsia="Arial Unicode MS" w:hAnsi="Times New Roman"/>
          <w:sz w:val="24"/>
          <w:szCs w:val="24"/>
        </w:rPr>
        <w:t xml:space="preserve"> It is a second in a series of six</w:t>
      </w:r>
      <w:r w:rsidR="00071440" w:rsidRPr="00773884">
        <w:rPr>
          <w:rFonts w:ascii="Times New Roman" w:eastAsia="Arial Unicode MS" w:hAnsi="Times New Roman"/>
          <w:sz w:val="24"/>
          <w:szCs w:val="24"/>
        </w:rPr>
        <w:t xml:space="preserve"> five-year</w:t>
      </w:r>
      <w:r w:rsidRPr="00773884">
        <w:rPr>
          <w:rFonts w:ascii="Times New Roman" w:eastAsia="Arial Unicode MS" w:hAnsi="Times New Roman"/>
          <w:sz w:val="24"/>
          <w:szCs w:val="24"/>
        </w:rPr>
        <w:t xml:space="preserve"> Plans aimed at achieving Uganda Vision 2040. It is anchored on the importance of propelling the country towards middle income status by 2020 through strengthening the country’s competi</w:t>
      </w:r>
      <w:r w:rsidR="00071440" w:rsidRPr="00773884">
        <w:rPr>
          <w:rFonts w:ascii="Times New Roman" w:eastAsia="Arial Unicode MS" w:hAnsi="Times New Roman"/>
          <w:sz w:val="24"/>
          <w:szCs w:val="24"/>
        </w:rPr>
        <w:t>ti</w:t>
      </w:r>
      <w:r w:rsidRPr="00773884">
        <w:rPr>
          <w:rFonts w:ascii="Times New Roman" w:eastAsia="Arial Unicode MS" w:hAnsi="Times New Roman"/>
          <w:sz w:val="24"/>
          <w:szCs w:val="24"/>
        </w:rPr>
        <w:t xml:space="preserve">veness for sustainable wealth creation, employment and inclusive growth. </w:t>
      </w:r>
      <w:r w:rsidR="00071440" w:rsidRPr="00773884">
        <w:rPr>
          <w:rFonts w:ascii="Times New Roman" w:eastAsia="Arial Unicode MS" w:hAnsi="Times New Roman"/>
          <w:b/>
          <w:sz w:val="24"/>
          <w:szCs w:val="24"/>
        </w:rPr>
        <w:t>This report presents the mid-term evaluation of the Plan (NDP-II).</w:t>
      </w:r>
      <w:r w:rsidRPr="00773884">
        <w:rPr>
          <w:rFonts w:ascii="Times New Roman" w:eastAsia="Arial Unicode MS" w:hAnsi="Times New Roman"/>
          <w:sz w:val="24"/>
          <w:szCs w:val="24"/>
        </w:rPr>
        <w:t xml:space="preserve"> </w:t>
      </w:r>
    </w:p>
    <w:p w14:paraId="6ED66B1A" w14:textId="3AD5FD59" w:rsidR="001F1CBE" w:rsidRPr="00773884" w:rsidRDefault="001F1CBE"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b/>
          <w:sz w:val="24"/>
          <w:szCs w:val="24"/>
        </w:rPr>
        <w:t xml:space="preserve">The overall objective of the assignment is to conduct the </w:t>
      </w:r>
      <w:r w:rsidR="00E42F8A" w:rsidRPr="00773884">
        <w:rPr>
          <w:rFonts w:ascii="Times New Roman" w:eastAsia="Arial Unicode MS" w:hAnsi="Times New Roman"/>
          <w:b/>
          <w:sz w:val="24"/>
          <w:szCs w:val="24"/>
        </w:rPr>
        <w:t xml:space="preserve">mid-term </w:t>
      </w:r>
      <w:r w:rsidRPr="00773884">
        <w:rPr>
          <w:rFonts w:ascii="Times New Roman" w:eastAsia="Arial Unicode MS" w:hAnsi="Times New Roman"/>
          <w:b/>
          <w:sz w:val="24"/>
          <w:szCs w:val="24"/>
        </w:rPr>
        <w:t>evaluation of Uganda’s NDP-I</w:t>
      </w:r>
      <w:r w:rsidR="00E42F8A" w:rsidRPr="00773884">
        <w:rPr>
          <w:rFonts w:ascii="Times New Roman" w:eastAsia="Arial Unicode MS" w:hAnsi="Times New Roman"/>
          <w:b/>
          <w:sz w:val="24"/>
          <w:szCs w:val="24"/>
        </w:rPr>
        <w:t>I</w:t>
      </w:r>
      <w:r w:rsidRPr="00773884">
        <w:rPr>
          <w:rFonts w:ascii="Times New Roman" w:eastAsia="Arial Unicode MS" w:hAnsi="Times New Roman"/>
          <w:sz w:val="24"/>
          <w:szCs w:val="24"/>
        </w:rPr>
        <w:t xml:space="preserve"> and take stock of its performance, generate lessons learned and come up with recommendations for on-ward implementation of NDP-II and design of NDP-III. The NDP-I evaluation along with the NDP II mid-term review and formulation of NDP III will shape the elaboration of the 10-year NDP (NDP 2020-2030) - the first of its kind in Uganda.</w:t>
      </w:r>
    </w:p>
    <w:p w14:paraId="5E0EB63A" w14:textId="52CF1C76" w:rsidR="000E0727" w:rsidRPr="00773884" w:rsidRDefault="00503009"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b/>
          <w:sz w:val="24"/>
          <w:szCs w:val="24"/>
        </w:rPr>
        <w:t xml:space="preserve">This report on development partnerships </w:t>
      </w:r>
      <w:r w:rsidR="00580B58" w:rsidRPr="00773884">
        <w:rPr>
          <w:rFonts w:ascii="Times New Roman" w:eastAsia="Arial Unicode MS" w:hAnsi="Times New Roman"/>
          <w:b/>
          <w:sz w:val="24"/>
          <w:szCs w:val="24"/>
        </w:rPr>
        <w:t>is one of the Thematic Report</w:t>
      </w:r>
      <w:r w:rsidR="00A70607" w:rsidRPr="00773884">
        <w:rPr>
          <w:rFonts w:ascii="Times New Roman" w:eastAsia="Arial Unicode MS" w:hAnsi="Times New Roman"/>
          <w:b/>
          <w:sz w:val="24"/>
          <w:szCs w:val="24"/>
        </w:rPr>
        <w:t>s</w:t>
      </w:r>
      <w:r w:rsidR="00580B58" w:rsidRPr="00773884">
        <w:rPr>
          <w:rFonts w:ascii="Times New Roman" w:eastAsia="Arial Unicode MS" w:hAnsi="Times New Roman"/>
          <w:sz w:val="24"/>
          <w:szCs w:val="24"/>
        </w:rPr>
        <w:t xml:space="preserve"> </w:t>
      </w:r>
      <w:r w:rsidR="00C02FF9" w:rsidRPr="00773884">
        <w:rPr>
          <w:rFonts w:ascii="Times New Roman" w:eastAsia="Arial Unicode MS" w:hAnsi="Times New Roman"/>
          <w:sz w:val="24"/>
          <w:szCs w:val="24"/>
        </w:rPr>
        <w:t xml:space="preserve">of the six dimensions of the </w:t>
      </w:r>
      <w:r w:rsidR="00E42F8A" w:rsidRPr="00773884">
        <w:rPr>
          <w:rFonts w:ascii="Times New Roman" w:eastAsia="Arial Unicode MS" w:hAnsi="Times New Roman"/>
          <w:sz w:val="24"/>
          <w:szCs w:val="24"/>
        </w:rPr>
        <w:t xml:space="preserve">mid-term </w:t>
      </w:r>
      <w:r w:rsidR="00396839" w:rsidRPr="00773884">
        <w:rPr>
          <w:rFonts w:ascii="Times New Roman" w:eastAsia="Arial Unicode MS" w:hAnsi="Times New Roman"/>
          <w:sz w:val="24"/>
          <w:szCs w:val="24"/>
        </w:rPr>
        <w:t xml:space="preserve">evaluation </w:t>
      </w:r>
      <w:r w:rsidRPr="00773884">
        <w:rPr>
          <w:rFonts w:ascii="Times New Roman" w:eastAsia="Arial Unicode MS" w:hAnsi="Times New Roman"/>
          <w:sz w:val="24"/>
          <w:szCs w:val="24"/>
        </w:rPr>
        <w:t>of NDP</w:t>
      </w:r>
      <w:r w:rsidR="002B1EB9" w:rsidRPr="00773884">
        <w:rPr>
          <w:rFonts w:ascii="Times New Roman" w:eastAsia="Arial Unicode MS" w:hAnsi="Times New Roman"/>
          <w:sz w:val="24"/>
          <w:szCs w:val="24"/>
        </w:rPr>
        <w:t>-</w:t>
      </w:r>
      <w:r w:rsidR="0093353C" w:rsidRPr="00773884">
        <w:rPr>
          <w:rFonts w:ascii="Times New Roman" w:eastAsia="Arial Unicode MS" w:hAnsi="Times New Roman"/>
          <w:sz w:val="24"/>
          <w:szCs w:val="24"/>
        </w:rPr>
        <w:t>I</w:t>
      </w:r>
      <w:r w:rsidR="00EB3945" w:rsidRPr="00773884">
        <w:rPr>
          <w:rFonts w:ascii="Times New Roman" w:eastAsia="Arial Unicode MS" w:hAnsi="Times New Roman"/>
          <w:sz w:val="24"/>
          <w:szCs w:val="24"/>
        </w:rPr>
        <w:t>I</w:t>
      </w:r>
      <w:r w:rsidR="0093353C" w:rsidRPr="00773884">
        <w:rPr>
          <w:rFonts w:ascii="Times New Roman" w:eastAsia="Arial Unicode MS" w:hAnsi="Times New Roman"/>
          <w:sz w:val="24"/>
          <w:szCs w:val="24"/>
        </w:rPr>
        <w:t>)</w:t>
      </w:r>
      <w:r w:rsidRPr="00773884">
        <w:rPr>
          <w:rFonts w:ascii="Times New Roman" w:eastAsia="Arial Unicode MS" w:hAnsi="Times New Roman"/>
          <w:sz w:val="24"/>
          <w:szCs w:val="24"/>
        </w:rPr>
        <w:t xml:space="preserve"> commissioned by the National Planning Authority</w:t>
      </w:r>
      <w:r w:rsidR="00734EFC" w:rsidRPr="00773884">
        <w:rPr>
          <w:rFonts w:ascii="Times New Roman" w:eastAsia="Arial Unicode MS" w:hAnsi="Times New Roman"/>
          <w:sz w:val="24"/>
          <w:szCs w:val="24"/>
        </w:rPr>
        <w:t xml:space="preserve"> (NPA)</w:t>
      </w:r>
      <w:r w:rsidRPr="00773884">
        <w:rPr>
          <w:rFonts w:ascii="Times New Roman" w:eastAsia="Arial Unicode MS" w:hAnsi="Times New Roman"/>
          <w:sz w:val="24"/>
          <w:szCs w:val="24"/>
        </w:rPr>
        <w:t xml:space="preserve">. </w:t>
      </w:r>
      <w:r w:rsidR="00C76F50" w:rsidRPr="00773884">
        <w:rPr>
          <w:rFonts w:ascii="Times New Roman" w:eastAsia="Arial Unicode MS" w:hAnsi="Times New Roman"/>
          <w:sz w:val="24"/>
          <w:szCs w:val="24"/>
        </w:rPr>
        <w:t xml:space="preserve"> The other </w:t>
      </w:r>
      <w:r w:rsidR="004B0444" w:rsidRPr="00773884">
        <w:rPr>
          <w:rFonts w:ascii="Times New Roman" w:eastAsia="Arial Unicode MS" w:hAnsi="Times New Roman"/>
          <w:sz w:val="24"/>
          <w:szCs w:val="24"/>
        </w:rPr>
        <w:t xml:space="preserve">thematic </w:t>
      </w:r>
      <w:r w:rsidR="00C76F50" w:rsidRPr="00773884">
        <w:rPr>
          <w:rFonts w:ascii="Times New Roman" w:eastAsia="Arial Unicode MS" w:hAnsi="Times New Roman"/>
          <w:sz w:val="24"/>
          <w:szCs w:val="24"/>
        </w:rPr>
        <w:t xml:space="preserve">areas </w:t>
      </w:r>
      <w:r w:rsidR="000A5C44" w:rsidRPr="00773884">
        <w:rPr>
          <w:rFonts w:ascii="Times New Roman" w:eastAsia="Arial Unicode MS" w:hAnsi="Times New Roman"/>
          <w:sz w:val="24"/>
          <w:szCs w:val="24"/>
        </w:rPr>
        <w:t xml:space="preserve">of the </w:t>
      </w:r>
      <w:r w:rsidR="00396839" w:rsidRPr="00773884">
        <w:rPr>
          <w:rFonts w:ascii="Times New Roman" w:eastAsia="Arial Unicode MS" w:hAnsi="Times New Roman"/>
          <w:sz w:val="24"/>
          <w:szCs w:val="24"/>
        </w:rPr>
        <w:t>evaluation</w:t>
      </w:r>
      <w:r w:rsidR="000A5C44" w:rsidRPr="00773884">
        <w:rPr>
          <w:rFonts w:ascii="Times New Roman" w:eastAsia="Arial Unicode MS" w:hAnsi="Times New Roman"/>
          <w:sz w:val="24"/>
          <w:szCs w:val="24"/>
        </w:rPr>
        <w:t xml:space="preserve"> are</w:t>
      </w:r>
      <w:r w:rsidR="004B0444" w:rsidRPr="00773884">
        <w:rPr>
          <w:rFonts w:ascii="Times New Roman" w:eastAsia="Arial Unicode MS" w:hAnsi="Times New Roman"/>
          <w:sz w:val="24"/>
          <w:szCs w:val="24"/>
        </w:rPr>
        <w:t>:</w:t>
      </w:r>
      <w:r w:rsidR="000E4155" w:rsidRPr="00773884">
        <w:rPr>
          <w:rFonts w:ascii="Times New Roman" w:eastAsia="Arial Unicode MS" w:hAnsi="Times New Roman"/>
          <w:sz w:val="24"/>
          <w:szCs w:val="24"/>
        </w:rPr>
        <w:t xml:space="preserve"> economic management; results framework; policy and strategic direction; political economy; and institutional </w:t>
      </w:r>
      <w:r w:rsidR="0093353C" w:rsidRPr="00773884">
        <w:rPr>
          <w:rFonts w:ascii="Times New Roman" w:eastAsia="Arial Unicode MS" w:hAnsi="Times New Roman"/>
          <w:sz w:val="24"/>
          <w:szCs w:val="24"/>
        </w:rPr>
        <w:t>framework;</w:t>
      </w:r>
      <w:r w:rsidR="00C76F50" w:rsidRPr="00773884">
        <w:rPr>
          <w:rFonts w:ascii="Times New Roman" w:eastAsia="Arial Unicode MS" w:hAnsi="Times New Roman"/>
          <w:sz w:val="24"/>
          <w:szCs w:val="24"/>
        </w:rPr>
        <w:t xml:space="preserve"> as well as an overall synthesis report.</w:t>
      </w:r>
    </w:p>
    <w:p w14:paraId="15813CD5" w14:textId="642E5C6D" w:rsidR="00B81566" w:rsidRPr="00773884" w:rsidRDefault="000E0727"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b/>
          <w:sz w:val="24"/>
          <w:szCs w:val="24"/>
        </w:rPr>
        <w:t>Purpose of the thematic report</w:t>
      </w:r>
      <w:r w:rsidR="00465BA2" w:rsidRPr="00773884">
        <w:rPr>
          <w:rFonts w:ascii="Times New Roman" w:eastAsia="Arial Unicode MS" w:hAnsi="Times New Roman"/>
          <w:b/>
          <w:sz w:val="24"/>
          <w:szCs w:val="24"/>
        </w:rPr>
        <w:t xml:space="preserve">: </w:t>
      </w:r>
      <w:r w:rsidRPr="00773884">
        <w:rPr>
          <w:rFonts w:ascii="Times New Roman" w:eastAsia="Arial Unicode MS" w:hAnsi="Times New Roman"/>
          <w:color w:val="000000"/>
          <w:sz w:val="24"/>
          <w:szCs w:val="24"/>
        </w:rPr>
        <w:t xml:space="preserve">This thematic report reviews the development partnerships for the </w:t>
      </w:r>
      <w:r w:rsidR="0063622B" w:rsidRPr="00773884">
        <w:rPr>
          <w:rFonts w:ascii="Times New Roman" w:eastAsia="Arial Unicode MS" w:hAnsi="Times New Roman"/>
          <w:color w:val="000000"/>
          <w:sz w:val="24"/>
          <w:szCs w:val="24"/>
        </w:rPr>
        <w:t>NDP-I</w:t>
      </w:r>
      <w:r w:rsidR="00EB3945" w:rsidRPr="00773884">
        <w:rPr>
          <w:rFonts w:ascii="Times New Roman" w:eastAsia="Arial Unicode MS" w:hAnsi="Times New Roman"/>
          <w:color w:val="000000"/>
          <w:sz w:val="24"/>
          <w:szCs w:val="24"/>
        </w:rPr>
        <w:t>I</w:t>
      </w:r>
      <w:r w:rsidRPr="00773884">
        <w:rPr>
          <w:rFonts w:ascii="Times New Roman" w:eastAsia="Arial Unicode MS" w:hAnsi="Times New Roman"/>
          <w:color w:val="000000"/>
          <w:sz w:val="24"/>
          <w:szCs w:val="24"/>
        </w:rPr>
        <w:t xml:space="preserve"> and covers </w:t>
      </w:r>
      <w:r w:rsidR="00337BB2" w:rsidRPr="00773884">
        <w:rPr>
          <w:rFonts w:ascii="Times New Roman" w:eastAsia="Arial Unicode MS" w:hAnsi="Times New Roman"/>
          <w:color w:val="000000"/>
          <w:sz w:val="24"/>
          <w:szCs w:val="24"/>
        </w:rPr>
        <w:t>the following</w:t>
      </w:r>
      <w:r w:rsidRPr="00773884">
        <w:rPr>
          <w:rFonts w:ascii="Times New Roman" w:eastAsia="Arial Unicode MS" w:hAnsi="Times New Roman"/>
          <w:color w:val="000000"/>
          <w:sz w:val="24"/>
          <w:szCs w:val="24"/>
        </w:rPr>
        <w:t xml:space="preserve"> major aspects: </w:t>
      </w:r>
      <w:r w:rsidR="00173571" w:rsidRPr="00773884">
        <w:rPr>
          <w:rFonts w:ascii="Times New Roman" w:eastAsia="Arial Unicode MS" w:hAnsi="Times New Roman"/>
          <w:color w:val="000000"/>
          <w:sz w:val="24"/>
          <w:szCs w:val="24"/>
        </w:rPr>
        <w:t xml:space="preserve">the ownership; </w:t>
      </w:r>
      <w:r w:rsidRPr="00773884">
        <w:rPr>
          <w:rFonts w:ascii="Times New Roman" w:eastAsia="Arial Unicode MS" w:hAnsi="Times New Roman"/>
          <w:color w:val="000000"/>
          <w:sz w:val="24"/>
          <w:szCs w:val="24"/>
        </w:rPr>
        <w:t xml:space="preserve">extent of donor harmonisation; mutual accountability; </w:t>
      </w:r>
      <w:r w:rsidR="00173571" w:rsidRPr="00773884">
        <w:rPr>
          <w:rFonts w:ascii="Times New Roman" w:eastAsia="Arial Unicode MS" w:hAnsi="Times New Roman"/>
          <w:color w:val="000000"/>
          <w:sz w:val="24"/>
          <w:szCs w:val="24"/>
        </w:rPr>
        <w:t xml:space="preserve">and </w:t>
      </w:r>
      <w:r w:rsidRPr="00773884">
        <w:rPr>
          <w:rFonts w:ascii="Times New Roman" w:eastAsia="Arial Unicode MS" w:hAnsi="Times New Roman"/>
          <w:color w:val="000000"/>
          <w:sz w:val="24"/>
          <w:szCs w:val="24"/>
        </w:rPr>
        <w:t xml:space="preserve">impact on </w:t>
      </w:r>
      <w:r w:rsidR="0063622B" w:rsidRPr="00773884">
        <w:rPr>
          <w:rFonts w:ascii="Times New Roman" w:eastAsia="Arial Unicode MS" w:hAnsi="Times New Roman"/>
          <w:color w:val="000000"/>
          <w:sz w:val="24"/>
          <w:szCs w:val="24"/>
        </w:rPr>
        <w:t>NDP-</w:t>
      </w:r>
      <w:r w:rsidR="00EB3945" w:rsidRPr="00773884">
        <w:rPr>
          <w:rFonts w:ascii="Times New Roman" w:eastAsia="Arial Unicode MS" w:hAnsi="Times New Roman"/>
          <w:color w:val="000000"/>
          <w:sz w:val="24"/>
          <w:szCs w:val="24"/>
        </w:rPr>
        <w:t>I</w:t>
      </w:r>
      <w:r w:rsidR="0063622B" w:rsidRPr="00773884">
        <w:rPr>
          <w:rFonts w:ascii="Times New Roman" w:eastAsia="Arial Unicode MS" w:hAnsi="Times New Roman"/>
          <w:color w:val="000000"/>
          <w:sz w:val="24"/>
          <w:szCs w:val="24"/>
        </w:rPr>
        <w:t>I</w:t>
      </w:r>
      <w:r w:rsidRPr="00773884">
        <w:rPr>
          <w:rFonts w:ascii="Times New Roman" w:eastAsia="Arial Unicode MS" w:hAnsi="Times New Roman"/>
          <w:color w:val="000000"/>
          <w:sz w:val="24"/>
          <w:szCs w:val="24"/>
        </w:rPr>
        <w:t xml:space="preserve"> performance.</w:t>
      </w:r>
      <w:r w:rsidRPr="00773884">
        <w:rPr>
          <w:rFonts w:ascii="Times New Roman" w:hAnsi="Times New Roman"/>
          <w:sz w:val="24"/>
          <w:szCs w:val="24"/>
        </w:rPr>
        <w:t xml:space="preserve"> </w:t>
      </w:r>
      <w:r w:rsidRPr="00773884">
        <w:rPr>
          <w:rFonts w:ascii="Times New Roman" w:eastAsia="Arial Unicode MS" w:hAnsi="Times New Roman"/>
          <w:color w:val="000000"/>
          <w:sz w:val="24"/>
          <w:szCs w:val="24"/>
        </w:rPr>
        <w:t>The report present</w:t>
      </w:r>
      <w:r w:rsidR="00465BA2" w:rsidRPr="00773884">
        <w:rPr>
          <w:rFonts w:ascii="Times New Roman" w:eastAsia="Arial Unicode MS" w:hAnsi="Times New Roman"/>
          <w:color w:val="000000"/>
          <w:sz w:val="24"/>
          <w:szCs w:val="24"/>
        </w:rPr>
        <w:t>s</w:t>
      </w:r>
      <w:r w:rsidRPr="00773884">
        <w:rPr>
          <w:rFonts w:ascii="Times New Roman" w:eastAsia="Arial Unicode MS" w:hAnsi="Times New Roman"/>
          <w:color w:val="000000"/>
          <w:sz w:val="24"/>
          <w:szCs w:val="24"/>
        </w:rPr>
        <w:t xml:space="preserve"> analysis of the overall contribution of development partners (partnership) in supporting the NDP</w:t>
      </w:r>
      <w:r w:rsidR="00EB3945" w:rsidRPr="00773884">
        <w:rPr>
          <w:rFonts w:ascii="Times New Roman" w:eastAsia="Arial Unicode MS" w:hAnsi="Times New Roman"/>
          <w:color w:val="000000"/>
          <w:sz w:val="24"/>
          <w:szCs w:val="24"/>
        </w:rPr>
        <w:t>-I</w:t>
      </w:r>
      <w:r w:rsidRPr="00773884">
        <w:rPr>
          <w:rFonts w:ascii="Times New Roman" w:eastAsia="Arial Unicode MS" w:hAnsi="Times New Roman"/>
          <w:color w:val="000000"/>
          <w:sz w:val="24"/>
          <w:szCs w:val="24"/>
        </w:rPr>
        <w:t>I priorities.</w:t>
      </w:r>
      <w:r w:rsidR="00733D84" w:rsidRPr="00773884">
        <w:rPr>
          <w:rFonts w:ascii="Times New Roman" w:eastAsia="Arial Unicode MS" w:hAnsi="Times New Roman"/>
          <w:sz w:val="24"/>
          <w:szCs w:val="24"/>
        </w:rPr>
        <w:t xml:space="preserve"> The development partnership theme of the </w:t>
      </w:r>
      <w:r w:rsidR="00EB3945" w:rsidRPr="00773884">
        <w:rPr>
          <w:rFonts w:ascii="Times New Roman" w:eastAsia="Arial Unicode MS" w:hAnsi="Times New Roman"/>
          <w:sz w:val="24"/>
          <w:szCs w:val="24"/>
        </w:rPr>
        <w:t>e</w:t>
      </w:r>
      <w:r w:rsidR="00733D84" w:rsidRPr="00773884">
        <w:rPr>
          <w:rFonts w:ascii="Times New Roman" w:eastAsia="Arial Unicode MS" w:hAnsi="Times New Roman"/>
          <w:sz w:val="24"/>
          <w:szCs w:val="24"/>
        </w:rPr>
        <w:t>valuation focuses on partnerships between the Government of Uganda and its official development partners.</w:t>
      </w:r>
    </w:p>
    <w:p w14:paraId="4EA8222B" w14:textId="2333A2EA" w:rsidR="00225B00" w:rsidRPr="00773884" w:rsidRDefault="00225B00"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The terms of reference for the evaluation emphasise the importance of highlighting the challenges encountered during the first two years of implementation of the plan and Identify lessons for the design and implementation of future Plans, while ensuring sustainable development.</w:t>
      </w:r>
    </w:p>
    <w:p w14:paraId="7B5A16E3" w14:textId="77B3CAE8" w:rsidR="009A6105" w:rsidRPr="00773884" w:rsidRDefault="000E0727" w:rsidP="00445BF9">
      <w:pPr>
        <w:pStyle w:val="DeltaBodytext"/>
        <w:numPr>
          <w:ilvl w:val="0"/>
          <w:numId w:val="14"/>
        </w:numPr>
        <w:spacing w:after="120" w:line="360" w:lineRule="auto"/>
        <w:ind w:left="567" w:hanging="567"/>
        <w:rPr>
          <w:rFonts w:ascii="Times New Roman" w:eastAsia="Arial Unicode MS" w:hAnsi="Times New Roman"/>
          <w:b/>
          <w:color w:val="000000"/>
          <w:sz w:val="24"/>
          <w:szCs w:val="24"/>
        </w:rPr>
      </w:pPr>
      <w:r w:rsidRPr="00773884">
        <w:rPr>
          <w:rFonts w:ascii="Times New Roman" w:eastAsia="Arial Unicode MS" w:hAnsi="Times New Roman"/>
          <w:b/>
          <w:color w:val="000000"/>
          <w:sz w:val="24"/>
          <w:szCs w:val="24"/>
        </w:rPr>
        <w:t>This report is organised into the following sections</w:t>
      </w:r>
      <w:r w:rsidR="00AA3800" w:rsidRPr="00773884">
        <w:rPr>
          <w:rFonts w:ascii="Times New Roman" w:eastAsia="Arial Unicode MS" w:hAnsi="Times New Roman"/>
          <w:b/>
          <w:color w:val="000000"/>
          <w:sz w:val="24"/>
          <w:szCs w:val="24"/>
        </w:rPr>
        <w:t xml:space="preserve">. </w:t>
      </w:r>
      <w:r w:rsidR="00BB7CFB" w:rsidRPr="00773884">
        <w:rPr>
          <w:rFonts w:ascii="Times New Roman" w:eastAsia="Arial Unicode MS" w:hAnsi="Times New Roman"/>
          <w:sz w:val="24"/>
          <w:szCs w:val="24"/>
        </w:rPr>
        <w:t xml:space="preserve">Section </w:t>
      </w:r>
      <w:r w:rsidR="005E3C23" w:rsidRPr="00773884">
        <w:rPr>
          <w:rFonts w:ascii="Times New Roman" w:eastAsia="Arial Unicode MS" w:hAnsi="Times New Roman"/>
          <w:sz w:val="24"/>
          <w:szCs w:val="24"/>
        </w:rPr>
        <w:t xml:space="preserve">one </w:t>
      </w:r>
      <w:r w:rsidR="00334E8E" w:rsidRPr="00773884">
        <w:rPr>
          <w:rFonts w:ascii="Times New Roman" w:eastAsia="Arial Unicode MS" w:hAnsi="Times New Roman"/>
          <w:sz w:val="24"/>
          <w:szCs w:val="24"/>
        </w:rPr>
        <w:t xml:space="preserve">presents </w:t>
      </w:r>
      <w:r w:rsidR="00940DE0" w:rsidRPr="00773884">
        <w:rPr>
          <w:rFonts w:ascii="Times New Roman" w:eastAsia="Arial Unicode MS" w:hAnsi="Times New Roman"/>
          <w:b/>
          <w:sz w:val="24"/>
          <w:szCs w:val="24"/>
        </w:rPr>
        <w:t>i</w:t>
      </w:r>
      <w:r w:rsidR="00334E8E" w:rsidRPr="00773884">
        <w:rPr>
          <w:rFonts w:ascii="Times New Roman" w:eastAsia="Arial Unicode MS" w:hAnsi="Times New Roman"/>
          <w:b/>
          <w:sz w:val="24"/>
          <w:szCs w:val="24"/>
        </w:rPr>
        <w:t>ntroduction</w:t>
      </w:r>
      <w:r w:rsidR="00BB7CFB" w:rsidRPr="00773884">
        <w:rPr>
          <w:rFonts w:ascii="Times New Roman" w:eastAsia="Arial Unicode MS" w:hAnsi="Times New Roman"/>
          <w:sz w:val="24"/>
          <w:szCs w:val="24"/>
        </w:rPr>
        <w:t xml:space="preserve"> </w:t>
      </w:r>
      <w:r w:rsidR="00334E8E" w:rsidRPr="00773884">
        <w:rPr>
          <w:rFonts w:ascii="Times New Roman" w:eastAsia="Arial Unicode MS" w:hAnsi="Times New Roman"/>
          <w:sz w:val="24"/>
          <w:szCs w:val="24"/>
        </w:rPr>
        <w:t>to the topic.</w:t>
      </w:r>
      <w:r w:rsidR="00B55356" w:rsidRPr="00773884">
        <w:rPr>
          <w:rFonts w:ascii="Times New Roman" w:eastAsia="Arial Unicode MS" w:hAnsi="Times New Roman"/>
          <w:b/>
          <w:color w:val="000000"/>
          <w:sz w:val="24"/>
          <w:szCs w:val="24"/>
        </w:rPr>
        <w:t xml:space="preserve"> </w:t>
      </w:r>
      <w:r w:rsidR="00244ECE" w:rsidRPr="00773884">
        <w:rPr>
          <w:rFonts w:ascii="Times New Roman" w:eastAsia="Arial Unicode MS" w:hAnsi="Times New Roman"/>
          <w:sz w:val="24"/>
          <w:szCs w:val="24"/>
        </w:rPr>
        <w:t xml:space="preserve">Section two presents </w:t>
      </w:r>
      <w:r w:rsidR="00244ECE" w:rsidRPr="00773884">
        <w:rPr>
          <w:rFonts w:ascii="Times New Roman" w:eastAsia="Arial Unicode MS" w:hAnsi="Times New Roman"/>
          <w:b/>
          <w:sz w:val="24"/>
          <w:szCs w:val="24"/>
        </w:rPr>
        <w:t>methodology</w:t>
      </w:r>
      <w:r w:rsidR="00244ECE" w:rsidRPr="00773884">
        <w:rPr>
          <w:rFonts w:ascii="Times New Roman" w:eastAsia="Arial Unicode MS" w:hAnsi="Times New Roman"/>
          <w:sz w:val="24"/>
          <w:szCs w:val="24"/>
        </w:rPr>
        <w:t xml:space="preserve"> used to collect and analyse information. </w:t>
      </w:r>
      <w:r w:rsidR="005E3C23" w:rsidRPr="00773884">
        <w:rPr>
          <w:rFonts w:ascii="Times New Roman" w:eastAsia="Arial Unicode MS" w:hAnsi="Times New Roman"/>
          <w:sz w:val="24"/>
          <w:szCs w:val="24"/>
        </w:rPr>
        <w:t xml:space="preserve">Section </w:t>
      </w:r>
      <w:r w:rsidR="00256007" w:rsidRPr="00773884">
        <w:rPr>
          <w:rFonts w:ascii="Times New Roman" w:eastAsia="Arial Unicode MS" w:hAnsi="Times New Roman"/>
          <w:sz w:val="24"/>
          <w:szCs w:val="24"/>
        </w:rPr>
        <w:t xml:space="preserve">three </w:t>
      </w:r>
      <w:r w:rsidR="005E3C23" w:rsidRPr="00773884">
        <w:rPr>
          <w:rFonts w:ascii="Times New Roman" w:eastAsia="Arial Unicode MS" w:hAnsi="Times New Roman"/>
          <w:sz w:val="24"/>
          <w:szCs w:val="24"/>
        </w:rPr>
        <w:t xml:space="preserve">presents a </w:t>
      </w:r>
      <w:r w:rsidR="005E3C23" w:rsidRPr="00773884">
        <w:rPr>
          <w:rFonts w:ascii="Times New Roman" w:eastAsia="Arial Unicode MS" w:hAnsi="Times New Roman"/>
          <w:b/>
          <w:sz w:val="24"/>
          <w:szCs w:val="24"/>
        </w:rPr>
        <w:t xml:space="preserve">background to the </w:t>
      </w:r>
      <w:r w:rsidR="009A6105" w:rsidRPr="00773884">
        <w:rPr>
          <w:rFonts w:ascii="Times New Roman" w:eastAsia="Arial Unicode MS" w:hAnsi="Times New Roman"/>
          <w:b/>
          <w:sz w:val="24"/>
          <w:szCs w:val="24"/>
        </w:rPr>
        <w:t>topic and</w:t>
      </w:r>
      <w:r w:rsidR="00DC0875" w:rsidRPr="00773884">
        <w:rPr>
          <w:rFonts w:ascii="Times New Roman" w:eastAsia="Arial Unicode MS" w:hAnsi="Times New Roman"/>
          <w:b/>
          <w:sz w:val="24"/>
          <w:szCs w:val="24"/>
        </w:rPr>
        <w:t xml:space="preserve"> explains the context</w:t>
      </w:r>
      <w:r w:rsidR="00DC0875" w:rsidRPr="00773884">
        <w:rPr>
          <w:rFonts w:ascii="Times New Roman" w:eastAsia="Arial Unicode MS" w:hAnsi="Times New Roman"/>
          <w:sz w:val="24"/>
          <w:szCs w:val="24"/>
        </w:rPr>
        <w:t xml:space="preserve"> in which the development partnership.</w:t>
      </w:r>
      <w:r w:rsidR="00AA3800" w:rsidRPr="00773884">
        <w:rPr>
          <w:rFonts w:ascii="Times New Roman" w:eastAsia="Arial Unicode MS" w:hAnsi="Times New Roman"/>
          <w:sz w:val="24"/>
          <w:szCs w:val="24"/>
        </w:rPr>
        <w:t xml:space="preserve"> </w:t>
      </w:r>
      <w:r w:rsidR="005E3C23" w:rsidRPr="00773884">
        <w:rPr>
          <w:rFonts w:ascii="Times New Roman" w:eastAsia="Arial Unicode MS" w:hAnsi="Times New Roman"/>
          <w:sz w:val="24"/>
          <w:szCs w:val="24"/>
        </w:rPr>
        <w:t xml:space="preserve">Section </w:t>
      </w:r>
      <w:r w:rsidR="00256007" w:rsidRPr="00773884">
        <w:rPr>
          <w:rFonts w:ascii="Times New Roman" w:eastAsia="Arial Unicode MS" w:hAnsi="Times New Roman"/>
          <w:sz w:val="24"/>
          <w:szCs w:val="24"/>
        </w:rPr>
        <w:t xml:space="preserve">four </w:t>
      </w:r>
      <w:r w:rsidR="005E3C23" w:rsidRPr="00773884">
        <w:rPr>
          <w:rFonts w:ascii="Times New Roman" w:eastAsia="Arial Unicode MS" w:hAnsi="Times New Roman"/>
          <w:sz w:val="24"/>
          <w:szCs w:val="24"/>
        </w:rPr>
        <w:t xml:space="preserve">presents </w:t>
      </w:r>
      <w:r w:rsidR="005E3C23" w:rsidRPr="00773884">
        <w:rPr>
          <w:rFonts w:ascii="Times New Roman" w:eastAsia="Arial Unicode MS" w:hAnsi="Times New Roman"/>
          <w:b/>
          <w:sz w:val="24"/>
          <w:szCs w:val="24"/>
        </w:rPr>
        <w:t>key findings</w:t>
      </w:r>
      <w:r w:rsidR="009A6105" w:rsidRPr="00773884">
        <w:rPr>
          <w:rFonts w:ascii="Times New Roman" w:eastAsia="Arial Unicode MS" w:hAnsi="Times New Roman"/>
          <w:sz w:val="24"/>
          <w:szCs w:val="24"/>
        </w:rPr>
        <w:t xml:space="preserve"> arranged under four sub-themes as follows</w:t>
      </w:r>
      <w:r w:rsidR="00AA3800" w:rsidRPr="00773884">
        <w:rPr>
          <w:rFonts w:ascii="Times New Roman" w:eastAsia="Arial Unicode MS" w:hAnsi="Times New Roman"/>
          <w:sz w:val="24"/>
          <w:szCs w:val="24"/>
        </w:rPr>
        <w:t>:</w:t>
      </w:r>
    </w:p>
    <w:p w14:paraId="4A2CFD6C" w14:textId="6D09E151" w:rsidR="009A6105" w:rsidRPr="00773884" w:rsidRDefault="000556E6" w:rsidP="00445BF9">
      <w:pPr>
        <w:pStyle w:val="DeltaBodytext"/>
        <w:numPr>
          <w:ilvl w:val="1"/>
          <w:numId w:val="14"/>
        </w:numPr>
        <w:spacing w:after="120" w:line="360" w:lineRule="auto"/>
        <w:ind w:left="1276" w:hanging="556"/>
        <w:rPr>
          <w:rFonts w:ascii="Times New Roman" w:eastAsia="Arial Unicode MS" w:hAnsi="Times New Roman"/>
          <w:sz w:val="24"/>
          <w:szCs w:val="24"/>
        </w:rPr>
      </w:pPr>
      <w:r w:rsidRPr="00773884">
        <w:rPr>
          <w:rFonts w:ascii="Times New Roman" w:eastAsia="Arial Unicode MS" w:hAnsi="Times New Roman"/>
          <w:sz w:val="24"/>
          <w:szCs w:val="24"/>
        </w:rPr>
        <w:t xml:space="preserve">Section </w:t>
      </w:r>
      <w:r w:rsidR="009A6105" w:rsidRPr="00773884">
        <w:rPr>
          <w:rFonts w:ascii="Times New Roman" w:eastAsia="Arial Unicode MS" w:hAnsi="Times New Roman"/>
          <w:sz w:val="24"/>
          <w:szCs w:val="24"/>
        </w:rPr>
        <w:t xml:space="preserve">4.1 presents an overview of </w:t>
      </w:r>
      <w:r w:rsidR="009A6105" w:rsidRPr="00773884">
        <w:rPr>
          <w:rFonts w:ascii="Times New Roman" w:eastAsia="Arial Unicode MS" w:hAnsi="Times New Roman"/>
          <w:b/>
          <w:sz w:val="24"/>
          <w:szCs w:val="24"/>
        </w:rPr>
        <w:t>trends in the development partnership</w:t>
      </w:r>
      <w:r w:rsidR="009A6105" w:rsidRPr="00773884">
        <w:rPr>
          <w:rFonts w:ascii="Times New Roman" w:eastAsia="Arial Unicode MS" w:hAnsi="Times New Roman"/>
          <w:sz w:val="24"/>
          <w:szCs w:val="24"/>
        </w:rPr>
        <w:t xml:space="preserve"> during the </w:t>
      </w:r>
      <w:r w:rsidR="00955DD3" w:rsidRPr="00773884">
        <w:rPr>
          <w:rFonts w:ascii="Times New Roman" w:eastAsia="Arial Unicode MS" w:hAnsi="Times New Roman"/>
          <w:sz w:val="24"/>
          <w:szCs w:val="24"/>
        </w:rPr>
        <w:t xml:space="preserve">mid-term </w:t>
      </w:r>
      <w:r w:rsidR="009A6105" w:rsidRPr="00773884">
        <w:rPr>
          <w:rFonts w:ascii="Times New Roman" w:eastAsia="Arial Unicode MS" w:hAnsi="Times New Roman"/>
          <w:sz w:val="24"/>
          <w:szCs w:val="24"/>
        </w:rPr>
        <w:t>period</w:t>
      </w:r>
      <w:r w:rsidR="008A6503" w:rsidRPr="00773884">
        <w:rPr>
          <w:rFonts w:ascii="Times New Roman" w:eastAsia="Arial Unicode MS" w:hAnsi="Times New Roman"/>
          <w:sz w:val="24"/>
          <w:szCs w:val="24"/>
        </w:rPr>
        <w:t xml:space="preserve"> of NDP-II</w:t>
      </w:r>
      <w:r w:rsidR="009A6105" w:rsidRPr="00773884">
        <w:rPr>
          <w:rFonts w:ascii="Times New Roman" w:eastAsia="Arial Unicode MS" w:hAnsi="Times New Roman"/>
          <w:sz w:val="24"/>
          <w:szCs w:val="24"/>
        </w:rPr>
        <w:t>, including trends in the volume and direction of aid;</w:t>
      </w:r>
    </w:p>
    <w:p w14:paraId="3B02F4EC" w14:textId="75F06831" w:rsidR="009A6105" w:rsidRPr="00773884" w:rsidRDefault="000556E6" w:rsidP="00445BF9">
      <w:pPr>
        <w:pStyle w:val="DeltaBodytext"/>
        <w:numPr>
          <w:ilvl w:val="1"/>
          <w:numId w:val="14"/>
        </w:numPr>
        <w:spacing w:after="120" w:line="360" w:lineRule="auto"/>
        <w:ind w:left="1276" w:hanging="556"/>
        <w:rPr>
          <w:rFonts w:ascii="Times New Roman" w:eastAsia="Arial Unicode MS" w:hAnsi="Times New Roman"/>
          <w:sz w:val="24"/>
          <w:szCs w:val="24"/>
        </w:rPr>
      </w:pPr>
      <w:r w:rsidRPr="00773884">
        <w:rPr>
          <w:rFonts w:ascii="Times New Roman" w:eastAsia="Arial Unicode MS" w:hAnsi="Times New Roman"/>
          <w:sz w:val="24"/>
          <w:szCs w:val="24"/>
        </w:rPr>
        <w:lastRenderedPageBreak/>
        <w:t xml:space="preserve">Section </w:t>
      </w:r>
      <w:r w:rsidR="009A6105" w:rsidRPr="00773884">
        <w:rPr>
          <w:rFonts w:ascii="Times New Roman" w:eastAsia="Arial Unicode MS" w:hAnsi="Times New Roman"/>
          <w:sz w:val="24"/>
          <w:szCs w:val="24"/>
        </w:rPr>
        <w:t xml:space="preserve">4.2 considers the question of </w:t>
      </w:r>
      <w:r w:rsidR="009A6105" w:rsidRPr="00773884">
        <w:rPr>
          <w:rFonts w:ascii="Times New Roman" w:eastAsia="Arial Unicode MS" w:hAnsi="Times New Roman"/>
          <w:b/>
          <w:sz w:val="24"/>
          <w:szCs w:val="24"/>
        </w:rPr>
        <w:t>development partner alignment with the NDP</w:t>
      </w:r>
      <w:r w:rsidR="009A6105" w:rsidRPr="00773884">
        <w:rPr>
          <w:rFonts w:ascii="Times New Roman" w:eastAsia="Arial Unicode MS" w:hAnsi="Times New Roman"/>
          <w:sz w:val="24"/>
          <w:szCs w:val="24"/>
        </w:rPr>
        <w:t xml:space="preserve"> and the contribution development partnership has made to the NDP’s progress;</w:t>
      </w:r>
    </w:p>
    <w:p w14:paraId="7B7ACFA8" w14:textId="22DA1C09" w:rsidR="009A6105" w:rsidRPr="00773884" w:rsidRDefault="000556E6" w:rsidP="00445BF9">
      <w:pPr>
        <w:pStyle w:val="DeltaBodytext"/>
        <w:numPr>
          <w:ilvl w:val="1"/>
          <w:numId w:val="14"/>
        </w:numPr>
        <w:spacing w:after="120" w:line="360" w:lineRule="auto"/>
        <w:ind w:left="1276" w:hanging="556"/>
        <w:rPr>
          <w:rFonts w:ascii="Times New Roman" w:eastAsia="Arial Unicode MS" w:hAnsi="Times New Roman"/>
          <w:sz w:val="24"/>
          <w:szCs w:val="24"/>
        </w:rPr>
      </w:pPr>
      <w:r w:rsidRPr="00773884">
        <w:rPr>
          <w:rFonts w:ascii="Times New Roman" w:eastAsia="Arial Unicode MS" w:hAnsi="Times New Roman"/>
          <w:sz w:val="24"/>
          <w:szCs w:val="24"/>
        </w:rPr>
        <w:t xml:space="preserve">Section </w:t>
      </w:r>
      <w:r w:rsidR="009A6105" w:rsidRPr="00773884">
        <w:rPr>
          <w:rFonts w:ascii="Times New Roman" w:eastAsia="Arial Unicode MS" w:hAnsi="Times New Roman"/>
          <w:sz w:val="24"/>
          <w:szCs w:val="24"/>
        </w:rPr>
        <w:t xml:space="preserve">4.3 considers progress against the objectives of </w:t>
      </w:r>
      <w:r w:rsidR="009A6105" w:rsidRPr="00773884">
        <w:rPr>
          <w:rFonts w:ascii="Times New Roman" w:eastAsia="Arial Unicode MS" w:hAnsi="Times New Roman"/>
          <w:b/>
          <w:sz w:val="24"/>
          <w:szCs w:val="24"/>
        </w:rPr>
        <w:t>harmonisation, reduced transaction costs and mutual accountability;</w:t>
      </w:r>
    </w:p>
    <w:p w14:paraId="298631FA" w14:textId="24723F0B" w:rsidR="00244ECE" w:rsidRPr="00773884" w:rsidRDefault="000556E6" w:rsidP="00445BF9">
      <w:pPr>
        <w:pStyle w:val="DeltaBodytext"/>
        <w:numPr>
          <w:ilvl w:val="1"/>
          <w:numId w:val="14"/>
        </w:numPr>
        <w:spacing w:after="120" w:line="360" w:lineRule="auto"/>
        <w:ind w:left="1276" w:hanging="556"/>
        <w:rPr>
          <w:rFonts w:ascii="Times New Roman" w:eastAsia="Arial Unicode MS" w:hAnsi="Times New Roman"/>
          <w:sz w:val="24"/>
          <w:szCs w:val="24"/>
        </w:rPr>
      </w:pPr>
      <w:r w:rsidRPr="00773884">
        <w:rPr>
          <w:rFonts w:ascii="Times New Roman" w:eastAsia="Arial Unicode MS" w:hAnsi="Times New Roman"/>
          <w:sz w:val="24"/>
          <w:szCs w:val="24"/>
        </w:rPr>
        <w:t xml:space="preserve">Section </w:t>
      </w:r>
      <w:r w:rsidR="009A6105" w:rsidRPr="00773884">
        <w:rPr>
          <w:rFonts w:ascii="Times New Roman" w:eastAsia="Arial Unicode MS" w:hAnsi="Times New Roman"/>
          <w:sz w:val="24"/>
          <w:szCs w:val="24"/>
        </w:rPr>
        <w:t xml:space="preserve">4.4 examines the role of Uganda’s </w:t>
      </w:r>
      <w:r w:rsidR="009A6105" w:rsidRPr="00773884">
        <w:rPr>
          <w:rFonts w:ascii="Times New Roman" w:eastAsia="Arial Unicode MS" w:hAnsi="Times New Roman"/>
          <w:b/>
          <w:sz w:val="24"/>
          <w:szCs w:val="24"/>
        </w:rPr>
        <w:t>non-traditional development partners</w:t>
      </w:r>
      <w:r w:rsidR="009A6105" w:rsidRPr="00773884">
        <w:rPr>
          <w:rFonts w:ascii="Times New Roman" w:eastAsia="Arial Unicode MS" w:hAnsi="Times New Roman"/>
          <w:sz w:val="24"/>
          <w:szCs w:val="24"/>
        </w:rPr>
        <w:t>;</w:t>
      </w:r>
    </w:p>
    <w:p w14:paraId="701C2A50" w14:textId="1F3E5B4D" w:rsidR="005E3C23" w:rsidRPr="00773884" w:rsidRDefault="005E3C23" w:rsidP="00445BF9">
      <w:pPr>
        <w:pStyle w:val="DeltaBodytext"/>
        <w:numPr>
          <w:ilvl w:val="1"/>
          <w:numId w:val="14"/>
        </w:numPr>
        <w:spacing w:after="120" w:line="360" w:lineRule="auto"/>
        <w:ind w:left="1276" w:hanging="556"/>
        <w:rPr>
          <w:rFonts w:ascii="Times New Roman" w:eastAsia="Arial Unicode MS" w:hAnsi="Times New Roman"/>
          <w:sz w:val="24"/>
          <w:szCs w:val="24"/>
        </w:rPr>
      </w:pPr>
      <w:r w:rsidRPr="00773884">
        <w:rPr>
          <w:rFonts w:ascii="Times New Roman" w:eastAsia="Arial Unicode MS" w:hAnsi="Times New Roman"/>
          <w:sz w:val="24"/>
          <w:szCs w:val="24"/>
        </w:rPr>
        <w:t>Section f</w:t>
      </w:r>
      <w:r w:rsidR="00256007" w:rsidRPr="00773884">
        <w:rPr>
          <w:rFonts w:ascii="Times New Roman" w:eastAsia="Arial Unicode MS" w:hAnsi="Times New Roman"/>
          <w:sz w:val="24"/>
          <w:szCs w:val="24"/>
        </w:rPr>
        <w:t xml:space="preserve">ive </w:t>
      </w:r>
      <w:r w:rsidRPr="00773884">
        <w:rPr>
          <w:rFonts w:ascii="Times New Roman" w:eastAsia="Arial Unicode MS" w:hAnsi="Times New Roman"/>
          <w:sz w:val="24"/>
          <w:szCs w:val="24"/>
        </w:rPr>
        <w:t xml:space="preserve">provides </w:t>
      </w:r>
      <w:r w:rsidRPr="00773884">
        <w:rPr>
          <w:rFonts w:ascii="Times New Roman" w:eastAsia="Arial Unicode MS" w:hAnsi="Times New Roman"/>
          <w:b/>
          <w:sz w:val="24"/>
          <w:szCs w:val="24"/>
        </w:rPr>
        <w:t>conclusions and recommendations</w:t>
      </w:r>
      <w:r w:rsidRPr="00773884">
        <w:rPr>
          <w:rFonts w:ascii="Times New Roman" w:eastAsia="Arial Unicode MS" w:hAnsi="Times New Roman"/>
          <w:sz w:val="24"/>
          <w:szCs w:val="24"/>
        </w:rPr>
        <w:t>.</w:t>
      </w:r>
    </w:p>
    <w:p w14:paraId="20A06A4A" w14:textId="1B92E52F" w:rsidR="00C71422" w:rsidRPr="00773884" w:rsidRDefault="00C7142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This report was produced by two consultants from October 2018-January 2019. This report is extremely timely as the Government of Uganda (GoU) is about to design the National Development Plan III. This document will hopefully inform and guide this initiative.</w:t>
      </w:r>
    </w:p>
    <w:p w14:paraId="5A35A5E1" w14:textId="77777777" w:rsidR="00B721EB" w:rsidRDefault="00B721EB">
      <w:pPr>
        <w:spacing w:after="0" w:line="240" w:lineRule="auto"/>
        <w:jc w:val="left"/>
        <w:rPr>
          <w:rFonts w:ascii="Times New Roman" w:hAnsi="Times New Roman"/>
          <w:b/>
          <w:bCs/>
          <w:color w:val="000000" w:themeColor="text1"/>
          <w:kern w:val="32"/>
          <w:sz w:val="28"/>
          <w:szCs w:val="24"/>
        </w:rPr>
      </w:pPr>
      <w:bookmarkStart w:id="15" w:name="_Toc534926844"/>
      <w:bookmarkStart w:id="16" w:name="_Toc3505168"/>
      <w:bookmarkStart w:id="17" w:name="_Toc357608135"/>
      <w:r>
        <w:br w:type="page"/>
      </w:r>
    </w:p>
    <w:p w14:paraId="327E0BD8" w14:textId="682E7B1B" w:rsidR="00DF77B6" w:rsidRPr="00773884" w:rsidRDefault="00773884" w:rsidP="003D56D1">
      <w:pPr>
        <w:pStyle w:val="Heading1"/>
        <w:numPr>
          <w:ilvl w:val="0"/>
          <w:numId w:val="13"/>
        </w:numPr>
        <w:spacing w:before="0" w:after="240"/>
        <w:ind w:left="567" w:hanging="567"/>
      </w:pPr>
      <w:r w:rsidRPr="00773884">
        <w:lastRenderedPageBreak/>
        <w:t>Methodology</w:t>
      </w:r>
      <w:bookmarkEnd w:id="15"/>
      <w:bookmarkEnd w:id="16"/>
    </w:p>
    <w:p w14:paraId="0A16EAC4" w14:textId="531B76D8" w:rsidR="00242BA3" w:rsidRPr="00773884" w:rsidRDefault="00DF77B6" w:rsidP="00445BF9">
      <w:pPr>
        <w:pStyle w:val="DeltaBodytext"/>
        <w:numPr>
          <w:ilvl w:val="0"/>
          <w:numId w:val="14"/>
        </w:numPr>
        <w:spacing w:after="120" w:line="360" w:lineRule="auto"/>
        <w:ind w:left="567" w:hanging="567"/>
        <w:rPr>
          <w:rFonts w:ascii="Times New Roman" w:hAnsi="Times New Roman"/>
          <w:sz w:val="24"/>
          <w:szCs w:val="24"/>
        </w:rPr>
      </w:pPr>
      <w:r w:rsidRPr="00773884">
        <w:rPr>
          <w:rFonts w:ascii="Times New Roman" w:hAnsi="Times New Roman"/>
          <w:sz w:val="24"/>
          <w:szCs w:val="24"/>
        </w:rPr>
        <w:t xml:space="preserve">For this report, the consultants requested and analysed several documents from Government and Development Partners (Annex 1). In addition, semi-structured interviews were held with Government staff and </w:t>
      </w:r>
      <w:r w:rsidR="00A27123" w:rsidRPr="00773884">
        <w:rPr>
          <w:rFonts w:ascii="Times New Roman" w:hAnsi="Times New Roman"/>
          <w:sz w:val="24"/>
          <w:szCs w:val="24"/>
        </w:rPr>
        <w:t>Development Partners</w:t>
      </w:r>
      <w:r w:rsidRPr="00773884">
        <w:rPr>
          <w:rFonts w:ascii="Times New Roman" w:hAnsi="Times New Roman"/>
          <w:sz w:val="24"/>
          <w:szCs w:val="24"/>
        </w:rPr>
        <w:t xml:space="preserve"> stakeholders who were involved in the delivery of </w:t>
      </w:r>
      <w:r w:rsidR="0063622B" w:rsidRPr="00773884">
        <w:rPr>
          <w:rFonts w:ascii="Times New Roman" w:hAnsi="Times New Roman"/>
          <w:sz w:val="24"/>
          <w:szCs w:val="24"/>
        </w:rPr>
        <w:t>NDP-</w:t>
      </w:r>
      <w:r w:rsidR="00F30400" w:rsidRPr="00773884">
        <w:rPr>
          <w:rFonts w:ascii="Times New Roman" w:hAnsi="Times New Roman"/>
          <w:sz w:val="24"/>
          <w:szCs w:val="24"/>
        </w:rPr>
        <w:t>I</w:t>
      </w:r>
      <w:r w:rsidR="0063622B" w:rsidRPr="00773884">
        <w:rPr>
          <w:rFonts w:ascii="Times New Roman" w:hAnsi="Times New Roman"/>
          <w:sz w:val="24"/>
          <w:szCs w:val="24"/>
        </w:rPr>
        <w:t>I</w:t>
      </w:r>
      <w:r w:rsidRPr="00773884">
        <w:rPr>
          <w:rFonts w:ascii="Times New Roman" w:hAnsi="Times New Roman"/>
          <w:sz w:val="24"/>
          <w:szCs w:val="24"/>
        </w:rPr>
        <w:t xml:space="preserve">. </w:t>
      </w:r>
      <w:r w:rsidR="00921B61" w:rsidRPr="00773884">
        <w:rPr>
          <w:rFonts w:ascii="Times New Roman" w:hAnsi="Times New Roman"/>
          <w:sz w:val="24"/>
          <w:szCs w:val="24"/>
        </w:rPr>
        <w:t>The assessment of the strength of development partnerships during NDP-</w:t>
      </w:r>
      <w:r w:rsidR="009C2EF9" w:rsidRPr="00773884">
        <w:rPr>
          <w:rFonts w:ascii="Times New Roman" w:hAnsi="Times New Roman"/>
          <w:sz w:val="24"/>
          <w:szCs w:val="24"/>
        </w:rPr>
        <w:t>I</w:t>
      </w:r>
      <w:r w:rsidR="00921B61" w:rsidRPr="00773884">
        <w:rPr>
          <w:rFonts w:ascii="Times New Roman" w:hAnsi="Times New Roman"/>
          <w:sz w:val="24"/>
          <w:szCs w:val="24"/>
        </w:rPr>
        <w:t xml:space="preserve">I implementation in this thematic paper is based in part on the specific questions about alignment, mutual accountability, harmonisation, and transaction costs.  </w:t>
      </w:r>
    </w:p>
    <w:p w14:paraId="28992BB2" w14:textId="3539EBC6" w:rsidR="00DF77B6" w:rsidRPr="00773884" w:rsidRDefault="00DF77B6" w:rsidP="00445BF9">
      <w:pPr>
        <w:pStyle w:val="DeltaBodytext"/>
        <w:numPr>
          <w:ilvl w:val="0"/>
          <w:numId w:val="14"/>
        </w:numPr>
        <w:spacing w:after="120" w:line="360" w:lineRule="auto"/>
        <w:ind w:left="567" w:hanging="567"/>
        <w:rPr>
          <w:rFonts w:ascii="Times New Roman" w:hAnsi="Times New Roman"/>
          <w:sz w:val="24"/>
          <w:szCs w:val="24"/>
        </w:rPr>
      </w:pPr>
      <w:r w:rsidRPr="00773884">
        <w:rPr>
          <w:rFonts w:ascii="Times New Roman" w:hAnsi="Times New Roman"/>
          <w:sz w:val="24"/>
          <w:szCs w:val="24"/>
        </w:rPr>
        <w:t>Semi-structured interviews and document analysis were framed around four areas of enquiry:</w:t>
      </w:r>
    </w:p>
    <w:p w14:paraId="0E4B0089" w14:textId="3F4F173A" w:rsidR="000556E6" w:rsidRPr="00EF20A9" w:rsidRDefault="000E567C" w:rsidP="00445BF9">
      <w:pPr>
        <w:pStyle w:val="ListParagraph"/>
        <w:numPr>
          <w:ilvl w:val="0"/>
          <w:numId w:val="9"/>
        </w:numPr>
        <w:spacing w:after="120" w:line="360" w:lineRule="auto"/>
        <w:ind w:left="1134" w:hanging="567"/>
        <w:rPr>
          <w:rFonts w:ascii="Times New Roman" w:eastAsia="Arial Unicode MS" w:hAnsi="Times New Roman"/>
          <w:sz w:val="24"/>
          <w:szCs w:val="24"/>
        </w:rPr>
      </w:pPr>
      <w:r w:rsidRPr="00EF20A9">
        <w:rPr>
          <w:rFonts w:ascii="Times New Roman" w:eastAsia="Arial Unicode MS" w:hAnsi="Times New Roman"/>
          <w:b/>
          <w:sz w:val="24"/>
          <w:szCs w:val="24"/>
        </w:rPr>
        <w:t>T</w:t>
      </w:r>
      <w:r w:rsidR="000556E6" w:rsidRPr="00EF20A9">
        <w:rPr>
          <w:rFonts w:ascii="Times New Roman" w:eastAsia="Arial Unicode MS" w:hAnsi="Times New Roman"/>
          <w:b/>
          <w:sz w:val="24"/>
          <w:szCs w:val="24"/>
        </w:rPr>
        <w:t>rends in the development partnership</w:t>
      </w:r>
      <w:r w:rsidR="000556E6" w:rsidRPr="00EF20A9">
        <w:rPr>
          <w:rFonts w:ascii="Times New Roman" w:eastAsia="Arial Unicode MS" w:hAnsi="Times New Roman"/>
          <w:sz w:val="24"/>
          <w:szCs w:val="24"/>
        </w:rPr>
        <w:t xml:space="preserve">, including trends </w:t>
      </w:r>
      <w:r w:rsidR="000556E6" w:rsidRPr="00EF20A9">
        <w:rPr>
          <w:rFonts w:ascii="Times New Roman" w:hAnsi="Times New Roman"/>
          <w:sz w:val="24"/>
          <w:szCs w:val="24"/>
        </w:rPr>
        <w:t>in</w:t>
      </w:r>
      <w:r w:rsidR="000556E6" w:rsidRPr="00EF20A9">
        <w:rPr>
          <w:rFonts w:ascii="Times New Roman" w:eastAsia="Arial Unicode MS" w:hAnsi="Times New Roman"/>
          <w:sz w:val="24"/>
          <w:szCs w:val="24"/>
        </w:rPr>
        <w:t xml:space="preserve"> the volume and direction of aid;</w:t>
      </w:r>
    </w:p>
    <w:p w14:paraId="6E603CE4" w14:textId="41C17324" w:rsidR="000556E6" w:rsidRPr="00773884" w:rsidRDefault="000E567C" w:rsidP="00445BF9">
      <w:pPr>
        <w:pStyle w:val="ListParagraph"/>
        <w:numPr>
          <w:ilvl w:val="0"/>
          <w:numId w:val="9"/>
        </w:numPr>
        <w:spacing w:after="120" w:line="360" w:lineRule="auto"/>
        <w:ind w:left="1134" w:hanging="567"/>
        <w:rPr>
          <w:rFonts w:ascii="Times New Roman" w:eastAsia="Arial Unicode MS" w:hAnsi="Times New Roman"/>
          <w:sz w:val="24"/>
          <w:szCs w:val="24"/>
        </w:rPr>
      </w:pPr>
      <w:r w:rsidRPr="00773884">
        <w:rPr>
          <w:rFonts w:ascii="Times New Roman" w:eastAsia="Arial Unicode MS" w:hAnsi="Times New Roman"/>
          <w:b/>
          <w:sz w:val="24"/>
          <w:szCs w:val="24"/>
        </w:rPr>
        <w:t>D</w:t>
      </w:r>
      <w:r w:rsidR="000556E6" w:rsidRPr="00773884">
        <w:rPr>
          <w:rFonts w:ascii="Times New Roman" w:eastAsia="Arial Unicode MS" w:hAnsi="Times New Roman"/>
          <w:b/>
          <w:sz w:val="24"/>
          <w:szCs w:val="24"/>
        </w:rPr>
        <w:t>evelopment partner alignment with the NDP</w:t>
      </w:r>
      <w:r w:rsidR="000556E6" w:rsidRPr="00773884">
        <w:rPr>
          <w:rFonts w:ascii="Times New Roman" w:eastAsia="Arial Unicode MS" w:hAnsi="Times New Roman"/>
          <w:sz w:val="24"/>
          <w:szCs w:val="24"/>
        </w:rPr>
        <w:t xml:space="preserve"> and the </w:t>
      </w:r>
      <w:r w:rsidR="000556E6" w:rsidRPr="00773884">
        <w:rPr>
          <w:rFonts w:ascii="Times New Roman" w:hAnsi="Times New Roman"/>
          <w:sz w:val="24"/>
          <w:szCs w:val="24"/>
        </w:rPr>
        <w:t>contribution</w:t>
      </w:r>
      <w:r w:rsidR="000556E6" w:rsidRPr="00773884">
        <w:rPr>
          <w:rFonts w:ascii="Times New Roman" w:eastAsia="Arial Unicode MS" w:hAnsi="Times New Roman"/>
          <w:sz w:val="24"/>
          <w:szCs w:val="24"/>
        </w:rPr>
        <w:t xml:space="preserve"> development partnership has made to the NDP’s progress;</w:t>
      </w:r>
    </w:p>
    <w:p w14:paraId="7D0CEEB6" w14:textId="62FCC41B" w:rsidR="000556E6" w:rsidRPr="00773884" w:rsidRDefault="00D3517B" w:rsidP="00445BF9">
      <w:pPr>
        <w:pStyle w:val="ListParagraph"/>
        <w:numPr>
          <w:ilvl w:val="0"/>
          <w:numId w:val="9"/>
        </w:numPr>
        <w:spacing w:after="120" w:line="360" w:lineRule="auto"/>
        <w:ind w:left="1134" w:hanging="567"/>
        <w:rPr>
          <w:rFonts w:ascii="Times New Roman" w:eastAsia="Arial Unicode MS" w:hAnsi="Times New Roman"/>
          <w:sz w:val="24"/>
          <w:szCs w:val="24"/>
        </w:rPr>
      </w:pPr>
      <w:r w:rsidRPr="00773884">
        <w:rPr>
          <w:rFonts w:ascii="Times New Roman" w:eastAsia="Arial Unicode MS" w:hAnsi="Times New Roman"/>
          <w:sz w:val="24"/>
          <w:szCs w:val="24"/>
        </w:rPr>
        <w:t>P</w:t>
      </w:r>
      <w:r w:rsidR="000556E6" w:rsidRPr="00773884">
        <w:rPr>
          <w:rFonts w:ascii="Times New Roman" w:eastAsia="Arial Unicode MS" w:hAnsi="Times New Roman"/>
          <w:sz w:val="24"/>
          <w:szCs w:val="24"/>
        </w:rPr>
        <w:t xml:space="preserve">rogress against the </w:t>
      </w:r>
      <w:r w:rsidR="000556E6" w:rsidRPr="00773884">
        <w:rPr>
          <w:rFonts w:ascii="Times New Roman" w:hAnsi="Times New Roman"/>
          <w:sz w:val="24"/>
          <w:szCs w:val="24"/>
        </w:rPr>
        <w:t>objectives</w:t>
      </w:r>
      <w:r w:rsidR="000556E6" w:rsidRPr="00773884">
        <w:rPr>
          <w:rFonts w:ascii="Times New Roman" w:eastAsia="Arial Unicode MS" w:hAnsi="Times New Roman"/>
          <w:sz w:val="24"/>
          <w:szCs w:val="24"/>
        </w:rPr>
        <w:t xml:space="preserve"> of </w:t>
      </w:r>
      <w:r w:rsidR="000556E6" w:rsidRPr="00773884">
        <w:rPr>
          <w:rFonts w:ascii="Times New Roman" w:eastAsia="Arial Unicode MS" w:hAnsi="Times New Roman"/>
          <w:b/>
          <w:sz w:val="24"/>
          <w:szCs w:val="24"/>
        </w:rPr>
        <w:t>harmonisation, reduced transaction costs and mutual accountability;</w:t>
      </w:r>
      <w:r w:rsidR="004F0275" w:rsidRPr="00773884">
        <w:rPr>
          <w:rFonts w:ascii="Times New Roman" w:eastAsia="Arial Unicode MS" w:hAnsi="Times New Roman"/>
          <w:sz w:val="24"/>
          <w:szCs w:val="24"/>
        </w:rPr>
        <w:t xml:space="preserve"> and </w:t>
      </w:r>
    </w:p>
    <w:p w14:paraId="742EADEE" w14:textId="4D089F54" w:rsidR="000556E6" w:rsidRPr="00773884" w:rsidRDefault="00D3517B" w:rsidP="00445BF9">
      <w:pPr>
        <w:pStyle w:val="ListParagraph"/>
        <w:numPr>
          <w:ilvl w:val="0"/>
          <w:numId w:val="9"/>
        </w:numPr>
        <w:spacing w:after="120" w:line="360" w:lineRule="auto"/>
        <w:ind w:left="1134" w:hanging="567"/>
        <w:rPr>
          <w:rFonts w:ascii="Times New Roman" w:eastAsia="Arial Unicode MS" w:hAnsi="Times New Roman"/>
          <w:sz w:val="24"/>
          <w:szCs w:val="24"/>
        </w:rPr>
      </w:pPr>
      <w:r w:rsidRPr="00773884">
        <w:rPr>
          <w:rFonts w:ascii="Times New Roman" w:eastAsia="Arial Unicode MS" w:hAnsi="Times New Roman"/>
          <w:sz w:val="24"/>
          <w:szCs w:val="24"/>
        </w:rPr>
        <w:t>T</w:t>
      </w:r>
      <w:r w:rsidR="000556E6" w:rsidRPr="00773884">
        <w:rPr>
          <w:rFonts w:ascii="Times New Roman" w:eastAsia="Arial Unicode MS" w:hAnsi="Times New Roman"/>
          <w:sz w:val="24"/>
          <w:szCs w:val="24"/>
        </w:rPr>
        <w:t xml:space="preserve">he role of Uganda’s </w:t>
      </w:r>
      <w:r w:rsidR="000556E6" w:rsidRPr="00773884">
        <w:rPr>
          <w:rFonts w:ascii="Times New Roman" w:eastAsia="Arial Unicode MS" w:hAnsi="Times New Roman"/>
          <w:b/>
          <w:sz w:val="24"/>
          <w:szCs w:val="24"/>
        </w:rPr>
        <w:t>non-traditional development partners</w:t>
      </w:r>
      <w:r w:rsidRPr="00773884">
        <w:rPr>
          <w:rFonts w:ascii="Times New Roman" w:eastAsia="Arial Unicode MS" w:hAnsi="Times New Roman"/>
          <w:sz w:val="24"/>
          <w:szCs w:val="24"/>
        </w:rPr>
        <w:t>.</w:t>
      </w:r>
    </w:p>
    <w:p w14:paraId="48491272" w14:textId="48B55D88" w:rsidR="00DF77B6" w:rsidRPr="00773884" w:rsidRDefault="004F0275" w:rsidP="00445BF9">
      <w:pPr>
        <w:pStyle w:val="DeltaBodytext"/>
        <w:numPr>
          <w:ilvl w:val="0"/>
          <w:numId w:val="14"/>
        </w:numPr>
        <w:spacing w:after="120" w:line="360" w:lineRule="auto"/>
        <w:ind w:left="567" w:hanging="567"/>
        <w:rPr>
          <w:rFonts w:ascii="Times New Roman" w:hAnsi="Times New Roman"/>
          <w:sz w:val="24"/>
          <w:szCs w:val="24"/>
        </w:rPr>
      </w:pPr>
      <w:r w:rsidRPr="00773884">
        <w:rPr>
          <w:rFonts w:ascii="Times New Roman" w:hAnsi="Times New Roman"/>
          <w:sz w:val="24"/>
          <w:szCs w:val="24"/>
        </w:rPr>
        <w:t xml:space="preserve">These four areas include the guiding questions for this thematic report set-out in the terms of reference of the assignment and Inception Report. </w:t>
      </w:r>
      <w:r w:rsidR="00DF77B6" w:rsidRPr="00773884">
        <w:rPr>
          <w:rFonts w:ascii="Times New Roman" w:hAnsi="Times New Roman"/>
          <w:sz w:val="24"/>
          <w:szCs w:val="24"/>
        </w:rPr>
        <w:t xml:space="preserve">It was agreed as part of the inception report that the Development Partnerships thematic report will cover </w:t>
      </w:r>
      <w:r w:rsidR="00981585" w:rsidRPr="00773884">
        <w:rPr>
          <w:rFonts w:ascii="Times New Roman" w:hAnsi="Times New Roman"/>
          <w:sz w:val="24"/>
          <w:szCs w:val="24"/>
        </w:rPr>
        <w:t>a range of</w:t>
      </w:r>
      <w:r w:rsidR="00DF77B6" w:rsidRPr="00773884">
        <w:rPr>
          <w:rFonts w:ascii="Times New Roman" w:hAnsi="Times New Roman"/>
          <w:sz w:val="24"/>
          <w:szCs w:val="24"/>
        </w:rPr>
        <w:t xml:space="preserve"> review</w:t>
      </w:r>
      <w:r w:rsidR="003B7DE0" w:rsidRPr="00773884">
        <w:rPr>
          <w:rFonts w:ascii="Times New Roman" w:hAnsi="Times New Roman"/>
          <w:sz w:val="24"/>
          <w:szCs w:val="24"/>
        </w:rPr>
        <w:t>/evaluation</w:t>
      </w:r>
      <w:r w:rsidR="00DF77B6" w:rsidRPr="00773884">
        <w:rPr>
          <w:rFonts w:ascii="Times New Roman" w:hAnsi="Times New Roman"/>
          <w:sz w:val="24"/>
          <w:szCs w:val="24"/>
        </w:rPr>
        <w:t xml:space="preserve"> questions</w:t>
      </w:r>
      <w:r w:rsidR="00997B19" w:rsidRPr="00773884">
        <w:rPr>
          <w:rFonts w:ascii="Times New Roman" w:hAnsi="Times New Roman"/>
          <w:sz w:val="24"/>
          <w:szCs w:val="24"/>
        </w:rPr>
        <w:t xml:space="preserve">. </w:t>
      </w:r>
      <w:r w:rsidR="00981585" w:rsidRPr="00773884">
        <w:rPr>
          <w:rFonts w:ascii="Times New Roman" w:hAnsi="Times New Roman"/>
          <w:sz w:val="24"/>
          <w:szCs w:val="24"/>
        </w:rPr>
        <w:t>Further details on the areas of enquiry are contained in Annex 3.</w:t>
      </w:r>
      <w:r w:rsidR="007B2775" w:rsidRPr="00773884">
        <w:rPr>
          <w:rFonts w:ascii="Times New Roman" w:hAnsi="Times New Roman"/>
          <w:sz w:val="24"/>
          <w:szCs w:val="24"/>
        </w:rPr>
        <w:t xml:space="preserve"> Evaluation questions are covered as follows</w:t>
      </w:r>
      <w:r w:rsidR="00440EAC" w:rsidRPr="00773884">
        <w:rPr>
          <w:rFonts w:ascii="Times New Roman" w:hAnsi="Times New Roman"/>
          <w:sz w:val="24"/>
          <w:szCs w:val="24"/>
        </w:rPr>
        <w:t>.</w:t>
      </w:r>
    </w:p>
    <w:p w14:paraId="36CAB5F9" w14:textId="359F8C18" w:rsidR="007919E2" w:rsidRPr="00773884" w:rsidRDefault="007919E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Section 4.1</w:t>
      </w:r>
      <w:r w:rsidR="004201A9" w:rsidRPr="00773884">
        <w:rPr>
          <w:rFonts w:ascii="Times New Roman" w:eastAsia="Arial Unicode MS" w:hAnsi="Times New Roman"/>
          <w:sz w:val="24"/>
          <w:szCs w:val="24"/>
        </w:rPr>
        <w:t xml:space="preserve">: </w:t>
      </w:r>
      <w:r w:rsidR="004201A9" w:rsidRPr="00773884">
        <w:rPr>
          <w:rFonts w:ascii="Times New Roman" w:eastAsia="Arial Unicode MS" w:hAnsi="Times New Roman"/>
          <w:b/>
          <w:sz w:val="24"/>
          <w:szCs w:val="24"/>
        </w:rPr>
        <w:t>T</w:t>
      </w:r>
      <w:r w:rsidRPr="00773884">
        <w:rPr>
          <w:rFonts w:ascii="Times New Roman" w:eastAsia="Arial Unicode MS" w:hAnsi="Times New Roman"/>
          <w:b/>
          <w:sz w:val="24"/>
          <w:szCs w:val="24"/>
        </w:rPr>
        <w:t>rends in the development partnership</w:t>
      </w:r>
      <w:r w:rsidR="00440EAC" w:rsidRPr="00773884">
        <w:rPr>
          <w:rFonts w:ascii="Times New Roman" w:eastAsia="Arial Unicode MS" w:hAnsi="Times New Roman"/>
          <w:sz w:val="24"/>
          <w:szCs w:val="24"/>
        </w:rPr>
        <w:t xml:space="preserve"> </w:t>
      </w:r>
      <w:r w:rsidR="00B65D1C" w:rsidRPr="00773884">
        <w:rPr>
          <w:rFonts w:ascii="Times New Roman" w:eastAsia="Arial Unicode MS" w:hAnsi="Times New Roman"/>
          <w:sz w:val="24"/>
          <w:szCs w:val="24"/>
        </w:rPr>
        <w:t>answers the following questions</w:t>
      </w:r>
      <w:r w:rsidR="00440EAC" w:rsidRPr="00773884">
        <w:rPr>
          <w:rFonts w:ascii="Times New Roman" w:eastAsia="Arial Unicode MS" w:hAnsi="Times New Roman"/>
          <w:sz w:val="24"/>
          <w:szCs w:val="24"/>
        </w:rPr>
        <w:t>:</w:t>
      </w:r>
    </w:p>
    <w:p w14:paraId="5797E593" w14:textId="6DF24769" w:rsidR="000B4DB9" w:rsidRPr="00773884" w:rsidRDefault="000B4DB9" w:rsidP="00445BF9">
      <w:pPr>
        <w:pStyle w:val="PlainText"/>
        <w:numPr>
          <w:ilvl w:val="0"/>
          <w:numId w:val="15"/>
        </w:numPr>
        <w:spacing w:after="120" w:line="360" w:lineRule="auto"/>
        <w:jc w:val="both"/>
        <w:rPr>
          <w:rFonts w:ascii="Times New Roman" w:hAnsi="Times New Roman"/>
          <w:sz w:val="24"/>
          <w:szCs w:val="24"/>
        </w:rPr>
      </w:pPr>
      <w:r w:rsidRPr="00773884">
        <w:rPr>
          <w:rFonts w:ascii="Times New Roman" w:hAnsi="Times New Roman"/>
          <w:b/>
          <w:sz w:val="24"/>
          <w:szCs w:val="24"/>
        </w:rPr>
        <w:t>DP1:</w:t>
      </w:r>
      <w:r w:rsidRPr="00773884">
        <w:rPr>
          <w:rFonts w:ascii="Times New Roman" w:hAnsi="Times New Roman"/>
          <w:sz w:val="24"/>
          <w:szCs w:val="24"/>
        </w:rPr>
        <w:t xml:space="preserve"> The extent to which donor support has been aligned to the NDP</w:t>
      </w:r>
      <w:r w:rsidR="00F12CEF" w:rsidRPr="00773884">
        <w:rPr>
          <w:rFonts w:ascii="Times New Roman" w:hAnsi="Times New Roman"/>
          <w:sz w:val="24"/>
          <w:szCs w:val="24"/>
        </w:rPr>
        <w:t>-</w:t>
      </w:r>
      <w:r w:rsidRPr="00773884">
        <w:rPr>
          <w:rFonts w:ascii="Times New Roman" w:hAnsi="Times New Roman"/>
          <w:sz w:val="24"/>
          <w:szCs w:val="24"/>
        </w:rPr>
        <w:t>II financing so far?</w:t>
      </w:r>
    </w:p>
    <w:p w14:paraId="794F2C3D" w14:textId="77777777" w:rsidR="000B4DB9" w:rsidRPr="00773884" w:rsidRDefault="000B4DB9" w:rsidP="00445BF9">
      <w:pPr>
        <w:pStyle w:val="PlainText"/>
        <w:numPr>
          <w:ilvl w:val="0"/>
          <w:numId w:val="15"/>
        </w:numPr>
        <w:spacing w:after="120" w:line="360" w:lineRule="auto"/>
        <w:jc w:val="both"/>
        <w:rPr>
          <w:rFonts w:ascii="Times New Roman" w:hAnsi="Times New Roman"/>
          <w:sz w:val="24"/>
          <w:szCs w:val="24"/>
        </w:rPr>
      </w:pPr>
      <w:r w:rsidRPr="00773884">
        <w:rPr>
          <w:rFonts w:ascii="Times New Roman" w:hAnsi="Times New Roman"/>
          <w:b/>
          <w:sz w:val="24"/>
          <w:szCs w:val="24"/>
        </w:rPr>
        <w:t>DP5:</w:t>
      </w:r>
      <w:r w:rsidRPr="00773884">
        <w:rPr>
          <w:rFonts w:ascii="Times New Roman" w:hAnsi="Times New Roman"/>
          <w:sz w:val="24"/>
          <w:szCs w:val="24"/>
        </w:rPr>
        <w:t xml:space="preserve"> To what extent has Uganda implemented the donor partnership policy?</w:t>
      </w:r>
    </w:p>
    <w:p w14:paraId="6D611951" w14:textId="362D3EE0" w:rsidR="000B4DB9" w:rsidRPr="00773884" w:rsidRDefault="000B4DB9" w:rsidP="00445BF9">
      <w:pPr>
        <w:pStyle w:val="PlainText"/>
        <w:numPr>
          <w:ilvl w:val="0"/>
          <w:numId w:val="15"/>
        </w:numPr>
        <w:spacing w:after="120" w:line="360" w:lineRule="auto"/>
        <w:jc w:val="both"/>
        <w:rPr>
          <w:rFonts w:ascii="Times New Roman" w:hAnsi="Times New Roman"/>
          <w:sz w:val="24"/>
          <w:szCs w:val="24"/>
        </w:rPr>
      </w:pPr>
      <w:r w:rsidRPr="00773884">
        <w:rPr>
          <w:rFonts w:ascii="Times New Roman" w:hAnsi="Times New Roman"/>
          <w:b/>
          <w:sz w:val="24"/>
          <w:szCs w:val="24"/>
        </w:rPr>
        <w:t>DP6:</w:t>
      </w:r>
      <w:r w:rsidRPr="00773884">
        <w:rPr>
          <w:rFonts w:ascii="Times New Roman" w:hAnsi="Times New Roman"/>
          <w:sz w:val="24"/>
          <w:szCs w:val="24"/>
        </w:rPr>
        <w:t xml:space="preserve"> What have been the trends in recent years in the amount and modalities of development partner resource allocation (traditional and non-traditional donors) to fund elements of the NDP</w:t>
      </w:r>
      <w:r w:rsidR="0013298B" w:rsidRPr="00773884">
        <w:rPr>
          <w:rFonts w:ascii="Times New Roman" w:hAnsi="Times New Roman"/>
          <w:sz w:val="24"/>
          <w:szCs w:val="24"/>
        </w:rPr>
        <w:t>-</w:t>
      </w:r>
      <w:r w:rsidRPr="00773884">
        <w:rPr>
          <w:rFonts w:ascii="Times New Roman" w:hAnsi="Times New Roman"/>
          <w:sz w:val="24"/>
          <w:szCs w:val="24"/>
        </w:rPr>
        <w:t>II?</w:t>
      </w:r>
    </w:p>
    <w:p w14:paraId="00D1D798" w14:textId="0BDED873" w:rsidR="00250D83" w:rsidRPr="00773884" w:rsidRDefault="00250D83" w:rsidP="00445BF9">
      <w:pPr>
        <w:pStyle w:val="PlainText"/>
        <w:numPr>
          <w:ilvl w:val="0"/>
          <w:numId w:val="15"/>
        </w:numPr>
        <w:spacing w:after="120" w:line="360" w:lineRule="auto"/>
        <w:jc w:val="both"/>
        <w:rPr>
          <w:rFonts w:ascii="Times New Roman" w:hAnsi="Times New Roman"/>
          <w:sz w:val="24"/>
          <w:szCs w:val="24"/>
        </w:rPr>
      </w:pPr>
      <w:r w:rsidRPr="00773884">
        <w:rPr>
          <w:rFonts w:ascii="Times New Roman" w:hAnsi="Times New Roman"/>
          <w:b/>
          <w:sz w:val="24"/>
          <w:szCs w:val="24"/>
        </w:rPr>
        <w:t>DP15:</w:t>
      </w:r>
      <w:r w:rsidRPr="00773884">
        <w:rPr>
          <w:rFonts w:ascii="Times New Roman" w:hAnsi="Times New Roman"/>
          <w:sz w:val="24"/>
          <w:szCs w:val="24"/>
        </w:rPr>
        <w:t xml:space="preserve"> What has been the role of DPs in development of local governments?</w:t>
      </w:r>
    </w:p>
    <w:p w14:paraId="19B3CFF3" w14:textId="355D61A6" w:rsidR="007919E2" w:rsidRPr="00773884" w:rsidRDefault="007919E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Section 4.2</w:t>
      </w:r>
      <w:r w:rsidR="003E5BED" w:rsidRPr="00773884">
        <w:rPr>
          <w:rFonts w:ascii="Times New Roman" w:eastAsia="Arial Unicode MS" w:hAnsi="Times New Roman"/>
          <w:sz w:val="24"/>
          <w:szCs w:val="24"/>
        </w:rPr>
        <w:t>:</w:t>
      </w:r>
      <w:r w:rsidRPr="00773884">
        <w:rPr>
          <w:rFonts w:ascii="Times New Roman" w:eastAsia="Arial Unicode MS" w:hAnsi="Times New Roman"/>
          <w:sz w:val="24"/>
          <w:szCs w:val="24"/>
        </w:rPr>
        <w:t xml:space="preserve"> </w:t>
      </w:r>
      <w:r w:rsidR="00540B16" w:rsidRPr="00773884">
        <w:rPr>
          <w:rFonts w:ascii="Times New Roman" w:eastAsia="Arial Unicode MS" w:hAnsi="Times New Roman"/>
          <w:b/>
          <w:sz w:val="24"/>
          <w:szCs w:val="24"/>
        </w:rPr>
        <w:t>D</w:t>
      </w:r>
      <w:r w:rsidRPr="00773884">
        <w:rPr>
          <w:rFonts w:ascii="Times New Roman" w:eastAsia="Arial Unicode MS" w:hAnsi="Times New Roman"/>
          <w:b/>
          <w:sz w:val="24"/>
          <w:szCs w:val="24"/>
        </w:rPr>
        <w:t xml:space="preserve">evelopment partner alignment </w:t>
      </w:r>
      <w:r w:rsidR="003E5BED" w:rsidRPr="00773884">
        <w:rPr>
          <w:rFonts w:ascii="Times New Roman" w:eastAsia="Arial Unicode MS" w:hAnsi="Times New Roman"/>
          <w:sz w:val="24"/>
          <w:szCs w:val="24"/>
        </w:rPr>
        <w:t>answers the following questions:</w:t>
      </w:r>
    </w:p>
    <w:p w14:paraId="61095A93" w14:textId="77777777" w:rsidR="00F12CEF" w:rsidRPr="00773884" w:rsidRDefault="00F12CEF" w:rsidP="00445BF9">
      <w:pPr>
        <w:pStyle w:val="PlainText"/>
        <w:numPr>
          <w:ilvl w:val="0"/>
          <w:numId w:val="16"/>
        </w:numPr>
        <w:spacing w:after="120" w:line="360" w:lineRule="auto"/>
        <w:jc w:val="both"/>
        <w:rPr>
          <w:rFonts w:ascii="Times New Roman" w:hAnsi="Times New Roman"/>
          <w:sz w:val="24"/>
          <w:szCs w:val="24"/>
        </w:rPr>
      </w:pPr>
      <w:r w:rsidRPr="00773884">
        <w:rPr>
          <w:rFonts w:ascii="Times New Roman" w:hAnsi="Times New Roman"/>
          <w:b/>
          <w:sz w:val="24"/>
          <w:szCs w:val="24"/>
        </w:rPr>
        <w:t>DP1:</w:t>
      </w:r>
      <w:r w:rsidRPr="00773884">
        <w:rPr>
          <w:rFonts w:ascii="Times New Roman" w:hAnsi="Times New Roman"/>
          <w:sz w:val="24"/>
          <w:szCs w:val="24"/>
        </w:rPr>
        <w:t xml:space="preserve"> The extent to which donor support has been aligned to the NDP-II financing so far?</w:t>
      </w:r>
    </w:p>
    <w:p w14:paraId="4A6614B4" w14:textId="77777777" w:rsidR="000B2F85" w:rsidRPr="00773884" w:rsidRDefault="000B2F85" w:rsidP="00445BF9">
      <w:pPr>
        <w:pStyle w:val="PlainText"/>
        <w:numPr>
          <w:ilvl w:val="0"/>
          <w:numId w:val="16"/>
        </w:numPr>
        <w:spacing w:after="120" w:line="360" w:lineRule="auto"/>
        <w:jc w:val="both"/>
        <w:rPr>
          <w:rFonts w:ascii="Times New Roman" w:eastAsiaTheme="minorHAnsi" w:hAnsi="Times New Roman"/>
          <w:sz w:val="24"/>
          <w:szCs w:val="24"/>
        </w:rPr>
      </w:pPr>
      <w:r w:rsidRPr="00773884">
        <w:rPr>
          <w:rFonts w:ascii="Times New Roman" w:hAnsi="Times New Roman"/>
          <w:b/>
          <w:sz w:val="24"/>
          <w:szCs w:val="24"/>
        </w:rPr>
        <w:lastRenderedPageBreak/>
        <w:t>DP3:</w:t>
      </w:r>
      <w:r w:rsidRPr="00773884">
        <w:rPr>
          <w:rFonts w:ascii="Times New Roman" w:hAnsi="Times New Roman"/>
          <w:sz w:val="24"/>
          <w:szCs w:val="24"/>
        </w:rPr>
        <w:t xml:space="preserve"> To what extent has donor support to NDP II priorities contributed to the countries ownership of the results and achievement of the planned targets?</w:t>
      </w:r>
    </w:p>
    <w:p w14:paraId="3317D057" w14:textId="50C232B0" w:rsidR="0013298B" w:rsidRPr="00773884" w:rsidRDefault="0013298B" w:rsidP="00445BF9">
      <w:pPr>
        <w:pStyle w:val="PlainText"/>
        <w:numPr>
          <w:ilvl w:val="0"/>
          <w:numId w:val="16"/>
        </w:numPr>
        <w:spacing w:after="120" w:line="360" w:lineRule="auto"/>
        <w:jc w:val="both"/>
        <w:rPr>
          <w:rFonts w:ascii="Times New Roman" w:hAnsi="Times New Roman"/>
          <w:sz w:val="24"/>
          <w:szCs w:val="24"/>
        </w:rPr>
      </w:pPr>
      <w:r w:rsidRPr="00773884">
        <w:rPr>
          <w:rFonts w:ascii="Times New Roman" w:hAnsi="Times New Roman"/>
          <w:b/>
          <w:sz w:val="24"/>
          <w:szCs w:val="24"/>
        </w:rPr>
        <w:t>DP7:</w:t>
      </w:r>
      <w:r w:rsidRPr="00773884">
        <w:rPr>
          <w:rFonts w:ascii="Times New Roman" w:hAnsi="Times New Roman"/>
          <w:sz w:val="24"/>
          <w:szCs w:val="24"/>
        </w:rPr>
        <w:t xml:space="preserve"> To what extent have donor priorities changed significantly in the course of NDP II implementation so far and how well are DP strategies aligned to the Plan?</w:t>
      </w:r>
    </w:p>
    <w:p w14:paraId="3888BDEB" w14:textId="77777777" w:rsidR="000B2F85" w:rsidRPr="00773884" w:rsidRDefault="000B2F85" w:rsidP="00445BF9">
      <w:pPr>
        <w:pStyle w:val="PlainText"/>
        <w:numPr>
          <w:ilvl w:val="0"/>
          <w:numId w:val="16"/>
        </w:numPr>
        <w:spacing w:after="120" w:line="360" w:lineRule="auto"/>
        <w:jc w:val="both"/>
        <w:rPr>
          <w:rFonts w:ascii="Times New Roman" w:hAnsi="Times New Roman"/>
          <w:sz w:val="24"/>
          <w:szCs w:val="24"/>
        </w:rPr>
      </w:pPr>
      <w:r w:rsidRPr="00773884">
        <w:rPr>
          <w:rFonts w:ascii="Times New Roman" w:hAnsi="Times New Roman"/>
          <w:b/>
          <w:sz w:val="24"/>
          <w:szCs w:val="24"/>
        </w:rPr>
        <w:t>DP8:</w:t>
      </w:r>
      <w:r w:rsidRPr="00773884">
        <w:rPr>
          <w:rFonts w:ascii="Times New Roman" w:hAnsi="Times New Roman"/>
          <w:sz w:val="24"/>
          <w:szCs w:val="24"/>
        </w:rPr>
        <w:t xml:space="preserve"> What mechanisms does GoU use to ensure that DP support is aligned with NDP II priorities?</w:t>
      </w:r>
    </w:p>
    <w:p w14:paraId="70EAB4D0" w14:textId="77777777" w:rsidR="000B2F85" w:rsidRPr="00773884" w:rsidRDefault="000B2F85" w:rsidP="00445BF9">
      <w:pPr>
        <w:pStyle w:val="PlainText"/>
        <w:numPr>
          <w:ilvl w:val="0"/>
          <w:numId w:val="16"/>
        </w:numPr>
        <w:spacing w:after="120" w:line="360" w:lineRule="auto"/>
        <w:jc w:val="both"/>
        <w:rPr>
          <w:rFonts w:ascii="Times New Roman" w:hAnsi="Times New Roman"/>
          <w:sz w:val="24"/>
          <w:szCs w:val="24"/>
        </w:rPr>
      </w:pPr>
      <w:r w:rsidRPr="00773884">
        <w:rPr>
          <w:rFonts w:ascii="Times New Roman" w:hAnsi="Times New Roman"/>
          <w:b/>
          <w:sz w:val="24"/>
          <w:szCs w:val="24"/>
        </w:rPr>
        <w:t>DP9:</w:t>
      </w:r>
      <w:r w:rsidRPr="00773884">
        <w:rPr>
          <w:rFonts w:ascii="Times New Roman" w:hAnsi="Times New Roman"/>
          <w:sz w:val="24"/>
          <w:szCs w:val="24"/>
        </w:rPr>
        <w:t xml:space="preserve"> How have donor programmes tangibly / measurably contributed to achievement of NDP II progress?</w:t>
      </w:r>
    </w:p>
    <w:p w14:paraId="223D637D" w14:textId="4BD397F3" w:rsidR="007919E2" w:rsidRPr="00773884" w:rsidRDefault="007919E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Section 4.3</w:t>
      </w:r>
      <w:r w:rsidR="00540B16" w:rsidRPr="00773884">
        <w:rPr>
          <w:rFonts w:ascii="Times New Roman" w:eastAsia="Arial Unicode MS" w:hAnsi="Times New Roman"/>
          <w:sz w:val="24"/>
          <w:szCs w:val="24"/>
        </w:rPr>
        <w:t>:</w:t>
      </w:r>
      <w:r w:rsidRPr="00773884">
        <w:rPr>
          <w:rFonts w:ascii="Times New Roman" w:eastAsia="Arial Unicode MS" w:hAnsi="Times New Roman"/>
          <w:sz w:val="24"/>
          <w:szCs w:val="24"/>
        </w:rPr>
        <w:t xml:space="preserve"> </w:t>
      </w:r>
      <w:r w:rsidR="00540B16" w:rsidRPr="00773884">
        <w:rPr>
          <w:rFonts w:ascii="Times New Roman" w:eastAsia="Arial Unicode MS" w:hAnsi="Times New Roman"/>
          <w:b/>
          <w:sz w:val="24"/>
          <w:szCs w:val="24"/>
        </w:rPr>
        <w:t>H</w:t>
      </w:r>
      <w:r w:rsidRPr="00773884">
        <w:rPr>
          <w:rFonts w:ascii="Times New Roman" w:eastAsia="Arial Unicode MS" w:hAnsi="Times New Roman"/>
          <w:b/>
          <w:sz w:val="24"/>
          <w:szCs w:val="24"/>
        </w:rPr>
        <w:t>armonisation, reduced transaction costs and mutual accountability</w:t>
      </w:r>
      <w:r w:rsidR="00540B16" w:rsidRPr="00773884">
        <w:rPr>
          <w:rFonts w:ascii="Times New Roman" w:eastAsia="Arial Unicode MS" w:hAnsi="Times New Roman"/>
          <w:b/>
          <w:sz w:val="24"/>
          <w:szCs w:val="24"/>
        </w:rPr>
        <w:t xml:space="preserve"> </w:t>
      </w:r>
      <w:r w:rsidR="00540B16" w:rsidRPr="00773884">
        <w:rPr>
          <w:rFonts w:ascii="Times New Roman" w:eastAsia="Arial Unicode MS" w:hAnsi="Times New Roman"/>
          <w:sz w:val="24"/>
          <w:szCs w:val="24"/>
        </w:rPr>
        <w:t>answers the following questions:</w:t>
      </w:r>
    </w:p>
    <w:p w14:paraId="44BC1F33" w14:textId="77777777" w:rsidR="006158B3" w:rsidRPr="00773884" w:rsidRDefault="006158B3" w:rsidP="00445BF9">
      <w:pPr>
        <w:pStyle w:val="PlainText"/>
        <w:numPr>
          <w:ilvl w:val="0"/>
          <w:numId w:val="17"/>
        </w:numPr>
        <w:spacing w:after="120" w:line="360" w:lineRule="auto"/>
        <w:jc w:val="both"/>
        <w:rPr>
          <w:rFonts w:ascii="Times New Roman" w:eastAsiaTheme="minorHAnsi" w:hAnsi="Times New Roman"/>
          <w:sz w:val="24"/>
          <w:szCs w:val="24"/>
        </w:rPr>
      </w:pPr>
      <w:r w:rsidRPr="00773884">
        <w:rPr>
          <w:rFonts w:ascii="Times New Roman" w:hAnsi="Times New Roman"/>
          <w:b/>
          <w:sz w:val="24"/>
          <w:szCs w:val="24"/>
        </w:rPr>
        <w:t>DP2:</w:t>
      </w:r>
      <w:r w:rsidRPr="00773884">
        <w:rPr>
          <w:rFonts w:ascii="Times New Roman" w:hAnsi="Times New Roman"/>
          <w:sz w:val="24"/>
          <w:szCs w:val="24"/>
        </w:rPr>
        <w:t xml:space="preserve"> The extent to which the NDP II has provided a basis for mutual accountability; </w:t>
      </w:r>
    </w:p>
    <w:p w14:paraId="7C2B6E73" w14:textId="77777777" w:rsidR="00CA67CD" w:rsidRPr="00773884" w:rsidRDefault="00CA67CD" w:rsidP="00445BF9">
      <w:pPr>
        <w:pStyle w:val="PlainText"/>
        <w:numPr>
          <w:ilvl w:val="0"/>
          <w:numId w:val="17"/>
        </w:numPr>
        <w:spacing w:after="120" w:line="360" w:lineRule="auto"/>
        <w:jc w:val="both"/>
        <w:rPr>
          <w:rFonts w:ascii="Times New Roman" w:eastAsiaTheme="minorHAnsi" w:hAnsi="Times New Roman"/>
          <w:sz w:val="24"/>
          <w:szCs w:val="24"/>
        </w:rPr>
      </w:pPr>
      <w:r w:rsidRPr="00773884">
        <w:rPr>
          <w:rFonts w:ascii="Times New Roman" w:hAnsi="Times New Roman"/>
          <w:b/>
          <w:sz w:val="24"/>
          <w:szCs w:val="24"/>
        </w:rPr>
        <w:t xml:space="preserve">DP4: </w:t>
      </w:r>
      <w:r w:rsidRPr="00773884">
        <w:rPr>
          <w:rFonts w:ascii="Times New Roman" w:hAnsi="Times New Roman"/>
          <w:sz w:val="24"/>
          <w:szCs w:val="24"/>
        </w:rPr>
        <w:t>To what extent has government been transparent in utilizing donor support?</w:t>
      </w:r>
    </w:p>
    <w:p w14:paraId="2939314F" w14:textId="77777777" w:rsidR="00CA67CD" w:rsidRPr="00773884" w:rsidRDefault="00CA67CD" w:rsidP="00445BF9">
      <w:pPr>
        <w:pStyle w:val="PlainText"/>
        <w:numPr>
          <w:ilvl w:val="0"/>
          <w:numId w:val="17"/>
        </w:numPr>
        <w:spacing w:after="120" w:line="360" w:lineRule="auto"/>
        <w:jc w:val="both"/>
        <w:rPr>
          <w:rFonts w:ascii="Times New Roman" w:hAnsi="Times New Roman"/>
          <w:sz w:val="24"/>
          <w:szCs w:val="24"/>
        </w:rPr>
      </w:pPr>
      <w:r w:rsidRPr="00773884">
        <w:rPr>
          <w:rFonts w:ascii="Times New Roman" w:hAnsi="Times New Roman"/>
          <w:b/>
          <w:sz w:val="24"/>
          <w:szCs w:val="24"/>
        </w:rPr>
        <w:t xml:space="preserve">DP10: </w:t>
      </w:r>
      <w:r w:rsidRPr="00773884">
        <w:rPr>
          <w:rFonts w:ascii="Times New Roman" w:hAnsi="Times New Roman"/>
          <w:sz w:val="24"/>
          <w:szCs w:val="24"/>
        </w:rPr>
        <w:t>To what extent has NDP II provided a framework for improved harmonisation and reduced transaction costs in dealing with different development partners?</w:t>
      </w:r>
    </w:p>
    <w:p w14:paraId="12255D2C" w14:textId="77777777" w:rsidR="00CA67CD" w:rsidRPr="00773884" w:rsidRDefault="00CA67CD" w:rsidP="00445BF9">
      <w:pPr>
        <w:pStyle w:val="PlainText"/>
        <w:numPr>
          <w:ilvl w:val="0"/>
          <w:numId w:val="17"/>
        </w:numPr>
        <w:spacing w:after="120" w:line="360" w:lineRule="auto"/>
        <w:jc w:val="both"/>
        <w:rPr>
          <w:rFonts w:ascii="Times New Roman" w:hAnsi="Times New Roman"/>
          <w:sz w:val="24"/>
          <w:szCs w:val="24"/>
        </w:rPr>
      </w:pPr>
      <w:r w:rsidRPr="00773884">
        <w:rPr>
          <w:rFonts w:ascii="Times New Roman" w:hAnsi="Times New Roman"/>
          <w:b/>
          <w:sz w:val="24"/>
          <w:szCs w:val="24"/>
        </w:rPr>
        <w:t xml:space="preserve">DP11: </w:t>
      </w:r>
      <w:r w:rsidRPr="00773884">
        <w:rPr>
          <w:rFonts w:ascii="Times New Roman" w:hAnsi="Times New Roman"/>
          <w:sz w:val="24"/>
          <w:szCs w:val="24"/>
        </w:rPr>
        <w:t>To what extent has the NDP II provided a basis for mutual accountability between GoU and DPs</w:t>
      </w:r>
    </w:p>
    <w:p w14:paraId="3E7420AD" w14:textId="77777777" w:rsidR="00CA67CD" w:rsidRPr="00773884" w:rsidRDefault="00CA67CD" w:rsidP="00445BF9">
      <w:pPr>
        <w:pStyle w:val="PlainText"/>
        <w:numPr>
          <w:ilvl w:val="0"/>
          <w:numId w:val="17"/>
        </w:numPr>
        <w:spacing w:after="120" w:line="360" w:lineRule="auto"/>
        <w:jc w:val="both"/>
        <w:rPr>
          <w:rFonts w:ascii="Times New Roman" w:hAnsi="Times New Roman"/>
          <w:sz w:val="24"/>
          <w:szCs w:val="24"/>
        </w:rPr>
      </w:pPr>
      <w:r w:rsidRPr="00773884">
        <w:rPr>
          <w:rFonts w:ascii="Times New Roman" w:hAnsi="Times New Roman"/>
          <w:b/>
          <w:sz w:val="24"/>
          <w:szCs w:val="24"/>
        </w:rPr>
        <w:t xml:space="preserve">DP12: </w:t>
      </w:r>
      <w:r w:rsidRPr="00773884">
        <w:rPr>
          <w:rFonts w:ascii="Times New Roman" w:hAnsi="Times New Roman"/>
          <w:sz w:val="24"/>
          <w:szCs w:val="24"/>
        </w:rPr>
        <w:t>How effective have GoU-donor partnerships been in the course of NDP implementation? Extent of pursuance of Public/Private Partnerships (PPPs) for sustainable development;</w:t>
      </w:r>
    </w:p>
    <w:p w14:paraId="42685235" w14:textId="419EB11F" w:rsidR="00CA67CD" w:rsidRPr="00773884" w:rsidRDefault="00CA67CD" w:rsidP="00445BF9">
      <w:pPr>
        <w:pStyle w:val="PlainText"/>
        <w:numPr>
          <w:ilvl w:val="0"/>
          <w:numId w:val="17"/>
        </w:numPr>
        <w:spacing w:after="120" w:line="360" w:lineRule="auto"/>
        <w:jc w:val="both"/>
        <w:rPr>
          <w:rFonts w:ascii="Times New Roman" w:hAnsi="Times New Roman"/>
          <w:sz w:val="24"/>
          <w:szCs w:val="24"/>
        </w:rPr>
      </w:pPr>
      <w:r w:rsidRPr="00773884">
        <w:rPr>
          <w:rFonts w:ascii="Times New Roman" w:hAnsi="Times New Roman"/>
          <w:b/>
          <w:sz w:val="24"/>
          <w:szCs w:val="24"/>
        </w:rPr>
        <w:t xml:space="preserve">DP13: </w:t>
      </w:r>
      <w:r w:rsidRPr="00773884">
        <w:rPr>
          <w:rFonts w:ascii="Times New Roman" w:hAnsi="Times New Roman"/>
          <w:sz w:val="24"/>
          <w:szCs w:val="24"/>
        </w:rPr>
        <w:t>How can GoU / DP relations be strengthened so that the efficient and effective implementation of the NDP is enhanced?</w:t>
      </w:r>
    </w:p>
    <w:p w14:paraId="281E6D75" w14:textId="22AC90A9" w:rsidR="007919E2" w:rsidRPr="00773884" w:rsidRDefault="007919E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Section 4.4</w:t>
      </w:r>
      <w:r w:rsidR="00E45C17" w:rsidRPr="00773884">
        <w:rPr>
          <w:rFonts w:ascii="Times New Roman" w:eastAsia="Arial Unicode MS" w:hAnsi="Times New Roman"/>
          <w:sz w:val="24"/>
          <w:szCs w:val="24"/>
        </w:rPr>
        <w:t>:</w:t>
      </w:r>
      <w:r w:rsidRPr="00773884">
        <w:rPr>
          <w:rFonts w:ascii="Times New Roman" w:eastAsia="Arial Unicode MS" w:hAnsi="Times New Roman"/>
          <w:sz w:val="24"/>
          <w:szCs w:val="24"/>
        </w:rPr>
        <w:t xml:space="preserve"> </w:t>
      </w:r>
      <w:r w:rsidR="00540B16" w:rsidRPr="00773884">
        <w:rPr>
          <w:rFonts w:ascii="Times New Roman" w:eastAsia="Arial Unicode MS" w:hAnsi="Times New Roman"/>
          <w:b/>
          <w:sz w:val="24"/>
          <w:szCs w:val="24"/>
        </w:rPr>
        <w:t>N</w:t>
      </w:r>
      <w:r w:rsidRPr="00773884">
        <w:rPr>
          <w:rFonts w:ascii="Times New Roman" w:eastAsia="Arial Unicode MS" w:hAnsi="Times New Roman"/>
          <w:b/>
          <w:sz w:val="24"/>
          <w:szCs w:val="24"/>
        </w:rPr>
        <w:t>on-traditional development partners</w:t>
      </w:r>
      <w:r w:rsidR="00540B16" w:rsidRPr="00773884">
        <w:rPr>
          <w:rFonts w:ascii="Times New Roman" w:eastAsia="Arial Unicode MS" w:hAnsi="Times New Roman"/>
          <w:sz w:val="24"/>
          <w:szCs w:val="24"/>
        </w:rPr>
        <w:t xml:space="preserve"> answers the following questions:</w:t>
      </w:r>
    </w:p>
    <w:p w14:paraId="0CE89B3C" w14:textId="150C370A" w:rsidR="00E0266F" w:rsidRPr="00773884" w:rsidRDefault="002B767F" w:rsidP="00445BF9">
      <w:pPr>
        <w:pStyle w:val="PlainText"/>
        <w:numPr>
          <w:ilvl w:val="0"/>
          <w:numId w:val="30"/>
        </w:numPr>
        <w:spacing w:after="120" w:line="360" w:lineRule="auto"/>
        <w:ind w:left="1276" w:hanging="709"/>
        <w:jc w:val="both"/>
        <w:rPr>
          <w:rFonts w:ascii="Times New Roman" w:hAnsi="Times New Roman"/>
          <w:sz w:val="24"/>
          <w:szCs w:val="24"/>
        </w:rPr>
      </w:pPr>
      <w:r w:rsidRPr="00773884">
        <w:rPr>
          <w:rFonts w:ascii="Times New Roman" w:hAnsi="Times New Roman"/>
          <w:b/>
          <w:sz w:val="24"/>
          <w:szCs w:val="24"/>
        </w:rPr>
        <w:t xml:space="preserve">DP9: </w:t>
      </w:r>
      <w:r w:rsidRPr="00773884">
        <w:rPr>
          <w:rFonts w:ascii="Times New Roman" w:hAnsi="Times New Roman"/>
          <w:sz w:val="24"/>
          <w:szCs w:val="24"/>
        </w:rPr>
        <w:t>What was the scope of effective collaboration with non-traditional donors?</w:t>
      </w:r>
    </w:p>
    <w:p w14:paraId="19768BC1" w14:textId="5781F542" w:rsidR="00DF77B6" w:rsidRPr="00773884" w:rsidRDefault="00B3359C"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The</w:t>
      </w:r>
      <w:r w:rsidR="00DF77B6" w:rsidRPr="00773884">
        <w:rPr>
          <w:rFonts w:ascii="Times New Roman" w:eastAsia="Arial Unicode MS" w:hAnsi="Times New Roman"/>
          <w:sz w:val="24"/>
          <w:szCs w:val="24"/>
        </w:rPr>
        <w:t xml:space="preserve"> preparation of the development partnership theme report has included</w:t>
      </w:r>
      <w:r w:rsidR="00CE492C" w:rsidRPr="00773884">
        <w:rPr>
          <w:rFonts w:ascii="Times New Roman" w:eastAsia="Arial Unicode MS" w:hAnsi="Times New Roman"/>
          <w:sz w:val="24"/>
          <w:szCs w:val="24"/>
        </w:rPr>
        <w:t xml:space="preserve"> </w:t>
      </w:r>
      <w:r w:rsidR="00CE492C" w:rsidRPr="000943D9">
        <w:rPr>
          <w:rFonts w:ascii="Times New Roman" w:eastAsia="Arial Unicode MS" w:hAnsi="Times New Roman"/>
          <w:sz w:val="24"/>
          <w:szCs w:val="24"/>
        </w:rPr>
        <w:t>consultations with</w:t>
      </w:r>
      <w:r w:rsidR="00CE492C" w:rsidRPr="00773884">
        <w:rPr>
          <w:rFonts w:ascii="Times New Roman" w:eastAsia="Arial Unicode MS" w:hAnsi="Times New Roman"/>
          <w:b/>
          <w:sz w:val="24"/>
          <w:szCs w:val="24"/>
        </w:rPr>
        <w:t xml:space="preserve"> relevant stakeholders</w:t>
      </w:r>
      <w:r w:rsidR="00DF77B6" w:rsidRPr="00773884">
        <w:rPr>
          <w:rFonts w:ascii="Times New Roman" w:eastAsia="Arial Unicode MS" w:hAnsi="Times New Roman"/>
          <w:b/>
          <w:sz w:val="24"/>
          <w:szCs w:val="24"/>
        </w:rPr>
        <w:t>:</w:t>
      </w:r>
    </w:p>
    <w:p w14:paraId="12DFD4E4" w14:textId="60007ABF" w:rsidR="00B82C90" w:rsidRPr="00773884" w:rsidRDefault="00B82C90" w:rsidP="00445BF9">
      <w:pPr>
        <w:pStyle w:val="PlainText"/>
        <w:numPr>
          <w:ilvl w:val="0"/>
          <w:numId w:val="31"/>
        </w:numPr>
        <w:spacing w:after="120" w:line="360" w:lineRule="auto"/>
        <w:ind w:left="1276" w:hanging="709"/>
        <w:jc w:val="both"/>
        <w:rPr>
          <w:rFonts w:ascii="Times New Roman" w:hAnsi="Times New Roman"/>
          <w:sz w:val="24"/>
          <w:szCs w:val="24"/>
        </w:rPr>
      </w:pPr>
      <w:r w:rsidRPr="00773884">
        <w:rPr>
          <w:rFonts w:ascii="Times New Roman" w:hAnsi="Times New Roman"/>
          <w:sz w:val="24"/>
          <w:szCs w:val="24"/>
        </w:rPr>
        <w:t>A round table discussion with the joint Local Development Partner Group</w:t>
      </w:r>
      <w:r w:rsidR="00D7331D" w:rsidRPr="00773884">
        <w:rPr>
          <w:rFonts w:ascii="Times New Roman" w:hAnsi="Times New Roman"/>
          <w:sz w:val="24"/>
          <w:szCs w:val="24"/>
        </w:rPr>
        <w:t xml:space="preserve"> (see Annex 4)</w:t>
      </w:r>
      <w:r w:rsidR="008F7133" w:rsidRPr="00773884">
        <w:rPr>
          <w:rFonts w:ascii="Times New Roman" w:hAnsi="Times New Roman"/>
          <w:sz w:val="24"/>
          <w:szCs w:val="24"/>
        </w:rPr>
        <w:t>;</w:t>
      </w:r>
    </w:p>
    <w:p w14:paraId="2FF6E59A" w14:textId="77777777" w:rsidR="00B82C90" w:rsidRPr="00773884" w:rsidRDefault="00B82C90" w:rsidP="00445BF9">
      <w:pPr>
        <w:pStyle w:val="PlainText"/>
        <w:numPr>
          <w:ilvl w:val="0"/>
          <w:numId w:val="31"/>
        </w:numPr>
        <w:spacing w:after="120" w:line="360" w:lineRule="auto"/>
        <w:ind w:left="1276" w:hanging="709"/>
        <w:jc w:val="both"/>
        <w:rPr>
          <w:rFonts w:ascii="Times New Roman" w:hAnsi="Times New Roman"/>
          <w:sz w:val="24"/>
          <w:szCs w:val="24"/>
        </w:rPr>
      </w:pPr>
      <w:r w:rsidRPr="00773884">
        <w:rPr>
          <w:rFonts w:ascii="Times New Roman" w:hAnsi="Times New Roman"/>
          <w:sz w:val="24"/>
          <w:szCs w:val="24"/>
        </w:rPr>
        <w:t>Bilateral meetings with selected Uganda’s main multilateral and bilateral development partners;</w:t>
      </w:r>
    </w:p>
    <w:p w14:paraId="71CB2C43" w14:textId="76E1B273" w:rsidR="001D4F7A" w:rsidRPr="00773884" w:rsidRDefault="00B82C90" w:rsidP="00445BF9">
      <w:pPr>
        <w:pStyle w:val="PlainText"/>
        <w:numPr>
          <w:ilvl w:val="0"/>
          <w:numId w:val="31"/>
        </w:numPr>
        <w:spacing w:after="120" w:line="360" w:lineRule="auto"/>
        <w:ind w:left="1276" w:hanging="709"/>
        <w:jc w:val="both"/>
        <w:rPr>
          <w:rFonts w:ascii="Times New Roman" w:hAnsi="Times New Roman"/>
          <w:sz w:val="24"/>
          <w:szCs w:val="24"/>
        </w:rPr>
      </w:pPr>
      <w:r w:rsidRPr="00773884">
        <w:rPr>
          <w:rFonts w:ascii="Times New Roman" w:hAnsi="Times New Roman"/>
          <w:sz w:val="24"/>
          <w:szCs w:val="24"/>
        </w:rPr>
        <w:lastRenderedPageBreak/>
        <w:t xml:space="preserve">Bilateral meetings with key officials in the National Planning Authority and </w:t>
      </w:r>
      <w:r w:rsidR="003E728B" w:rsidRPr="00773884">
        <w:rPr>
          <w:rFonts w:ascii="Times New Roman" w:hAnsi="Times New Roman"/>
          <w:sz w:val="24"/>
          <w:szCs w:val="24"/>
        </w:rPr>
        <w:t xml:space="preserve">in </w:t>
      </w:r>
      <w:r w:rsidRPr="00773884">
        <w:rPr>
          <w:rFonts w:ascii="Times New Roman" w:hAnsi="Times New Roman"/>
          <w:sz w:val="24"/>
          <w:szCs w:val="24"/>
        </w:rPr>
        <w:t>the Ministry of Finance, Planning and Economic Development, Directorate of Debt and Cash Policy.</w:t>
      </w:r>
    </w:p>
    <w:p w14:paraId="4B3F8222" w14:textId="4D08EC0C" w:rsidR="00477F99" w:rsidRPr="00773884" w:rsidRDefault="00DF77B6" w:rsidP="00445BF9">
      <w:pPr>
        <w:pStyle w:val="DeltaBodytext"/>
        <w:numPr>
          <w:ilvl w:val="0"/>
          <w:numId w:val="14"/>
        </w:numPr>
        <w:spacing w:after="120" w:line="360" w:lineRule="auto"/>
        <w:ind w:left="567" w:hanging="567"/>
        <w:rPr>
          <w:rFonts w:ascii="Times New Roman" w:hAnsi="Times New Roman"/>
          <w:sz w:val="24"/>
          <w:szCs w:val="24"/>
        </w:rPr>
      </w:pPr>
      <w:r w:rsidRPr="00773884">
        <w:rPr>
          <w:rFonts w:ascii="Times New Roman" w:hAnsi="Times New Roman"/>
          <w:b/>
          <w:sz w:val="24"/>
          <w:szCs w:val="24"/>
        </w:rPr>
        <w:t xml:space="preserve">The development partnership theme has also included </w:t>
      </w:r>
      <w:r w:rsidR="005D26DB" w:rsidRPr="00773884">
        <w:rPr>
          <w:rFonts w:ascii="Times New Roman" w:hAnsi="Times New Roman"/>
          <w:b/>
          <w:sz w:val="24"/>
          <w:szCs w:val="24"/>
        </w:rPr>
        <w:t xml:space="preserve">statistical </w:t>
      </w:r>
      <w:r w:rsidR="00A542E0" w:rsidRPr="00773884">
        <w:rPr>
          <w:rFonts w:ascii="Times New Roman" w:hAnsi="Times New Roman"/>
          <w:b/>
          <w:sz w:val="24"/>
          <w:szCs w:val="24"/>
        </w:rPr>
        <w:t>data analysis</w:t>
      </w:r>
      <w:r w:rsidR="00954514" w:rsidRPr="00773884">
        <w:rPr>
          <w:rFonts w:ascii="Times New Roman" w:hAnsi="Times New Roman"/>
          <w:sz w:val="24"/>
          <w:szCs w:val="24"/>
        </w:rPr>
        <w:t xml:space="preserve">, </w:t>
      </w:r>
      <w:r w:rsidRPr="00773884">
        <w:rPr>
          <w:rFonts w:ascii="Times New Roman" w:hAnsi="Times New Roman"/>
          <w:sz w:val="24"/>
          <w:szCs w:val="24"/>
        </w:rPr>
        <w:t xml:space="preserve">covering the volume and direction of Uganda’s </w:t>
      </w:r>
      <w:r w:rsidR="00954514" w:rsidRPr="00773884">
        <w:rPr>
          <w:rFonts w:ascii="Times New Roman" w:hAnsi="Times New Roman"/>
          <w:sz w:val="24"/>
          <w:szCs w:val="24"/>
        </w:rPr>
        <w:t>development assistance</w:t>
      </w:r>
      <w:r w:rsidR="00C7013D" w:rsidRPr="00773884">
        <w:rPr>
          <w:rFonts w:ascii="Times New Roman" w:hAnsi="Times New Roman"/>
          <w:sz w:val="24"/>
          <w:szCs w:val="24"/>
        </w:rPr>
        <w:t xml:space="preserve"> (see Annex 2)</w:t>
      </w:r>
      <w:r w:rsidRPr="00773884">
        <w:rPr>
          <w:rFonts w:ascii="Times New Roman" w:hAnsi="Times New Roman"/>
          <w:sz w:val="24"/>
          <w:szCs w:val="24"/>
        </w:rPr>
        <w:t>. There are two main sources of information about development assistance to Uganda; the data held by the Development Assistance and Regional Cooperation Department of the Ministry of Finance, Planning, and Economic Development (MoFPED) which is based on donor reporting</w:t>
      </w:r>
      <w:r w:rsidR="003332C5" w:rsidRPr="00773884">
        <w:rPr>
          <w:rFonts w:ascii="Times New Roman" w:hAnsi="Times New Roman"/>
          <w:sz w:val="24"/>
          <w:szCs w:val="24"/>
        </w:rPr>
        <w:t xml:space="preserve"> in Uganda</w:t>
      </w:r>
      <w:r w:rsidRPr="00773884">
        <w:rPr>
          <w:rFonts w:ascii="Times New Roman" w:hAnsi="Times New Roman"/>
          <w:sz w:val="24"/>
          <w:szCs w:val="24"/>
        </w:rPr>
        <w:t xml:space="preserve">; and data published by the OECD based on reporting from </w:t>
      </w:r>
      <w:r w:rsidR="00111CB2" w:rsidRPr="00773884">
        <w:rPr>
          <w:rFonts w:ascii="Times New Roman" w:hAnsi="Times New Roman"/>
          <w:sz w:val="24"/>
          <w:szCs w:val="24"/>
        </w:rPr>
        <w:t>Development Partners’ hea</w:t>
      </w:r>
      <w:r w:rsidR="003332C5" w:rsidRPr="00773884">
        <w:rPr>
          <w:rFonts w:ascii="Times New Roman" w:hAnsi="Times New Roman"/>
          <w:sz w:val="24"/>
          <w:szCs w:val="24"/>
        </w:rPr>
        <w:t>dquarters</w:t>
      </w:r>
      <w:r w:rsidRPr="00773884">
        <w:rPr>
          <w:rFonts w:ascii="Times New Roman" w:hAnsi="Times New Roman"/>
          <w:sz w:val="24"/>
          <w:szCs w:val="24"/>
        </w:rPr>
        <w:t>.</w:t>
      </w:r>
    </w:p>
    <w:p w14:paraId="1E632CB4" w14:textId="6EEC756C" w:rsidR="00E15CC2" w:rsidRPr="00773884" w:rsidRDefault="003332C5" w:rsidP="00445BF9">
      <w:pPr>
        <w:pStyle w:val="DeltaBodytext"/>
        <w:numPr>
          <w:ilvl w:val="0"/>
          <w:numId w:val="14"/>
        </w:numPr>
        <w:spacing w:after="120" w:line="360" w:lineRule="auto"/>
        <w:ind w:left="567" w:hanging="567"/>
        <w:rPr>
          <w:rFonts w:ascii="Times New Roman" w:hAnsi="Times New Roman"/>
          <w:sz w:val="24"/>
          <w:szCs w:val="24"/>
        </w:rPr>
      </w:pPr>
      <w:r w:rsidRPr="00773884">
        <w:rPr>
          <w:rFonts w:ascii="Times New Roman" w:hAnsi="Times New Roman"/>
          <w:b/>
          <w:sz w:val="24"/>
          <w:szCs w:val="24"/>
        </w:rPr>
        <w:t>T</w:t>
      </w:r>
      <w:r w:rsidR="00DF77B6" w:rsidRPr="00773884">
        <w:rPr>
          <w:rFonts w:ascii="Times New Roman" w:hAnsi="Times New Roman"/>
          <w:b/>
          <w:sz w:val="24"/>
          <w:szCs w:val="24"/>
        </w:rPr>
        <w:t>he two data sets are not identical</w:t>
      </w:r>
      <w:r w:rsidRPr="00773884">
        <w:rPr>
          <w:rFonts w:ascii="Times New Roman" w:hAnsi="Times New Roman"/>
          <w:b/>
          <w:sz w:val="24"/>
          <w:szCs w:val="24"/>
        </w:rPr>
        <w:t>, for several reasons</w:t>
      </w:r>
      <w:r w:rsidR="00DF77B6" w:rsidRPr="00773884">
        <w:rPr>
          <w:rFonts w:ascii="Times New Roman" w:hAnsi="Times New Roman"/>
          <w:b/>
          <w:sz w:val="24"/>
          <w:szCs w:val="24"/>
        </w:rPr>
        <w:t xml:space="preserve">. </w:t>
      </w:r>
      <w:r w:rsidR="00DF77B6" w:rsidRPr="00773884">
        <w:rPr>
          <w:rFonts w:ascii="Times New Roman" w:hAnsi="Times New Roman"/>
          <w:sz w:val="24"/>
          <w:szCs w:val="24"/>
        </w:rPr>
        <w:t>They cover different time periods – MoFPED data relates to the Ugandan financial year while OECD data is published on a calendar year basis.  MoFPED data better captures aid from non-DAC donors. OECD data probably better captures aid which donors provide “off budget” for example through civil society, although MoFPED is trying hard to make its statistics fully comprehensive.  The OECD applies a strict definition of Official Development Assistance (ODA)</w:t>
      </w:r>
      <w:bookmarkEnd w:id="17"/>
      <w:r w:rsidR="00E15CC2" w:rsidRPr="00773884">
        <w:rPr>
          <w:rFonts w:ascii="Times New Roman" w:hAnsi="Times New Roman"/>
          <w:sz w:val="24"/>
          <w:szCs w:val="24"/>
          <w:vertAlign w:val="superscript"/>
        </w:rPr>
        <w:footnoteReference w:id="2"/>
      </w:r>
      <w:r w:rsidR="00E15CC2" w:rsidRPr="00773884">
        <w:rPr>
          <w:rFonts w:ascii="Times New Roman" w:hAnsi="Times New Roman"/>
          <w:sz w:val="24"/>
          <w:szCs w:val="24"/>
        </w:rPr>
        <w:t xml:space="preserve"> which in places may be blurred in the data collected by MoFPED.</w:t>
      </w:r>
    </w:p>
    <w:p w14:paraId="46A3B9DA" w14:textId="693D042E" w:rsidR="00E15CC2" w:rsidRPr="00773884" w:rsidRDefault="00E15CC2" w:rsidP="00445BF9">
      <w:pPr>
        <w:pStyle w:val="DeltaBodytext"/>
        <w:numPr>
          <w:ilvl w:val="0"/>
          <w:numId w:val="14"/>
        </w:numPr>
        <w:spacing w:after="120" w:line="360" w:lineRule="auto"/>
        <w:ind w:left="567" w:hanging="567"/>
        <w:rPr>
          <w:rFonts w:ascii="Times New Roman" w:hAnsi="Times New Roman"/>
          <w:sz w:val="24"/>
          <w:szCs w:val="24"/>
        </w:rPr>
      </w:pPr>
      <w:r w:rsidRPr="00773884">
        <w:rPr>
          <w:rFonts w:ascii="Times New Roman" w:hAnsi="Times New Roman"/>
          <w:b/>
          <w:sz w:val="24"/>
          <w:szCs w:val="24"/>
        </w:rPr>
        <w:t>The analysis in this report is based largely on the data collected by MoFPED.</w:t>
      </w:r>
      <w:r w:rsidRPr="00773884">
        <w:rPr>
          <w:rFonts w:ascii="Times New Roman" w:hAnsi="Times New Roman"/>
          <w:sz w:val="24"/>
          <w:szCs w:val="24"/>
        </w:rPr>
        <w:t xml:space="preserve"> This is the information that is built into the annual and medium-term fiscal framework through which the NDP-</w:t>
      </w:r>
      <w:r w:rsidR="0054711E" w:rsidRPr="00773884">
        <w:rPr>
          <w:rFonts w:ascii="Times New Roman" w:hAnsi="Times New Roman"/>
          <w:sz w:val="24"/>
          <w:szCs w:val="24"/>
        </w:rPr>
        <w:t>I</w:t>
      </w:r>
      <w:r w:rsidRPr="00773884">
        <w:rPr>
          <w:rFonts w:ascii="Times New Roman" w:hAnsi="Times New Roman"/>
          <w:sz w:val="24"/>
          <w:szCs w:val="24"/>
        </w:rPr>
        <w:t>I was implemented, and, for these purposes, it is disaggregated by the sectors that are used in budgeting making it easier to assess how donors supported NDP priorities.</w:t>
      </w:r>
    </w:p>
    <w:p w14:paraId="3FBE07FF" w14:textId="77777777" w:rsidR="00B721EB" w:rsidRDefault="00B721EB">
      <w:pPr>
        <w:spacing w:after="0" w:line="240" w:lineRule="auto"/>
        <w:jc w:val="left"/>
        <w:rPr>
          <w:rFonts w:ascii="Times New Roman" w:hAnsi="Times New Roman"/>
          <w:b/>
          <w:bCs/>
          <w:color w:val="000000" w:themeColor="text1"/>
          <w:kern w:val="32"/>
          <w:sz w:val="28"/>
          <w:szCs w:val="24"/>
        </w:rPr>
      </w:pPr>
      <w:bookmarkStart w:id="18" w:name="ministers"/>
      <w:bookmarkStart w:id="19" w:name="_Toc534560544"/>
      <w:bookmarkStart w:id="20" w:name="_Toc534926845"/>
      <w:bookmarkStart w:id="21" w:name="_Toc3505169"/>
      <w:bookmarkEnd w:id="18"/>
      <w:r>
        <w:br w:type="page"/>
      </w:r>
    </w:p>
    <w:p w14:paraId="223FF733" w14:textId="2AC0C122" w:rsidR="00054B75" w:rsidRPr="000943D9" w:rsidRDefault="000943D9" w:rsidP="003D56D1">
      <w:pPr>
        <w:pStyle w:val="Heading1"/>
        <w:numPr>
          <w:ilvl w:val="0"/>
          <w:numId w:val="13"/>
        </w:numPr>
        <w:spacing w:before="0" w:after="240"/>
        <w:ind w:left="567" w:hanging="567"/>
      </w:pPr>
      <w:r w:rsidRPr="000943D9">
        <w:lastRenderedPageBreak/>
        <w:t>Background</w:t>
      </w:r>
      <w:bookmarkEnd w:id="19"/>
      <w:bookmarkEnd w:id="20"/>
      <w:bookmarkEnd w:id="21"/>
    </w:p>
    <w:p w14:paraId="0AFB243D" w14:textId="418153E9" w:rsidR="00054B75" w:rsidRPr="00773884" w:rsidRDefault="00054B75" w:rsidP="00445BF9">
      <w:pPr>
        <w:pStyle w:val="DeltaBodytext"/>
        <w:numPr>
          <w:ilvl w:val="0"/>
          <w:numId w:val="14"/>
        </w:numPr>
        <w:spacing w:after="120" w:line="360" w:lineRule="auto"/>
        <w:ind w:left="567" w:hanging="567"/>
        <w:rPr>
          <w:rFonts w:ascii="Times New Roman" w:hAnsi="Times New Roman"/>
          <w:sz w:val="24"/>
          <w:szCs w:val="24"/>
        </w:rPr>
      </w:pPr>
      <w:r w:rsidRPr="00773884">
        <w:rPr>
          <w:rFonts w:ascii="Times New Roman" w:hAnsi="Times New Roman"/>
          <w:sz w:val="24"/>
          <w:szCs w:val="24"/>
        </w:rPr>
        <w:t xml:space="preserve">This section </w:t>
      </w:r>
      <w:r w:rsidRPr="00773884">
        <w:rPr>
          <w:rFonts w:ascii="Times New Roman" w:eastAsia="Arial Unicode MS" w:hAnsi="Times New Roman"/>
          <w:sz w:val="24"/>
          <w:szCs w:val="24"/>
        </w:rPr>
        <w:t xml:space="preserve">presents a background </w:t>
      </w:r>
      <w:r w:rsidRPr="00773884">
        <w:rPr>
          <w:rFonts w:ascii="Times New Roman" w:hAnsi="Times New Roman"/>
          <w:sz w:val="24"/>
          <w:szCs w:val="24"/>
        </w:rPr>
        <w:t xml:space="preserve">information </w:t>
      </w:r>
      <w:r w:rsidRPr="00773884">
        <w:rPr>
          <w:rFonts w:ascii="Times New Roman" w:eastAsia="Arial Unicode MS" w:hAnsi="Times New Roman"/>
          <w:sz w:val="24"/>
          <w:szCs w:val="24"/>
        </w:rPr>
        <w:t xml:space="preserve">and the context in which the development partnership functions and includes: </w:t>
      </w:r>
      <w:r w:rsidR="00956E37" w:rsidRPr="00773884">
        <w:rPr>
          <w:rFonts w:ascii="Times New Roman" w:hAnsi="Times New Roman"/>
          <w:sz w:val="24"/>
          <w:szCs w:val="24"/>
        </w:rPr>
        <w:t xml:space="preserve">Overview of the NDP-II; </w:t>
      </w:r>
      <w:r w:rsidRPr="00773884">
        <w:rPr>
          <w:rFonts w:ascii="Times New Roman" w:hAnsi="Times New Roman"/>
          <w:sz w:val="24"/>
          <w:szCs w:val="24"/>
        </w:rPr>
        <w:t>Development Partner engagement in NDP</w:t>
      </w:r>
      <w:r w:rsidR="00956E37" w:rsidRPr="00773884">
        <w:rPr>
          <w:rFonts w:ascii="Times New Roman" w:hAnsi="Times New Roman"/>
          <w:sz w:val="24"/>
          <w:szCs w:val="24"/>
        </w:rPr>
        <w:t>-II</w:t>
      </w:r>
      <w:r w:rsidRPr="00773884">
        <w:rPr>
          <w:rFonts w:ascii="Times New Roman" w:hAnsi="Times New Roman"/>
          <w:sz w:val="24"/>
          <w:szCs w:val="24"/>
        </w:rPr>
        <w:t xml:space="preserve"> preparation; Development partnership arrangements in NDP-</w:t>
      </w:r>
      <w:r w:rsidR="00894096" w:rsidRPr="00773884">
        <w:rPr>
          <w:rFonts w:ascii="Times New Roman" w:hAnsi="Times New Roman"/>
          <w:sz w:val="24"/>
          <w:szCs w:val="24"/>
        </w:rPr>
        <w:t>I</w:t>
      </w:r>
      <w:r w:rsidRPr="00773884">
        <w:rPr>
          <w:rFonts w:ascii="Times New Roman" w:hAnsi="Times New Roman"/>
          <w:sz w:val="24"/>
          <w:szCs w:val="24"/>
        </w:rPr>
        <w:t>I; and the Government of Uganda’s institutional framework in managing development assistance.</w:t>
      </w:r>
      <w:bookmarkStart w:id="22" w:name="_Toc532119823"/>
      <w:bookmarkStart w:id="23" w:name="_Toc532127182"/>
      <w:bookmarkStart w:id="24" w:name="_Toc534194608"/>
      <w:bookmarkStart w:id="25" w:name="_Toc534195285"/>
      <w:bookmarkStart w:id="26" w:name="_Toc534202421"/>
      <w:bookmarkStart w:id="27" w:name="_Toc532119824"/>
      <w:bookmarkStart w:id="28" w:name="_Toc532127183"/>
      <w:bookmarkStart w:id="29" w:name="_Toc534194609"/>
      <w:bookmarkStart w:id="30" w:name="_Toc534195286"/>
      <w:bookmarkStart w:id="31" w:name="_Toc534202422"/>
      <w:bookmarkStart w:id="32" w:name="_Toc532119825"/>
      <w:bookmarkStart w:id="33" w:name="_Toc532127184"/>
      <w:bookmarkStart w:id="34" w:name="_Toc534194610"/>
      <w:bookmarkStart w:id="35" w:name="_Toc534195287"/>
      <w:bookmarkStart w:id="36" w:name="_Toc534202423"/>
      <w:bookmarkStart w:id="37" w:name="_Toc532119826"/>
      <w:bookmarkStart w:id="38" w:name="_Toc532127185"/>
      <w:bookmarkStart w:id="39" w:name="_Toc534194611"/>
      <w:bookmarkStart w:id="40" w:name="_Toc534195288"/>
      <w:bookmarkStart w:id="41" w:name="_Toc534202424"/>
      <w:bookmarkStart w:id="42" w:name="_Toc532119827"/>
      <w:bookmarkStart w:id="43" w:name="_Toc532127186"/>
      <w:bookmarkStart w:id="44" w:name="_Toc534194612"/>
      <w:bookmarkStart w:id="45" w:name="_Toc534195289"/>
      <w:bookmarkStart w:id="46" w:name="_Toc53420242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3E88091" w14:textId="4F38EA31" w:rsidR="00F519AB" w:rsidRPr="000943D9" w:rsidRDefault="00324106" w:rsidP="00445BF9">
      <w:pPr>
        <w:pStyle w:val="Heading2"/>
        <w:spacing w:after="120"/>
      </w:pPr>
      <w:bookmarkStart w:id="47" w:name="_Toc534926846"/>
      <w:bookmarkStart w:id="48" w:name="_Toc3505170"/>
      <w:r w:rsidRPr="000943D9">
        <w:t>Overview of t</w:t>
      </w:r>
      <w:r w:rsidR="00E67CBF" w:rsidRPr="000943D9">
        <w:t xml:space="preserve">he </w:t>
      </w:r>
      <w:r w:rsidR="00690B78" w:rsidRPr="000943D9">
        <w:t>NDP-II</w:t>
      </w:r>
      <w:bookmarkEnd w:id="47"/>
      <w:bookmarkEnd w:id="48"/>
    </w:p>
    <w:p w14:paraId="3843762E" w14:textId="449BE3C2" w:rsidR="002B7145" w:rsidRPr="00773884" w:rsidRDefault="002B7145"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The NDP</w:t>
      </w:r>
      <w:r w:rsidR="00690B78" w:rsidRPr="00773884">
        <w:rPr>
          <w:rFonts w:ascii="Times New Roman" w:eastAsia="Arial Unicode MS" w:hAnsi="Times New Roman"/>
          <w:sz w:val="24"/>
          <w:szCs w:val="24"/>
        </w:rPr>
        <w:t>-II</w:t>
      </w:r>
      <w:r w:rsidRPr="00773884">
        <w:rPr>
          <w:rFonts w:ascii="Times New Roman" w:eastAsia="Arial Unicode MS" w:hAnsi="Times New Roman"/>
          <w:sz w:val="24"/>
          <w:szCs w:val="24"/>
        </w:rPr>
        <w:t xml:space="preserve"> was launched in June 2015. It is a second in a series of six</w:t>
      </w:r>
      <w:r w:rsidR="00E67CBF" w:rsidRPr="00773884">
        <w:rPr>
          <w:rFonts w:ascii="Times New Roman" w:eastAsia="Arial Unicode MS" w:hAnsi="Times New Roman"/>
          <w:sz w:val="24"/>
          <w:szCs w:val="24"/>
        </w:rPr>
        <w:t xml:space="preserve"> </w:t>
      </w:r>
      <w:r w:rsidR="00CC1A21" w:rsidRPr="00773884">
        <w:rPr>
          <w:rFonts w:ascii="Times New Roman" w:eastAsia="Arial Unicode MS" w:hAnsi="Times New Roman"/>
          <w:sz w:val="24"/>
          <w:szCs w:val="24"/>
        </w:rPr>
        <w:t>five-year</w:t>
      </w:r>
      <w:r w:rsidRPr="00773884">
        <w:rPr>
          <w:rFonts w:ascii="Times New Roman" w:eastAsia="Arial Unicode MS" w:hAnsi="Times New Roman"/>
          <w:sz w:val="24"/>
          <w:szCs w:val="24"/>
        </w:rPr>
        <w:t xml:space="preserve"> Plans aimed at achieving Uganda Vision 2040. It is anchored on the importance of propelling the country towards middle income status by 2020 through strengthening the country’s competi</w:t>
      </w:r>
      <w:r w:rsidR="00CC1A21" w:rsidRPr="00773884">
        <w:rPr>
          <w:rFonts w:ascii="Times New Roman" w:eastAsia="Arial Unicode MS" w:hAnsi="Times New Roman"/>
          <w:sz w:val="24"/>
          <w:szCs w:val="24"/>
        </w:rPr>
        <w:t>ti</w:t>
      </w:r>
      <w:r w:rsidRPr="00773884">
        <w:rPr>
          <w:rFonts w:ascii="Times New Roman" w:eastAsia="Arial Unicode MS" w:hAnsi="Times New Roman"/>
          <w:sz w:val="24"/>
          <w:szCs w:val="24"/>
        </w:rPr>
        <w:t xml:space="preserve">veness for sustainable wealth creation, employment and inclusive growth.  </w:t>
      </w:r>
    </w:p>
    <w:p w14:paraId="64865FAB" w14:textId="1A181008" w:rsidR="002B7145" w:rsidRPr="00773884" w:rsidRDefault="002B7145"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The plan is built on the achievements registered under the NDP</w:t>
      </w:r>
      <w:r w:rsidR="00E607EE" w:rsidRPr="00773884">
        <w:rPr>
          <w:rFonts w:ascii="Times New Roman" w:eastAsia="Arial Unicode MS" w:hAnsi="Times New Roman"/>
          <w:sz w:val="24"/>
          <w:szCs w:val="24"/>
        </w:rPr>
        <w:t>-</w:t>
      </w:r>
      <w:r w:rsidRPr="00773884">
        <w:rPr>
          <w:rFonts w:ascii="Times New Roman" w:eastAsia="Arial Unicode MS" w:hAnsi="Times New Roman"/>
          <w:sz w:val="24"/>
          <w:szCs w:val="24"/>
        </w:rPr>
        <w:t xml:space="preserve">I, </w:t>
      </w:r>
      <w:r w:rsidR="00205308" w:rsidRPr="00773884">
        <w:rPr>
          <w:rFonts w:ascii="Times New Roman" w:eastAsia="Arial Unicode MS" w:hAnsi="Times New Roman"/>
          <w:sz w:val="24"/>
          <w:szCs w:val="24"/>
        </w:rPr>
        <w:t>in</w:t>
      </w:r>
      <w:r w:rsidRPr="00773884">
        <w:rPr>
          <w:rFonts w:ascii="Times New Roman" w:eastAsia="Arial Unicode MS" w:hAnsi="Times New Roman"/>
          <w:sz w:val="24"/>
          <w:szCs w:val="24"/>
        </w:rPr>
        <w:t xml:space="preserve"> consideration of the challenges encountered and lessons learnt during its implementation. The NDP</w:t>
      </w:r>
      <w:r w:rsidR="00E67CBF" w:rsidRPr="00773884">
        <w:rPr>
          <w:rFonts w:ascii="Times New Roman" w:eastAsia="Arial Unicode MS" w:hAnsi="Times New Roman"/>
          <w:sz w:val="24"/>
          <w:szCs w:val="24"/>
        </w:rPr>
        <w:t>-</w:t>
      </w:r>
      <w:r w:rsidRPr="00773884">
        <w:rPr>
          <w:rFonts w:ascii="Times New Roman" w:eastAsia="Arial Unicode MS" w:hAnsi="Times New Roman"/>
          <w:sz w:val="24"/>
          <w:szCs w:val="24"/>
        </w:rPr>
        <w:t>II</w:t>
      </w:r>
      <w:r w:rsidR="00032AD3" w:rsidRPr="00773884">
        <w:rPr>
          <w:rFonts w:ascii="Times New Roman" w:eastAsia="Arial Unicode MS" w:hAnsi="Times New Roman"/>
          <w:sz w:val="24"/>
          <w:szCs w:val="24"/>
        </w:rPr>
        <w:t xml:space="preserve"> covering t</w:t>
      </w:r>
      <w:r w:rsidRPr="00773884">
        <w:rPr>
          <w:rFonts w:ascii="Times New Roman" w:eastAsia="Arial Unicode MS" w:hAnsi="Times New Roman"/>
          <w:sz w:val="24"/>
          <w:szCs w:val="24"/>
        </w:rPr>
        <w:t>he period 2015/16 - 2019/20 is being implemented to sustain and consolidate the achievements of the NDP</w:t>
      </w:r>
      <w:r w:rsidR="00CE4F3C" w:rsidRPr="00773884">
        <w:rPr>
          <w:rFonts w:ascii="Times New Roman" w:eastAsia="Arial Unicode MS" w:hAnsi="Times New Roman"/>
          <w:sz w:val="24"/>
          <w:szCs w:val="24"/>
        </w:rPr>
        <w:t>-I</w:t>
      </w:r>
      <w:r w:rsidRPr="00773884">
        <w:rPr>
          <w:rFonts w:ascii="Times New Roman" w:eastAsia="Arial Unicode MS" w:hAnsi="Times New Roman"/>
          <w:sz w:val="24"/>
          <w:szCs w:val="24"/>
        </w:rPr>
        <w:t xml:space="preserve">. The </w:t>
      </w:r>
      <w:r w:rsidR="00790CEC" w:rsidRPr="00773884">
        <w:rPr>
          <w:rFonts w:ascii="Times New Roman" w:eastAsia="Arial Unicode MS" w:hAnsi="Times New Roman"/>
          <w:sz w:val="24"/>
          <w:szCs w:val="24"/>
        </w:rPr>
        <w:t xml:space="preserve">NDP-II </w:t>
      </w:r>
      <w:r w:rsidRPr="00773884">
        <w:rPr>
          <w:rFonts w:ascii="Times New Roman" w:eastAsia="Arial Unicode MS" w:hAnsi="Times New Roman"/>
          <w:sz w:val="24"/>
          <w:szCs w:val="24"/>
        </w:rPr>
        <w:t>plan prioriti</w:t>
      </w:r>
      <w:r w:rsidR="00A659E8" w:rsidRPr="00773884">
        <w:rPr>
          <w:rFonts w:ascii="Times New Roman" w:eastAsia="Arial Unicode MS" w:hAnsi="Times New Roman"/>
          <w:sz w:val="24"/>
          <w:szCs w:val="24"/>
        </w:rPr>
        <w:t>s</w:t>
      </w:r>
      <w:r w:rsidRPr="00773884">
        <w:rPr>
          <w:rFonts w:ascii="Times New Roman" w:eastAsia="Arial Unicode MS" w:hAnsi="Times New Roman"/>
          <w:sz w:val="24"/>
          <w:szCs w:val="24"/>
        </w:rPr>
        <w:t xml:space="preserve">es investments in three key growth opportunities which are: </w:t>
      </w:r>
      <w:r w:rsidRPr="00773884">
        <w:rPr>
          <w:rFonts w:ascii="Times New Roman" w:eastAsia="Arial Unicode MS" w:hAnsi="Times New Roman"/>
          <w:b/>
          <w:sz w:val="24"/>
          <w:szCs w:val="24"/>
        </w:rPr>
        <w:t>agriculture, tourism, minerals, oil and gas as well as two fundamentals: infrastructure and human capital development</w:t>
      </w:r>
      <w:r w:rsidRPr="00773884">
        <w:rPr>
          <w:rFonts w:ascii="Times New Roman" w:eastAsia="Arial Unicode MS" w:hAnsi="Times New Roman"/>
          <w:sz w:val="24"/>
          <w:szCs w:val="24"/>
        </w:rPr>
        <w:t>. The plan is being implemented under a macro-economic framework whose objective is to maintain macro-economic stability and to raise resources needed to implement Uganda’s immediate and long</w:t>
      </w:r>
      <w:r w:rsidR="00CC1A21" w:rsidRPr="00773884">
        <w:rPr>
          <w:rFonts w:ascii="Times New Roman" w:eastAsia="Arial Unicode MS" w:hAnsi="Times New Roman"/>
          <w:sz w:val="24"/>
          <w:szCs w:val="24"/>
        </w:rPr>
        <w:t>-</w:t>
      </w:r>
      <w:r w:rsidRPr="00773884">
        <w:rPr>
          <w:rFonts w:ascii="Times New Roman" w:eastAsia="Arial Unicode MS" w:hAnsi="Times New Roman"/>
          <w:sz w:val="24"/>
          <w:szCs w:val="24"/>
        </w:rPr>
        <w:t>term development strategy. The plan is expected to lead to an average growth rate of 6.3% and per capita income of US$ 1,039 by 2020.</w:t>
      </w:r>
    </w:p>
    <w:p w14:paraId="1211153D" w14:textId="1067EB86" w:rsidR="002B7145" w:rsidRPr="00773884" w:rsidRDefault="002B7145"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 xml:space="preserve">The </w:t>
      </w:r>
      <w:r w:rsidR="00A659E8" w:rsidRPr="00773884">
        <w:rPr>
          <w:rFonts w:ascii="Times New Roman" w:eastAsia="Arial Unicode MS" w:hAnsi="Times New Roman"/>
          <w:sz w:val="24"/>
          <w:szCs w:val="24"/>
        </w:rPr>
        <w:t>NDP-II</w:t>
      </w:r>
      <w:r w:rsidRPr="00773884">
        <w:rPr>
          <w:rFonts w:ascii="Times New Roman" w:eastAsia="Arial Unicode MS" w:hAnsi="Times New Roman"/>
          <w:sz w:val="24"/>
          <w:szCs w:val="24"/>
        </w:rPr>
        <w:t xml:space="preserve"> </w:t>
      </w:r>
      <w:r w:rsidR="00A659E8" w:rsidRPr="00773884">
        <w:rPr>
          <w:rFonts w:ascii="Times New Roman" w:eastAsia="Arial Unicode MS" w:hAnsi="Times New Roman"/>
          <w:sz w:val="24"/>
          <w:szCs w:val="24"/>
        </w:rPr>
        <w:t xml:space="preserve">plan </w:t>
      </w:r>
      <w:r w:rsidRPr="00773884">
        <w:rPr>
          <w:rFonts w:ascii="Times New Roman" w:eastAsia="Arial Unicode MS" w:hAnsi="Times New Roman"/>
          <w:sz w:val="24"/>
          <w:szCs w:val="24"/>
        </w:rPr>
        <w:t>sets key four objectives to be achieved during the five</w:t>
      </w:r>
      <w:r w:rsidR="00A659E8" w:rsidRPr="00773884">
        <w:rPr>
          <w:rFonts w:ascii="Times New Roman" w:eastAsia="Arial Unicode MS" w:hAnsi="Times New Roman"/>
          <w:sz w:val="24"/>
          <w:szCs w:val="24"/>
        </w:rPr>
        <w:t xml:space="preserve">-year </w:t>
      </w:r>
      <w:r w:rsidRPr="00773884">
        <w:rPr>
          <w:rFonts w:ascii="Times New Roman" w:eastAsia="Arial Unicode MS" w:hAnsi="Times New Roman"/>
          <w:sz w:val="24"/>
          <w:szCs w:val="24"/>
        </w:rPr>
        <w:t>period, namely;</w:t>
      </w:r>
    </w:p>
    <w:p w14:paraId="34689123" w14:textId="61273428" w:rsidR="002B7145" w:rsidRPr="00773884" w:rsidRDefault="002B7145" w:rsidP="00445BF9">
      <w:pPr>
        <w:pStyle w:val="PlainText"/>
        <w:numPr>
          <w:ilvl w:val="0"/>
          <w:numId w:val="18"/>
        </w:numPr>
        <w:spacing w:after="120" w:line="360" w:lineRule="auto"/>
        <w:jc w:val="both"/>
        <w:rPr>
          <w:rFonts w:ascii="Times New Roman" w:eastAsia="Arial Unicode MS" w:hAnsi="Times New Roman"/>
          <w:sz w:val="24"/>
          <w:szCs w:val="24"/>
        </w:rPr>
      </w:pPr>
      <w:r w:rsidRPr="00773884">
        <w:rPr>
          <w:rFonts w:ascii="Times New Roman" w:eastAsia="Arial Unicode MS" w:hAnsi="Times New Roman"/>
          <w:sz w:val="24"/>
          <w:szCs w:val="24"/>
        </w:rPr>
        <w:t>Increasing sustainable production, productivity and value addition in key growth opportunities;</w:t>
      </w:r>
    </w:p>
    <w:p w14:paraId="2A94CC99" w14:textId="77777777" w:rsidR="002B7145" w:rsidRPr="00773884" w:rsidRDefault="002B7145" w:rsidP="00445BF9">
      <w:pPr>
        <w:pStyle w:val="PlainText"/>
        <w:numPr>
          <w:ilvl w:val="0"/>
          <w:numId w:val="18"/>
        </w:numPr>
        <w:spacing w:after="120" w:line="360" w:lineRule="auto"/>
        <w:jc w:val="both"/>
        <w:rPr>
          <w:rFonts w:ascii="Times New Roman" w:eastAsia="Arial Unicode MS" w:hAnsi="Times New Roman"/>
          <w:sz w:val="24"/>
          <w:szCs w:val="24"/>
        </w:rPr>
      </w:pPr>
      <w:r w:rsidRPr="00773884">
        <w:rPr>
          <w:rFonts w:ascii="Times New Roman" w:eastAsia="Arial Unicode MS" w:hAnsi="Times New Roman"/>
          <w:sz w:val="24"/>
          <w:szCs w:val="24"/>
        </w:rPr>
        <w:t>Increasing the stock and quality of strategic infrastructure to accelerate the country’s competitiveness;</w:t>
      </w:r>
    </w:p>
    <w:p w14:paraId="2979DE1A" w14:textId="77777777" w:rsidR="002B7145" w:rsidRPr="00773884" w:rsidRDefault="002B7145" w:rsidP="00445BF9">
      <w:pPr>
        <w:pStyle w:val="PlainText"/>
        <w:numPr>
          <w:ilvl w:val="0"/>
          <w:numId w:val="18"/>
        </w:numPr>
        <w:spacing w:after="120" w:line="360" w:lineRule="auto"/>
        <w:jc w:val="both"/>
        <w:rPr>
          <w:rFonts w:ascii="Times New Roman" w:eastAsia="Arial Unicode MS" w:hAnsi="Times New Roman"/>
          <w:sz w:val="24"/>
          <w:szCs w:val="24"/>
        </w:rPr>
      </w:pPr>
      <w:r w:rsidRPr="00773884">
        <w:rPr>
          <w:rFonts w:ascii="Times New Roman" w:eastAsia="Arial Unicode MS" w:hAnsi="Times New Roman"/>
          <w:sz w:val="24"/>
          <w:szCs w:val="24"/>
        </w:rPr>
        <w:t>Enhancing human capital development; and</w:t>
      </w:r>
    </w:p>
    <w:p w14:paraId="434A6117" w14:textId="77777777" w:rsidR="002B7145" w:rsidRPr="00773884" w:rsidRDefault="002B7145" w:rsidP="00445BF9">
      <w:pPr>
        <w:pStyle w:val="PlainText"/>
        <w:numPr>
          <w:ilvl w:val="0"/>
          <w:numId w:val="18"/>
        </w:numPr>
        <w:spacing w:after="120" w:line="360" w:lineRule="auto"/>
        <w:jc w:val="both"/>
        <w:rPr>
          <w:rFonts w:ascii="Times New Roman" w:eastAsia="Arial Unicode MS" w:hAnsi="Times New Roman"/>
          <w:sz w:val="24"/>
          <w:szCs w:val="24"/>
        </w:rPr>
      </w:pPr>
      <w:r w:rsidRPr="00773884">
        <w:rPr>
          <w:rFonts w:ascii="Times New Roman" w:eastAsia="Arial Unicode MS" w:hAnsi="Times New Roman"/>
          <w:sz w:val="24"/>
          <w:szCs w:val="24"/>
        </w:rPr>
        <w:t>Strengthening mechanism for quality, effective and efficient service delivery.</w:t>
      </w:r>
    </w:p>
    <w:p w14:paraId="793E994D" w14:textId="597FF342" w:rsidR="00F07C87" w:rsidRPr="00773884" w:rsidRDefault="002B7145"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The plan is envisaged to be financed by both public and private resources, with about 57.8 percent coming from Government and 42.2 percent from the private contributions. The Public financing sources foreseen include external financing and domestic financing.</w:t>
      </w:r>
    </w:p>
    <w:p w14:paraId="6E389EBE" w14:textId="1E58FC6E" w:rsidR="00E15CC2" w:rsidRPr="00773884" w:rsidRDefault="00E15CC2" w:rsidP="00445BF9">
      <w:pPr>
        <w:pStyle w:val="Heading2"/>
        <w:spacing w:after="120"/>
      </w:pPr>
      <w:bookmarkStart w:id="49" w:name="_Toc534926847"/>
      <w:bookmarkStart w:id="50" w:name="_Toc3505171"/>
      <w:r w:rsidRPr="00773884">
        <w:lastRenderedPageBreak/>
        <w:t>Development Partner engagement in NDP</w:t>
      </w:r>
      <w:r w:rsidR="00EA16A0" w:rsidRPr="00773884">
        <w:t>-II</w:t>
      </w:r>
      <w:r w:rsidRPr="00773884">
        <w:t xml:space="preserve"> preparation</w:t>
      </w:r>
      <w:bookmarkEnd w:id="49"/>
      <w:bookmarkEnd w:id="50"/>
    </w:p>
    <w:p w14:paraId="18662B41" w14:textId="116B4C52" w:rsidR="002E12B6" w:rsidRPr="00773884" w:rsidRDefault="00E15CC2" w:rsidP="00445BF9">
      <w:pPr>
        <w:pStyle w:val="DeltaBodytext"/>
        <w:numPr>
          <w:ilvl w:val="0"/>
          <w:numId w:val="14"/>
        </w:numPr>
        <w:spacing w:after="120" w:line="360" w:lineRule="auto"/>
        <w:ind w:left="567" w:hanging="567"/>
        <w:rPr>
          <w:rFonts w:ascii="Times New Roman" w:eastAsia="Arial Unicode MS" w:hAnsi="Times New Roman"/>
          <w:b/>
          <w:sz w:val="24"/>
          <w:szCs w:val="24"/>
        </w:rPr>
      </w:pPr>
      <w:r w:rsidRPr="00773884">
        <w:rPr>
          <w:rFonts w:ascii="Times New Roman" w:eastAsia="Arial Unicode MS" w:hAnsi="Times New Roman"/>
          <w:b/>
          <w:sz w:val="24"/>
          <w:szCs w:val="24"/>
        </w:rPr>
        <w:t>There was a strong ownership by the GoU in development and driving NDP-</w:t>
      </w:r>
      <w:r w:rsidR="002E12B6" w:rsidRPr="00773884">
        <w:rPr>
          <w:rFonts w:ascii="Times New Roman" w:eastAsia="Arial Unicode MS" w:hAnsi="Times New Roman"/>
          <w:b/>
          <w:sz w:val="24"/>
          <w:szCs w:val="24"/>
        </w:rPr>
        <w:t>I</w:t>
      </w:r>
      <w:r w:rsidRPr="00773884">
        <w:rPr>
          <w:rFonts w:ascii="Times New Roman" w:eastAsia="Arial Unicode MS" w:hAnsi="Times New Roman"/>
          <w:b/>
          <w:sz w:val="24"/>
          <w:szCs w:val="24"/>
        </w:rPr>
        <w:t>I formulation</w:t>
      </w:r>
      <w:r w:rsidR="002E12B6" w:rsidRPr="00773884">
        <w:rPr>
          <w:rFonts w:ascii="Times New Roman" w:eastAsia="Arial Unicode MS" w:hAnsi="Times New Roman"/>
          <w:b/>
          <w:sz w:val="24"/>
          <w:szCs w:val="24"/>
        </w:rPr>
        <w:t>.</w:t>
      </w:r>
      <w:r w:rsidR="00925CB9" w:rsidRPr="00773884">
        <w:rPr>
          <w:rFonts w:ascii="Times New Roman" w:eastAsia="Arial Unicode MS" w:hAnsi="Times New Roman"/>
          <w:sz w:val="24"/>
          <w:szCs w:val="24"/>
        </w:rPr>
        <w:t xml:space="preserve"> On the part of government there was a particularly strong desire to present the NDP as very much its own strategy.</w:t>
      </w:r>
      <w:r w:rsidR="003640F8" w:rsidRPr="00773884">
        <w:rPr>
          <w:rFonts w:ascii="Times New Roman" w:eastAsia="Arial Unicode MS" w:hAnsi="Times New Roman"/>
          <w:sz w:val="24"/>
          <w:szCs w:val="24"/>
        </w:rPr>
        <w:t xml:space="preserve"> </w:t>
      </w:r>
      <w:r w:rsidR="000A059F" w:rsidRPr="00773884">
        <w:rPr>
          <w:rFonts w:ascii="Times New Roman" w:eastAsia="Arial Unicode MS" w:hAnsi="Times New Roman"/>
          <w:sz w:val="24"/>
          <w:szCs w:val="24"/>
        </w:rPr>
        <w:t>T</w:t>
      </w:r>
      <w:r w:rsidR="003640F8" w:rsidRPr="00773884">
        <w:rPr>
          <w:rFonts w:ascii="Times New Roman" w:eastAsia="Arial Unicode MS" w:hAnsi="Times New Roman"/>
          <w:sz w:val="24"/>
          <w:szCs w:val="24"/>
        </w:rPr>
        <w:t xml:space="preserve">here </w:t>
      </w:r>
      <w:r w:rsidR="00B43B97" w:rsidRPr="00773884">
        <w:rPr>
          <w:rFonts w:ascii="Times New Roman" w:eastAsia="Arial Unicode MS" w:hAnsi="Times New Roman"/>
          <w:sz w:val="24"/>
          <w:szCs w:val="24"/>
        </w:rPr>
        <w:t>were</w:t>
      </w:r>
      <w:r w:rsidR="003640F8" w:rsidRPr="00773884">
        <w:rPr>
          <w:rFonts w:ascii="Times New Roman" w:eastAsia="Arial Unicode MS" w:hAnsi="Times New Roman"/>
          <w:sz w:val="24"/>
          <w:szCs w:val="24"/>
        </w:rPr>
        <w:t xml:space="preserve"> wide consultations across </w:t>
      </w:r>
      <w:r w:rsidR="00C850B7" w:rsidRPr="00773884">
        <w:rPr>
          <w:rFonts w:ascii="Times New Roman" w:eastAsia="Arial Unicode MS" w:hAnsi="Times New Roman"/>
          <w:sz w:val="24"/>
          <w:szCs w:val="24"/>
        </w:rPr>
        <w:t>M</w:t>
      </w:r>
      <w:r w:rsidR="003640F8" w:rsidRPr="00773884">
        <w:rPr>
          <w:rFonts w:ascii="Times New Roman" w:eastAsia="Arial Unicode MS" w:hAnsi="Times New Roman"/>
          <w:sz w:val="24"/>
          <w:szCs w:val="24"/>
        </w:rPr>
        <w:t>inistries, Department and Government Agencies, private sector, CSO and Academia.</w:t>
      </w:r>
    </w:p>
    <w:p w14:paraId="2CFB7F6B" w14:textId="41D42EB6" w:rsidR="0008707A" w:rsidRPr="00773884" w:rsidRDefault="007A57B9" w:rsidP="00445BF9">
      <w:pPr>
        <w:pStyle w:val="DeltaBodytext"/>
        <w:numPr>
          <w:ilvl w:val="0"/>
          <w:numId w:val="14"/>
        </w:numPr>
        <w:spacing w:after="120" w:line="360" w:lineRule="auto"/>
        <w:ind w:left="567" w:hanging="567"/>
        <w:rPr>
          <w:rFonts w:ascii="Times New Roman" w:hAnsi="Times New Roman"/>
          <w:sz w:val="24"/>
          <w:szCs w:val="24"/>
        </w:rPr>
      </w:pPr>
      <w:r w:rsidRPr="00773884">
        <w:rPr>
          <w:rFonts w:ascii="Times New Roman" w:eastAsia="Arial Unicode MS" w:hAnsi="Times New Roman"/>
          <w:b/>
          <w:sz w:val="24"/>
          <w:szCs w:val="24"/>
        </w:rPr>
        <w:t>Development Partners were deeply involved in the preparation of the NDP-II</w:t>
      </w:r>
      <w:r w:rsidR="00F879F5" w:rsidRPr="00773884">
        <w:rPr>
          <w:rFonts w:ascii="Times New Roman" w:eastAsia="Arial Unicode MS" w:hAnsi="Times New Roman"/>
          <w:b/>
          <w:sz w:val="24"/>
          <w:szCs w:val="24"/>
        </w:rPr>
        <w:t xml:space="preserve">, however their influence </w:t>
      </w:r>
      <w:r w:rsidR="002E12B6" w:rsidRPr="00773884">
        <w:rPr>
          <w:rFonts w:ascii="Times New Roman" w:eastAsia="Arial Unicode MS" w:hAnsi="Times New Roman"/>
          <w:b/>
          <w:sz w:val="24"/>
          <w:szCs w:val="24"/>
        </w:rPr>
        <w:t>o</w:t>
      </w:r>
      <w:r w:rsidR="00F879F5" w:rsidRPr="00773884">
        <w:rPr>
          <w:rFonts w:ascii="Times New Roman" w:eastAsia="Arial Unicode MS" w:hAnsi="Times New Roman"/>
          <w:b/>
          <w:sz w:val="24"/>
          <w:szCs w:val="24"/>
        </w:rPr>
        <w:t>n the NDP-</w:t>
      </w:r>
      <w:r w:rsidR="002E12B6" w:rsidRPr="00773884">
        <w:rPr>
          <w:rFonts w:ascii="Times New Roman" w:eastAsia="Arial Unicode MS" w:hAnsi="Times New Roman"/>
          <w:b/>
          <w:sz w:val="24"/>
          <w:szCs w:val="24"/>
        </w:rPr>
        <w:t>I</w:t>
      </w:r>
      <w:r w:rsidR="00F879F5" w:rsidRPr="00773884">
        <w:rPr>
          <w:rFonts w:ascii="Times New Roman" w:eastAsia="Arial Unicode MS" w:hAnsi="Times New Roman"/>
          <w:b/>
          <w:sz w:val="24"/>
          <w:szCs w:val="24"/>
        </w:rPr>
        <w:t>I formulation</w:t>
      </w:r>
      <w:r w:rsidR="002E12B6" w:rsidRPr="00773884">
        <w:rPr>
          <w:rFonts w:ascii="Times New Roman" w:eastAsia="Arial Unicode MS" w:hAnsi="Times New Roman"/>
          <w:b/>
          <w:sz w:val="24"/>
          <w:szCs w:val="24"/>
        </w:rPr>
        <w:t xml:space="preserve"> was not significant</w:t>
      </w:r>
      <w:r w:rsidRPr="00773884">
        <w:rPr>
          <w:rFonts w:ascii="Times New Roman" w:eastAsia="Arial Unicode MS" w:hAnsi="Times New Roman"/>
          <w:b/>
          <w:sz w:val="24"/>
          <w:szCs w:val="24"/>
        </w:rPr>
        <w:t>.</w:t>
      </w:r>
      <w:r w:rsidRPr="00773884">
        <w:rPr>
          <w:rFonts w:ascii="Times New Roman" w:eastAsia="Arial Unicode MS" w:hAnsi="Times New Roman"/>
          <w:sz w:val="24"/>
          <w:szCs w:val="24"/>
        </w:rPr>
        <w:t xml:space="preserve">  </w:t>
      </w:r>
      <w:r w:rsidR="002E12B6" w:rsidRPr="00773884">
        <w:rPr>
          <w:rFonts w:ascii="Times New Roman" w:eastAsia="Arial Unicode MS" w:hAnsi="Times New Roman"/>
          <w:sz w:val="24"/>
          <w:szCs w:val="24"/>
        </w:rPr>
        <w:t>DPs</w:t>
      </w:r>
      <w:r w:rsidRPr="00773884">
        <w:rPr>
          <w:rFonts w:ascii="Times New Roman" w:eastAsia="Arial Unicode MS" w:hAnsi="Times New Roman"/>
          <w:sz w:val="24"/>
          <w:szCs w:val="24"/>
        </w:rPr>
        <w:t xml:space="preserve"> provided technical assistance funding to support its drafting, with government in the driving sit. </w:t>
      </w:r>
      <w:r w:rsidR="00F95DD9" w:rsidRPr="00773884">
        <w:rPr>
          <w:rFonts w:ascii="Times New Roman" w:hAnsi="Times New Roman"/>
          <w:sz w:val="24"/>
          <w:szCs w:val="24"/>
        </w:rPr>
        <w:t xml:space="preserve">The process was consultative enough. However not much </w:t>
      </w:r>
      <w:r w:rsidR="000E6FE6" w:rsidRPr="00773884">
        <w:rPr>
          <w:rFonts w:ascii="Times New Roman" w:hAnsi="Times New Roman"/>
          <w:sz w:val="24"/>
          <w:szCs w:val="24"/>
        </w:rPr>
        <w:t xml:space="preserve">was </w:t>
      </w:r>
      <w:r w:rsidR="00F95DD9" w:rsidRPr="00773884">
        <w:rPr>
          <w:rFonts w:ascii="Times New Roman" w:hAnsi="Times New Roman"/>
          <w:sz w:val="24"/>
          <w:szCs w:val="24"/>
        </w:rPr>
        <w:t>included</w:t>
      </w:r>
      <w:r w:rsidR="000E6FE6" w:rsidRPr="00773884">
        <w:rPr>
          <w:rFonts w:ascii="Times New Roman" w:hAnsi="Times New Roman"/>
          <w:sz w:val="24"/>
          <w:szCs w:val="24"/>
        </w:rPr>
        <w:t xml:space="preserve"> in the final NDP-II document</w:t>
      </w:r>
      <w:r w:rsidR="00F95DD9" w:rsidRPr="00773884">
        <w:rPr>
          <w:rFonts w:ascii="Times New Roman" w:hAnsi="Times New Roman"/>
          <w:sz w:val="24"/>
          <w:szCs w:val="24"/>
        </w:rPr>
        <w:t>.</w:t>
      </w:r>
      <w:r w:rsidR="000E6FE6" w:rsidRPr="00773884">
        <w:rPr>
          <w:rFonts w:ascii="Times New Roman" w:hAnsi="Times New Roman"/>
          <w:sz w:val="24"/>
          <w:szCs w:val="24"/>
        </w:rPr>
        <w:t xml:space="preserve"> </w:t>
      </w:r>
      <w:r w:rsidR="000E6FE6" w:rsidRPr="00773884">
        <w:rPr>
          <w:rFonts w:ascii="Times New Roman" w:hAnsi="Times New Roman"/>
          <w:b/>
          <w:sz w:val="24"/>
          <w:szCs w:val="24"/>
        </w:rPr>
        <w:t xml:space="preserve">There </w:t>
      </w:r>
      <w:r w:rsidR="001B3349" w:rsidRPr="00773884">
        <w:rPr>
          <w:rFonts w:ascii="Times New Roman" w:hAnsi="Times New Roman"/>
          <w:b/>
          <w:sz w:val="24"/>
          <w:szCs w:val="24"/>
        </w:rPr>
        <w:t xml:space="preserve">are not enough details in NDP-II </w:t>
      </w:r>
      <w:r w:rsidR="00B43B97" w:rsidRPr="00773884">
        <w:rPr>
          <w:rFonts w:ascii="Times New Roman" w:hAnsi="Times New Roman"/>
          <w:b/>
          <w:sz w:val="24"/>
          <w:szCs w:val="24"/>
        </w:rPr>
        <w:t>regarding</w:t>
      </w:r>
      <w:r w:rsidR="001B3349" w:rsidRPr="00773884">
        <w:rPr>
          <w:rFonts w:ascii="Times New Roman" w:hAnsi="Times New Roman"/>
          <w:b/>
          <w:sz w:val="24"/>
          <w:szCs w:val="24"/>
        </w:rPr>
        <w:t xml:space="preserve"> development partnership and funding </w:t>
      </w:r>
      <w:r w:rsidR="0008707A" w:rsidRPr="00773884">
        <w:rPr>
          <w:rFonts w:ascii="Times New Roman" w:hAnsi="Times New Roman"/>
          <w:b/>
          <w:sz w:val="24"/>
          <w:szCs w:val="24"/>
        </w:rPr>
        <w:t>commitments</w:t>
      </w:r>
      <w:r w:rsidR="001B3349" w:rsidRPr="00773884">
        <w:rPr>
          <w:rFonts w:ascii="Times New Roman" w:hAnsi="Times New Roman"/>
          <w:b/>
          <w:sz w:val="24"/>
          <w:szCs w:val="24"/>
        </w:rPr>
        <w:t>.</w:t>
      </w:r>
    </w:p>
    <w:p w14:paraId="7B1BDBC6" w14:textId="47C27100" w:rsidR="00E15CC2" w:rsidRPr="00773884" w:rsidRDefault="00E15CC2" w:rsidP="00445BF9">
      <w:pPr>
        <w:pStyle w:val="Heading2"/>
        <w:spacing w:after="120"/>
      </w:pPr>
      <w:bookmarkStart w:id="51" w:name="_Toc534926848"/>
      <w:bookmarkStart w:id="52" w:name="_Toc3505172"/>
      <w:r w:rsidRPr="00773884">
        <w:t>Development partnership arrangements in the NDP-I</w:t>
      </w:r>
      <w:r w:rsidR="00B75930" w:rsidRPr="00773884">
        <w:t>I</w:t>
      </w:r>
      <w:bookmarkEnd w:id="51"/>
      <w:bookmarkEnd w:id="52"/>
    </w:p>
    <w:p w14:paraId="7C8FE5B5" w14:textId="4052205A" w:rsidR="00AE08AE" w:rsidRPr="00773884" w:rsidRDefault="00232557"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b/>
          <w:sz w:val="24"/>
          <w:szCs w:val="24"/>
        </w:rPr>
        <w:t xml:space="preserve">Though </w:t>
      </w:r>
      <w:r w:rsidR="009A6E9F" w:rsidRPr="00773884">
        <w:rPr>
          <w:rFonts w:ascii="Times New Roman" w:eastAsia="Arial Unicode MS" w:hAnsi="Times New Roman"/>
          <w:b/>
          <w:sz w:val="24"/>
          <w:szCs w:val="24"/>
        </w:rPr>
        <w:t>t</w:t>
      </w:r>
      <w:r w:rsidRPr="00773884">
        <w:rPr>
          <w:rFonts w:ascii="Times New Roman" w:eastAsia="Arial Unicode MS" w:hAnsi="Times New Roman"/>
          <w:b/>
          <w:sz w:val="24"/>
          <w:szCs w:val="24"/>
        </w:rPr>
        <w:t>he NDP</w:t>
      </w:r>
      <w:r w:rsidR="009A6E9F" w:rsidRPr="00773884">
        <w:rPr>
          <w:rFonts w:ascii="Times New Roman" w:eastAsia="Arial Unicode MS" w:hAnsi="Times New Roman"/>
          <w:b/>
          <w:sz w:val="24"/>
          <w:szCs w:val="24"/>
        </w:rPr>
        <w:t>-</w:t>
      </w:r>
      <w:r w:rsidRPr="00773884">
        <w:rPr>
          <w:rFonts w:ascii="Times New Roman" w:eastAsia="Arial Unicode MS" w:hAnsi="Times New Roman"/>
          <w:b/>
          <w:sz w:val="24"/>
          <w:szCs w:val="24"/>
        </w:rPr>
        <w:t>II recognise</w:t>
      </w:r>
      <w:r w:rsidR="009A6E9F" w:rsidRPr="00773884">
        <w:rPr>
          <w:rFonts w:ascii="Times New Roman" w:eastAsia="Arial Unicode MS" w:hAnsi="Times New Roman"/>
          <w:b/>
          <w:sz w:val="24"/>
          <w:szCs w:val="24"/>
        </w:rPr>
        <w:t>s</w:t>
      </w:r>
      <w:r w:rsidRPr="00773884">
        <w:rPr>
          <w:rFonts w:ascii="Times New Roman" w:eastAsia="Arial Unicode MS" w:hAnsi="Times New Roman"/>
          <w:b/>
          <w:sz w:val="24"/>
          <w:szCs w:val="24"/>
        </w:rPr>
        <w:t xml:space="preserve"> the important role of </w:t>
      </w:r>
      <w:r w:rsidR="009A6E9F" w:rsidRPr="00773884">
        <w:rPr>
          <w:rFonts w:ascii="Times New Roman" w:eastAsia="Arial Unicode MS" w:hAnsi="Times New Roman"/>
          <w:b/>
          <w:sz w:val="24"/>
          <w:szCs w:val="24"/>
        </w:rPr>
        <w:t>d</w:t>
      </w:r>
      <w:r w:rsidRPr="00773884">
        <w:rPr>
          <w:rFonts w:ascii="Times New Roman" w:eastAsia="Arial Unicode MS" w:hAnsi="Times New Roman"/>
          <w:b/>
          <w:sz w:val="24"/>
          <w:szCs w:val="24"/>
        </w:rPr>
        <w:t xml:space="preserve">evelopment </w:t>
      </w:r>
      <w:r w:rsidR="009A6E9F" w:rsidRPr="00773884">
        <w:rPr>
          <w:rFonts w:ascii="Times New Roman" w:eastAsia="Arial Unicode MS" w:hAnsi="Times New Roman"/>
          <w:b/>
          <w:sz w:val="24"/>
          <w:szCs w:val="24"/>
        </w:rPr>
        <w:t>partnership and development a</w:t>
      </w:r>
      <w:r w:rsidRPr="00773884">
        <w:rPr>
          <w:rFonts w:ascii="Times New Roman" w:eastAsia="Arial Unicode MS" w:hAnsi="Times New Roman"/>
          <w:b/>
          <w:sz w:val="24"/>
          <w:szCs w:val="24"/>
        </w:rPr>
        <w:t>ssistance</w:t>
      </w:r>
      <w:r w:rsidR="009A6E9F" w:rsidRPr="00773884">
        <w:rPr>
          <w:rFonts w:ascii="Times New Roman" w:eastAsia="Arial Unicode MS" w:hAnsi="Times New Roman"/>
          <w:b/>
          <w:sz w:val="24"/>
          <w:szCs w:val="24"/>
        </w:rPr>
        <w:t xml:space="preserve">, there is less emphasis </w:t>
      </w:r>
      <w:r w:rsidR="00A0731D" w:rsidRPr="00773884">
        <w:rPr>
          <w:rFonts w:ascii="Times New Roman" w:eastAsia="Arial Unicode MS" w:hAnsi="Times New Roman"/>
          <w:b/>
          <w:sz w:val="24"/>
          <w:szCs w:val="24"/>
        </w:rPr>
        <w:t xml:space="preserve">in the </w:t>
      </w:r>
      <w:r w:rsidR="00741512" w:rsidRPr="00773884">
        <w:rPr>
          <w:rFonts w:ascii="Times New Roman" w:eastAsia="Arial Unicode MS" w:hAnsi="Times New Roman"/>
          <w:b/>
          <w:sz w:val="24"/>
          <w:szCs w:val="24"/>
        </w:rPr>
        <w:t xml:space="preserve">Plan </w:t>
      </w:r>
      <w:r w:rsidR="009A6E9F" w:rsidRPr="00773884">
        <w:rPr>
          <w:rFonts w:ascii="Times New Roman" w:eastAsia="Arial Unicode MS" w:hAnsi="Times New Roman"/>
          <w:b/>
          <w:sz w:val="24"/>
          <w:szCs w:val="24"/>
        </w:rPr>
        <w:t xml:space="preserve">on </w:t>
      </w:r>
      <w:r w:rsidR="00AE08AE" w:rsidRPr="00773884">
        <w:rPr>
          <w:rFonts w:ascii="Times New Roman" w:eastAsia="Arial Unicode MS" w:hAnsi="Times New Roman"/>
          <w:b/>
          <w:sz w:val="24"/>
          <w:szCs w:val="24"/>
        </w:rPr>
        <w:t xml:space="preserve">Development </w:t>
      </w:r>
      <w:r w:rsidR="009A6E9F" w:rsidRPr="00773884">
        <w:rPr>
          <w:rFonts w:ascii="Times New Roman" w:eastAsia="Arial Unicode MS" w:hAnsi="Times New Roman"/>
          <w:b/>
          <w:sz w:val="24"/>
          <w:szCs w:val="24"/>
        </w:rPr>
        <w:t xml:space="preserve">assistance and less details </w:t>
      </w:r>
      <w:r w:rsidR="008D1B2E" w:rsidRPr="00773884">
        <w:rPr>
          <w:rFonts w:ascii="Times New Roman" w:eastAsia="Arial Unicode MS" w:hAnsi="Times New Roman"/>
          <w:b/>
          <w:sz w:val="24"/>
          <w:szCs w:val="24"/>
        </w:rPr>
        <w:t xml:space="preserve">about development </w:t>
      </w:r>
      <w:r w:rsidR="00AE08AE" w:rsidRPr="00773884">
        <w:rPr>
          <w:rFonts w:ascii="Times New Roman" w:eastAsia="Arial Unicode MS" w:hAnsi="Times New Roman"/>
          <w:b/>
          <w:sz w:val="24"/>
          <w:szCs w:val="24"/>
        </w:rPr>
        <w:t>partnership arrangements</w:t>
      </w:r>
      <w:r w:rsidR="00741512" w:rsidRPr="00773884">
        <w:rPr>
          <w:rFonts w:ascii="Times New Roman" w:eastAsia="Arial Unicode MS" w:hAnsi="Times New Roman"/>
          <w:b/>
          <w:sz w:val="24"/>
          <w:szCs w:val="24"/>
        </w:rPr>
        <w:t>/commitments</w:t>
      </w:r>
      <w:r w:rsidR="00AE08AE" w:rsidRPr="00773884">
        <w:rPr>
          <w:rFonts w:ascii="Times New Roman" w:eastAsia="Arial Unicode MS" w:hAnsi="Times New Roman"/>
          <w:sz w:val="24"/>
          <w:szCs w:val="24"/>
        </w:rPr>
        <w:t xml:space="preserve"> </w:t>
      </w:r>
      <w:r w:rsidR="008D1B2E" w:rsidRPr="00773884">
        <w:rPr>
          <w:rFonts w:ascii="Times New Roman" w:eastAsia="Arial Unicode MS" w:hAnsi="Times New Roman"/>
          <w:sz w:val="24"/>
          <w:szCs w:val="24"/>
        </w:rPr>
        <w:t xml:space="preserve">compared to those </w:t>
      </w:r>
      <w:r w:rsidR="00741512" w:rsidRPr="00773884">
        <w:rPr>
          <w:rFonts w:ascii="Times New Roman" w:eastAsia="Arial Unicode MS" w:hAnsi="Times New Roman"/>
          <w:sz w:val="24"/>
          <w:szCs w:val="24"/>
        </w:rPr>
        <w:t xml:space="preserve">detailed </w:t>
      </w:r>
      <w:r w:rsidR="008D1B2E" w:rsidRPr="00773884">
        <w:rPr>
          <w:rFonts w:ascii="Times New Roman" w:eastAsia="Arial Unicode MS" w:hAnsi="Times New Roman"/>
          <w:sz w:val="24"/>
          <w:szCs w:val="24"/>
        </w:rPr>
        <w:t xml:space="preserve">in </w:t>
      </w:r>
      <w:r w:rsidR="00AE08AE" w:rsidRPr="00773884">
        <w:rPr>
          <w:rFonts w:ascii="Times New Roman" w:eastAsia="Arial Unicode MS" w:hAnsi="Times New Roman"/>
          <w:sz w:val="24"/>
          <w:szCs w:val="24"/>
        </w:rPr>
        <w:t>the NDP-I</w:t>
      </w:r>
      <w:r w:rsidR="008D1B2E" w:rsidRPr="00773884">
        <w:rPr>
          <w:rFonts w:ascii="Times New Roman" w:eastAsia="Arial Unicode MS" w:hAnsi="Times New Roman"/>
          <w:sz w:val="24"/>
          <w:szCs w:val="24"/>
        </w:rPr>
        <w:t>.</w:t>
      </w:r>
    </w:p>
    <w:p w14:paraId="5D002496" w14:textId="62018A2D" w:rsidR="00D24D0D" w:rsidRPr="00773884" w:rsidRDefault="00B75930"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The NDP</w:t>
      </w:r>
      <w:r w:rsidR="00741512" w:rsidRPr="00773884">
        <w:rPr>
          <w:rFonts w:ascii="Times New Roman" w:eastAsia="Arial Unicode MS" w:hAnsi="Times New Roman"/>
          <w:sz w:val="24"/>
          <w:szCs w:val="24"/>
        </w:rPr>
        <w:t>-</w:t>
      </w:r>
      <w:r w:rsidRPr="00773884">
        <w:rPr>
          <w:rFonts w:ascii="Times New Roman" w:eastAsia="Arial Unicode MS" w:hAnsi="Times New Roman"/>
          <w:sz w:val="24"/>
          <w:szCs w:val="24"/>
        </w:rPr>
        <w:t>II recognised the important role of Development Assistance provided by partner governments and international organisations in financing the development priorities. However, it puts more emphasis on mobilisation of private funding.</w:t>
      </w:r>
    </w:p>
    <w:p w14:paraId="3239A97D" w14:textId="74C818EB" w:rsidR="00D24D0D" w:rsidRPr="00773884" w:rsidRDefault="00D24D0D"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The external financing includes</w:t>
      </w:r>
      <w:r w:rsidR="006B0EF8" w:rsidRPr="00773884">
        <w:rPr>
          <w:rFonts w:ascii="Times New Roman" w:eastAsia="Arial Unicode MS" w:hAnsi="Times New Roman"/>
          <w:sz w:val="24"/>
          <w:szCs w:val="24"/>
        </w:rPr>
        <w:t>:</w:t>
      </w:r>
      <w:r w:rsidRPr="00773884">
        <w:rPr>
          <w:rFonts w:ascii="Times New Roman" w:eastAsia="Arial Unicode MS" w:hAnsi="Times New Roman"/>
          <w:sz w:val="24"/>
          <w:szCs w:val="24"/>
        </w:rPr>
        <w:t xml:space="preserve"> budget support, concessional loans, semi-concessional borrowing, non-concessional borrowing; while the domestic financing include bank financing, Bank of Uganda, Commercial Banks; and non-banking financing. The non-public sources of financing include Public Private Partnerships (PPP), direct private sector investments (domestic and foreign) and CSO contributions. The non-concessional financing was limited to projects with capacity to payback.</w:t>
      </w:r>
    </w:p>
    <w:p w14:paraId="6F5279F5" w14:textId="6E82C159" w:rsidR="00B75930" w:rsidRPr="00773884" w:rsidRDefault="00B75930"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Unlike the NDP</w:t>
      </w:r>
      <w:r w:rsidR="005322E3" w:rsidRPr="00773884">
        <w:rPr>
          <w:rFonts w:ascii="Times New Roman" w:eastAsia="Arial Unicode MS" w:hAnsi="Times New Roman"/>
          <w:sz w:val="24"/>
          <w:szCs w:val="24"/>
        </w:rPr>
        <w:t>-</w:t>
      </w:r>
      <w:r w:rsidRPr="00773884">
        <w:rPr>
          <w:rFonts w:ascii="Times New Roman" w:eastAsia="Arial Unicode MS" w:hAnsi="Times New Roman"/>
          <w:sz w:val="24"/>
          <w:szCs w:val="24"/>
        </w:rPr>
        <w:t>I which envisaged establishment of a Partnership Policy as a framework for partnership during the NDP</w:t>
      </w:r>
      <w:r w:rsidR="0037500E" w:rsidRPr="00773884">
        <w:rPr>
          <w:rFonts w:ascii="Times New Roman" w:eastAsia="Arial Unicode MS" w:hAnsi="Times New Roman"/>
          <w:sz w:val="24"/>
          <w:szCs w:val="24"/>
        </w:rPr>
        <w:t xml:space="preserve">-I </w:t>
      </w:r>
      <w:r w:rsidRPr="00773884">
        <w:rPr>
          <w:rFonts w:ascii="Times New Roman" w:eastAsia="Arial Unicode MS" w:hAnsi="Times New Roman"/>
          <w:sz w:val="24"/>
          <w:szCs w:val="24"/>
        </w:rPr>
        <w:t xml:space="preserve">period. </w:t>
      </w:r>
      <w:r w:rsidRPr="00773884">
        <w:rPr>
          <w:rFonts w:ascii="Times New Roman" w:eastAsia="Arial Unicode MS" w:hAnsi="Times New Roman"/>
          <w:b/>
          <w:sz w:val="24"/>
          <w:szCs w:val="24"/>
        </w:rPr>
        <w:t xml:space="preserve">The </w:t>
      </w:r>
      <w:r w:rsidR="0037500E" w:rsidRPr="00773884">
        <w:rPr>
          <w:rFonts w:ascii="Times New Roman" w:eastAsia="Arial Unicode MS" w:hAnsi="Times New Roman"/>
          <w:b/>
          <w:sz w:val="24"/>
          <w:szCs w:val="24"/>
        </w:rPr>
        <w:t>NDP-II</w:t>
      </w:r>
      <w:r w:rsidRPr="00773884">
        <w:rPr>
          <w:rFonts w:ascii="Times New Roman" w:eastAsia="Arial Unicode MS" w:hAnsi="Times New Roman"/>
          <w:b/>
          <w:sz w:val="24"/>
          <w:szCs w:val="24"/>
        </w:rPr>
        <w:t xml:space="preserve"> does not crisply state the partnership framework envisaged over the NDP</w:t>
      </w:r>
      <w:r w:rsidR="005322E3" w:rsidRPr="00773884">
        <w:rPr>
          <w:rFonts w:ascii="Times New Roman" w:eastAsia="Arial Unicode MS" w:hAnsi="Times New Roman"/>
          <w:b/>
          <w:sz w:val="24"/>
          <w:szCs w:val="24"/>
        </w:rPr>
        <w:t>-</w:t>
      </w:r>
      <w:r w:rsidRPr="00773884">
        <w:rPr>
          <w:rFonts w:ascii="Times New Roman" w:eastAsia="Arial Unicode MS" w:hAnsi="Times New Roman"/>
          <w:b/>
          <w:sz w:val="24"/>
          <w:szCs w:val="24"/>
        </w:rPr>
        <w:t>II period and beyond.</w:t>
      </w:r>
      <w:r w:rsidRPr="00773884">
        <w:rPr>
          <w:rFonts w:ascii="Times New Roman" w:eastAsia="Arial Unicode MS" w:hAnsi="Times New Roman"/>
          <w:sz w:val="24"/>
          <w:szCs w:val="24"/>
        </w:rPr>
        <w:t xml:space="preserve"> </w:t>
      </w:r>
    </w:p>
    <w:p w14:paraId="4A1D9CD8" w14:textId="5D725990" w:rsidR="00B75930" w:rsidRPr="00773884" w:rsidRDefault="00B75930"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The theme analyse</w:t>
      </w:r>
      <w:r w:rsidR="00D42570" w:rsidRPr="00773884">
        <w:rPr>
          <w:rFonts w:ascii="Times New Roman" w:eastAsia="Arial Unicode MS" w:hAnsi="Times New Roman"/>
          <w:sz w:val="24"/>
          <w:szCs w:val="24"/>
        </w:rPr>
        <w:t>s</w:t>
      </w:r>
      <w:r w:rsidRPr="00773884">
        <w:rPr>
          <w:rFonts w:ascii="Times New Roman" w:eastAsia="Arial Unicode MS" w:hAnsi="Times New Roman"/>
          <w:sz w:val="24"/>
          <w:szCs w:val="24"/>
        </w:rPr>
        <w:t xml:space="preserve"> the overall contribution of development partners in supporting the NDP</w:t>
      </w:r>
      <w:r w:rsidR="00D42570" w:rsidRPr="00773884">
        <w:rPr>
          <w:rFonts w:ascii="Times New Roman" w:eastAsia="Arial Unicode MS" w:hAnsi="Times New Roman"/>
          <w:sz w:val="24"/>
          <w:szCs w:val="24"/>
        </w:rPr>
        <w:t>-</w:t>
      </w:r>
      <w:r w:rsidRPr="00773884">
        <w:rPr>
          <w:rFonts w:ascii="Times New Roman" w:eastAsia="Arial Unicode MS" w:hAnsi="Times New Roman"/>
          <w:sz w:val="24"/>
          <w:szCs w:val="24"/>
        </w:rPr>
        <w:t>II priorities</w:t>
      </w:r>
      <w:r w:rsidR="00547F37" w:rsidRPr="00773884">
        <w:rPr>
          <w:rFonts w:ascii="Times New Roman" w:eastAsia="Arial Unicode MS" w:hAnsi="Times New Roman"/>
          <w:sz w:val="24"/>
          <w:szCs w:val="24"/>
        </w:rPr>
        <w:t>. T</w:t>
      </w:r>
      <w:r w:rsidRPr="00773884">
        <w:rPr>
          <w:rFonts w:ascii="Times New Roman" w:eastAsia="Arial Unicode MS" w:hAnsi="Times New Roman"/>
          <w:sz w:val="24"/>
          <w:szCs w:val="24"/>
        </w:rPr>
        <w:t xml:space="preserve">ables </w:t>
      </w:r>
      <w:r w:rsidR="00547F37" w:rsidRPr="00773884">
        <w:rPr>
          <w:rFonts w:ascii="Times New Roman" w:eastAsia="Arial Unicode MS" w:hAnsi="Times New Roman"/>
          <w:sz w:val="24"/>
          <w:szCs w:val="24"/>
        </w:rPr>
        <w:t>are</w:t>
      </w:r>
      <w:r w:rsidRPr="00773884">
        <w:rPr>
          <w:rFonts w:ascii="Times New Roman" w:eastAsia="Arial Unicode MS" w:hAnsi="Times New Roman"/>
          <w:sz w:val="24"/>
          <w:szCs w:val="24"/>
        </w:rPr>
        <w:t xml:space="preserve"> produced showing trends in support </w:t>
      </w:r>
      <w:r w:rsidR="005060C2" w:rsidRPr="00773884">
        <w:rPr>
          <w:rFonts w:ascii="Times New Roman" w:eastAsia="Arial Unicode MS" w:hAnsi="Times New Roman"/>
          <w:sz w:val="24"/>
          <w:szCs w:val="24"/>
        </w:rPr>
        <w:t xml:space="preserve">provided </w:t>
      </w:r>
      <w:r w:rsidRPr="00773884">
        <w:rPr>
          <w:rFonts w:ascii="Times New Roman" w:eastAsia="Arial Unicode MS" w:hAnsi="Times New Roman"/>
          <w:sz w:val="24"/>
          <w:szCs w:val="24"/>
        </w:rPr>
        <w:t xml:space="preserve">across various donors from 2015/16 to date. </w:t>
      </w:r>
      <w:r w:rsidR="00383A60" w:rsidRPr="00773884">
        <w:rPr>
          <w:rFonts w:ascii="Times New Roman" w:eastAsia="Arial Unicode MS" w:hAnsi="Times New Roman"/>
          <w:sz w:val="24"/>
          <w:szCs w:val="24"/>
        </w:rPr>
        <w:t xml:space="preserve">The report also </w:t>
      </w:r>
      <w:r w:rsidRPr="00773884">
        <w:rPr>
          <w:rFonts w:ascii="Times New Roman" w:eastAsia="Arial Unicode MS" w:hAnsi="Times New Roman"/>
          <w:sz w:val="24"/>
          <w:szCs w:val="24"/>
        </w:rPr>
        <w:t>analyse</w:t>
      </w:r>
      <w:r w:rsidR="00383A60" w:rsidRPr="00773884">
        <w:rPr>
          <w:rFonts w:ascii="Times New Roman" w:eastAsia="Arial Unicode MS" w:hAnsi="Times New Roman"/>
          <w:sz w:val="24"/>
          <w:szCs w:val="24"/>
        </w:rPr>
        <w:t>s</w:t>
      </w:r>
      <w:r w:rsidRPr="00773884">
        <w:rPr>
          <w:rFonts w:ascii="Times New Roman" w:eastAsia="Arial Unicode MS" w:hAnsi="Times New Roman"/>
          <w:sz w:val="24"/>
          <w:szCs w:val="24"/>
        </w:rPr>
        <w:t xml:space="preserve"> the contribution of th</w:t>
      </w:r>
      <w:r w:rsidR="00383A60" w:rsidRPr="00773884">
        <w:rPr>
          <w:rFonts w:ascii="Times New Roman" w:eastAsia="Arial Unicode MS" w:hAnsi="Times New Roman"/>
          <w:sz w:val="24"/>
          <w:szCs w:val="24"/>
        </w:rPr>
        <w:t xml:space="preserve">e </w:t>
      </w:r>
      <w:r w:rsidRPr="00773884">
        <w:rPr>
          <w:rFonts w:ascii="Times New Roman" w:eastAsia="Arial Unicode MS" w:hAnsi="Times New Roman"/>
          <w:sz w:val="24"/>
          <w:szCs w:val="24"/>
        </w:rPr>
        <w:t>funding along the four principles of Effective Development Cooperation (of the Global Partnership for Effective Development Co-operation - GPEDC) namely:</w:t>
      </w:r>
    </w:p>
    <w:p w14:paraId="6D16F996" w14:textId="77777777" w:rsidR="00B75930" w:rsidRPr="00773884" w:rsidRDefault="00B75930" w:rsidP="00445BF9">
      <w:pPr>
        <w:pStyle w:val="PlainText"/>
        <w:numPr>
          <w:ilvl w:val="0"/>
          <w:numId w:val="19"/>
        </w:numPr>
        <w:spacing w:after="120" w:line="360" w:lineRule="auto"/>
        <w:jc w:val="both"/>
        <w:rPr>
          <w:rFonts w:ascii="Times New Roman" w:eastAsia="Arial Unicode MS" w:hAnsi="Times New Roman"/>
          <w:sz w:val="24"/>
          <w:szCs w:val="24"/>
        </w:rPr>
      </w:pPr>
      <w:r w:rsidRPr="00773884">
        <w:rPr>
          <w:rFonts w:ascii="Times New Roman" w:eastAsia="Arial Unicode MS" w:hAnsi="Times New Roman"/>
          <w:sz w:val="24"/>
          <w:szCs w:val="24"/>
        </w:rPr>
        <w:lastRenderedPageBreak/>
        <w:t xml:space="preserve">Ownership of development priorities by developing countries; </w:t>
      </w:r>
    </w:p>
    <w:p w14:paraId="2571D7A5" w14:textId="77777777" w:rsidR="00B75930" w:rsidRPr="00773884" w:rsidRDefault="00B75930" w:rsidP="00445BF9">
      <w:pPr>
        <w:pStyle w:val="PlainText"/>
        <w:numPr>
          <w:ilvl w:val="0"/>
          <w:numId w:val="19"/>
        </w:numPr>
        <w:spacing w:after="120" w:line="360" w:lineRule="auto"/>
        <w:jc w:val="both"/>
        <w:rPr>
          <w:rFonts w:ascii="Times New Roman" w:eastAsia="Arial Unicode MS" w:hAnsi="Times New Roman"/>
          <w:sz w:val="24"/>
          <w:szCs w:val="24"/>
        </w:rPr>
      </w:pPr>
      <w:r w:rsidRPr="00773884">
        <w:rPr>
          <w:rFonts w:ascii="Times New Roman" w:eastAsia="Arial Unicode MS" w:hAnsi="Times New Roman"/>
          <w:sz w:val="24"/>
          <w:szCs w:val="24"/>
        </w:rPr>
        <w:t>Focus on results;</w:t>
      </w:r>
    </w:p>
    <w:p w14:paraId="1B6A9B00" w14:textId="77777777" w:rsidR="00B75930" w:rsidRPr="00773884" w:rsidRDefault="00B75930" w:rsidP="00445BF9">
      <w:pPr>
        <w:pStyle w:val="PlainText"/>
        <w:numPr>
          <w:ilvl w:val="0"/>
          <w:numId w:val="19"/>
        </w:numPr>
        <w:spacing w:after="120" w:line="360" w:lineRule="auto"/>
        <w:jc w:val="both"/>
        <w:rPr>
          <w:rFonts w:ascii="Times New Roman" w:eastAsia="Arial Unicode MS" w:hAnsi="Times New Roman"/>
          <w:sz w:val="24"/>
          <w:szCs w:val="24"/>
        </w:rPr>
      </w:pPr>
      <w:r w:rsidRPr="00773884">
        <w:rPr>
          <w:rFonts w:ascii="Times New Roman" w:eastAsia="Arial Unicode MS" w:hAnsi="Times New Roman"/>
          <w:sz w:val="24"/>
          <w:szCs w:val="24"/>
        </w:rPr>
        <w:t xml:space="preserve">Inclusive partnerships; </w:t>
      </w:r>
    </w:p>
    <w:p w14:paraId="63C92278" w14:textId="55335592" w:rsidR="00B75930" w:rsidRPr="00773884" w:rsidRDefault="00B75930" w:rsidP="00445BF9">
      <w:pPr>
        <w:pStyle w:val="PlainText"/>
        <w:numPr>
          <w:ilvl w:val="0"/>
          <w:numId w:val="19"/>
        </w:numPr>
        <w:spacing w:after="120" w:line="360" w:lineRule="auto"/>
        <w:jc w:val="both"/>
        <w:rPr>
          <w:rFonts w:ascii="Times New Roman" w:eastAsia="Arial Unicode MS" w:hAnsi="Times New Roman"/>
          <w:sz w:val="24"/>
          <w:szCs w:val="24"/>
        </w:rPr>
      </w:pPr>
      <w:r w:rsidRPr="00773884">
        <w:rPr>
          <w:rFonts w:ascii="Times New Roman" w:eastAsia="Arial Unicode MS" w:hAnsi="Times New Roman"/>
          <w:sz w:val="24"/>
          <w:szCs w:val="24"/>
        </w:rPr>
        <w:t>Transparency and mutual accountability</w:t>
      </w:r>
      <w:r w:rsidR="00B83F8A" w:rsidRPr="00773884">
        <w:rPr>
          <w:rFonts w:ascii="Times New Roman" w:eastAsia="Arial Unicode MS" w:hAnsi="Times New Roman"/>
          <w:sz w:val="24"/>
          <w:szCs w:val="24"/>
        </w:rPr>
        <w:t>.</w:t>
      </w:r>
      <w:r w:rsidRPr="00773884">
        <w:rPr>
          <w:rFonts w:ascii="Times New Roman" w:eastAsia="Arial Unicode MS" w:hAnsi="Times New Roman"/>
          <w:sz w:val="24"/>
          <w:szCs w:val="24"/>
        </w:rPr>
        <w:t xml:space="preserve"> </w:t>
      </w:r>
    </w:p>
    <w:p w14:paraId="20617350" w14:textId="075209A7" w:rsidR="00E15CC2" w:rsidRPr="00773884" w:rsidRDefault="00E15CC2" w:rsidP="00445BF9">
      <w:pPr>
        <w:pStyle w:val="Heading2"/>
        <w:spacing w:after="120"/>
      </w:pPr>
      <w:bookmarkStart w:id="53" w:name="_Toc534926849"/>
      <w:bookmarkStart w:id="54" w:name="_Toc3505173"/>
      <w:r w:rsidRPr="00773884">
        <w:t xml:space="preserve">The </w:t>
      </w:r>
      <w:r w:rsidR="000943D9" w:rsidRPr="00773884">
        <w:t xml:space="preserve">Institutional Framework </w:t>
      </w:r>
      <w:r w:rsidR="000943D9">
        <w:rPr>
          <w:lang w:val="en-GB"/>
        </w:rPr>
        <w:t>i</w:t>
      </w:r>
      <w:r w:rsidR="000943D9" w:rsidRPr="00773884">
        <w:t>n Managing Development Assistance</w:t>
      </w:r>
      <w:bookmarkEnd w:id="53"/>
      <w:bookmarkEnd w:id="54"/>
    </w:p>
    <w:p w14:paraId="5D99D5C9" w14:textId="665442F1" w:rsidR="00E15CC2" w:rsidRPr="00773884"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b/>
          <w:sz w:val="24"/>
          <w:szCs w:val="24"/>
        </w:rPr>
        <w:t>The Partnership Policy articulates the institutional framework that defines the roles and responsibilities</w:t>
      </w:r>
      <w:r w:rsidRPr="00773884">
        <w:rPr>
          <w:rFonts w:ascii="Times New Roman" w:eastAsia="Arial Unicode MS" w:hAnsi="Times New Roman"/>
          <w:sz w:val="24"/>
          <w:szCs w:val="24"/>
        </w:rPr>
        <w:t xml:space="preserve"> in managing aid: </w:t>
      </w:r>
    </w:p>
    <w:p w14:paraId="5A5F4B3D" w14:textId="4CA8E162" w:rsidR="00E15CC2" w:rsidRPr="000943D9" w:rsidRDefault="00E15CC2" w:rsidP="00445BF9">
      <w:pPr>
        <w:pStyle w:val="PlainText"/>
        <w:numPr>
          <w:ilvl w:val="0"/>
          <w:numId w:val="20"/>
        </w:numPr>
        <w:spacing w:after="120" w:line="360" w:lineRule="auto"/>
        <w:jc w:val="both"/>
        <w:rPr>
          <w:rFonts w:ascii="Times New Roman" w:hAnsi="Times New Roman"/>
          <w:sz w:val="24"/>
          <w:szCs w:val="24"/>
        </w:rPr>
      </w:pPr>
      <w:r w:rsidRPr="000943D9">
        <w:rPr>
          <w:rFonts w:ascii="Times New Roman" w:hAnsi="Times New Roman"/>
          <w:b/>
          <w:sz w:val="24"/>
          <w:szCs w:val="24"/>
        </w:rPr>
        <w:t xml:space="preserve">The Office of the Prime Minister (OPM) </w:t>
      </w:r>
      <w:r w:rsidRPr="000943D9">
        <w:rPr>
          <w:rFonts w:ascii="Times New Roman" w:hAnsi="Times New Roman"/>
          <w:sz w:val="24"/>
          <w:szCs w:val="24"/>
        </w:rPr>
        <w:t>is responsible for the overall PP coordination, and monitoring and evaluation.  It will also be responsible for supervising discussions with DPs on the design and implementation of development cooperation and will oversee accountability issues.</w:t>
      </w:r>
    </w:p>
    <w:p w14:paraId="14D64971" w14:textId="05DB543B" w:rsidR="00E15CC2" w:rsidRPr="000943D9" w:rsidRDefault="00E15CC2" w:rsidP="00445BF9">
      <w:pPr>
        <w:pStyle w:val="PlainText"/>
        <w:numPr>
          <w:ilvl w:val="0"/>
          <w:numId w:val="20"/>
        </w:numPr>
        <w:spacing w:after="120" w:line="360" w:lineRule="auto"/>
        <w:jc w:val="both"/>
        <w:rPr>
          <w:rFonts w:ascii="Times New Roman" w:hAnsi="Times New Roman"/>
          <w:sz w:val="24"/>
          <w:szCs w:val="24"/>
        </w:rPr>
      </w:pPr>
      <w:r w:rsidRPr="000943D9">
        <w:rPr>
          <w:rFonts w:ascii="Times New Roman" w:hAnsi="Times New Roman"/>
          <w:b/>
          <w:sz w:val="24"/>
          <w:szCs w:val="24"/>
        </w:rPr>
        <w:t>The Ministry of Finance, Planning and Economic Development (MoFPED)</w:t>
      </w:r>
      <w:r w:rsidRPr="000943D9">
        <w:rPr>
          <w:rFonts w:ascii="Times New Roman" w:hAnsi="Times New Roman"/>
          <w:sz w:val="24"/>
          <w:szCs w:val="24"/>
        </w:rPr>
        <w:t xml:space="preserve"> is responsible for mobilizing financial resources and managing them in manner that promotes economic growth and development. It will take the lead in development cooperation negotiations and thereafter the disbursement and reporting of development cooperation.</w:t>
      </w:r>
    </w:p>
    <w:p w14:paraId="7BCC2533" w14:textId="4A3B16ED" w:rsidR="00E15CC2" w:rsidRPr="000943D9" w:rsidRDefault="00E15CC2" w:rsidP="00445BF9">
      <w:pPr>
        <w:pStyle w:val="PlainText"/>
        <w:numPr>
          <w:ilvl w:val="0"/>
          <w:numId w:val="20"/>
        </w:numPr>
        <w:spacing w:after="120" w:line="360" w:lineRule="auto"/>
        <w:jc w:val="both"/>
        <w:rPr>
          <w:rFonts w:ascii="Times New Roman" w:hAnsi="Times New Roman"/>
          <w:sz w:val="24"/>
          <w:szCs w:val="24"/>
        </w:rPr>
      </w:pPr>
      <w:r w:rsidRPr="000943D9">
        <w:rPr>
          <w:rFonts w:ascii="Times New Roman" w:hAnsi="Times New Roman"/>
          <w:b/>
          <w:sz w:val="24"/>
          <w:szCs w:val="24"/>
        </w:rPr>
        <w:t>The National Planning Authority (NPA)</w:t>
      </w:r>
      <w:r w:rsidRPr="000943D9">
        <w:rPr>
          <w:rFonts w:ascii="Times New Roman" w:hAnsi="Times New Roman"/>
          <w:sz w:val="24"/>
          <w:szCs w:val="24"/>
        </w:rPr>
        <w:t xml:space="preserve"> is responsible for preparing comprehensive national development plans and guiding the planning process. It will play a key role in identifying NDP financing needs and in monitoring the implementation of the NDP.</w:t>
      </w:r>
    </w:p>
    <w:p w14:paraId="61BC1BB9" w14:textId="57EB647A" w:rsidR="00E15CC2" w:rsidRPr="000943D9" w:rsidRDefault="00E15CC2" w:rsidP="00445BF9">
      <w:pPr>
        <w:pStyle w:val="PlainText"/>
        <w:numPr>
          <w:ilvl w:val="0"/>
          <w:numId w:val="20"/>
        </w:numPr>
        <w:spacing w:after="120" w:line="360" w:lineRule="auto"/>
        <w:jc w:val="both"/>
        <w:rPr>
          <w:rFonts w:ascii="Times New Roman" w:hAnsi="Times New Roman"/>
          <w:sz w:val="24"/>
          <w:szCs w:val="24"/>
        </w:rPr>
      </w:pPr>
      <w:r w:rsidRPr="000943D9">
        <w:rPr>
          <w:rFonts w:ascii="Times New Roman" w:hAnsi="Times New Roman"/>
          <w:b/>
          <w:sz w:val="24"/>
          <w:szCs w:val="24"/>
        </w:rPr>
        <w:t>MDAs</w:t>
      </w:r>
      <w:r w:rsidRPr="000943D9">
        <w:rPr>
          <w:rFonts w:ascii="Times New Roman" w:hAnsi="Times New Roman"/>
          <w:sz w:val="24"/>
          <w:szCs w:val="24"/>
        </w:rPr>
        <w:t xml:space="preserve"> are responsible for formulating and implementing NDP programs and will within the context of development cooperation be required to effectively utilise, record and account for expenditure of monies received.</w:t>
      </w:r>
    </w:p>
    <w:p w14:paraId="4A282053" w14:textId="7D94E6C2" w:rsidR="00E15CC2" w:rsidRPr="00773884"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In order to strengthen joint policy dialogue as foreseen in the Partnership Policy, Government and Development Partners agreed on the implementation arrangements outlining the framework for partnership dialogue. To maximise alignment with NDP and minimise transaction cost the, partnership dialogue was aligned to the national planning, budgeting and reporting cycle and managed using existing Government policy-making structures and processes. Specifically;</w:t>
      </w:r>
    </w:p>
    <w:p w14:paraId="006CF768" w14:textId="5C9AE14F" w:rsidR="00E15CC2" w:rsidRPr="000943D9" w:rsidRDefault="00E15CC2" w:rsidP="00445BF9">
      <w:pPr>
        <w:pStyle w:val="PlainText"/>
        <w:numPr>
          <w:ilvl w:val="0"/>
          <w:numId w:val="21"/>
        </w:numPr>
        <w:spacing w:after="120" w:line="360" w:lineRule="auto"/>
        <w:jc w:val="both"/>
        <w:rPr>
          <w:rFonts w:ascii="Times New Roman" w:hAnsi="Times New Roman"/>
          <w:sz w:val="24"/>
          <w:szCs w:val="24"/>
        </w:rPr>
      </w:pPr>
      <w:r w:rsidRPr="000943D9">
        <w:rPr>
          <w:rFonts w:ascii="Times New Roman" w:hAnsi="Times New Roman"/>
          <w:sz w:val="24"/>
          <w:szCs w:val="24"/>
        </w:rPr>
        <w:t xml:space="preserve">The highest level of consultation is coordinated under the </w:t>
      </w:r>
      <w:r w:rsidRPr="000943D9">
        <w:rPr>
          <w:rFonts w:ascii="Times New Roman" w:hAnsi="Times New Roman"/>
          <w:b/>
          <w:sz w:val="24"/>
          <w:szCs w:val="24"/>
        </w:rPr>
        <w:t xml:space="preserve">National Partnership Forum (NPF), </w:t>
      </w:r>
      <w:r w:rsidRPr="000943D9">
        <w:rPr>
          <w:rFonts w:ascii="Times New Roman" w:hAnsi="Times New Roman"/>
          <w:sz w:val="24"/>
          <w:szCs w:val="24"/>
        </w:rPr>
        <w:t>chaired by the Prime Minister and attended by Minister, Ambassadors, Head of Development cooperation to discuss policy issues pertaining to promoting development assistance effectiveness and mutual accountability.</w:t>
      </w:r>
    </w:p>
    <w:p w14:paraId="6F5C0FCB" w14:textId="3CC2776E" w:rsidR="00E15CC2" w:rsidRPr="000943D9" w:rsidRDefault="00E15CC2" w:rsidP="00445BF9">
      <w:pPr>
        <w:pStyle w:val="PlainText"/>
        <w:numPr>
          <w:ilvl w:val="0"/>
          <w:numId w:val="21"/>
        </w:numPr>
        <w:spacing w:after="120" w:line="360" w:lineRule="auto"/>
        <w:jc w:val="both"/>
        <w:rPr>
          <w:rFonts w:ascii="Times New Roman" w:hAnsi="Times New Roman"/>
          <w:sz w:val="24"/>
          <w:szCs w:val="24"/>
        </w:rPr>
      </w:pPr>
      <w:r w:rsidRPr="000943D9">
        <w:rPr>
          <w:rFonts w:ascii="Times New Roman" w:hAnsi="Times New Roman"/>
          <w:sz w:val="24"/>
          <w:szCs w:val="24"/>
        </w:rPr>
        <w:lastRenderedPageBreak/>
        <w:t xml:space="preserve">The NPF was supported by the </w:t>
      </w:r>
      <w:r w:rsidRPr="000943D9">
        <w:rPr>
          <w:rFonts w:ascii="Times New Roman" w:hAnsi="Times New Roman"/>
          <w:b/>
          <w:sz w:val="24"/>
          <w:szCs w:val="24"/>
        </w:rPr>
        <w:t>Partnership Task Force</w:t>
      </w:r>
      <w:r w:rsidRPr="000943D9">
        <w:rPr>
          <w:rFonts w:ascii="Times New Roman" w:hAnsi="Times New Roman"/>
          <w:sz w:val="24"/>
          <w:szCs w:val="24"/>
        </w:rPr>
        <w:t xml:space="preserve"> chaired by the Permanent Secretary, Office of the Prime Minister to prepare the NPF and follow-up agreed actions and implementation of the Partnership Policy. Members of the task force include, OPM, MoFPED, National Planning Authority, the NGO Forum and Development Partners.</w:t>
      </w:r>
    </w:p>
    <w:p w14:paraId="01D25D66" w14:textId="4F935D35" w:rsidR="00E15CC2" w:rsidRPr="000943D9" w:rsidRDefault="00E15CC2" w:rsidP="00445BF9">
      <w:pPr>
        <w:pStyle w:val="PlainText"/>
        <w:numPr>
          <w:ilvl w:val="0"/>
          <w:numId w:val="21"/>
        </w:numPr>
        <w:spacing w:after="120" w:line="360" w:lineRule="auto"/>
        <w:jc w:val="both"/>
        <w:rPr>
          <w:rFonts w:ascii="Times New Roman" w:hAnsi="Times New Roman"/>
          <w:sz w:val="24"/>
          <w:szCs w:val="24"/>
        </w:rPr>
      </w:pPr>
      <w:r w:rsidRPr="000943D9">
        <w:rPr>
          <w:rFonts w:ascii="Times New Roman" w:hAnsi="Times New Roman"/>
          <w:sz w:val="24"/>
          <w:szCs w:val="24"/>
        </w:rPr>
        <w:t xml:space="preserve">At a sector level to strengthen implementation and coordination of sector strategies and policies in line with NDP, </w:t>
      </w:r>
      <w:r w:rsidRPr="000943D9">
        <w:rPr>
          <w:rFonts w:ascii="Times New Roman" w:hAnsi="Times New Roman"/>
          <w:b/>
          <w:sz w:val="24"/>
          <w:szCs w:val="24"/>
        </w:rPr>
        <w:t>Sector Working Groups (SWGs)</w:t>
      </w:r>
      <w:r w:rsidRPr="000943D9">
        <w:rPr>
          <w:rFonts w:ascii="Times New Roman" w:hAnsi="Times New Roman"/>
          <w:sz w:val="24"/>
          <w:szCs w:val="24"/>
        </w:rPr>
        <w:t xml:space="preserve"> were established chaired permanent secretary of the concerned line ministry. The SWGs have been operating and major platforms for formulation and coordination of sector strategies, oversee development cooperation, promote alignment and harmonisation of development partner program at the sector level.</w:t>
      </w:r>
    </w:p>
    <w:p w14:paraId="6CB56AE4" w14:textId="67DD1634" w:rsidR="00E15CC2" w:rsidRPr="000943D9" w:rsidRDefault="00E15CC2" w:rsidP="00445BF9">
      <w:pPr>
        <w:pStyle w:val="PlainText"/>
        <w:numPr>
          <w:ilvl w:val="0"/>
          <w:numId w:val="21"/>
        </w:numPr>
        <w:spacing w:after="120" w:line="360" w:lineRule="auto"/>
        <w:jc w:val="both"/>
        <w:rPr>
          <w:rFonts w:ascii="Times New Roman" w:hAnsi="Times New Roman"/>
          <w:sz w:val="24"/>
          <w:szCs w:val="24"/>
        </w:rPr>
      </w:pPr>
      <w:r w:rsidRPr="000943D9">
        <w:rPr>
          <w:rFonts w:ascii="Times New Roman" w:hAnsi="Times New Roman"/>
          <w:b/>
          <w:sz w:val="24"/>
          <w:szCs w:val="24"/>
        </w:rPr>
        <w:t>The Local Development Partners’ Group (LDPG)</w:t>
      </w:r>
      <w:r w:rsidRPr="000943D9">
        <w:rPr>
          <w:rFonts w:ascii="Times New Roman" w:hAnsi="Times New Roman"/>
          <w:sz w:val="24"/>
          <w:szCs w:val="24"/>
        </w:rPr>
        <w:t xml:space="preserve"> is the apex coordination forum for Development Partners in Uganda. The LDPG coordinates Development Partners’ engagement with the Government on overall issues related to development cooperation and oversees the work of thematic/sectoral Development Partners’ Groups (DPGs).</w:t>
      </w:r>
    </w:p>
    <w:p w14:paraId="1B7DD6FA" w14:textId="519C3D7F" w:rsidR="00E15CC2" w:rsidRPr="00773884"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773884">
        <w:rPr>
          <w:rFonts w:ascii="Times New Roman" w:eastAsia="Arial Unicode MS" w:hAnsi="Times New Roman"/>
          <w:sz w:val="24"/>
          <w:szCs w:val="24"/>
        </w:rPr>
        <w:t xml:space="preserve">The Section below examines the extent to which the provisions of the Partnership Policy were followed in the implementation of NDP-I. </w:t>
      </w:r>
      <w:r w:rsidRPr="00773884">
        <w:rPr>
          <w:rFonts w:ascii="Times New Roman" w:eastAsia="Arial Unicode MS" w:hAnsi="Times New Roman"/>
          <w:b/>
          <w:sz w:val="24"/>
          <w:szCs w:val="24"/>
        </w:rPr>
        <w:t xml:space="preserve">Further consideration is needed to the </w:t>
      </w:r>
      <w:r w:rsidRPr="00773884">
        <w:rPr>
          <w:rFonts w:ascii="Times New Roman" w:hAnsi="Times New Roman"/>
          <w:b/>
          <w:sz w:val="24"/>
          <w:szCs w:val="24"/>
        </w:rPr>
        <w:t xml:space="preserve">principles of Busan (2011) Partnership - four principles of effective development co-operation, that cover: </w:t>
      </w:r>
      <w:r w:rsidRPr="00773884">
        <w:rPr>
          <w:rFonts w:ascii="Times New Roman" w:eastAsia="Arial Unicode MS" w:hAnsi="Times New Roman"/>
          <w:b/>
          <w:sz w:val="24"/>
          <w:szCs w:val="24"/>
        </w:rPr>
        <w:t>country ownership; a focus on results; inclusive partnerships; transparency and mutual accountability.</w:t>
      </w:r>
    </w:p>
    <w:p w14:paraId="5F0138DF" w14:textId="77777777" w:rsidR="00B721EB" w:rsidRDefault="00B721EB">
      <w:pPr>
        <w:spacing w:after="0" w:line="240" w:lineRule="auto"/>
        <w:jc w:val="left"/>
        <w:rPr>
          <w:rFonts w:ascii="Times New Roman" w:hAnsi="Times New Roman"/>
          <w:b/>
          <w:bCs/>
          <w:color w:val="000000" w:themeColor="text1"/>
          <w:kern w:val="32"/>
          <w:sz w:val="28"/>
          <w:szCs w:val="24"/>
        </w:rPr>
      </w:pPr>
      <w:bookmarkStart w:id="55" w:name="_Toc534560548"/>
      <w:bookmarkStart w:id="56" w:name="_Toc534926850"/>
      <w:bookmarkStart w:id="57" w:name="_Toc3505174"/>
      <w:bookmarkStart w:id="58" w:name="_Toc361577046"/>
      <w:bookmarkStart w:id="59" w:name="_Toc364751823"/>
      <w:r>
        <w:br w:type="page"/>
      </w:r>
    </w:p>
    <w:p w14:paraId="2541129C" w14:textId="173ECB12" w:rsidR="00AD1D0D" w:rsidRPr="000943D9" w:rsidRDefault="00AD1D0D" w:rsidP="003D56D1">
      <w:pPr>
        <w:pStyle w:val="Heading1"/>
        <w:numPr>
          <w:ilvl w:val="0"/>
          <w:numId w:val="13"/>
        </w:numPr>
        <w:spacing w:before="0" w:after="240"/>
        <w:ind w:left="567" w:hanging="567"/>
      </w:pPr>
      <w:r w:rsidRPr="000943D9">
        <w:lastRenderedPageBreak/>
        <w:t>FINDINGS</w:t>
      </w:r>
      <w:bookmarkEnd w:id="55"/>
      <w:bookmarkEnd w:id="56"/>
      <w:bookmarkEnd w:id="57"/>
    </w:p>
    <w:p w14:paraId="4C73B6E0" w14:textId="487DF495" w:rsidR="00AD1D0D" w:rsidRPr="00445BF9" w:rsidRDefault="00B80A7B" w:rsidP="00445BF9">
      <w:pPr>
        <w:pStyle w:val="DeltaBodytext"/>
        <w:numPr>
          <w:ilvl w:val="0"/>
          <w:numId w:val="14"/>
        </w:numPr>
        <w:spacing w:after="120" w:line="360" w:lineRule="auto"/>
        <w:ind w:left="567" w:hanging="567"/>
        <w:rPr>
          <w:rFonts w:ascii="Times New Roman" w:eastAsiaTheme="minorHAnsi" w:hAnsi="Times New Roman"/>
          <w:sz w:val="24"/>
          <w:szCs w:val="24"/>
        </w:rPr>
      </w:pPr>
      <w:r w:rsidRPr="00445BF9">
        <w:rPr>
          <w:rFonts w:ascii="Times New Roman" w:hAnsi="Times New Roman"/>
          <w:sz w:val="24"/>
          <w:szCs w:val="24"/>
        </w:rPr>
        <w:t xml:space="preserve">This section presents the findings of development partnership theme of NDP-II and covers: Trends in Uganda’s Development Partnership (section 4.1); Development Partner Alignment (section 4.2); Harmonisation, </w:t>
      </w:r>
      <w:r w:rsidRPr="00445BF9">
        <w:rPr>
          <w:rFonts w:ascii="Times New Roman" w:eastAsia="Arial Unicode MS" w:hAnsi="Times New Roman"/>
          <w:sz w:val="24"/>
          <w:szCs w:val="24"/>
        </w:rPr>
        <w:t>Transaction</w:t>
      </w:r>
      <w:r w:rsidRPr="00445BF9">
        <w:rPr>
          <w:rFonts w:ascii="Times New Roman" w:hAnsi="Times New Roman"/>
          <w:sz w:val="24"/>
          <w:szCs w:val="24"/>
        </w:rPr>
        <w:t xml:space="preserve"> Costs and Mutual Accountability (section 4.3); and Development Assistance from Non-Traditional Partners (section 4.4)</w:t>
      </w:r>
      <w:r w:rsidR="00AD1D0D" w:rsidRPr="00445BF9">
        <w:rPr>
          <w:rFonts w:ascii="Times New Roman" w:hAnsi="Times New Roman"/>
          <w:sz w:val="24"/>
          <w:szCs w:val="24"/>
        </w:rPr>
        <w:t>.</w:t>
      </w:r>
    </w:p>
    <w:p w14:paraId="0E3B7ECD" w14:textId="77777777" w:rsidR="00AD1D0D" w:rsidRPr="00445BF9" w:rsidRDefault="00AD1D0D" w:rsidP="00445BF9">
      <w:pPr>
        <w:pStyle w:val="Heading2"/>
        <w:spacing w:after="120"/>
        <w:rPr>
          <w:szCs w:val="24"/>
        </w:rPr>
      </w:pPr>
      <w:bookmarkStart w:id="60" w:name="_Toc532119832"/>
      <w:bookmarkStart w:id="61" w:name="_Toc532127191"/>
      <w:bookmarkStart w:id="62" w:name="_Toc534194617"/>
      <w:bookmarkStart w:id="63" w:name="_Toc534195294"/>
      <w:bookmarkStart w:id="64" w:name="_Toc534202430"/>
      <w:bookmarkStart w:id="65" w:name="_Toc534560549"/>
      <w:bookmarkStart w:id="66" w:name="_Toc534926851"/>
      <w:bookmarkStart w:id="67" w:name="_Toc3505175"/>
      <w:bookmarkEnd w:id="60"/>
      <w:bookmarkEnd w:id="61"/>
      <w:bookmarkEnd w:id="62"/>
      <w:bookmarkEnd w:id="63"/>
      <w:bookmarkEnd w:id="64"/>
      <w:r w:rsidRPr="00445BF9">
        <w:rPr>
          <w:szCs w:val="24"/>
        </w:rPr>
        <w:t>Trends in Uganda’s Development Partnership</w:t>
      </w:r>
      <w:bookmarkEnd w:id="58"/>
      <w:bookmarkEnd w:id="65"/>
      <w:bookmarkEnd w:id="66"/>
      <w:bookmarkEnd w:id="67"/>
    </w:p>
    <w:p w14:paraId="61888DCB" w14:textId="4493BEDD" w:rsidR="00E15CC2" w:rsidRPr="00445BF9"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This section explains trends in Uganda’s development partnership over NDP-I</w:t>
      </w:r>
      <w:r w:rsidR="008278E4" w:rsidRPr="00445BF9">
        <w:rPr>
          <w:rFonts w:ascii="Times New Roman" w:eastAsia="Arial Unicode MS" w:hAnsi="Times New Roman"/>
          <w:sz w:val="24"/>
          <w:szCs w:val="24"/>
        </w:rPr>
        <w:t>I</w:t>
      </w:r>
      <w:r w:rsidRPr="00445BF9">
        <w:rPr>
          <w:rFonts w:ascii="Times New Roman" w:eastAsia="Arial Unicode MS" w:hAnsi="Times New Roman"/>
          <w:sz w:val="24"/>
          <w:szCs w:val="24"/>
        </w:rPr>
        <w:t xml:space="preserve"> period, covering the amount and modalities of development assistance that have been provided to support the NDP. It provides an overview of the strength of partnership with a more general narrative that captures significant recent trends and events, including trends in the volume and direction of development assistance. The Section </w:t>
      </w:r>
      <w:bookmarkEnd w:id="59"/>
      <w:r w:rsidRPr="00445BF9">
        <w:rPr>
          <w:rFonts w:ascii="Times New Roman" w:eastAsia="Arial Unicode MS" w:hAnsi="Times New Roman"/>
          <w:sz w:val="24"/>
          <w:szCs w:val="24"/>
        </w:rPr>
        <w:t>answers the following questions:</w:t>
      </w:r>
    </w:p>
    <w:p w14:paraId="54E402FF" w14:textId="082F6AF6" w:rsidR="00E80A91" w:rsidRPr="00445BF9" w:rsidRDefault="00E80A91" w:rsidP="00445BF9">
      <w:pPr>
        <w:pStyle w:val="PlainText"/>
        <w:numPr>
          <w:ilvl w:val="0"/>
          <w:numId w:val="22"/>
        </w:numPr>
        <w:spacing w:after="120" w:line="360" w:lineRule="auto"/>
        <w:jc w:val="both"/>
        <w:rPr>
          <w:rFonts w:ascii="Times New Roman" w:hAnsi="Times New Roman"/>
          <w:sz w:val="24"/>
          <w:szCs w:val="24"/>
        </w:rPr>
      </w:pPr>
      <w:r w:rsidRPr="00445BF9">
        <w:rPr>
          <w:rFonts w:ascii="Times New Roman" w:hAnsi="Times New Roman"/>
          <w:b/>
          <w:sz w:val="24"/>
          <w:szCs w:val="24"/>
        </w:rPr>
        <w:t>DP1:</w:t>
      </w:r>
      <w:r w:rsidRPr="00445BF9">
        <w:rPr>
          <w:rFonts w:ascii="Times New Roman" w:hAnsi="Times New Roman"/>
          <w:sz w:val="24"/>
          <w:szCs w:val="24"/>
        </w:rPr>
        <w:t xml:space="preserve"> The extent to which donor support has been aligned to the NDP-II financing so far?</w:t>
      </w:r>
    </w:p>
    <w:p w14:paraId="4A53D0FF" w14:textId="77777777" w:rsidR="00E80A91" w:rsidRPr="00445BF9" w:rsidRDefault="00E80A91" w:rsidP="00445BF9">
      <w:pPr>
        <w:pStyle w:val="PlainText"/>
        <w:numPr>
          <w:ilvl w:val="0"/>
          <w:numId w:val="22"/>
        </w:numPr>
        <w:spacing w:after="120" w:line="360" w:lineRule="auto"/>
        <w:jc w:val="both"/>
        <w:rPr>
          <w:rFonts w:ascii="Times New Roman" w:hAnsi="Times New Roman"/>
          <w:sz w:val="24"/>
          <w:szCs w:val="24"/>
        </w:rPr>
      </w:pPr>
      <w:r w:rsidRPr="00445BF9">
        <w:rPr>
          <w:rFonts w:ascii="Times New Roman" w:hAnsi="Times New Roman"/>
          <w:b/>
          <w:sz w:val="24"/>
          <w:szCs w:val="24"/>
        </w:rPr>
        <w:t>DP5:</w:t>
      </w:r>
      <w:r w:rsidRPr="00445BF9">
        <w:rPr>
          <w:rFonts w:ascii="Times New Roman" w:hAnsi="Times New Roman"/>
          <w:sz w:val="24"/>
          <w:szCs w:val="24"/>
        </w:rPr>
        <w:t xml:space="preserve"> To what extent has Uganda implemented the donor partnership policy?</w:t>
      </w:r>
    </w:p>
    <w:p w14:paraId="0C8590BF" w14:textId="20266077" w:rsidR="00E80A91" w:rsidRPr="00445BF9" w:rsidRDefault="00E80A91" w:rsidP="00445BF9">
      <w:pPr>
        <w:pStyle w:val="PlainText"/>
        <w:numPr>
          <w:ilvl w:val="0"/>
          <w:numId w:val="22"/>
        </w:numPr>
        <w:spacing w:after="120" w:line="360" w:lineRule="auto"/>
        <w:jc w:val="both"/>
        <w:rPr>
          <w:rFonts w:ascii="Times New Roman" w:hAnsi="Times New Roman"/>
          <w:sz w:val="24"/>
          <w:szCs w:val="24"/>
        </w:rPr>
      </w:pPr>
      <w:r w:rsidRPr="00445BF9">
        <w:rPr>
          <w:rFonts w:ascii="Times New Roman" w:hAnsi="Times New Roman"/>
          <w:b/>
          <w:sz w:val="24"/>
          <w:szCs w:val="24"/>
        </w:rPr>
        <w:t>DP6:</w:t>
      </w:r>
      <w:r w:rsidRPr="00445BF9">
        <w:rPr>
          <w:rFonts w:ascii="Times New Roman" w:hAnsi="Times New Roman"/>
          <w:sz w:val="24"/>
          <w:szCs w:val="24"/>
        </w:rPr>
        <w:t xml:space="preserve"> What have been the trends in recent years in the amount and modalities of development partner resource allocation (traditional and non-traditional donors) to fund elements of the NDP-II?</w:t>
      </w:r>
    </w:p>
    <w:p w14:paraId="15BB9FA0" w14:textId="6F36468F" w:rsidR="000943D9" w:rsidRPr="00445BF9" w:rsidRDefault="00E15CC2"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68" w:name="_Toc534926852"/>
      <w:r w:rsidRPr="00445BF9">
        <w:rPr>
          <w:rFonts w:ascii="Times New Roman" w:eastAsia="Arial Unicode MS" w:hAnsi="Times New Roman"/>
          <w:bCs w:val="0"/>
          <w:sz w:val="24"/>
          <w:szCs w:val="24"/>
          <w:lang w:val="en-GB"/>
        </w:rPr>
        <w:t xml:space="preserve">Development </w:t>
      </w:r>
      <w:r w:rsidR="000943D9" w:rsidRPr="00445BF9">
        <w:rPr>
          <w:rFonts w:ascii="Times New Roman" w:eastAsia="Arial Unicode MS" w:hAnsi="Times New Roman"/>
          <w:bCs w:val="0"/>
          <w:sz w:val="24"/>
          <w:szCs w:val="24"/>
          <w:lang w:val="en-GB"/>
        </w:rPr>
        <w:t>Assistance Trends</w:t>
      </w:r>
      <w:bookmarkEnd w:id="68"/>
    </w:p>
    <w:p w14:paraId="0ACC1785" w14:textId="5E4E7A2A" w:rsidR="00487C9C" w:rsidRPr="00445BF9" w:rsidRDefault="00487C9C"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Analysis of trends in Uganda’s development assistance is based largely on data provided by the Development Assistance and Regional Cooperation Department of the MoFPED.  The data that has been analysed focus</w:t>
      </w:r>
      <w:r w:rsidR="00496822" w:rsidRPr="00445BF9">
        <w:rPr>
          <w:rFonts w:ascii="Times New Roman" w:eastAsia="Arial Unicode MS" w:hAnsi="Times New Roman"/>
          <w:sz w:val="24"/>
          <w:szCs w:val="24"/>
        </w:rPr>
        <w:t xml:space="preserve">es </w:t>
      </w:r>
      <w:r w:rsidRPr="00445BF9">
        <w:rPr>
          <w:rFonts w:ascii="Times New Roman" w:eastAsia="Arial Unicode MS" w:hAnsi="Times New Roman"/>
          <w:sz w:val="24"/>
          <w:szCs w:val="24"/>
        </w:rPr>
        <w:t>on the three completed years of the NDP</w:t>
      </w:r>
      <w:r w:rsidR="00BE1EAB" w:rsidRPr="00445BF9">
        <w:rPr>
          <w:rFonts w:ascii="Times New Roman" w:eastAsia="Arial Unicode MS" w:hAnsi="Times New Roman"/>
          <w:sz w:val="24"/>
          <w:szCs w:val="24"/>
        </w:rPr>
        <w:t>-</w:t>
      </w:r>
      <w:r w:rsidRPr="00445BF9">
        <w:rPr>
          <w:rFonts w:ascii="Times New Roman" w:eastAsia="Arial Unicode MS" w:hAnsi="Times New Roman"/>
          <w:sz w:val="24"/>
          <w:szCs w:val="24"/>
        </w:rPr>
        <w:t>II (FY2015/16, FY 2016/17 and FY2017/18) a</w:t>
      </w:r>
      <w:r w:rsidR="00BE1EAB" w:rsidRPr="00445BF9">
        <w:rPr>
          <w:rFonts w:ascii="Times New Roman" w:eastAsia="Arial Unicode MS" w:hAnsi="Times New Roman"/>
          <w:sz w:val="24"/>
          <w:szCs w:val="24"/>
        </w:rPr>
        <w:t xml:space="preserve">s well as </w:t>
      </w:r>
      <w:r w:rsidRPr="00445BF9">
        <w:rPr>
          <w:rFonts w:ascii="Times New Roman" w:eastAsia="Arial Unicode MS" w:hAnsi="Times New Roman"/>
          <w:sz w:val="24"/>
          <w:szCs w:val="24"/>
        </w:rPr>
        <w:t>draw</w:t>
      </w:r>
      <w:r w:rsidR="00BE1EAB" w:rsidRPr="00445BF9">
        <w:rPr>
          <w:rFonts w:ascii="Times New Roman" w:eastAsia="Arial Unicode MS" w:hAnsi="Times New Roman"/>
          <w:sz w:val="24"/>
          <w:szCs w:val="24"/>
        </w:rPr>
        <w:t xml:space="preserve">s </w:t>
      </w:r>
      <w:r w:rsidRPr="00445BF9">
        <w:rPr>
          <w:rFonts w:ascii="Times New Roman" w:eastAsia="Arial Unicode MS" w:hAnsi="Times New Roman"/>
          <w:sz w:val="24"/>
          <w:szCs w:val="24"/>
        </w:rPr>
        <w:t>comparison with the NDP</w:t>
      </w:r>
      <w:r w:rsidR="00BE1EAB" w:rsidRPr="00445BF9">
        <w:rPr>
          <w:rFonts w:ascii="Times New Roman" w:eastAsia="Arial Unicode MS" w:hAnsi="Times New Roman"/>
          <w:sz w:val="24"/>
          <w:szCs w:val="24"/>
        </w:rPr>
        <w:t xml:space="preserve">-I </w:t>
      </w:r>
      <w:r w:rsidRPr="00445BF9">
        <w:rPr>
          <w:rFonts w:ascii="Times New Roman" w:eastAsia="Arial Unicode MS" w:hAnsi="Times New Roman"/>
          <w:sz w:val="24"/>
          <w:szCs w:val="24"/>
        </w:rPr>
        <w:t>period.</w:t>
      </w:r>
    </w:p>
    <w:p w14:paraId="1FDF96E8" w14:textId="551CB774" w:rsidR="00512DB7" w:rsidRPr="00445BF9" w:rsidRDefault="000F4CE5"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 xml:space="preserve">Over the first three years of the NDP-II, the external assistance on an annual average comprised of 31.6% of total </w:t>
      </w:r>
      <w:r w:rsidR="001B5AD0" w:rsidRPr="00445BF9">
        <w:rPr>
          <w:rFonts w:ascii="Times New Roman" w:eastAsia="Arial Unicode MS" w:hAnsi="Times New Roman"/>
          <w:b/>
          <w:sz w:val="24"/>
          <w:szCs w:val="24"/>
        </w:rPr>
        <w:t xml:space="preserve">GoU </w:t>
      </w:r>
      <w:r w:rsidRPr="00445BF9">
        <w:rPr>
          <w:rFonts w:ascii="Times New Roman" w:eastAsia="Arial Unicode MS" w:hAnsi="Times New Roman"/>
          <w:b/>
          <w:sz w:val="24"/>
          <w:szCs w:val="24"/>
        </w:rPr>
        <w:t xml:space="preserve">budget. </w:t>
      </w:r>
      <w:r w:rsidR="00DB3646" w:rsidRPr="00445BF9">
        <w:rPr>
          <w:rFonts w:ascii="Times New Roman" w:eastAsia="Arial Unicode MS" w:hAnsi="Times New Roman"/>
          <w:sz w:val="24"/>
          <w:szCs w:val="24"/>
        </w:rPr>
        <w:t xml:space="preserve">The </w:t>
      </w:r>
      <w:r w:rsidR="0037500E" w:rsidRPr="00445BF9">
        <w:rPr>
          <w:rFonts w:ascii="Times New Roman" w:eastAsia="Arial Unicode MS" w:hAnsi="Times New Roman"/>
          <w:sz w:val="24"/>
          <w:szCs w:val="24"/>
        </w:rPr>
        <w:t>NDP-II</w:t>
      </w:r>
      <w:r w:rsidR="00DB3646" w:rsidRPr="00445BF9">
        <w:rPr>
          <w:rFonts w:ascii="Times New Roman" w:eastAsia="Arial Unicode MS" w:hAnsi="Times New Roman"/>
          <w:sz w:val="24"/>
          <w:szCs w:val="24"/>
        </w:rPr>
        <w:t xml:space="preserve"> recognises the importance of development assistance as a critical source of financing to achieve </w:t>
      </w:r>
      <w:r w:rsidR="001764E2" w:rsidRPr="00445BF9">
        <w:rPr>
          <w:rFonts w:ascii="Times New Roman" w:eastAsia="Arial Unicode MS" w:hAnsi="Times New Roman"/>
          <w:sz w:val="24"/>
          <w:szCs w:val="24"/>
        </w:rPr>
        <w:t>NDP</w:t>
      </w:r>
      <w:r w:rsidR="00DB3646" w:rsidRPr="00445BF9">
        <w:rPr>
          <w:rFonts w:ascii="Times New Roman" w:eastAsia="Arial Unicode MS" w:hAnsi="Times New Roman"/>
          <w:sz w:val="24"/>
          <w:szCs w:val="24"/>
        </w:rPr>
        <w:t xml:space="preserve"> objectives. </w:t>
      </w:r>
    </w:p>
    <w:p w14:paraId="384DB58F" w14:textId="71CE6933" w:rsidR="00DB3646" w:rsidRPr="00445BF9" w:rsidRDefault="00512DB7"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 xml:space="preserve">Figure 1 </w:t>
      </w:r>
      <w:r w:rsidR="00DB3646" w:rsidRPr="00445BF9">
        <w:rPr>
          <w:rFonts w:ascii="Times New Roman" w:eastAsia="Arial Unicode MS" w:hAnsi="Times New Roman"/>
          <w:sz w:val="24"/>
          <w:szCs w:val="24"/>
        </w:rPr>
        <w:t xml:space="preserve">shows the distribution of domestic and development assistance (external) over the first three year of the </w:t>
      </w:r>
      <w:r w:rsidR="0037500E" w:rsidRPr="00445BF9">
        <w:rPr>
          <w:rFonts w:ascii="Times New Roman" w:eastAsia="Arial Unicode MS" w:hAnsi="Times New Roman"/>
          <w:sz w:val="24"/>
          <w:szCs w:val="24"/>
        </w:rPr>
        <w:t>NDP-II</w:t>
      </w:r>
      <w:r w:rsidR="00DB3646" w:rsidRPr="00445BF9">
        <w:rPr>
          <w:rFonts w:ascii="Times New Roman" w:eastAsia="Arial Unicode MS" w:hAnsi="Times New Roman"/>
          <w:sz w:val="24"/>
          <w:szCs w:val="24"/>
        </w:rPr>
        <w:t xml:space="preserve"> period.</w:t>
      </w:r>
    </w:p>
    <w:p w14:paraId="0C584A1A" w14:textId="4C2C7D5D" w:rsidR="000B6777" w:rsidRPr="00445BF9" w:rsidRDefault="00056453"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hAnsi="Times New Roman"/>
          <w:sz w:val="24"/>
          <w:szCs w:val="24"/>
        </w:rPr>
        <w:t>It should also be noted that the m</w:t>
      </w:r>
      <w:r w:rsidR="000B6777" w:rsidRPr="00445BF9">
        <w:rPr>
          <w:rFonts w:ascii="Times New Roman" w:hAnsi="Times New Roman"/>
          <w:sz w:val="24"/>
          <w:szCs w:val="24"/>
        </w:rPr>
        <w:t xml:space="preserve">obilisation of domestic resources </w:t>
      </w:r>
      <w:r w:rsidRPr="00445BF9">
        <w:rPr>
          <w:rFonts w:ascii="Times New Roman" w:hAnsi="Times New Roman"/>
          <w:sz w:val="24"/>
          <w:szCs w:val="24"/>
        </w:rPr>
        <w:t>is</w:t>
      </w:r>
      <w:r w:rsidR="000B6777" w:rsidRPr="00445BF9">
        <w:rPr>
          <w:rFonts w:ascii="Times New Roman" w:hAnsi="Times New Roman"/>
          <w:sz w:val="24"/>
          <w:szCs w:val="24"/>
        </w:rPr>
        <w:t xml:space="preserve"> low </w:t>
      </w:r>
      <w:r w:rsidR="00EA3E8B" w:rsidRPr="00445BF9">
        <w:rPr>
          <w:rFonts w:ascii="Times New Roman" w:hAnsi="Times New Roman"/>
          <w:sz w:val="24"/>
          <w:szCs w:val="24"/>
        </w:rPr>
        <w:t xml:space="preserve">in Uganda, </w:t>
      </w:r>
      <w:r w:rsidR="000B6777" w:rsidRPr="00445BF9">
        <w:rPr>
          <w:rFonts w:ascii="Times New Roman" w:hAnsi="Times New Roman"/>
          <w:sz w:val="24"/>
          <w:szCs w:val="24"/>
        </w:rPr>
        <w:t>compared to others in region.</w:t>
      </w:r>
    </w:p>
    <w:p w14:paraId="6B112F4F" w14:textId="7E721F42" w:rsidR="00F948F0" w:rsidRPr="00445BF9" w:rsidRDefault="004303D7" w:rsidP="00445BF9">
      <w:pPr>
        <w:pStyle w:val="Caption"/>
        <w:spacing w:after="120" w:line="360" w:lineRule="auto"/>
        <w:rPr>
          <w:rFonts w:ascii="Times New Roman" w:hAnsi="Times New Roman"/>
          <w:b/>
          <w:i w:val="0"/>
          <w:color w:val="000000" w:themeColor="text1"/>
          <w:sz w:val="24"/>
          <w:szCs w:val="24"/>
        </w:rPr>
      </w:pPr>
      <w:bookmarkStart w:id="69" w:name="_Ref533534016"/>
      <w:bookmarkStart w:id="70" w:name="_Toc4410599"/>
      <w:r w:rsidRPr="00445BF9">
        <w:rPr>
          <w:rFonts w:ascii="Times New Roman" w:hAnsi="Times New Roman"/>
          <w:b/>
          <w:i w:val="0"/>
          <w:color w:val="000000" w:themeColor="text1"/>
          <w:sz w:val="24"/>
          <w:szCs w:val="24"/>
        </w:rPr>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1</w:t>
      </w:r>
      <w:r w:rsidRPr="00445BF9">
        <w:rPr>
          <w:rFonts w:ascii="Times New Roman" w:hAnsi="Times New Roman"/>
          <w:b/>
          <w:i w:val="0"/>
          <w:color w:val="000000" w:themeColor="text1"/>
          <w:sz w:val="24"/>
          <w:szCs w:val="24"/>
        </w:rPr>
        <w:fldChar w:fldCharType="end"/>
      </w:r>
      <w:bookmarkEnd w:id="69"/>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00F948F0" w:rsidRPr="00445BF9">
        <w:rPr>
          <w:rFonts w:ascii="Times New Roman" w:hAnsi="Times New Roman"/>
          <w:b/>
          <w:i w:val="0"/>
          <w:color w:val="000000" w:themeColor="text1"/>
          <w:sz w:val="24"/>
          <w:szCs w:val="24"/>
        </w:rPr>
        <w:t xml:space="preserve">Composition of budget financing over the first three years of the </w:t>
      </w:r>
      <w:r w:rsidR="0037500E" w:rsidRPr="00445BF9">
        <w:rPr>
          <w:rFonts w:ascii="Times New Roman" w:hAnsi="Times New Roman"/>
          <w:b/>
          <w:i w:val="0"/>
          <w:color w:val="000000" w:themeColor="text1"/>
          <w:sz w:val="24"/>
          <w:szCs w:val="24"/>
        </w:rPr>
        <w:t>NDP-II</w:t>
      </w:r>
      <w:r w:rsidR="00F948F0" w:rsidRPr="00445BF9">
        <w:rPr>
          <w:rFonts w:ascii="Times New Roman" w:hAnsi="Times New Roman"/>
          <w:b/>
          <w:i w:val="0"/>
          <w:color w:val="000000" w:themeColor="text1"/>
          <w:sz w:val="24"/>
          <w:szCs w:val="24"/>
        </w:rPr>
        <w:t xml:space="preserve"> Period</w:t>
      </w:r>
      <w:bookmarkEnd w:id="70"/>
    </w:p>
    <w:p w14:paraId="0D50C81D" w14:textId="2CE5B0C6" w:rsidR="00F948F0" w:rsidRPr="00445BF9" w:rsidRDefault="00F948F0" w:rsidP="00445BF9">
      <w:pPr>
        <w:pStyle w:val="DeltaBodytext"/>
        <w:spacing w:after="120" w:line="360" w:lineRule="auto"/>
        <w:rPr>
          <w:rFonts w:ascii="Times New Roman" w:eastAsia="Arial Unicode MS" w:hAnsi="Times New Roman"/>
          <w:sz w:val="24"/>
          <w:szCs w:val="24"/>
        </w:rPr>
      </w:pPr>
      <w:r w:rsidRPr="00445BF9">
        <w:rPr>
          <w:rFonts w:ascii="Times New Roman" w:hAnsi="Times New Roman"/>
          <w:noProof/>
          <w:sz w:val="24"/>
          <w:szCs w:val="24"/>
          <w:lang w:eastAsia="en-GB"/>
        </w:rPr>
        <w:lastRenderedPageBreak/>
        <w:drawing>
          <wp:inline distT="0" distB="0" distL="0" distR="0" wp14:anchorId="3240628B" wp14:editId="00D2AA8E">
            <wp:extent cx="4162425" cy="2790825"/>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129F89" w14:textId="77777777" w:rsidR="004303D7" w:rsidRPr="00445BF9" w:rsidRDefault="004303D7" w:rsidP="00445BF9">
      <w:pPr>
        <w:pStyle w:val="Caption"/>
        <w:spacing w:after="120" w:line="360" w:lineRule="auto"/>
        <w:rPr>
          <w:rFonts w:ascii="Times New Roman" w:hAnsi="Times New Roman"/>
          <w:sz w:val="24"/>
          <w:szCs w:val="24"/>
        </w:rPr>
      </w:pPr>
      <w:r w:rsidRPr="00445BF9">
        <w:rPr>
          <w:rFonts w:ascii="Times New Roman" w:hAnsi="Times New Roman"/>
          <w:b/>
          <w:sz w:val="24"/>
          <w:szCs w:val="24"/>
        </w:rPr>
        <w:t>Source:</w:t>
      </w:r>
      <w:r w:rsidRPr="00445BF9">
        <w:rPr>
          <w:rFonts w:ascii="Times New Roman" w:hAnsi="Times New Roman"/>
          <w:sz w:val="24"/>
          <w:szCs w:val="24"/>
        </w:rPr>
        <w:t xml:space="preserve">  MoFPED, 2018</w:t>
      </w:r>
    </w:p>
    <w:p w14:paraId="20D5010F" w14:textId="0A3A6709" w:rsidR="00B755CF" w:rsidRPr="00445BF9" w:rsidRDefault="00B755CF" w:rsidP="00445BF9">
      <w:pPr>
        <w:pStyle w:val="DeltaBodytext"/>
        <w:numPr>
          <w:ilvl w:val="0"/>
          <w:numId w:val="14"/>
        </w:numPr>
        <w:spacing w:after="120" w:line="360" w:lineRule="auto"/>
        <w:ind w:left="567" w:hanging="567"/>
        <w:rPr>
          <w:rFonts w:ascii="Times New Roman" w:hAnsi="Times New Roman"/>
          <w:b/>
          <w:noProof/>
          <w:sz w:val="24"/>
          <w:szCs w:val="24"/>
        </w:rPr>
      </w:pPr>
      <w:r w:rsidRPr="00445BF9">
        <w:rPr>
          <w:rFonts w:ascii="Times New Roman" w:eastAsia="Arial Unicode MS" w:hAnsi="Times New Roman"/>
          <w:b/>
          <w:sz w:val="24"/>
          <w:szCs w:val="24"/>
        </w:rPr>
        <w:t xml:space="preserve">There is an increase of the development assistance during NDP-II period compared to NDP-I.  </w:t>
      </w:r>
      <w:r w:rsidRPr="00445BF9">
        <w:rPr>
          <w:rFonts w:ascii="Times New Roman" w:eastAsia="Arial Unicode MS" w:hAnsi="Times New Roman"/>
          <w:sz w:val="24"/>
          <w:szCs w:val="24"/>
        </w:rPr>
        <w:t>Over the first three years of NDP-II period the development assistance averaged at around USD 1,540 million annually as compared to an average of USD1,292 million over the NDP-I period. This reflects an increase of 19.2%. This increase is partly attributed to improvement in the implementation of projects and partly to coming on board of new big infrastructure projects, like the construction of Kabale International Airport in Hioma among others. This is illustrated in</w:t>
      </w:r>
      <w:r w:rsidR="00512DB7" w:rsidRPr="00445BF9">
        <w:rPr>
          <w:rFonts w:ascii="Times New Roman" w:eastAsia="Arial Unicode MS" w:hAnsi="Times New Roman"/>
          <w:sz w:val="24"/>
          <w:szCs w:val="24"/>
        </w:rPr>
        <w:t xml:space="preserve"> </w:t>
      </w:r>
      <w:r w:rsidR="00512DB7" w:rsidRPr="00445BF9">
        <w:rPr>
          <w:rFonts w:ascii="Times New Roman" w:eastAsia="Arial Unicode MS" w:hAnsi="Times New Roman"/>
          <w:b/>
          <w:sz w:val="24"/>
          <w:szCs w:val="24"/>
        </w:rPr>
        <w:t>Figure 2</w:t>
      </w:r>
      <w:r w:rsidR="00512DB7" w:rsidRPr="00445BF9">
        <w:rPr>
          <w:rFonts w:ascii="Times New Roman" w:eastAsia="Arial Unicode MS" w:hAnsi="Times New Roman"/>
          <w:sz w:val="24"/>
          <w:szCs w:val="24"/>
        </w:rPr>
        <w:t>.</w:t>
      </w:r>
    </w:p>
    <w:p w14:paraId="2CBB1E3A" w14:textId="125FE9A9" w:rsidR="00512DB7" w:rsidRPr="00445BF9" w:rsidRDefault="00512DB7" w:rsidP="00445BF9">
      <w:pPr>
        <w:pStyle w:val="Caption"/>
        <w:spacing w:after="120" w:line="360" w:lineRule="auto"/>
        <w:rPr>
          <w:rFonts w:ascii="Times New Roman" w:eastAsia="Arial Unicode MS" w:hAnsi="Times New Roman"/>
          <w:b/>
          <w:i w:val="0"/>
          <w:color w:val="000000" w:themeColor="text1"/>
          <w:sz w:val="24"/>
          <w:szCs w:val="24"/>
        </w:rPr>
      </w:pPr>
      <w:bookmarkStart w:id="71" w:name="_Toc4410600"/>
      <w:r w:rsidRPr="00445BF9">
        <w:rPr>
          <w:rFonts w:ascii="Times New Roman" w:hAnsi="Times New Roman"/>
          <w:b/>
          <w:i w:val="0"/>
          <w:color w:val="000000" w:themeColor="text1"/>
          <w:sz w:val="24"/>
          <w:szCs w:val="24"/>
        </w:rPr>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2</w:t>
      </w:r>
      <w:r w:rsidRPr="00445BF9">
        <w:rPr>
          <w:rFonts w:ascii="Times New Roman" w:hAnsi="Times New Roman"/>
          <w:b/>
          <w:i w:val="0"/>
          <w:color w:val="000000" w:themeColor="text1"/>
          <w:sz w:val="24"/>
          <w:szCs w:val="24"/>
        </w:rPr>
        <w:fldChar w:fldCharType="end"/>
      </w:r>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Pr="00445BF9">
        <w:rPr>
          <w:rFonts w:ascii="Times New Roman" w:hAnsi="Times New Roman"/>
          <w:b/>
          <w:i w:val="0"/>
          <w:color w:val="000000" w:themeColor="text1"/>
          <w:sz w:val="24"/>
          <w:szCs w:val="24"/>
        </w:rPr>
        <w:t>Development Assistance over the first three years of NDP-II period: Total Disbursements</w:t>
      </w:r>
      <w:bookmarkEnd w:id="71"/>
    </w:p>
    <w:p w14:paraId="21837243" w14:textId="77777777" w:rsidR="00512DB7" w:rsidRPr="00445BF9" w:rsidRDefault="00512DB7" w:rsidP="00445BF9">
      <w:pPr>
        <w:pStyle w:val="DeltaBodytext"/>
        <w:spacing w:after="120" w:line="360" w:lineRule="auto"/>
        <w:rPr>
          <w:rFonts w:ascii="Times New Roman" w:eastAsia="Arial Unicode MS" w:hAnsi="Times New Roman"/>
          <w:sz w:val="24"/>
          <w:szCs w:val="24"/>
        </w:rPr>
      </w:pPr>
      <w:r w:rsidRPr="00445BF9">
        <w:rPr>
          <w:rFonts w:ascii="Times New Roman" w:hAnsi="Times New Roman"/>
          <w:noProof/>
          <w:sz w:val="24"/>
          <w:szCs w:val="24"/>
          <w:lang w:eastAsia="en-GB"/>
        </w:rPr>
        <w:drawing>
          <wp:inline distT="0" distB="0" distL="0" distR="0" wp14:anchorId="3FA12325" wp14:editId="23CE183D">
            <wp:extent cx="4238625" cy="2486025"/>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C340FE" w14:textId="77777777" w:rsidR="00512DB7" w:rsidRPr="00445BF9" w:rsidRDefault="00512DB7" w:rsidP="00445BF9">
      <w:pPr>
        <w:pStyle w:val="Caption"/>
        <w:spacing w:after="120" w:line="360" w:lineRule="auto"/>
        <w:rPr>
          <w:rFonts w:ascii="Times New Roman" w:hAnsi="Times New Roman"/>
          <w:sz w:val="24"/>
          <w:szCs w:val="24"/>
        </w:rPr>
      </w:pPr>
      <w:r w:rsidRPr="00445BF9">
        <w:rPr>
          <w:rFonts w:ascii="Times New Roman" w:hAnsi="Times New Roman"/>
          <w:b/>
          <w:sz w:val="24"/>
          <w:szCs w:val="24"/>
        </w:rPr>
        <w:t>Source:</w:t>
      </w:r>
      <w:r w:rsidRPr="00445BF9">
        <w:rPr>
          <w:rFonts w:ascii="Times New Roman" w:hAnsi="Times New Roman"/>
          <w:sz w:val="24"/>
          <w:szCs w:val="24"/>
        </w:rPr>
        <w:t xml:space="preserve">  MoFPED, 2018</w:t>
      </w:r>
    </w:p>
    <w:p w14:paraId="7D8F7CE9" w14:textId="77777777" w:rsidR="00512DB7" w:rsidRPr="00445BF9" w:rsidRDefault="00512DB7" w:rsidP="00445BF9">
      <w:pPr>
        <w:pStyle w:val="DeltaBodytext"/>
        <w:spacing w:after="120" w:line="360" w:lineRule="auto"/>
        <w:rPr>
          <w:rFonts w:ascii="Times New Roman" w:hAnsi="Times New Roman"/>
          <w:b/>
          <w:noProof/>
          <w:sz w:val="24"/>
          <w:szCs w:val="24"/>
        </w:rPr>
      </w:pPr>
    </w:p>
    <w:p w14:paraId="26966FD9" w14:textId="4F584D6E" w:rsidR="00B755CF" w:rsidRPr="00445BF9" w:rsidRDefault="00B755CF"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lastRenderedPageBreak/>
        <w:t>There no steady pattern of Development Assistance flow</w:t>
      </w:r>
      <w:r w:rsidR="00972944" w:rsidRPr="00445BF9">
        <w:rPr>
          <w:rFonts w:ascii="Times New Roman" w:eastAsia="Arial Unicode MS" w:hAnsi="Times New Roman"/>
          <w:b/>
          <w:sz w:val="24"/>
          <w:szCs w:val="24"/>
        </w:rPr>
        <w:t>s</w:t>
      </w:r>
      <w:r w:rsidRPr="00445BF9">
        <w:rPr>
          <w:rFonts w:ascii="Times New Roman" w:eastAsia="Arial Unicode MS" w:hAnsi="Times New Roman"/>
          <w:b/>
          <w:sz w:val="24"/>
          <w:szCs w:val="24"/>
        </w:rPr>
        <w:t xml:space="preserve"> during the NDP-II period. </w:t>
      </w:r>
      <w:r w:rsidRPr="00445BF9">
        <w:rPr>
          <w:rFonts w:ascii="Times New Roman" w:eastAsia="Arial Unicode MS" w:hAnsi="Times New Roman"/>
          <w:sz w:val="24"/>
          <w:szCs w:val="24"/>
        </w:rPr>
        <w:t xml:space="preserve">During the first year of the NDP-II (FY 2015/16) the total Development Assistance (both on-budget and off-budget) amounted to USD 1,541 million. In the second year (FY 2016/17) Development Assistance dropped by 4.6% to USD 1,470 million, in FY 2017/18 picked up by 13.4% to USD 1,668 million. The volatility is mainly attributed to pace of project implementation. Disbursement of project support especially for infrastructure project is linked to certificates based on completed works, if there is slow implementation there will be low disbursements and the reverse is true. Since most of the projects are basically infrastructure, the pace of implementation determines the slow implementation. Government realising effects of slow implemented embarked on undertaking annual portfolio reviews with development partners in 2016/17. This has significantly improved project performance in later year. This explains the rebound in FY 2017/18. </w:t>
      </w:r>
    </w:p>
    <w:p w14:paraId="1B98F49E" w14:textId="17D8D64B" w:rsidR="000D2A0B" w:rsidRPr="00445BF9" w:rsidRDefault="009239D2" w:rsidP="00445BF9">
      <w:pPr>
        <w:pStyle w:val="Caption"/>
        <w:spacing w:after="120" w:line="360" w:lineRule="auto"/>
        <w:rPr>
          <w:rFonts w:ascii="Times New Roman" w:hAnsi="Times New Roman"/>
          <w:b/>
          <w:i w:val="0"/>
          <w:color w:val="000000" w:themeColor="text1"/>
          <w:sz w:val="24"/>
          <w:szCs w:val="24"/>
        </w:rPr>
      </w:pPr>
      <w:bookmarkStart w:id="72" w:name="_Toc4410601"/>
      <w:r w:rsidRPr="00445BF9">
        <w:rPr>
          <w:rFonts w:ascii="Times New Roman" w:hAnsi="Times New Roman"/>
          <w:b/>
          <w:i w:val="0"/>
          <w:color w:val="000000" w:themeColor="text1"/>
          <w:sz w:val="24"/>
          <w:szCs w:val="24"/>
        </w:rPr>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3</w:t>
      </w:r>
      <w:r w:rsidRPr="00445BF9">
        <w:rPr>
          <w:rFonts w:ascii="Times New Roman" w:hAnsi="Times New Roman"/>
          <w:b/>
          <w:i w:val="0"/>
          <w:color w:val="000000" w:themeColor="text1"/>
          <w:sz w:val="24"/>
          <w:szCs w:val="24"/>
        </w:rPr>
        <w:fldChar w:fldCharType="end"/>
      </w:r>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000D2A0B" w:rsidRPr="00445BF9">
        <w:rPr>
          <w:rFonts w:ascii="Times New Roman" w:hAnsi="Times New Roman"/>
          <w:b/>
          <w:i w:val="0"/>
          <w:color w:val="000000" w:themeColor="text1"/>
          <w:sz w:val="24"/>
          <w:szCs w:val="24"/>
        </w:rPr>
        <w:t>ODA Receipts for Uganda (2015-17)</w:t>
      </w:r>
      <w:r w:rsidR="0003015B" w:rsidRPr="00445BF9">
        <w:rPr>
          <w:rFonts w:ascii="Times New Roman" w:hAnsi="Times New Roman"/>
          <w:b/>
          <w:i w:val="0"/>
          <w:color w:val="000000" w:themeColor="text1"/>
          <w:sz w:val="24"/>
          <w:szCs w:val="24"/>
        </w:rPr>
        <w:t xml:space="preserve"> and top ten Donors (2016-17)</w:t>
      </w:r>
      <w:r w:rsidR="00186343" w:rsidRPr="00445BF9">
        <w:rPr>
          <w:rStyle w:val="FootnoteReference"/>
          <w:rFonts w:ascii="Times New Roman" w:hAnsi="Times New Roman"/>
          <w:b/>
          <w:i w:val="0"/>
          <w:color w:val="000000" w:themeColor="text1"/>
          <w:sz w:val="24"/>
          <w:szCs w:val="24"/>
        </w:rPr>
        <w:footnoteReference w:id="3"/>
      </w:r>
      <w:bookmarkEnd w:id="72"/>
    </w:p>
    <w:p w14:paraId="75B66878" w14:textId="5C406EF7" w:rsidR="001953F4" w:rsidRPr="00445BF9" w:rsidRDefault="00CE1E94" w:rsidP="00445BF9">
      <w:pPr>
        <w:pStyle w:val="DeltaBodytext"/>
        <w:spacing w:after="120" w:line="360" w:lineRule="auto"/>
        <w:rPr>
          <w:rFonts w:ascii="Times New Roman" w:hAnsi="Times New Roman"/>
          <w:b/>
          <w:sz w:val="24"/>
          <w:szCs w:val="24"/>
        </w:rPr>
      </w:pPr>
      <w:r w:rsidRPr="00445BF9">
        <w:rPr>
          <w:rFonts w:ascii="Times New Roman" w:hAnsi="Times New Roman"/>
          <w:noProof/>
          <w:sz w:val="24"/>
          <w:szCs w:val="24"/>
          <w:lang w:eastAsia="en-GB"/>
        </w:rPr>
        <w:drawing>
          <wp:inline distT="0" distB="0" distL="0" distR="0" wp14:anchorId="2EEDE867" wp14:editId="77F975C1">
            <wp:extent cx="5787942" cy="1192406"/>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3" t="15706" r="1779" b="48595"/>
                    <a:stretch/>
                  </pic:blipFill>
                  <pic:spPr bwMode="auto">
                    <a:xfrm>
                      <a:off x="0" y="0"/>
                      <a:ext cx="5790087" cy="1192848"/>
                    </a:xfrm>
                    <a:prstGeom prst="rect">
                      <a:avLst/>
                    </a:prstGeom>
                    <a:ln>
                      <a:noFill/>
                    </a:ln>
                    <a:extLst>
                      <a:ext uri="{53640926-AAD7-44D8-BBD7-CCE9431645EC}">
                        <a14:shadowObscured xmlns:a14="http://schemas.microsoft.com/office/drawing/2010/main"/>
                      </a:ext>
                    </a:extLst>
                  </pic:spPr>
                </pic:pic>
              </a:graphicData>
            </a:graphic>
          </wp:inline>
        </w:drawing>
      </w:r>
    </w:p>
    <w:p w14:paraId="42F76DB6" w14:textId="5C73B28A" w:rsidR="007D0735" w:rsidRPr="00445BF9" w:rsidRDefault="007D0735" w:rsidP="00445BF9">
      <w:pPr>
        <w:pStyle w:val="Caption"/>
        <w:spacing w:after="120" w:line="360" w:lineRule="auto"/>
        <w:rPr>
          <w:rFonts w:ascii="Times New Roman" w:hAnsi="Times New Roman"/>
          <w:b/>
          <w:sz w:val="24"/>
          <w:szCs w:val="24"/>
        </w:rPr>
      </w:pPr>
      <w:r w:rsidRPr="00445BF9">
        <w:rPr>
          <w:rFonts w:ascii="Times New Roman" w:hAnsi="Times New Roman"/>
          <w:b/>
          <w:sz w:val="24"/>
          <w:szCs w:val="24"/>
        </w:rPr>
        <w:t xml:space="preserve">Source:  </w:t>
      </w:r>
      <w:hyperlink r:id="rId17" w:history="1">
        <w:r w:rsidRPr="00445BF9">
          <w:rPr>
            <w:rStyle w:val="Hyperlink"/>
            <w:rFonts w:ascii="Times New Roman" w:hAnsi="Times New Roman"/>
            <w:sz w:val="24"/>
            <w:szCs w:val="24"/>
          </w:rPr>
          <w:t>OECD</w:t>
        </w:r>
        <w:r w:rsidR="00B24AEE" w:rsidRPr="00445BF9">
          <w:rPr>
            <w:rStyle w:val="Hyperlink"/>
            <w:rFonts w:ascii="Times New Roman" w:hAnsi="Times New Roman"/>
            <w:sz w:val="24"/>
            <w:szCs w:val="24"/>
          </w:rPr>
          <w:t>-DAC</w:t>
        </w:r>
        <w:r w:rsidRPr="00445BF9">
          <w:rPr>
            <w:rStyle w:val="Hyperlink"/>
            <w:rFonts w:ascii="Times New Roman" w:hAnsi="Times New Roman"/>
            <w:sz w:val="24"/>
            <w:szCs w:val="24"/>
          </w:rPr>
          <w:t xml:space="preserve"> data, 2018</w:t>
        </w:r>
      </w:hyperlink>
    </w:p>
    <w:p w14:paraId="2574AC14" w14:textId="2DBC22B5" w:rsidR="008C0271" w:rsidRPr="00445BF9" w:rsidRDefault="0092419F"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hAnsi="Times New Roman"/>
          <w:b/>
          <w:sz w:val="24"/>
          <w:szCs w:val="24"/>
        </w:rPr>
        <w:t>There is a tendency of increased use of off-budget support outside government systems.</w:t>
      </w:r>
      <w:r w:rsidR="00574281" w:rsidRPr="00445BF9">
        <w:rPr>
          <w:rFonts w:ascii="Times New Roman" w:hAnsi="Times New Roman"/>
          <w:b/>
          <w:sz w:val="24"/>
          <w:szCs w:val="24"/>
        </w:rPr>
        <w:t xml:space="preserve"> And t</w:t>
      </w:r>
      <w:r w:rsidR="001F384F" w:rsidRPr="00445BF9">
        <w:rPr>
          <w:rFonts w:ascii="Times New Roman" w:hAnsi="Times New Roman"/>
          <w:b/>
          <w:sz w:val="24"/>
          <w:szCs w:val="24"/>
        </w:rPr>
        <w:t xml:space="preserve">he budget support </w:t>
      </w:r>
      <w:r w:rsidR="00822C41" w:rsidRPr="00445BF9">
        <w:rPr>
          <w:rFonts w:ascii="Times New Roman" w:hAnsi="Times New Roman"/>
          <w:b/>
          <w:sz w:val="24"/>
          <w:szCs w:val="24"/>
        </w:rPr>
        <w:t xml:space="preserve">has </w:t>
      </w:r>
      <w:r w:rsidR="001F384F" w:rsidRPr="00445BF9">
        <w:rPr>
          <w:rFonts w:ascii="Times New Roman" w:hAnsi="Times New Roman"/>
          <w:b/>
          <w:sz w:val="24"/>
          <w:szCs w:val="24"/>
        </w:rPr>
        <w:t>declined in recent year</w:t>
      </w:r>
      <w:r w:rsidR="00822C41" w:rsidRPr="00445BF9">
        <w:rPr>
          <w:rFonts w:ascii="Times New Roman" w:hAnsi="Times New Roman"/>
          <w:b/>
          <w:sz w:val="24"/>
          <w:szCs w:val="24"/>
        </w:rPr>
        <w:t>s</w:t>
      </w:r>
      <w:r w:rsidR="001F384F" w:rsidRPr="00445BF9">
        <w:rPr>
          <w:rFonts w:ascii="Times New Roman" w:hAnsi="Times New Roman"/>
          <w:b/>
          <w:sz w:val="24"/>
          <w:szCs w:val="24"/>
        </w:rPr>
        <w:t>.</w:t>
      </w:r>
      <w:r w:rsidR="001F384F" w:rsidRPr="00445BF9">
        <w:rPr>
          <w:rFonts w:ascii="Times New Roman" w:hAnsi="Times New Roman"/>
          <w:sz w:val="24"/>
          <w:szCs w:val="24"/>
        </w:rPr>
        <w:t xml:space="preserve"> The decline is partially driven by external factors related to the global economy, shift of DPs’ use of aid modalities</w:t>
      </w:r>
      <w:r w:rsidR="00822C41" w:rsidRPr="00445BF9">
        <w:rPr>
          <w:rFonts w:ascii="Times New Roman" w:hAnsi="Times New Roman"/>
          <w:sz w:val="24"/>
          <w:szCs w:val="24"/>
        </w:rPr>
        <w:t xml:space="preserve"> and</w:t>
      </w:r>
      <w:r w:rsidR="002E0AB2" w:rsidRPr="00445BF9">
        <w:rPr>
          <w:rFonts w:ascii="Times New Roman" w:hAnsi="Times New Roman"/>
          <w:sz w:val="24"/>
          <w:szCs w:val="24"/>
        </w:rPr>
        <w:t xml:space="preserve"> partially driven by internal factors in Uganda, notably governance and financial management challenges. </w:t>
      </w:r>
      <w:r w:rsidR="002E0AB2" w:rsidRPr="00445BF9">
        <w:rPr>
          <w:rFonts w:ascii="Times New Roman" w:eastAsia="Arial Unicode MS" w:hAnsi="Times New Roman"/>
          <w:sz w:val="24"/>
          <w:szCs w:val="24"/>
        </w:rPr>
        <w:t xml:space="preserve">This is illustrated in </w:t>
      </w:r>
      <w:r w:rsidR="002E0AB2" w:rsidRPr="00445BF9">
        <w:rPr>
          <w:rFonts w:ascii="Times New Roman" w:eastAsia="Arial Unicode MS" w:hAnsi="Times New Roman"/>
          <w:sz w:val="24"/>
          <w:szCs w:val="24"/>
        </w:rPr>
        <w:fldChar w:fldCharType="begin"/>
      </w:r>
      <w:r w:rsidR="002E0AB2" w:rsidRPr="00445BF9">
        <w:rPr>
          <w:rFonts w:ascii="Times New Roman" w:eastAsia="Arial Unicode MS" w:hAnsi="Times New Roman"/>
          <w:sz w:val="24"/>
          <w:szCs w:val="24"/>
        </w:rPr>
        <w:instrText xml:space="preserve"> REF _Ref533534853 \h  \* MERGEFORMAT </w:instrText>
      </w:r>
      <w:r w:rsidR="002E0AB2" w:rsidRPr="00445BF9">
        <w:rPr>
          <w:rFonts w:ascii="Times New Roman" w:eastAsia="Arial Unicode MS" w:hAnsi="Times New Roman"/>
          <w:sz w:val="24"/>
          <w:szCs w:val="24"/>
        </w:rPr>
      </w:r>
      <w:r w:rsidR="002E0AB2" w:rsidRPr="00445BF9">
        <w:rPr>
          <w:rFonts w:ascii="Times New Roman" w:eastAsia="Arial Unicode MS" w:hAnsi="Times New Roman"/>
          <w:sz w:val="24"/>
          <w:szCs w:val="24"/>
        </w:rPr>
        <w:fldChar w:fldCharType="separate"/>
      </w:r>
      <w:r w:rsidR="006F31B1" w:rsidRPr="006F31B1">
        <w:rPr>
          <w:rFonts w:ascii="Times New Roman" w:hAnsi="Times New Roman"/>
          <w:b/>
          <w:sz w:val="24"/>
          <w:szCs w:val="24"/>
        </w:rPr>
        <w:t>Figure 5</w:t>
      </w:r>
      <w:r w:rsidR="002E0AB2" w:rsidRPr="00445BF9">
        <w:rPr>
          <w:rFonts w:ascii="Times New Roman" w:eastAsia="Arial Unicode MS" w:hAnsi="Times New Roman"/>
          <w:sz w:val="24"/>
          <w:szCs w:val="24"/>
        </w:rPr>
        <w:fldChar w:fldCharType="end"/>
      </w:r>
      <w:r w:rsidR="002E0AB2" w:rsidRPr="00445BF9">
        <w:rPr>
          <w:rFonts w:ascii="Times New Roman" w:eastAsia="Arial Unicode MS" w:hAnsi="Times New Roman"/>
          <w:sz w:val="24"/>
          <w:szCs w:val="24"/>
        </w:rPr>
        <w:t xml:space="preserve"> below.</w:t>
      </w:r>
      <w:r w:rsidR="008C0271" w:rsidRPr="00445BF9">
        <w:rPr>
          <w:rFonts w:ascii="Times New Roman" w:eastAsia="Arial Unicode MS" w:hAnsi="Times New Roman"/>
          <w:sz w:val="24"/>
          <w:szCs w:val="24"/>
        </w:rPr>
        <w:t xml:space="preserve"> </w:t>
      </w:r>
      <w:r w:rsidR="008C0271" w:rsidRPr="00445BF9">
        <w:rPr>
          <w:rFonts w:ascii="Times New Roman" w:hAnsi="Times New Roman"/>
          <w:sz w:val="24"/>
          <w:szCs w:val="24"/>
        </w:rPr>
        <w:t xml:space="preserve">One of the reasons cited by DPs for channelling support outside government system </w:t>
      </w:r>
      <w:r w:rsidR="008C0271" w:rsidRPr="00445BF9">
        <w:rPr>
          <w:rFonts w:ascii="Times New Roman" w:eastAsia="Arial Unicode MS" w:hAnsi="Times New Roman"/>
          <w:sz w:val="24"/>
          <w:szCs w:val="24"/>
        </w:rPr>
        <w:t>was because of government capacity to implement project</w:t>
      </w:r>
      <w:r w:rsidR="0071139F" w:rsidRPr="00445BF9">
        <w:rPr>
          <w:rFonts w:ascii="Times New Roman" w:eastAsia="Arial Unicode MS" w:hAnsi="Times New Roman"/>
          <w:sz w:val="24"/>
          <w:szCs w:val="24"/>
        </w:rPr>
        <w:t>s</w:t>
      </w:r>
      <w:r w:rsidR="008C0271" w:rsidRPr="00445BF9">
        <w:rPr>
          <w:rFonts w:ascii="Times New Roman" w:eastAsia="Arial Unicode MS" w:hAnsi="Times New Roman"/>
          <w:sz w:val="24"/>
          <w:szCs w:val="24"/>
        </w:rPr>
        <w:t xml:space="preserve"> efficiently.</w:t>
      </w:r>
    </w:p>
    <w:p w14:paraId="18F74405" w14:textId="5FF74344" w:rsidR="00022A3E" w:rsidRPr="00445BF9" w:rsidRDefault="0075620E"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Arial Unicode MS" w:hAnsi="Times New Roman"/>
          <w:sz w:val="24"/>
          <w:szCs w:val="24"/>
        </w:rPr>
        <w:t>Some of the DPs pulled out from budget support</w:t>
      </w:r>
      <w:r w:rsidR="003D0F20" w:rsidRPr="00445BF9">
        <w:rPr>
          <w:rFonts w:ascii="Times New Roman" w:eastAsia="Arial Unicode MS" w:hAnsi="Times New Roman"/>
          <w:sz w:val="24"/>
          <w:szCs w:val="24"/>
        </w:rPr>
        <w:t xml:space="preserve"> following 2012 crises</w:t>
      </w:r>
      <w:r w:rsidRPr="00445BF9">
        <w:rPr>
          <w:rFonts w:ascii="Times New Roman" w:eastAsia="Arial Unicode MS" w:hAnsi="Times New Roman"/>
          <w:sz w:val="24"/>
          <w:szCs w:val="24"/>
        </w:rPr>
        <w:t xml:space="preserve">, e.g. WB has moved to project support, </w:t>
      </w:r>
      <w:r w:rsidR="00822C41" w:rsidRPr="00445BF9">
        <w:rPr>
          <w:rFonts w:ascii="Times New Roman" w:eastAsia="Arial Unicode MS" w:hAnsi="Times New Roman"/>
          <w:sz w:val="24"/>
          <w:szCs w:val="24"/>
        </w:rPr>
        <w:t>Program for R</w:t>
      </w:r>
      <w:r w:rsidRPr="00445BF9">
        <w:rPr>
          <w:rFonts w:ascii="Times New Roman" w:eastAsia="Arial Unicode MS" w:hAnsi="Times New Roman"/>
          <w:sz w:val="24"/>
          <w:szCs w:val="24"/>
        </w:rPr>
        <w:t>esults</w:t>
      </w:r>
      <w:r w:rsidR="00822C41" w:rsidRPr="00445BF9">
        <w:rPr>
          <w:rFonts w:ascii="Times New Roman" w:eastAsia="Arial Unicode MS" w:hAnsi="Times New Roman"/>
          <w:sz w:val="24"/>
          <w:szCs w:val="24"/>
        </w:rPr>
        <w:t xml:space="preserve"> and Development Policy Operations</w:t>
      </w:r>
      <w:r w:rsidRPr="00445BF9">
        <w:rPr>
          <w:rFonts w:ascii="Times New Roman" w:eastAsia="Arial Unicode MS" w:hAnsi="Times New Roman"/>
          <w:sz w:val="24"/>
          <w:szCs w:val="24"/>
        </w:rPr>
        <w:t xml:space="preserve">. Plans are underway </w:t>
      </w:r>
      <w:r w:rsidR="00186343" w:rsidRPr="00445BF9">
        <w:rPr>
          <w:rFonts w:ascii="Times New Roman" w:eastAsia="Arial Unicode MS" w:hAnsi="Times New Roman"/>
          <w:sz w:val="24"/>
          <w:szCs w:val="24"/>
        </w:rPr>
        <w:t xml:space="preserve">to </w:t>
      </w:r>
      <w:r w:rsidRPr="00445BF9">
        <w:rPr>
          <w:rFonts w:ascii="Times New Roman" w:eastAsia="Arial Unicode MS" w:hAnsi="Times New Roman"/>
          <w:sz w:val="24"/>
          <w:szCs w:val="24"/>
        </w:rPr>
        <w:t>bring the WB and others back to budget support.</w:t>
      </w:r>
      <w:r w:rsidR="00AC3DD5" w:rsidRPr="00445BF9">
        <w:rPr>
          <w:rFonts w:ascii="Times New Roman" w:eastAsia="Arial Unicode MS" w:hAnsi="Times New Roman"/>
          <w:sz w:val="24"/>
          <w:szCs w:val="24"/>
        </w:rPr>
        <w:t xml:space="preserve"> </w:t>
      </w:r>
      <w:r w:rsidR="00022A3E" w:rsidRPr="00445BF9">
        <w:rPr>
          <w:rFonts w:ascii="Times New Roman" w:hAnsi="Times New Roman"/>
          <w:sz w:val="24"/>
          <w:szCs w:val="24"/>
        </w:rPr>
        <w:t xml:space="preserve">Traditional development partners are </w:t>
      </w:r>
      <w:r w:rsidR="00022A3E" w:rsidRPr="00445BF9">
        <w:rPr>
          <w:rFonts w:ascii="Times New Roman" w:hAnsi="Times New Roman"/>
          <w:sz w:val="24"/>
          <w:szCs w:val="24"/>
        </w:rPr>
        <w:lastRenderedPageBreak/>
        <w:t xml:space="preserve">expected to stay engaged but might fragment in their approaches and could increasingly use off budget channels that may be more difficult to align with the NDP.  </w:t>
      </w:r>
    </w:p>
    <w:p w14:paraId="1A2F1979" w14:textId="05F0EF15" w:rsidR="00BD3DDF" w:rsidRPr="00445BF9" w:rsidRDefault="00BD3DDF"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sz w:val="24"/>
          <w:szCs w:val="24"/>
        </w:rPr>
        <w:t>There</w:t>
      </w:r>
      <w:r w:rsidR="00822C41" w:rsidRPr="00445BF9">
        <w:rPr>
          <w:rFonts w:ascii="Times New Roman" w:hAnsi="Times New Roman"/>
          <w:sz w:val="24"/>
          <w:szCs w:val="24"/>
        </w:rPr>
        <w:t xml:space="preserve"> is a</w:t>
      </w:r>
      <w:r w:rsidRPr="00445BF9">
        <w:rPr>
          <w:rFonts w:ascii="Times New Roman" w:hAnsi="Times New Roman"/>
          <w:sz w:val="24"/>
          <w:szCs w:val="24"/>
        </w:rPr>
        <w:t xml:space="preserve"> </w:t>
      </w:r>
      <w:r w:rsidR="00822C41" w:rsidRPr="00445BF9">
        <w:rPr>
          <w:rFonts w:ascii="Times New Roman" w:hAnsi="Times New Roman"/>
          <w:sz w:val="24"/>
          <w:szCs w:val="24"/>
        </w:rPr>
        <w:t>l</w:t>
      </w:r>
      <w:r w:rsidRPr="00445BF9">
        <w:rPr>
          <w:rFonts w:ascii="Times New Roman" w:hAnsi="Times New Roman"/>
          <w:sz w:val="24"/>
          <w:szCs w:val="24"/>
        </w:rPr>
        <w:t xml:space="preserve">egal framework </w:t>
      </w:r>
      <w:r w:rsidR="00822C41" w:rsidRPr="00445BF9">
        <w:rPr>
          <w:rFonts w:ascii="Times New Roman" w:hAnsi="Times New Roman"/>
          <w:sz w:val="24"/>
          <w:szCs w:val="24"/>
        </w:rPr>
        <w:t xml:space="preserve">under the PFMA 2015 </w:t>
      </w:r>
      <w:r w:rsidR="00E4081B" w:rsidRPr="00445BF9">
        <w:rPr>
          <w:rFonts w:ascii="Times New Roman" w:hAnsi="Times New Roman"/>
          <w:sz w:val="24"/>
          <w:szCs w:val="24"/>
        </w:rPr>
        <w:t>requir</w:t>
      </w:r>
      <w:r w:rsidR="00822C41" w:rsidRPr="00445BF9">
        <w:rPr>
          <w:rFonts w:ascii="Times New Roman" w:hAnsi="Times New Roman"/>
          <w:sz w:val="24"/>
          <w:szCs w:val="24"/>
        </w:rPr>
        <w:t xml:space="preserve">ing full disclosure of all development assistance including </w:t>
      </w:r>
      <w:r w:rsidRPr="00445BF9">
        <w:rPr>
          <w:rFonts w:ascii="Times New Roman" w:hAnsi="Times New Roman"/>
          <w:sz w:val="24"/>
          <w:szCs w:val="24"/>
        </w:rPr>
        <w:t xml:space="preserve">off-budget. Country </w:t>
      </w:r>
      <w:r w:rsidRPr="00445BF9">
        <w:rPr>
          <w:rFonts w:ascii="Times New Roman" w:eastAsia="Arial Unicode MS" w:hAnsi="Times New Roman"/>
          <w:sz w:val="24"/>
          <w:szCs w:val="24"/>
        </w:rPr>
        <w:t>programmes</w:t>
      </w:r>
      <w:r w:rsidRPr="00445BF9">
        <w:rPr>
          <w:rFonts w:ascii="Times New Roman" w:hAnsi="Times New Roman"/>
          <w:sz w:val="24"/>
          <w:szCs w:val="24"/>
        </w:rPr>
        <w:t xml:space="preserve"> have off-budget indication (</w:t>
      </w:r>
      <w:r w:rsidR="00AB383E" w:rsidRPr="00445BF9">
        <w:rPr>
          <w:rFonts w:ascii="Times New Roman" w:hAnsi="Times New Roman"/>
          <w:sz w:val="24"/>
          <w:szCs w:val="24"/>
        </w:rPr>
        <w:t xml:space="preserve">e.g. </w:t>
      </w:r>
      <w:r w:rsidRPr="00445BF9">
        <w:rPr>
          <w:rFonts w:ascii="Times New Roman" w:hAnsi="Times New Roman"/>
          <w:sz w:val="24"/>
          <w:szCs w:val="24"/>
        </w:rPr>
        <w:t>for USAID, UN Agencies)</w:t>
      </w:r>
      <w:r w:rsidR="00AB383E" w:rsidRPr="00445BF9">
        <w:rPr>
          <w:rFonts w:ascii="Times New Roman" w:hAnsi="Times New Roman"/>
          <w:sz w:val="24"/>
          <w:szCs w:val="24"/>
        </w:rPr>
        <w:t xml:space="preserve">. </w:t>
      </w:r>
      <w:r w:rsidRPr="00445BF9">
        <w:rPr>
          <w:rFonts w:ascii="Times New Roman" w:hAnsi="Times New Roman"/>
          <w:sz w:val="24"/>
          <w:szCs w:val="24"/>
        </w:rPr>
        <w:t>Th</w:t>
      </w:r>
      <w:r w:rsidR="00822C41" w:rsidRPr="00445BF9">
        <w:rPr>
          <w:rFonts w:ascii="Times New Roman" w:hAnsi="Times New Roman"/>
          <w:sz w:val="24"/>
          <w:szCs w:val="24"/>
        </w:rPr>
        <w:t xml:space="preserve">is requires </w:t>
      </w:r>
      <w:r w:rsidR="007765F2" w:rsidRPr="00445BF9">
        <w:rPr>
          <w:rFonts w:ascii="Times New Roman" w:hAnsi="Times New Roman"/>
          <w:sz w:val="24"/>
          <w:szCs w:val="24"/>
        </w:rPr>
        <w:t>bringing</w:t>
      </w:r>
      <w:r w:rsidRPr="00445BF9">
        <w:rPr>
          <w:rFonts w:ascii="Times New Roman" w:hAnsi="Times New Roman"/>
          <w:sz w:val="24"/>
          <w:szCs w:val="24"/>
        </w:rPr>
        <w:t xml:space="preserve"> off-budget to be appropriated by </w:t>
      </w:r>
      <w:r w:rsidR="00822C41" w:rsidRPr="00445BF9">
        <w:rPr>
          <w:rFonts w:ascii="Times New Roman" w:hAnsi="Times New Roman"/>
          <w:sz w:val="24"/>
          <w:szCs w:val="24"/>
        </w:rPr>
        <w:t xml:space="preserve">parliament as provided in the </w:t>
      </w:r>
      <w:r w:rsidRPr="00445BF9">
        <w:rPr>
          <w:rFonts w:ascii="Times New Roman" w:hAnsi="Times New Roman"/>
          <w:sz w:val="24"/>
          <w:szCs w:val="24"/>
        </w:rPr>
        <w:t xml:space="preserve">law. </w:t>
      </w:r>
      <w:r w:rsidR="00822C41" w:rsidRPr="00445BF9">
        <w:rPr>
          <w:rFonts w:ascii="Times New Roman" w:hAnsi="Times New Roman"/>
          <w:sz w:val="24"/>
          <w:szCs w:val="24"/>
        </w:rPr>
        <w:t xml:space="preserve">The </w:t>
      </w:r>
      <w:r w:rsidR="00AB383E" w:rsidRPr="00445BF9">
        <w:rPr>
          <w:rFonts w:ascii="Times New Roman" w:hAnsi="Times New Roman"/>
          <w:sz w:val="24"/>
          <w:szCs w:val="24"/>
        </w:rPr>
        <w:t>MoF</w:t>
      </w:r>
      <w:r w:rsidR="00A43722" w:rsidRPr="00445BF9">
        <w:rPr>
          <w:rFonts w:ascii="Times New Roman" w:hAnsi="Times New Roman"/>
          <w:sz w:val="24"/>
          <w:szCs w:val="24"/>
        </w:rPr>
        <w:t>P</w:t>
      </w:r>
      <w:r w:rsidR="0069786D" w:rsidRPr="00445BF9">
        <w:rPr>
          <w:rFonts w:ascii="Times New Roman" w:hAnsi="Times New Roman"/>
          <w:sz w:val="24"/>
          <w:szCs w:val="24"/>
        </w:rPr>
        <w:t>E</w:t>
      </w:r>
      <w:r w:rsidR="00E65EDE" w:rsidRPr="00445BF9">
        <w:rPr>
          <w:rFonts w:ascii="Times New Roman" w:hAnsi="Times New Roman"/>
          <w:sz w:val="24"/>
          <w:szCs w:val="24"/>
        </w:rPr>
        <w:t>D</w:t>
      </w:r>
      <w:r w:rsidRPr="00445BF9">
        <w:rPr>
          <w:rFonts w:ascii="Times New Roman" w:hAnsi="Times New Roman"/>
          <w:sz w:val="24"/>
          <w:szCs w:val="24"/>
        </w:rPr>
        <w:t xml:space="preserve"> is in </w:t>
      </w:r>
      <w:r w:rsidR="00822C41" w:rsidRPr="00445BF9">
        <w:rPr>
          <w:rFonts w:ascii="Times New Roman" w:hAnsi="Times New Roman"/>
          <w:sz w:val="24"/>
          <w:szCs w:val="24"/>
        </w:rPr>
        <w:t xml:space="preserve">discussion </w:t>
      </w:r>
      <w:r w:rsidRPr="00445BF9">
        <w:rPr>
          <w:rFonts w:ascii="Times New Roman" w:hAnsi="Times New Roman"/>
          <w:sz w:val="24"/>
          <w:szCs w:val="24"/>
        </w:rPr>
        <w:t xml:space="preserve">with the </w:t>
      </w:r>
      <w:r w:rsidR="00822C41" w:rsidRPr="00445BF9">
        <w:rPr>
          <w:rFonts w:ascii="Times New Roman" w:hAnsi="Times New Roman"/>
          <w:sz w:val="24"/>
          <w:szCs w:val="24"/>
        </w:rPr>
        <w:t xml:space="preserve">development partners for full disclosure and appropriation of all Development assistance by </w:t>
      </w:r>
      <w:r w:rsidR="00AB383E" w:rsidRPr="00445BF9">
        <w:rPr>
          <w:rFonts w:ascii="Times New Roman" w:hAnsi="Times New Roman"/>
          <w:sz w:val="24"/>
          <w:szCs w:val="24"/>
        </w:rPr>
        <w:t>P</w:t>
      </w:r>
      <w:r w:rsidRPr="00445BF9">
        <w:rPr>
          <w:rFonts w:ascii="Times New Roman" w:hAnsi="Times New Roman"/>
          <w:sz w:val="24"/>
          <w:szCs w:val="24"/>
        </w:rPr>
        <w:t>arliament.</w:t>
      </w:r>
    </w:p>
    <w:p w14:paraId="3A28AB7F" w14:textId="7626509B" w:rsidR="00BF5085" w:rsidRPr="00445BF9" w:rsidRDefault="004E26BD"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b/>
          <w:sz w:val="24"/>
          <w:szCs w:val="24"/>
        </w:rPr>
        <w:t xml:space="preserve">Going forward, the </w:t>
      </w:r>
      <w:r w:rsidR="00FD6135" w:rsidRPr="00445BF9">
        <w:rPr>
          <w:rFonts w:ascii="Times New Roman" w:hAnsi="Times New Roman"/>
          <w:b/>
          <w:sz w:val="24"/>
          <w:szCs w:val="24"/>
        </w:rPr>
        <w:t>DPs are considering b</w:t>
      </w:r>
      <w:r w:rsidRPr="00445BF9">
        <w:rPr>
          <w:rFonts w:ascii="Times New Roman" w:hAnsi="Times New Roman"/>
          <w:b/>
          <w:sz w:val="24"/>
          <w:szCs w:val="24"/>
        </w:rPr>
        <w:t>lend</w:t>
      </w:r>
      <w:r w:rsidR="00FD6135" w:rsidRPr="00445BF9">
        <w:rPr>
          <w:rFonts w:ascii="Times New Roman" w:hAnsi="Times New Roman"/>
          <w:b/>
          <w:sz w:val="24"/>
          <w:szCs w:val="24"/>
        </w:rPr>
        <w:t xml:space="preserve">ed </w:t>
      </w:r>
      <w:r w:rsidRPr="00445BF9">
        <w:rPr>
          <w:rFonts w:ascii="Times New Roman" w:hAnsi="Times New Roman"/>
          <w:b/>
          <w:sz w:val="24"/>
          <w:szCs w:val="24"/>
        </w:rPr>
        <w:t xml:space="preserve">grant money </w:t>
      </w:r>
      <w:r w:rsidR="00FD6135" w:rsidRPr="00445BF9">
        <w:rPr>
          <w:rFonts w:ascii="Times New Roman" w:hAnsi="Times New Roman"/>
          <w:b/>
          <w:sz w:val="24"/>
          <w:szCs w:val="24"/>
        </w:rPr>
        <w:t xml:space="preserve">by </w:t>
      </w:r>
      <w:r w:rsidRPr="00445BF9">
        <w:rPr>
          <w:rFonts w:ascii="Times New Roman" w:hAnsi="Times New Roman"/>
          <w:b/>
          <w:sz w:val="24"/>
          <w:szCs w:val="24"/>
        </w:rPr>
        <w:t>harnessing more private sector money in development.</w:t>
      </w:r>
      <w:r w:rsidR="002D1484" w:rsidRPr="00445BF9">
        <w:rPr>
          <w:rFonts w:ascii="Times New Roman" w:hAnsi="Times New Roman"/>
          <w:b/>
          <w:sz w:val="24"/>
          <w:szCs w:val="24"/>
        </w:rPr>
        <w:t xml:space="preserve"> </w:t>
      </w:r>
      <w:r w:rsidR="00F16D0E" w:rsidRPr="00445BF9">
        <w:rPr>
          <w:rFonts w:ascii="Times New Roman" w:hAnsi="Times New Roman"/>
          <w:sz w:val="24"/>
          <w:szCs w:val="24"/>
        </w:rPr>
        <w:t xml:space="preserve">Marginal amounts are planning to be channelled through non-state actors (internationals in partnerships </w:t>
      </w:r>
      <w:r w:rsidR="00F16D0E" w:rsidRPr="00445BF9">
        <w:rPr>
          <w:rFonts w:ascii="Times New Roman" w:eastAsia="Arial Unicode MS" w:hAnsi="Times New Roman"/>
          <w:sz w:val="24"/>
          <w:szCs w:val="24"/>
        </w:rPr>
        <w:t xml:space="preserve">with locals).  </w:t>
      </w:r>
      <w:r w:rsidR="002D1484" w:rsidRPr="00445BF9">
        <w:rPr>
          <w:rFonts w:ascii="Times New Roman" w:eastAsia="Arial Unicode MS" w:hAnsi="Times New Roman"/>
          <w:sz w:val="24"/>
          <w:szCs w:val="24"/>
        </w:rPr>
        <w:t>Though</w:t>
      </w:r>
      <w:r w:rsidR="00285A90" w:rsidRPr="00445BF9">
        <w:rPr>
          <w:rFonts w:ascii="Times New Roman" w:eastAsia="Arial Unicode MS" w:hAnsi="Times New Roman"/>
          <w:sz w:val="24"/>
          <w:szCs w:val="24"/>
        </w:rPr>
        <w:t xml:space="preserve"> EU</w:t>
      </w:r>
      <w:r w:rsidR="002D1484" w:rsidRPr="00445BF9">
        <w:rPr>
          <w:rFonts w:ascii="Times New Roman" w:eastAsia="Arial Unicode MS" w:hAnsi="Times New Roman"/>
          <w:sz w:val="24"/>
          <w:szCs w:val="24"/>
        </w:rPr>
        <w:t xml:space="preserve"> is still providing BS</w:t>
      </w:r>
      <w:r w:rsidR="00822C41" w:rsidRPr="00445BF9">
        <w:rPr>
          <w:rFonts w:ascii="Times New Roman" w:eastAsia="Arial Unicode MS" w:hAnsi="Times New Roman"/>
          <w:sz w:val="24"/>
          <w:szCs w:val="24"/>
        </w:rPr>
        <w:t xml:space="preserve"> </w:t>
      </w:r>
      <w:r w:rsidR="00DE5744" w:rsidRPr="00445BF9">
        <w:rPr>
          <w:rFonts w:ascii="Times New Roman" w:eastAsia="Arial Unicode MS" w:hAnsi="Times New Roman"/>
          <w:sz w:val="24"/>
          <w:szCs w:val="24"/>
        </w:rPr>
        <w:t>dubbed</w:t>
      </w:r>
      <w:r w:rsidR="00822C41" w:rsidRPr="00445BF9">
        <w:rPr>
          <w:rFonts w:ascii="Times New Roman" w:eastAsia="Arial Unicode MS" w:hAnsi="Times New Roman"/>
          <w:sz w:val="24"/>
          <w:szCs w:val="24"/>
        </w:rPr>
        <w:t xml:space="preserve"> Sector Reform Support</w:t>
      </w:r>
      <w:r w:rsidR="002D1484" w:rsidRPr="00445BF9">
        <w:rPr>
          <w:rFonts w:ascii="Times New Roman" w:eastAsia="Arial Unicode MS" w:hAnsi="Times New Roman"/>
          <w:sz w:val="24"/>
          <w:szCs w:val="24"/>
        </w:rPr>
        <w:t xml:space="preserve">, many EU member states </w:t>
      </w:r>
      <w:r w:rsidRPr="00445BF9">
        <w:rPr>
          <w:rFonts w:ascii="Times New Roman" w:eastAsia="Arial Unicode MS" w:hAnsi="Times New Roman"/>
          <w:sz w:val="24"/>
          <w:szCs w:val="24"/>
        </w:rPr>
        <w:t>are not enthusiastic</w:t>
      </w:r>
      <w:r w:rsidR="00FA1564" w:rsidRPr="00445BF9">
        <w:rPr>
          <w:rFonts w:ascii="Times New Roman" w:eastAsia="Arial Unicode MS" w:hAnsi="Times New Roman"/>
          <w:sz w:val="24"/>
          <w:szCs w:val="24"/>
        </w:rPr>
        <w:t xml:space="preserve"> about BS. </w:t>
      </w:r>
      <w:r w:rsidR="00BF5085" w:rsidRPr="00445BF9">
        <w:rPr>
          <w:rFonts w:ascii="Times New Roman" w:eastAsia="Arial Unicode MS" w:hAnsi="Times New Roman"/>
          <w:sz w:val="24"/>
          <w:szCs w:val="24"/>
        </w:rPr>
        <w:t xml:space="preserve">USAID </w:t>
      </w:r>
      <w:r w:rsidR="00570EF9" w:rsidRPr="00445BF9">
        <w:rPr>
          <w:rFonts w:ascii="Times New Roman" w:eastAsia="Arial Unicode MS" w:hAnsi="Times New Roman"/>
          <w:sz w:val="24"/>
          <w:szCs w:val="24"/>
        </w:rPr>
        <w:t>funds are largely o</w:t>
      </w:r>
      <w:r w:rsidR="00BF5085" w:rsidRPr="00445BF9">
        <w:rPr>
          <w:rFonts w:ascii="Times New Roman" w:eastAsia="Arial Unicode MS" w:hAnsi="Times New Roman"/>
          <w:sz w:val="24"/>
          <w:szCs w:val="24"/>
        </w:rPr>
        <w:t>ff budget</w:t>
      </w:r>
      <w:r w:rsidR="00570EF9" w:rsidRPr="00445BF9">
        <w:rPr>
          <w:rFonts w:ascii="Times New Roman" w:eastAsia="Arial Unicode MS" w:hAnsi="Times New Roman"/>
          <w:sz w:val="24"/>
          <w:szCs w:val="24"/>
        </w:rPr>
        <w:t xml:space="preserve">, rather project support, </w:t>
      </w:r>
      <w:r w:rsidR="00BF5085" w:rsidRPr="00445BF9">
        <w:rPr>
          <w:rFonts w:ascii="Times New Roman" w:eastAsia="Arial Unicode MS" w:hAnsi="Times New Roman"/>
          <w:sz w:val="24"/>
          <w:szCs w:val="24"/>
        </w:rPr>
        <w:t>not using GoU PFM and procurement system</w:t>
      </w:r>
      <w:r w:rsidR="00512F7E" w:rsidRPr="00445BF9">
        <w:rPr>
          <w:rFonts w:ascii="Times New Roman" w:eastAsia="Arial Unicode MS" w:hAnsi="Times New Roman"/>
          <w:sz w:val="24"/>
          <w:szCs w:val="24"/>
        </w:rPr>
        <w:t xml:space="preserve">, </w:t>
      </w:r>
      <w:r w:rsidR="00FC50E2" w:rsidRPr="00445BF9">
        <w:rPr>
          <w:rFonts w:ascii="Times New Roman" w:eastAsia="Arial Unicode MS" w:hAnsi="Times New Roman"/>
          <w:sz w:val="24"/>
          <w:szCs w:val="24"/>
        </w:rPr>
        <w:t>however,</w:t>
      </w:r>
      <w:r w:rsidR="00512F7E" w:rsidRPr="00445BF9">
        <w:rPr>
          <w:rFonts w:ascii="Times New Roman" w:eastAsia="Arial Unicode MS" w:hAnsi="Times New Roman"/>
          <w:sz w:val="24"/>
          <w:szCs w:val="24"/>
        </w:rPr>
        <w:t xml:space="preserve"> has projects </w:t>
      </w:r>
      <w:r w:rsidR="00FC50E2" w:rsidRPr="00445BF9">
        <w:rPr>
          <w:rFonts w:ascii="Times New Roman" w:eastAsia="Arial Unicode MS" w:hAnsi="Times New Roman"/>
          <w:sz w:val="24"/>
          <w:szCs w:val="24"/>
        </w:rPr>
        <w:t>to strengthen government systems</w:t>
      </w:r>
      <w:r w:rsidR="00BF5085" w:rsidRPr="00445BF9">
        <w:rPr>
          <w:rFonts w:ascii="Times New Roman" w:eastAsia="Arial Unicode MS" w:hAnsi="Times New Roman"/>
          <w:sz w:val="24"/>
          <w:szCs w:val="24"/>
        </w:rPr>
        <w:t xml:space="preserve">. </w:t>
      </w:r>
      <w:r w:rsidR="00FC50E2" w:rsidRPr="00445BF9">
        <w:rPr>
          <w:rFonts w:ascii="Times New Roman" w:eastAsia="Arial Unicode MS" w:hAnsi="Times New Roman"/>
          <w:sz w:val="24"/>
          <w:szCs w:val="24"/>
        </w:rPr>
        <w:t xml:space="preserve">The </w:t>
      </w:r>
      <w:r w:rsidR="006E670F" w:rsidRPr="00445BF9">
        <w:rPr>
          <w:rFonts w:ascii="Times New Roman" w:eastAsia="Arial Unicode MS" w:hAnsi="Times New Roman"/>
          <w:sz w:val="24"/>
          <w:szCs w:val="24"/>
        </w:rPr>
        <w:t>UK DFID is implementing its programmes off-budget.</w:t>
      </w:r>
    </w:p>
    <w:p w14:paraId="030232B9" w14:textId="36D58546" w:rsidR="003F0494" w:rsidRPr="00445BF9" w:rsidRDefault="003F0494" w:rsidP="00445BF9">
      <w:pPr>
        <w:pStyle w:val="Caption"/>
        <w:spacing w:after="120" w:line="360" w:lineRule="auto"/>
        <w:rPr>
          <w:rFonts w:ascii="Times New Roman" w:hAnsi="Times New Roman"/>
          <w:b/>
          <w:i w:val="0"/>
          <w:color w:val="000000" w:themeColor="text1"/>
          <w:sz w:val="24"/>
          <w:szCs w:val="24"/>
        </w:rPr>
      </w:pPr>
      <w:bookmarkStart w:id="73" w:name="_Toc4410602"/>
      <w:r w:rsidRPr="00445BF9">
        <w:rPr>
          <w:rFonts w:ascii="Times New Roman" w:hAnsi="Times New Roman"/>
          <w:b/>
          <w:i w:val="0"/>
          <w:color w:val="000000" w:themeColor="text1"/>
          <w:sz w:val="24"/>
          <w:szCs w:val="24"/>
        </w:rPr>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4</w:t>
      </w:r>
      <w:r w:rsidRPr="00445BF9">
        <w:rPr>
          <w:rFonts w:ascii="Times New Roman" w:hAnsi="Times New Roman"/>
          <w:b/>
          <w:i w:val="0"/>
          <w:color w:val="000000" w:themeColor="text1"/>
          <w:sz w:val="24"/>
          <w:szCs w:val="24"/>
        </w:rPr>
        <w:fldChar w:fldCharType="end"/>
      </w:r>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Pr="00445BF9">
        <w:rPr>
          <w:rFonts w:ascii="Times New Roman" w:hAnsi="Times New Roman"/>
          <w:b/>
          <w:i w:val="0"/>
          <w:color w:val="000000" w:themeColor="text1"/>
          <w:sz w:val="24"/>
          <w:szCs w:val="24"/>
        </w:rPr>
        <w:t>Development Assistance over the first three years of NDP-II period: Budget Support vs Project Support</w:t>
      </w:r>
      <w:bookmarkEnd w:id="73"/>
    </w:p>
    <w:p w14:paraId="7C4648A6" w14:textId="77777777" w:rsidR="00DE5744" w:rsidRPr="00445BF9" w:rsidRDefault="00DE5744" w:rsidP="00445BF9">
      <w:pPr>
        <w:pStyle w:val="Caption"/>
        <w:spacing w:after="120" w:line="360" w:lineRule="auto"/>
        <w:rPr>
          <w:rFonts w:ascii="Times New Roman" w:hAnsi="Times New Roman"/>
          <w:sz w:val="24"/>
          <w:szCs w:val="24"/>
        </w:rPr>
      </w:pPr>
      <w:r w:rsidRPr="00445BF9">
        <w:rPr>
          <w:rFonts w:ascii="Times New Roman" w:hAnsi="Times New Roman"/>
          <w:noProof/>
          <w:sz w:val="24"/>
          <w:szCs w:val="24"/>
          <w:lang w:eastAsia="en-GB"/>
        </w:rPr>
        <w:drawing>
          <wp:inline distT="0" distB="0" distL="0" distR="0" wp14:anchorId="0C0AC6AE" wp14:editId="16C490E1">
            <wp:extent cx="4705352" cy="2809874"/>
            <wp:effectExtent l="0" t="0" r="0" b="101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2E9461" w14:textId="69A10004" w:rsidR="003F0494" w:rsidRPr="00445BF9" w:rsidRDefault="003F0494" w:rsidP="00445BF9">
      <w:pPr>
        <w:pStyle w:val="Caption"/>
        <w:spacing w:after="120" w:line="360" w:lineRule="auto"/>
        <w:rPr>
          <w:rFonts w:ascii="Times New Roman" w:hAnsi="Times New Roman"/>
          <w:sz w:val="24"/>
          <w:szCs w:val="24"/>
        </w:rPr>
      </w:pPr>
      <w:r w:rsidRPr="00445BF9">
        <w:rPr>
          <w:rFonts w:ascii="Times New Roman" w:hAnsi="Times New Roman"/>
          <w:b/>
          <w:sz w:val="24"/>
          <w:szCs w:val="24"/>
        </w:rPr>
        <w:t>Source:  MoFPED, 2018</w:t>
      </w:r>
    </w:p>
    <w:p w14:paraId="0DF04DA9" w14:textId="496DBFF6" w:rsidR="0031459E" w:rsidRPr="00445BF9" w:rsidRDefault="0031459E" w:rsidP="00445BF9">
      <w:pPr>
        <w:pStyle w:val="DeltaBodytext"/>
        <w:numPr>
          <w:ilvl w:val="0"/>
          <w:numId w:val="14"/>
        </w:numPr>
        <w:spacing w:after="120" w:line="360" w:lineRule="auto"/>
        <w:ind w:left="567" w:hanging="567"/>
        <w:rPr>
          <w:rFonts w:ascii="Times New Roman" w:eastAsia="Arial Unicode MS" w:hAnsi="Times New Roman"/>
          <w:sz w:val="24"/>
          <w:szCs w:val="24"/>
        </w:rPr>
      </w:pPr>
      <w:bookmarkStart w:id="74" w:name="_Ref532116121"/>
      <w:r w:rsidRPr="00445BF9">
        <w:rPr>
          <w:rFonts w:ascii="Times New Roman" w:eastAsia="Arial Unicode MS" w:hAnsi="Times New Roman"/>
          <w:sz w:val="24"/>
          <w:szCs w:val="24"/>
        </w:rPr>
        <w:t xml:space="preserve">In the first three years of the NDP-II, development assistance to Uganda was provided by over 60 Development Partners. </w:t>
      </w:r>
      <w:r w:rsidRPr="00445BF9">
        <w:rPr>
          <w:rFonts w:ascii="Times New Roman" w:eastAsia="Arial Unicode MS" w:hAnsi="Times New Roman"/>
          <w:b/>
          <w:sz w:val="24"/>
          <w:szCs w:val="24"/>
        </w:rPr>
        <w:t xml:space="preserve"> Over 84 per cent of the amount disbursed was provided by just 10 development partners</w:t>
      </w:r>
      <w:r w:rsidRPr="00445BF9">
        <w:rPr>
          <w:rFonts w:ascii="Times New Roman" w:eastAsia="Arial Unicode MS" w:hAnsi="Times New Roman"/>
          <w:sz w:val="24"/>
          <w:szCs w:val="24"/>
        </w:rPr>
        <w:t xml:space="preserve"> (China, IDA, ADF, USAID, AfDB/F, PTA/TDB, African Union, JIBC, Japan, IsDB and France). The remaining 50 partners provided just 16 per cent.  This is illustrated in </w:t>
      </w:r>
      <w:r w:rsidR="00E41AB3" w:rsidRPr="00445BF9">
        <w:rPr>
          <w:rFonts w:ascii="Times New Roman" w:eastAsia="Arial Unicode MS" w:hAnsi="Times New Roman"/>
          <w:sz w:val="24"/>
          <w:szCs w:val="24"/>
        </w:rPr>
        <w:fldChar w:fldCharType="begin"/>
      </w:r>
      <w:r w:rsidR="00E41AB3" w:rsidRPr="00445BF9">
        <w:rPr>
          <w:rFonts w:ascii="Times New Roman" w:eastAsia="Arial Unicode MS" w:hAnsi="Times New Roman"/>
          <w:sz w:val="24"/>
          <w:szCs w:val="24"/>
        </w:rPr>
        <w:instrText xml:space="preserve"> REF _Ref533534853 \h  \* MERGEFORMAT </w:instrText>
      </w:r>
      <w:r w:rsidR="00E41AB3" w:rsidRPr="00445BF9">
        <w:rPr>
          <w:rFonts w:ascii="Times New Roman" w:eastAsia="Arial Unicode MS" w:hAnsi="Times New Roman"/>
          <w:sz w:val="24"/>
          <w:szCs w:val="24"/>
        </w:rPr>
      </w:r>
      <w:r w:rsidR="00E41AB3" w:rsidRPr="00445BF9">
        <w:rPr>
          <w:rFonts w:ascii="Times New Roman" w:eastAsia="Arial Unicode MS" w:hAnsi="Times New Roman"/>
          <w:sz w:val="24"/>
          <w:szCs w:val="24"/>
        </w:rPr>
        <w:fldChar w:fldCharType="separate"/>
      </w:r>
      <w:r w:rsidR="006F31B1" w:rsidRPr="006F31B1">
        <w:rPr>
          <w:rFonts w:ascii="Times New Roman" w:hAnsi="Times New Roman"/>
          <w:b/>
          <w:sz w:val="24"/>
          <w:szCs w:val="24"/>
        </w:rPr>
        <w:t>Figure 5</w:t>
      </w:r>
      <w:r w:rsidR="00E41AB3" w:rsidRPr="00445BF9">
        <w:rPr>
          <w:rFonts w:ascii="Times New Roman" w:eastAsia="Arial Unicode MS" w:hAnsi="Times New Roman"/>
          <w:sz w:val="24"/>
          <w:szCs w:val="24"/>
        </w:rPr>
        <w:fldChar w:fldCharType="end"/>
      </w:r>
      <w:r w:rsidRPr="00445BF9">
        <w:rPr>
          <w:rFonts w:ascii="Times New Roman" w:eastAsia="Arial Unicode MS" w:hAnsi="Times New Roman"/>
          <w:sz w:val="24"/>
          <w:szCs w:val="24"/>
        </w:rPr>
        <w:t>.</w:t>
      </w:r>
    </w:p>
    <w:p w14:paraId="49F19C18" w14:textId="52477D15" w:rsidR="000B2E9D" w:rsidRPr="00445BF9" w:rsidRDefault="0031459E"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lastRenderedPageBreak/>
        <w:t xml:space="preserve">In comparison with the NDP-I Period where IDA and USA contributed the big </w:t>
      </w:r>
      <w:r w:rsidR="000353C0" w:rsidRPr="00445BF9">
        <w:rPr>
          <w:rFonts w:ascii="Times New Roman" w:eastAsia="Arial Unicode MS" w:hAnsi="Times New Roman"/>
          <w:sz w:val="24"/>
          <w:szCs w:val="24"/>
        </w:rPr>
        <w:t>chunk</w:t>
      </w:r>
      <w:r w:rsidRPr="00445BF9">
        <w:rPr>
          <w:rFonts w:ascii="Times New Roman" w:eastAsia="Arial Unicode MS" w:hAnsi="Times New Roman"/>
          <w:sz w:val="24"/>
          <w:szCs w:val="24"/>
        </w:rPr>
        <w:t xml:space="preserve"> of development assistance, over the first three years of NDP-II, </w:t>
      </w:r>
      <w:r w:rsidRPr="00445BF9">
        <w:rPr>
          <w:rFonts w:ascii="Times New Roman" w:eastAsia="Arial Unicode MS" w:hAnsi="Times New Roman"/>
          <w:b/>
          <w:sz w:val="24"/>
          <w:szCs w:val="24"/>
        </w:rPr>
        <w:t xml:space="preserve">China and IDA contributed </w:t>
      </w:r>
      <w:r w:rsidR="000353C0" w:rsidRPr="00445BF9">
        <w:rPr>
          <w:rFonts w:ascii="Times New Roman" w:eastAsia="Arial Unicode MS" w:hAnsi="Times New Roman"/>
          <w:b/>
          <w:sz w:val="24"/>
          <w:szCs w:val="24"/>
        </w:rPr>
        <w:t>most</w:t>
      </w:r>
      <w:r w:rsidRPr="00445BF9">
        <w:rPr>
          <w:rFonts w:ascii="Times New Roman" w:eastAsia="Arial Unicode MS" w:hAnsi="Times New Roman"/>
          <w:b/>
          <w:sz w:val="24"/>
          <w:szCs w:val="24"/>
        </w:rPr>
        <w:t xml:space="preserve"> of the development assistance to Uganda. </w:t>
      </w:r>
      <w:r w:rsidRPr="00445BF9">
        <w:rPr>
          <w:rFonts w:ascii="Times New Roman" w:eastAsia="Arial Unicode MS" w:hAnsi="Times New Roman"/>
          <w:sz w:val="24"/>
          <w:szCs w:val="24"/>
        </w:rPr>
        <w:t xml:space="preserve">The </w:t>
      </w:r>
      <w:r w:rsidR="000353C0" w:rsidRPr="00445BF9">
        <w:rPr>
          <w:rFonts w:ascii="Times New Roman" w:eastAsia="Arial Unicode MS" w:hAnsi="Times New Roman"/>
          <w:sz w:val="24"/>
          <w:szCs w:val="24"/>
        </w:rPr>
        <w:t>emerging</w:t>
      </w:r>
      <w:r w:rsidRPr="00445BF9">
        <w:rPr>
          <w:rFonts w:ascii="Times New Roman" w:eastAsia="Arial Unicode MS" w:hAnsi="Times New Roman"/>
          <w:sz w:val="24"/>
          <w:szCs w:val="24"/>
        </w:rPr>
        <w:t xml:space="preserve"> of China as the biggest provider of development assistance emanates </w:t>
      </w:r>
      <w:r w:rsidR="000353C0" w:rsidRPr="00445BF9">
        <w:rPr>
          <w:rFonts w:ascii="Times New Roman" w:eastAsia="Arial Unicode MS" w:hAnsi="Times New Roman"/>
          <w:sz w:val="24"/>
          <w:szCs w:val="24"/>
        </w:rPr>
        <w:t>from</w:t>
      </w:r>
      <w:r w:rsidRPr="00445BF9">
        <w:rPr>
          <w:rFonts w:ascii="Times New Roman" w:eastAsia="Arial Unicode MS" w:hAnsi="Times New Roman"/>
          <w:sz w:val="24"/>
          <w:szCs w:val="24"/>
        </w:rPr>
        <w:t xml:space="preserve"> the big infrastructure projects funded by </w:t>
      </w:r>
      <w:r w:rsidR="00304054" w:rsidRPr="00445BF9">
        <w:rPr>
          <w:rFonts w:ascii="Times New Roman" w:eastAsia="Arial Unicode MS" w:hAnsi="Times New Roman"/>
          <w:sz w:val="24"/>
          <w:szCs w:val="24"/>
        </w:rPr>
        <w:t>C</w:t>
      </w:r>
      <w:r w:rsidRPr="00445BF9">
        <w:rPr>
          <w:rFonts w:ascii="Times New Roman" w:eastAsia="Arial Unicode MS" w:hAnsi="Times New Roman"/>
          <w:sz w:val="24"/>
          <w:szCs w:val="24"/>
        </w:rPr>
        <w:t xml:space="preserve">hina notably, Karuma and associated transmission lines, Isimba and Entebbe express high way. </w:t>
      </w:r>
    </w:p>
    <w:p w14:paraId="7472AB33" w14:textId="46A57508" w:rsidR="00E15CC2" w:rsidRPr="00445BF9" w:rsidRDefault="00E15CC2" w:rsidP="00445BF9">
      <w:pPr>
        <w:pStyle w:val="Caption"/>
        <w:spacing w:after="120" w:line="360" w:lineRule="auto"/>
        <w:rPr>
          <w:rFonts w:ascii="Times New Roman" w:hAnsi="Times New Roman"/>
          <w:b/>
          <w:i w:val="0"/>
          <w:color w:val="000000" w:themeColor="text1"/>
          <w:sz w:val="24"/>
          <w:szCs w:val="24"/>
        </w:rPr>
      </w:pPr>
      <w:bookmarkStart w:id="75" w:name="_Ref533534853"/>
      <w:bookmarkStart w:id="76" w:name="_Toc4410603"/>
      <w:r w:rsidRPr="00445BF9">
        <w:rPr>
          <w:rFonts w:ascii="Times New Roman" w:hAnsi="Times New Roman"/>
          <w:b/>
          <w:i w:val="0"/>
          <w:color w:val="000000" w:themeColor="text1"/>
          <w:sz w:val="24"/>
          <w:szCs w:val="24"/>
        </w:rPr>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5</w:t>
      </w:r>
      <w:r w:rsidRPr="00445BF9">
        <w:rPr>
          <w:rFonts w:ascii="Times New Roman" w:hAnsi="Times New Roman"/>
          <w:b/>
          <w:i w:val="0"/>
          <w:color w:val="000000" w:themeColor="text1"/>
          <w:sz w:val="24"/>
          <w:szCs w:val="24"/>
        </w:rPr>
        <w:fldChar w:fldCharType="end"/>
      </w:r>
      <w:bookmarkEnd w:id="74"/>
      <w:bookmarkEnd w:id="75"/>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00A3041B" w:rsidRPr="00445BF9">
        <w:rPr>
          <w:rFonts w:ascii="Times New Roman" w:hAnsi="Times New Roman"/>
          <w:b/>
          <w:i w:val="0"/>
          <w:color w:val="000000" w:themeColor="text1"/>
          <w:sz w:val="24"/>
          <w:szCs w:val="24"/>
        </w:rPr>
        <w:t xml:space="preserve">Development Assistance over the first three years of NDP-II period: </w:t>
      </w:r>
      <w:r w:rsidRPr="00445BF9">
        <w:rPr>
          <w:rFonts w:ascii="Times New Roman" w:hAnsi="Times New Roman"/>
          <w:b/>
          <w:i w:val="0"/>
          <w:color w:val="000000" w:themeColor="text1"/>
          <w:sz w:val="24"/>
          <w:szCs w:val="24"/>
        </w:rPr>
        <w:t>Development Partners</w:t>
      </w:r>
      <w:bookmarkEnd w:id="76"/>
    </w:p>
    <w:tbl>
      <w:tblPr>
        <w:tblW w:w="0" w:type="auto"/>
        <w:tblInd w:w="-45" w:type="dxa"/>
        <w:tblLayout w:type="fixed"/>
        <w:tblLook w:val="04A0" w:firstRow="1" w:lastRow="0" w:firstColumn="1" w:lastColumn="0" w:noHBand="0" w:noVBand="1"/>
      </w:tblPr>
      <w:tblGrid>
        <w:gridCol w:w="4536"/>
        <w:gridCol w:w="4598"/>
      </w:tblGrid>
      <w:tr w:rsidR="00F752A5" w:rsidRPr="00445BF9" w14:paraId="6FF689B5" w14:textId="77777777" w:rsidTr="00822C41">
        <w:tc>
          <w:tcPr>
            <w:tcW w:w="4536" w:type="dxa"/>
          </w:tcPr>
          <w:p w14:paraId="2FFE86F6" w14:textId="77777777" w:rsidR="00F752A5" w:rsidRPr="00445BF9" w:rsidRDefault="00F752A5" w:rsidP="00445BF9">
            <w:pPr>
              <w:pStyle w:val="DeltaBodytext"/>
              <w:spacing w:after="120" w:line="360" w:lineRule="auto"/>
              <w:rPr>
                <w:rFonts w:ascii="Times New Roman" w:eastAsia="Arial Unicode MS" w:hAnsi="Times New Roman"/>
                <w:sz w:val="24"/>
                <w:szCs w:val="24"/>
              </w:rPr>
            </w:pPr>
            <w:r w:rsidRPr="00445BF9">
              <w:rPr>
                <w:rFonts w:ascii="Times New Roman" w:hAnsi="Times New Roman"/>
                <w:noProof/>
                <w:sz w:val="24"/>
                <w:szCs w:val="24"/>
                <w:lang w:eastAsia="en-GB"/>
              </w:rPr>
              <w:drawing>
                <wp:inline distT="0" distB="0" distL="0" distR="0" wp14:anchorId="7A3D38AD" wp14:editId="19B446A0">
                  <wp:extent cx="2743200" cy="2305050"/>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598" w:type="dxa"/>
          </w:tcPr>
          <w:p w14:paraId="528C6B20" w14:textId="77777777" w:rsidR="00F752A5" w:rsidRPr="00445BF9" w:rsidRDefault="00F752A5" w:rsidP="00445BF9">
            <w:pPr>
              <w:spacing w:after="120" w:line="360" w:lineRule="auto"/>
              <w:rPr>
                <w:rFonts w:ascii="Times New Roman" w:eastAsia="Arial Unicode MS" w:hAnsi="Times New Roman"/>
                <w:sz w:val="24"/>
                <w:szCs w:val="24"/>
              </w:rPr>
            </w:pPr>
            <w:r w:rsidRPr="00445BF9">
              <w:rPr>
                <w:rFonts w:ascii="Times New Roman" w:hAnsi="Times New Roman"/>
                <w:noProof/>
                <w:sz w:val="24"/>
                <w:szCs w:val="24"/>
                <w:lang w:eastAsia="en-GB"/>
              </w:rPr>
              <w:drawing>
                <wp:inline distT="0" distB="0" distL="0" distR="0" wp14:anchorId="340632AE" wp14:editId="6CD30CC8">
                  <wp:extent cx="2790825" cy="232410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F752A5" w:rsidRPr="00445BF9" w14:paraId="466DB81E" w14:textId="77777777" w:rsidTr="00822C41">
        <w:trPr>
          <w:trHeight w:val="4531"/>
        </w:trPr>
        <w:tc>
          <w:tcPr>
            <w:tcW w:w="4536" w:type="dxa"/>
          </w:tcPr>
          <w:p w14:paraId="600DD1D9" w14:textId="77777777" w:rsidR="00F752A5" w:rsidRPr="00445BF9" w:rsidRDefault="00F752A5" w:rsidP="00445BF9">
            <w:pPr>
              <w:spacing w:after="120" w:line="360" w:lineRule="auto"/>
              <w:rPr>
                <w:rFonts w:ascii="Times New Roman" w:eastAsia="Arial Unicode MS" w:hAnsi="Times New Roman"/>
                <w:sz w:val="24"/>
                <w:szCs w:val="24"/>
              </w:rPr>
            </w:pPr>
            <w:r w:rsidRPr="00445BF9">
              <w:rPr>
                <w:rFonts w:ascii="Times New Roman" w:hAnsi="Times New Roman"/>
                <w:noProof/>
                <w:sz w:val="24"/>
                <w:szCs w:val="24"/>
                <w:lang w:eastAsia="en-GB"/>
              </w:rPr>
              <w:drawing>
                <wp:inline distT="0" distB="0" distL="0" distR="0" wp14:anchorId="779E511C" wp14:editId="626D8CDD">
                  <wp:extent cx="2743200" cy="22860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598" w:type="dxa"/>
          </w:tcPr>
          <w:p w14:paraId="0D385DA8" w14:textId="32F35A18" w:rsidR="00F752A5" w:rsidRPr="00445BF9" w:rsidRDefault="00F752A5" w:rsidP="00445BF9">
            <w:pPr>
              <w:spacing w:after="120" w:line="360" w:lineRule="auto"/>
              <w:rPr>
                <w:rFonts w:ascii="Times New Roman" w:eastAsia="Arial Unicode MS" w:hAnsi="Times New Roman"/>
                <w:sz w:val="24"/>
                <w:szCs w:val="24"/>
              </w:rPr>
            </w:pPr>
            <w:r w:rsidRPr="00445BF9">
              <w:rPr>
                <w:rFonts w:ascii="Times New Roman" w:hAnsi="Times New Roman"/>
                <w:noProof/>
                <w:sz w:val="24"/>
                <w:szCs w:val="24"/>
                <w:lang w:eastAsia="en-GB"/>
              </w:rPr>
              <w:drawing>
                <wp:inline distT="0" distB="0" distL="0" distR="0" wp14:anchorId="3831CB05" wp14:editId="69466385">
                  <wp:extent cx="2790825" cy="224790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3455576F" w14:textId="41739029" w:rsidR="00E15CC2" w:rsidRPr="00445BF9" w:rsidRDefault="00A86225" w:rsidP="00445BF9">
      <w:pPr>
        <w:pStyle w:val="Caption"/>
        <w:spacing w:after="120" w:line="360" w:lineRule="auto"/>
        <w:rPr>
          <w:rFonts w:ascii="Times New Roman" w:hAnsi="Times New Roman"/>
          <w:sz w:val="24"/>
          <w:szCs w:val="24"/>
        </w:rPr>
      </w:pPr>
      <w:r w:rsidRPr="00445BF9">
        <w:rPr>
          <w:rFonts w:ascii="Times New Roman" w:hAnsi="Times New Roman"/>
          <w:b/>
          <w:sz w:val="24"/>
          <w:szCs w:val="24"/>
        </w:rPr>
        <w:t>Source:  MoFPED, 2018</w:t>
      </w:r>
    </w:p>
    <w:p w14:paraId="23E90202" w14:textId="10C95693" w:rsidR="0020688D" w:rsidRPr="00445BF9" w:rsidRDefault="0020688D"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 xml:space="preserve">On average grant inflows amounted to 31 per cent of total Development Assistance to Uganda </w:t>
      </w:r>
      <w:r w:rsidRPr="00445BF9">
        <w:rPr>
          <w:rFonts w:ascii="Times New Roman" w:eastAsia="Arial Unicode MS" w:hAnsi="Times New Roman"/>
          <w:sz w:val="24"/>
          <w:szCs w:val="24"/>
        </w:rPr>
        <w:t xml:space="preserve">over the first three years of NDP-II period, </w:t>
      </w:r>
      <w:r w:rsidRPr="00445BF9">
        <w:rPr>
          <w:rFonts w:ascii="Times New Roman" w:eastAsia="Arial Unicode MS" w:hAnsi="Times New Roman"/>
          <w:b/>
          <w:sz w:val="24"/>
          <w:szCs w:val="24"/>
        </w:rPr>
        <w:t xml:space="preserve">of which 96 per cent was in form of project support </w:t>
      </w:r>
      <w:r w:rsidRPr="00445BF9">
        <w:rPr>
          <w:rFonts w:ascii="Times New Roman" w:eastAsia="Arial Unicode MS" w:hAnsi="Times New Roman"/>
          <w:sz w:val="24"/>
          <w:szCs w:val="24"/>
        </w:rPr>
        <w:t>and 4 percent was in form of budget support.  Loans amounted to 69 per cent of total Development Assistance, of which 64 per cent was in form of project support loans and 36 per cent was in form of budget support. This is illustrated in</w:t>
      </w:r>
      <w:r w:rsidR="00512DB7" w:rsidRPr="00445BF9">
        <w:rPr>
          <w:rFonts w:ascii="Times New Roman" w:eastAsia="Arial Unicode MS" w:hAnsi="Times New Roman"/>
          <w:sz w:val="24"/>
          <w:szCs w:val="24"/>
        </w:rPr>
        <w:t xml:space="preserve"> </w:t>
      </w:r>
      <w:r w:rsidR="00512DB7" w:rsidRPr="00445BF9">
        <w:rPr>
          <w:rFonts w:ascii="Times New Roman" w:eastAsia="Arial Unicode MS" w:hAnsi="Times New Roman"/>
          <w:b/>
          <w:sz w:val="24"/>
          <w:szCs w:val="24"/>
        </w:rPr>
        <w:t>Figure 6</w:t>
      </w:r>
      <w:r w:rsidR="00512DB7" w:rsidRPr="00445BF9">
        <w:rPr>
          <w:rFonts w:ascii="Times New Roman" w:eastAsia="Arial Unicode MS" w:hAnsi="Times New Roman"/>
          <w:sz w:val="24"/>
          <w:szCs w:val="24"/>
        </w:rPr>
        <w:t>.</w:t>
      </w:r>
    </w:p>
    <w:p w14:paraId="32C26A89" w14:textId="2D57B34E" w:rsidR="00E15CC2" w:rsidRPr="00445BF9" w:rsidRDefault="00E15CC2" w:rsidP="00445BF9">
      <w:pPr>
        <w:pStyle w:val="Caption"/>
        <w:spacing w:after="120" w:line="360" w:lineRule="auto"/>
        <w:rPr>
          <w:rFonts w:ascii="Times New Roman" w:hAnsi="Times New Roman"/>
          <w:b/>
          <w:i w:val="0"/>
          <w:color w:val="000000" w:themeColor="text1"/>
          <w:sz w:val="24"/>
          <w:szCs w:val="24"/>
        </w:rPr>
      </w:pPr>
      <w:bookmarkStart w:id="77" w:name="_Ref532116375"/>
      <w:bookmarkStart w:id="78" w:name="_Toc4410604"/>
      <w:r w:rsidRPr="00445BF9">
        <w:rPr>
          <w:rFonts w:ascii="Times New Roman" w:hAnsi="Times New Roman"/>
          <w:b/>
          <w:i w:val="0"/>
          <w:color w:val="000000" w:themeColor="text1"/>
          <w:sz w:val="24"/>
          <w:szCs w:val="24"/>
        </w:rPr>
        <w:lastRenderedPageBreak/>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6</w:t>
      </w:r>
      <w:r w:rsidRPr="00445BF9">
        <w:rPr>
          <w:rFonts w:ascii="Times New Roman" w:hAnsi="Times New Roman"/>
          <w:b/>
          <w:i w:val="0"/>
          <w:color w:val="000000" w:themeColor="text1"/>
          <w:sz w:val="24"/>
          <w:szCs w:val="24"/>
        </w:rPr>
        <w:fldChar w:fldCharType="end"/>
      </w:r>
      <w:bookmarkEnd w:id="77"/>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00A3041B" w:rsidRPr="00445BF9">
        <w:rPr>
          <w:rFonts w:ascii="Times New Roman" w:hAnsi="Times New Roman"/>
          <w:b/>
          <w:i w:val="0"/>
          <w:color w:val="000000" w:themeColor="text1"/>
          <w:sz w:val="24"/>
          <w:szCs w:val="24"/>
        </w:rPr>
        <w:t xml:space="preserve">Development Assistance over the first three years of NDP-II period: </w:t>
      </w:r>
      <w:r w:rsidRPr="00445BF9">
        <w:rPr>
          <w:rFonts w:ascii="Times New Roman" w:hAnsi="Times New Roman"/>
          <w:b/>
          <w:i w:val="0"/>
          <w:color w:val="000000" w:themeColor="text1"/>
          <w:sz w:val="24"/>
          <w:szCs w:val="24"/>
        </w:rPr>
        <w:t>Type and Channel</w:t>
      </w:r>
      <w:bookmarkEnd w:id="78"/>
    </w:p>
    <w:tbl>
      <w:tblPr>
        <w:tblW w:w="9549" w:type="dxa"/>
        <w:tblLook w:val="04A0" w:firstRow="1" w:lastRow="0" w:firstColumn="1" w:lastColumn="0" w:noHBand="0" w:noVBand="1"/>
      </w:tblPr>
      <w:tblGrid>
        <w:gridCol w:w="5026"/>
        <w:gridCol w:w="4612"/>
      </w:tblGrid>
      <w:tr w:rsidR="00F45BC3" w:rsidRPr="00445BF9" w14:paraId="7129B570" w14:textId="77777777" w:rsidTr="00822C41">
        <w:trPr>
          <w:trHeight w:val="3854"/>
        </w:trPr>
        <w:tc>
          <w:tcPr>
            <w:tcW w:w="5016" w:type="dxa"/>
          </w:tcPr>
          <w:p w14:paraId="38B73C1D" w14:textId="77777777" w:rsidR="00F45BC3" w:rsidRPr="00445BF9" w:rsidRDefault="00F45BC3" w:rsidP="00445BF9">
            <w:pPr>
              <w:spacing w:after="120" w:line="360" w:lineRule="auto"/>
              <w:rPr>
                <w:rFonts w:ascii="Times New Roman" w:hAnsi="Times New Roman"/>
                <w:sz w:val="24"/>
                <w:szCs w:val="24"/>
              </w:rPr>
            </w:pPr>
            <w:r w:rsidRPr="00445BF9">
              <w:rPr>
                <w:rFonts w:ascii="Times New Roman" w:hAnsi="Times New Roman"/>
                <w:noProof/>
                <w:sz w:val="24"/>
                <w:szCs w:val="24"/>
                <w:lang w:eastAsia="en-GB"/>
              </w:rPr>
              <w:drawing>
                <wp:inline distT="0" distB="0" distL="0" distR="0" wp14:anchorId="68228D56" wp14:editId="1094FBA1">
                  <wp:extent cx="3095625" cy="2266950"/>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89EA5E" w14:textId="4820D470" w:rsidR="00F45BC3" w:rsidRPr="00445BF9" w:rsidRDefault="00F45BC3" w:rsidP="00445BF9">
            <w:pPr>
              <w:spacing w:after="120" w:line="360" w:lineRule="auto"/>
              <w:rPr>
                <w:rFonts w:ascii="Times New Roman" w:eastAsia="Arial Unicode MS" w:hAnsi="Times New Roman"/>
                <w:sz w:val="24"/>
                <w:szCs w:val="24"/>
              </w:rPr>
            </w:pPr>
          </w:p>
        </w:tc>
        <w:tc>
          <w:tcPr>
            <w:tcW w:w="4533" w:type="dxa"/>
          </w:tcPr>
          <w:p w14:paraId="0DF0FD15" w14:textId="77777777" w:rsidR="00F45BC3" w:rsidRPr="00445BF9" w:rsidRDefault="00F45BC3" w:rsidP="00445BF9">
            <w:pPr>
              <w:spacing w:after="120" w:line="360" w:lineRule="auto"/>
              <w:rPr>
                <w:rFonts w:ascii="Times New Roman" w:eastAsia="Arial Unicode MS" w:hAnsi="Times New Roman"/>
                <w:sz w:val="24"/>
                <w:szCs w:val="24"/>
              </w:rPr>
            </w:pPr>
            <w:r w:rsidRPr="00445BF9">
              <w:rPr>
                <w:rFonts w:ascii="Times New Roman" w:hAnsi="Times New Roman"/>
                <w:noProof/>
                <w:sz w:val="24"/>
                <w:szCs w:val="24"/>
                <w:lang w:eastAsia="en-GB"/>
              </w:rPr>
              <w:drawing>
                <wp:inline distT="0" distB="0" distL="0" distR="0" wp14:anchorId="3E860BBB" wp14:editId="377CE046">
                  <wp:extent cx="2828925" cy="2286000"/>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27076B6E" w14:textId="67877733" w:rsidR="00E15CC2" w:rsidRPr="00445BF9" w:rsidRDefault="00A86225" w:rsidP="00445BF9">
      <w:pPr>
        <w:pStyle w:val="Caption"/>
        <w:spacing w:after="120" w:line="360" w:lineRule="auto"/>
        <w:rPr>
          <w:rFonts w:ascii="Times New Roman" w:hAnsi="Times New Roman"/>
          <w:sz w:val="24"/>
          <w:szCs w:val="24"/>
        </w:rPr>
      </w:pPr>
      <w:r w:rsidRPr="00445BF9">
        <w:rPr>
          <w:rFonts w:ascii="Times New Roman" w:hAnsi="Times New Roman"/>
          <w:b/>
          <w:sz w:val="24"/>
          <w:szCs w:val="24"/>
        </w:rPr>
        <w:t>Source:  MoFPED, 2018</w:t>
      </w:r>
    </w:p>
    <w:p w14:paraId="5C0C638C" w14:textId="40E2CA1F" w:rsidR="00757A0D" w:rsidRPr="00445BF9" w:rsidRDefault="00757A0D" w:rsidP="00445BF9">
      <w:pPr>
        <w:pStyle w:val="DeltaBodytext"/>
        <w:numPr>
          <w:ilvl w:val="0"/>
          <w:numId w:val="14"/>
        </w:numPr>
        <w:spacing w:after="120" w:line="360" w:lineRule="auto"/>
        <w:ind w:left="567" w:hanging="567"/>
        <w:rPr>
          <w:rFonts w:ascii="Times New Roman" w:eastAsia="Arial Unicode MS" w:hAnsi="Times New Roman"/>
          <w:sz w:val="24"/>
          <w:szCs w:val="24"/>
        </w:rPr>
      </w:pPr>
      <w:bookmarkStart w:id="79" w:name="_Ref532116625"/>
      <w:r w:rsidRPr="00445BF9">
        <w:rPr>
          <w:rFonts w:ascii="Times New Roman" w:eastAsia="Arial Unicode MS" w:hAnsi="Times New Roman"/>
          <w:sz w:val="24"/>
          <w:szCs w:val="24"/>
        </w:rPr>
        <w:t xml:space="preserve">Looking at the total development project support assistance over the first period of NDP-II, three sectors namely: </w:t>
      </w:r>
      <w:r w:rsidRPr="00445BF9">
        <w:rPr>
          <w:rFonts w:ascii="Times New Roman" w:eastAsia="Arial Unicode MS" w:hAnsi="Times New Roman"/>
          <w:b/>
          <w:sz w:val="24"/>
          <w:szCs w:val="24"/>
        </w:rPr>
        <w:t>Energy and mineral development, health and works &amp; transport received over 62.7 percent of the total project development assistance</w:t>
      </w:r>
      <w:r w:rsidRPr="00445BF9">
        <w:rPr>
          <w:rFonts w:ascii="Times New Roman" w:eastAsia="Arial Unicode MS" w:hAnsi="Times New Roman"/>
          <w:sz w:val="24"/>
          <w:szCs w:val="24"/>
        </w:rPr>
        <w:t xml:space="preserve"> the remaining thirteen sectors shared the 37.3 percent. This is illustrated in</w:t>
      </w:r>
      <w:r w:rsidR="00512DB7" w:rsidRPr="00445BF9">
        <w:rPr>
          <w:rFonts w:ascii="Times New Roman" w:eastAsia="Arial Unicode MS" w:hAnsi="Times New Roman"/>
          <w:sz w:val="24"/>
          <w:szCs w:val="24"/>
        </w:rPr>
        <w:t xml:space="preserve"> </w:t>
      </w:r>
      <w:r w:rsidR="00512DB7" w:rsidRPr="00445BF9">
        <w:rPr>
          <w:rFonts w:ascii="Times New Roman" w:eastAsia="Arial Unicode MS" w:hAnsi="Times New Roman"/>
          <w:b/>
          <w:sz w:val="24"/>
          <w:szCs w:val="24"/>
        </w:rPr>
        <w:t>Figure 7</w:t>
      </w:r>
      <w:r w:rsidR="00512DB7" w:rsidRPr="00445BF9">
        <w:rPr>
          <w:rFonts w:ascii="Times New Roman" w:eastAsia="Arial Unicode MS" w:hAnsi="Times New Roman"/>
          <w:sz w:val="24"/>
          <w:szCs w:val="24"/>
        </w:rPr>
        <w:t>.</w:t>
      </w:r>
      <w:r w:rsidRPr="00445BF9">
        <w:rPr>
          <w:rFonts w:ascii="Times New Roman" w:eastAsia="Arial Unicode MS" w:hAnsi="Times New Roman"/>
          <w:sz w:val="24"/>
          <w:szCs w:val="24"/>
        </w:rPr>
        <w:t xml:space="preserve"> </w:t>
      </w:r>
    </w:p>
    <w:p w14:paraId="232526A8" w14:textId="74221764" w:rsidR="00512DB7" w:rsidRPr="00445BF9" w:rsidRDefault="00512DB7" w:rsidP="00445BF9">
      <w:pPr>
        <w:pStyle w:val="Caption"/>
        <w:spacing w:after="120" w:line="360" w:lineRule="auto"/>
        <w:rPr>
          <w:rFonts w:ascii="Times New Roman" w:hAnsi="Times New Roman"/>
          <w:b/>
          <w:i w:val="0"/>
          <w:color w:val="000000" w:themeColor="text1"/>
          <w:sz w:val="24"/>
          <w:szCs w:val="24"/>
        </w:rPr>
      </w:pPr>
      <w:bookmarkStart w:id="80" w:name="_Toc4410605"/>
      <w:r w:rsidRPr="00445BF9">
        <w:rPr>
          <w:rFonts w:ascii="Times New Roman" w:hAnsi="Times New Roman"/>
          <w:b/>
          <w:i w:val="0"/>
          <w:color w:val="000000" w:themeColor="text1"/>
          <w:sz w:val="24"/>
          <w:szCs w:val="24"/>
        </w:rPr>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7</w:t>
      </w:r>
      <w:r w:rsidRPr="00445BF9">
        <w:rPr>
          <w:rFonts w:ascii="Times New Roman" w:hAnsi="Times New Roman"/>
          <w:b/>
          <w:i w:val="0"/>
          <w:color w:val="000000" w:themeColor="text1"/>
          <w:sz w:val="24"/>
          <w:szCs w:val="24"/>
        </w:rPr>
        <w:fldChar w:fldCharType="end"/>
      </w:r>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Pr="00445BF9">
        <w:rPr>
          <w:rFonts w:ascii="Times New Roman" w:hAnsi="Times New Roman"/>
          <w:b/>
          <w:i w:val="0"/>
          <w:color w:val="000000" w:themeColor="text1"/>
          <w:sz w:val="24"/>
          <w:szCs w:val="24"/>
        </w:rPr>
        <w:t>Development Assistance over the first three years of NDP-II period: Total Project Support by sectors</w:t>
      </w:r>
      <w:bookmarkEnd w:id="80"/>
    </w:p>
    <w:p w14:paraId="6348C25C" w14:textId="77777777" w:rsidR="00512DB7" w:rsidRPr="00445BF9" w:rsidRDefault="00512DB7" w:rsidP="00445BF9">
      <w:pPr>
        <w:spacing w:after="120" w:line="360" w:lineRule="auto"/>
        <w:rPr>
          <w:rFonts w:ascii="Times New Roman" w:hAnsi="Times New Roman"/>
          <w:sz w:val="24"/>
          <w:szCs w:val="24"/>
        </w:rPr>
      </w:pPr>
      <w:r w:rsidRPr="00445BF9">
        <w:rPr>
          <w:rFonts w:ascii="Times New Roman" w:hAnsi="Times New Roman"/>
          <w:noProof/>
          <w:sz w:val="24"/>
          <w:szCs w:val="24"/>
          <w:lang w:eastAsia="en-GB"/>
        </w:rPr>
        <w:drawing>
          <wp:inline distT="0" distB="0" distL="0" distR="0" wp14:anchorId="569D27F8" wp14:editId="66133A05">
            <wp:extent cx="5905500" cy="3028950"/>
            <wp:effectExtent l="0" t="0" r="0" b="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5540A0" w14:textId="77777777" w:rsidR="00512DB7" w:rsidRPr="00445BF9" w:rsidRDefault="00512DB7" w:rsidP="00445BF9">
      <w:pPr>
        <w:pStyle w:val="Caption"/>
        <w:spacing w:after="120" w:line="360" w:lineRule="auto"/>
        <w:rPr>
          <w:rFonts w:ascii="Times New Roman" w:hAnsi="Times New Roman"/>
          <w:sz w:val="24"/>
          <w:szCs w:val="24"/>
        </w:rPr>
      </w:pPr>
      <w:r w:rsidRPr="00445BF9">
        <w:rPr>
          <w:rFonts w:ascii="Times New Roman" w:hAnsi="Times New Roman"/>
          <w:b/>
          <w:sz w:val="24"/>
          <w:szCs w:val="24"/>
        </w:rPr>
        <w:t>Source:  MoFPED, 2018</w:t>
      </w:r>
    </w:p>
    <w:p w14:paraId="4638F0FD" w14:textId="77777777" w:rsidR="00512DB7" w:rsidRPr="00445BF9" w:rsidRDefault="00512DB7" w:rsidP="00445BF9">
      <w:pPr>
        <w:pStyle w:val="DeltaBodytext"/>
        <w:spacing w:after="120" w:line="360" w:lineRule="auto"/>
        <w:rPr>
          <w:rFonts w:ascii="Times New Roman" w:eastAsia="Arial Unicode MS" w:hAnsi="Times New Roman"/>
          <w:sz w:val="24"/>
          <w:szCs w:val="24"/>
        </w:rPr>
      </w:pPr>
    </w:p>
    <w:p w14:paraId="36BFCB36" w14:textId="17C96C91" w:rsidR="00ED1693" w:rsidRPr="00445BF9" w:rsidRDefault="00ED1693"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lastRenderedPageBreak/>
        <w:t>The allocation to the energy, works and water sectors is in line with the NDP-II objective two of Increasing the stock and quality of strategic infrastructure to accelerate the country’s competitiveness. This will ultimately contribute to the NDP-II objective one of Increasing sustainable production, productivity and value addition in key growth opportunities.</w:t>
      </w:r>
    </w:p>
    <w:p w14:paraId="08A22DA7" w14:textId="04839E02" w:rsidR="001C0AB8" w:rsidRPr="00445BF9" w:rsidRDefault="00DB77A4"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The share of </w:t>
      </w:r>
      <w:r w:rsidR="0044415C" w:rsidRPr="00445BF9">
        <w:rPr>
          <w:rFonts w:ascii="Times New Roman" w:eastAsia="Arial Unicode MS" w:hAnsi="Times New Roman"/>
          <w:sz w:val="24"/>
          <w:szCs w:val="24"/>
        </w:rPr>
        <w:t>Health</w:t>
      </w:r>
      <w:r w:rsidR="00B82328" w:rsidRPr="00445BF9">
        <w:rPr>
          <w:rFonts w:ascii="Times New Roman" w:eastAsia="Arial Unicode MS" w:hAnsi="Times New Roman"/>
          <w:sz w:val="24"/>
          <w:szCs w:val="24"/>
        </w:rPr>
        <w:t xml:space="preserve"> (17%) and Education (5%)</w:t>
      </w:r>
      <w:r w:rsidRPr="00445BF9">
        <w:rPr>
          <w:rFonts w:ascii="Times New Roman" w:eastAsia="Arial Unicode MS" w:hAnsi="Times New Roman"/>
          <w:sz w:val="24"/>
          <w:szCs w:val="24"/>
        </w:rPr>
        <w:t xml:space="preserve"> is </w:t>
      </w:r>
      <w:r w:rsidR="00EA4D37" w:rsidRPr="00445BF9">
        <w:rPr>
          <w:rFonts w:ascii="Times New Roman" w:eastAsia="Arial Unicode MS" w:hAnsi="Times New Roman"/>
          <w:sz w:val="24"/>
          <w:szCs w:val="24"/>
        </w:rPr>
        <w:t xml:space="preserve">linked with The </w:t>
      </w:r>
      <w:r w:rsidR="001C0AB8" w:rsidRPr="00445BF9">
        <w:rPr>
          <w:rFonts w:ascii="Times New Roman" w:eastAsia="Arial Unicode MS" w:hAnsi="Times New Roman"/>
          <w:sz w:val="24"/>
          <w:szCs w:val="24"/>
        </w:rPr>
        <w:t>NDP</w:t>
      </w:r>
      <w:r w:rsidR="00EA4D37" w:rsidRPr="00445BF9">
        <w:rPr>
          <w:rFonts w:ascii="Times New Roman" w:eastAsia="Arial Unicode MS" w:hAnsi="Times New Roman"/>
          <w:sz w:val="24"/>
          <w:szCs w:val="24"/>
        </w:rPr>
        <w:t>-</w:t>
      </w:r>
      <w:r w:rsidR="001C0AB8" w:rsidRPr="00445BF9">
        <w:rPr>
          <w:rFonts w:ascii="Times New Roman" w:eastAsia="Arial Unicode MS" w:hAnsi="Times New Roman"/>
          <w:sz w:val="24"/>
          <w:szCs w:val="24"/>
        </w:rPr>
        <w:t>II objective</w:t>
      </w:r>
      <w:r w:rsidR="00EA4D37" w:rsidRPr="00445BF9">
        <w:rPr>
          <w:rFonts w:ascii="Times New Roman" w:eastAsia="Arial Unicode MS" w:hAnsi="Times New Roman"/>
          <w:sz w:val="24"/>
          <w:szCs w:val="24"/>
        </w:rPr>
        <w:t>s</w:t>
      </w:r>
      <w:r w:rsidR="001C0AB8" w:rsidRPr="00445BF9">
        <w:rPr>
          <w:rFonts w:ascii="Times New Roman" w:eastAsia="Arial Unicode MS" w:hAnsi="Times New Roman"/>
          <w:sz w:val="24"/>
          <w:szCs w:val="24"/>
        </w:rPr>
        <w:t xml:space="preserve"> three and four of enhancing human capital development; and strengthening mechanism for quality, effective and efficient service delivery.</w:t>
      </w:r>
    </w:p>
    <w:p w14:paraId="798EC27D" w14:textId="346A6518" w:rsidR="00ED1693" w:rsidRPr="00445BF9" w:rsidRDefault="00ED1693"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The support to the security is whole for the support of AMISON with the view of reinstating security in the regions. Security in the region is paramount for country and regional development especially in the wake of regionalisation. The shares social development, Justice, law and order sector, and public administration was minimal/ negligible over period.</w:t>
      </w:r>
    </w:p>
    <w:p w14:paraId="22FFF989" w14:textId="77777777" w:rsidR="00A8177F" w:rsidRPr="00445BF9" w:rsidRDefault="00A8177F"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Over the first three years of NDP-II, on an annual average </w:t>
      </w:r>
      <w:r w:rsidRPr="00445BF9">
        <w:rPr>
          <w:rFonts w:ascii="Times New Roman" w:eastAsia="Arial Unicode MS" w:hAnsi="Times New Roman"/>
          <w:b/>
          <w:sz w:val="24"/>
          <w:szCs w:val="24"/>
        </w:rPr>
        <w:t>off-budget amounted to 17 percent of total development assistance</w:t>
      </w:r>
      <w:r w:rsidRPr="00445BF9">
        <w:rPr>
          <w:rFonts w:ascii="Times New Roman" w:eastAsia="Arial Unicode MS" w:hAnsi="Times New Roman"/>
          <w:sz w:val="24"/>
          <w:szCs w:val="24"/>
        </w:rPr>
        <w:t xml:space="preserve"> (which is US$ 265.8 million</w:t>
      </w:r>
      <w:r w:rsidRPr="00445BF9">
        <w:rPr>
          <w:rFonts w:ascii="Times New Roman" w:hAnsi="Times New Roman"/>
          <w:sz w:val="24"/>
          <w:szCs w:val="24"/>
          <w:vertAlign w:val="superscript"/>
        </w:rPr>
        <w:footnoteReference w:id="4"/>
      </w:r>
      <w:r w:rsidRPr="00445BF9">
        <w:rPr>
          <w:rFonts w:ascii="Times New Roman" w:eastAsia="Arial Unicode MS" w:hAnsi="Times New Roman"/>
          <w:sz w:val="24"/>
          <w:szCs w:val="24"/>
        </w:rPr>
        <w:t>).</w:t>
      </w:r>
    </w:p>
    <w:p w14:paraId="2E4D0465" w14:textId="0BC92E8A" w:rsidR="009D257E" w:rsidRPr="00445BF9" w:rsidRDefault="00A8177F"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Over the first three years of the NDP-II at sector level on budget (MTEF) project development assistance, </w:t>
      </w:r>
      <w:r w:rsidRPr="00445BF9">
        <w:rPr>
          <w:rFonts w:ascii="Times New Roman" w:eastAsia="Arial Unicode MS" w:hAnsi="Times New Roman"/>
          <w:b/>
          <w:sz w:val="24"/>
          <w:szCs w:val="24"/>
        </w:rPr>
        <w:t>the energy sector received the lions share.</w:t>
      </w:r>
      <w:r w:rsidRPr="00445BF9">
        <w:rPr>
          <w:rFonts w:ascii="Times New Roman" w:eastAsia="Arial Unicode MS" w:hAnsi="Times New Roman"/>
          <w:sz w:val="24"/>
          <w:szCs w:val="24"/>
        </w:rPr>
        <w:t xml:space="preserve"> On average over the period, the energy sector received 36.5 percent to total on-budget project support, followed by the works and transport sector with 18.2 percent, followed by the water with 9.2 per cent and security with 7.2 percent in that order. This is illustrated in </w:t>
      </w:r>
      <w:r w:rsidRPr="00445BF9">
        <w:rPr>
          <w:rFonts w:ascii="Times New Roman" w:eastAsia="Arial Unicode MS" w:hAnsi="Times New Roman"/>
          <w:b/>
          <w:sz w:val="24"/>
          <w:szCs w:val="24"/>
        </w:rPr>
        <w:t>Figure</w:t>
      </w:r>
      <w:r w:rsidR="00512DB7" w:rsidRPr="00445BF9">
        <w:rPr>
          <w:rFonts w:ascii="Times New Roman" w:eastAsia="Arial Unicode MS" w:hAnsi="Times New Roman"/>
          <w:b/>
          <w:sz w:val="24"/>
          <w:szCs w:val="24"/>
        </w:rPr>
        <w:t xml:space="preserve"> 8</w:t>
      </w:r>
      <w:r w:rsidRPr="00445BF9">
        <w:rPr>
          <w:rFonts w:ascii="Times New Roman" w:eastAsia="Arial Unicode MS" w:hAnsi="Times New Roman"/>
          <w:sz w:val="24"/>
          <w:szCs w:val="24"/>
        </w:rPr>
        <w:t>.</w:t>
      </w:r>
    </w:p>
    <w:p w14:paraId="4E87C34F" w14:textId="77777777" w:rsidR="000938F3" w:rsidRPr="00445BF9" w:rsidRDefault="000938F3" w:rsidP="00445BF9">
      <w:pPr>
        <w:spacing w:after="120" w:line="360" w:lineRule="auto"/>
        <w:jc w:val="left"/>
        <w:rPr>
          <w:rFonts w:ascii="Times New Roman" w:hAnsi="Times New Roman"/>
          <w:b/>
          <w:iCs/>
          <w:color w:val="000000" w:themeColor="text1"/>
          <w:sz w:val="24"/>
          <w:szCs w:val="24"/>
        </w:rPr>
      </w:pPr>
      <w:r w:rsidRPr="00445BF9">
        <w:rPr>
          <w:rFonts w:ascii="Times New Roman" w:hAnsi="Times New Roman"/>
          <w:b/>
          <w:i/>
          <w:color w:val="000000" w:themeColor="text1"/>
          <w:sz w:val="24"/>
          <w:szCs w:val="24"/>
        </w:rPr>
        <w:br w:type="page"/>
      </w:r>
    </w:p>
    <w:p w14:paraId="41E0AFCB" w14:textId="03B4AE47" w:rsidR="00E15CC2" w:rsidRPr="00445BF9" w:rsidRDefault="00E15CC2" w:rsidP="00445BF9">
      <w:pPr>
        <w:pStyle w:val="Caption"/>
        <w:spacing w:after="120" w:line="360" w:lineRule="auto"/>
        <w:rPr>
          <w:rFonts w:ascii="Times New Roman" w:hAnsi="Times New Roman"/>
          <w:b/>
          <w:i w:val="0"/>
          <w:color w:val="000000" w:themeColor="text1"/>
          <w:sz w:val="24"/>
          <w:szCs w:val="24"/>
        </w:rPr>
      </w:pPr>
      <w:bookmarkStart w:id="81" w:name="_Toc4410606"/>
      <w:r w:rsidRPr="00445BF9">
        <w:rPr>
          <w:rFonts w:ascii="Times New Roman" w:hAnsi="Times New Roman"/>
          <w:b/>
          <w:i w:val="0"/>
          <w:color w:val="000000" w:themeColor="text1"/>
          <w:sz w:val="24"/>
          <w:szCs w:val="24"/>
        </w:rPr>
        <w:lastRenderedPageBreak/>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8</w:t>
      </w:r>
      <w:r w:rsidRPr="00445BF9">
        <w:rPr>
          <w:rFonts w:ascii="Times New Roman" w:hAnsi="Times New Roman"/>
          <w:b/>
          <w:i w:val="0"/>
          <w:color w:val="000000" w:themeColor="text1"/>
          <w:sz w:val="24"/>
          <w:szCs w:val="24"/>
        </w:rPr>
        <w:fldChar w:fldCharType="end"/>
      </w:r>
      <w:bookmarkEnd w:id="79"/>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00A3041B" w:rsidRPr="00445BF9">
        <w:rPr>
          <w:rFonts w:ascii="Times New Roman" w:hAnsi="Times New Roman"/>
          <w:b/>
          <w:i w:val="0"/>
          <w:color w:val="000000" w:themeColor="text1"/>
          <w:sz w:val="24"/>
          <w:szCs w:val="24"/>
        </w:rPr>
        <w:t xml:space="preserve">Development Assistance over the first three years of NDP-II period: </w:t>
      </w:r>
      <w:r w:rsidRPr="00445BF9">
        <w:rPr>
          <w:rFonts w:ascii="Times New Roman" w:hAnsi="Times New Roman"/>
          <w:b/>
          <w:i w:val="0"/>
          <w:color w:val="000000" w:themeColor="text1"/>
          <w:sz w:val="24"/>
          <w:szCs w:val="24"/>
        </w:rPr>
        <w:t>On-Budget Project Support by Sectors</w:t>
      </w:r>
      <w:bookmarkEnd w:id="81"/>
    </w:p>
    <w:p w14:paraId="0F646C79" w14:textId="1AA21987" w:rsidR="004A3923" w:rsidRPr="00445BF9" w:rsidRDefault="004A3923" w:rsidP="00445BF9">
      <w:pPr>
        <w:spacing w:after="120" w:line="360" w:lineRule="auto"/>
        <w:rPr>
          <w:rFonts w:ascii="Times New Roman" w:hAnsi="Times New Roman"/>
          <w:sz w:val="24"/>
          <w:szCs w:val="24"/>
        </w:rPr>
      </w:pPr>
      <w:r w:rsidRPr="00445BF9">
        <w:rPr>
          <w:rFonts w:ascii="Times New Roman" w:hAnsi="Times New Roman"/>
          <w:noProof/>
          <w:sz w:val="24"/>
          <w:szCs w:val="24"/>
          <w:lang w:eastAsia="en-GB"/>
        </w:rPr>
        <w:drawing>
          <wp:inline distT="0" distB="0" distL="0" distR="0" wp14:anchorId="57BA1307" wp14:editId="1878DC38">
            <wp:extent cx="5762625" cy="3133725"/>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C22FAA" w14:textId="432420A9" w:rsidR="00E15CC2" w:rsidRPr="00445BF9" w:rsidRDefault="00A86225" w:rsidP="00445BF9">
      <w:pPr>
        <w:pStyle w:val="Caption"/>
        <w:spacing w:after="120" w:line="360" w:lineRule="auto"/>
        <w:rPr>
          <w:rFonts w:ascii="Times New Roman" w:hAnsi="Times New Roman"/>
          <w:b/>
          <w:sz w:val="24"/>
          <w:szCs w:val="24"/>
        </w:rPr>
      </w:pPr>
      <w:r w:rsidRPr="00445BF9">
        <w:rPr>
          <w:rFonts w:ascii="Times New Roman" w:hAnsi="Times New Roman"/>
          <w:b/>
          <w:sz w:val="24"/>
          <w:szCs w:val="24"/>
        </w:rPr>
        <w:t>Source:  MoFPED, 2018</w:t>
      </w:r>
    </w:p>
    <w:p w14:paraId="46F5B23D" w14:textId="5A84A136" w:rsidR="000938F3" w:rsidRPr="00445BF9" w:rsidRDefault="004429BA" w:rsidP="00445BF9">
      <w:pPr>
        <w:pStyle w:val="DeltaBodytext"/>
        <w:numPr>
          <w:ilvl w:val="0"/>
          <w:numId w:val="14"/>
        </w:numPr>
        <w:spacing w:after="120" w:line="360" w:lineRule="auto"/>
        <w:ind w:left="567" w:hanging="567"/>
        <w:rPr>
          <w:rFonts w:ascii="Times New Roman" w:hAnsi="Times New Roman"/>
          <w:b/>
          <w:iCs/>
          <w:color w:val="000000" w:themeColor="text1"/>
          <w:sz w:val="24"/>
          <w:szCs w:val="24"/>
        </w:rPr>
      </w:pPr>
      <w:r w:rsidRPr="00445BF9">
        <w:rPr>
          <w:rFonts w:ascii="Times New Roman" w:eastAsia="Arial Unicode MS" w:hAnsi="Times New Roman"/>
          <w:sz w:val="24"/>
          <w:szCs w:val="24"/>
        </w:rPr>
        <w:t>Despite government commitment to phase out support channelled through off-budget, a significant amount of development assistance is still channelled through off-budget modalities, through NGOs, CBOs and directly implemented by Development partners. These projects (mainly grants) are those whose activities or finances are not directly managed by a Government Institution.  On average 71.3 per cent of assistance provided outside the budget over the NDP-II period was committed to health (reflecting in particular USAID spending), 5.0 per cent to education, 4.8 percent to water and sanitation, and JLOS and accountability each received 3.8 percent. This is illustrated in</w:t>
      </w:r>
      <w:r w:rsidR="00512DB7" w:rsidRPr="00445BF9">
        <w:rPr>
          <w:rFonts w:ascii="Times New Roman" w:eastAsia="Arial Unicode MS" w:hAnsi="Times New Roman"/>
          <w:sz w:val="24"/>
          <w:szCs w:val="24"/>
        </w:rPr>
        <w:t xml:space="preserve"> </w:t>
      </w:r>
      <w:r w:rsidR="00512DB7" w:rsidRPr="00445BF9">
        <w:rPr>
          <w:rFonts w:ascii="Times New Roman" w:eastAsia="Arial Unicode MS" w:hAnsi="Times New Roman"/>
          <w:b/>
          <w:sz w:val="24"/>
          <w:szCs w:val="24"/>
        </w:rPr>
        <w:t>Figure 9</w:t>
      </w:r>
      <w:r w:rsidR="00512DB7" w:rsidRPr="00445BF9">
        <w:rPr>
          <w:rFonts w:ascii="Times New Roman" w:eastAsia="Arial Unicode MS" w:hAnsi="Times New Roman"/>
          <w:sz w:val="24"/>
          <w:szCs w:val="24"/>
        </w:rPr>
        <w:t>.</w:t>
      </w:r>
      <w:r w:rsidRPr="00445BF9">
        <w:rPr>
          <w:rFonts w:ascii="Times New Roman" w:eastAsia="Arial Unicode MS" w:hAnsi="Times New Roman"/>
          <w:sz w:val="24"/>
          <w:szCs w:val="24"/>
        </w:rPr>
        <w:t xml:space="preserve"> </w:t>
      </w:r>
      <w:bookmarkStart w:id="82" w:name="_Ref532116898"/>
      <w:r w:rsidR="000938F3" w:rsidRPr="00445BF9">
        <w:rPr>
          <w:rFonts w:ascii="Times New Roman" w:hAnsi="Times New Roman"/>
          <w:b/>
          <w:i/>
          <w:color w:val="000000" w:themeColor="text1"/>
          <w:sz w:val="24"/>
          <w:szCs w:val="24"/>
        </w:rPr>
        <w:br w:type="page"/>
      </w:r>
    </w:p>
    <w:p w14:paraId="52FFCD67" w14:textId="59016651" w:rsidR="00E15CC2" w:rsidRPr="00445BF9" w:rsidRDefault="00E15CC2" w:rsidP="00445BF9">
      <w:pPr>
        <w:pStyle w:val="Caption"/>
        <w:spacing w:after="120" w:line="360" w:lineRule="auto"/>
        <w:rPr>
          <w:rFonts w:ascii="Times New Roman" w:hAnsi="Times New Roman"/>
          <w:b/>
          <w:i w:val="0"/>
          <w:color w:val="000000" w:themeColor="text1"/>
          <w:sz w:val="24"/>
          <w:szCs w:val="24"/>
        </w:rPr>
      </w:pPr>
      <w:bookmarkStart w:id="83" w:name="_Toc4410607"/>
      <w:r w:rsidRPr="00445BF9">
        <w:rPr>
          <w:rFonts w:ascii="Times New Roman" w:hAnsi="Times New Roman"/>
          <w:b/>
          <w:i w:val="0"/>
          <w:color w:val="000000" w:themeColor="text1"/>
          <w:sz w:val="24"/>
          <w:szCs w:val="24"/>
        </w:rPr>
        <w:lastRenderedPageBreak/>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9</w:t>
      </w:r>
      <w:r w:rsidRPr="00445BF9">
        <w:rPr>
          <w:rFonts w:ascii="Times New Roman" w:hAnsi="Times New Roman"/>
          <w:b/>
          <w:i w:val="0"/>
          <w:color w:val="000000" w:themeColor="text1"/>
          <w:sz w:val="24"/>
          <w:szCs w:val="24"/>
        </w:rPr>
        <w:fldChar w:fldCharType="end"/>
      </w:r>
      <w:bookmarkEnd w:id="82"/>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bookmarkStart w:id="84" w:name="_Hlk531429920"/>
      <w:r w:rsidR="00A3041B" w:rsidRPr="00445BF9">
        <w:rPr>
          <w:rFonts w:ascii="Times New Roman" w:hAnsi="Times New Roman"/>
          <w:b/>
          <w:i w:val="0"/>
          <w:color w:val="000000" w:themeColor="text1"/>
          <w:sz w:val="24"/>
          <w:szCs w:val="24"/>
        </w:rPr>
        <w:t xml:space="preserve">Development Assistance over the first three years of NDP-II period: </w:t>
      </w:r>
      <w:r w:rsidRPr="00445BF9">
        <w:rPr>
          <w:rFonts w:ascii="Times New Roman" w:hAnsi="Times New Roman"/>
          <w:b/>
          <w:i w:val="0"/>
          <w:color w:val="000000" w:themeColor="text1"/>
          <w:sz w:val="24"/>
          <w:szCs w:val="24"/>
        </w:rPr>
        <w:t>Off-Budget Project Support by sectors</w:t>
      </w:r>
      <w:bookmarkEnd w:id="83"/>
    </w:p>
    <w:bookmarkEnd w:id="84"/>
    <w:p w14:paraId="3A77DBCF" w14:textId="41B434E2" w:rsidR="00E15CC2" w:rsidRPr="00445BF9" w:rsidRDefault="00210234" w:rsidP="00445BF9">
      <w:pPr>
        <w:spacing w:after="120" w:line="360" w:lineRule="auto"/>
        <w:rPr>
          <w:rFonts w:ascii="Times New Roman" w:eastAsia="Arial Unicode MS" w:hAnsi="Times New Roman"/>
          <w:b/>
          <w:sz w:val="24"/>
          <w:szCs w:val="24"/>
        </w:rPr>
      </w:pPr>
      <w:r w:rsidRPr="00445BF9">
        <w:rPr>
          <w:rFonts w:ascii="Times New Roman" w:hAnsi="Times New Roman"/>
          <w:noProof/>
          <w:sz w:val="24"/>
          <w:szCs w:val="24"/>
          <w:lang w:eastAsia="en-GB"/>
        </w:rPr>
        <w:drawing>
          <wp:inline distT="0" distB="0" distL="0" distR="0" wp14:anchorId="395D9A85" wp14:editId="56FDA0AE">
            <wp:extent cx="5362575" cy="3533775"/>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546C09" w14:textId="64243D4B" w:rsidR="00E15CC2" w:rsidRPr="00445BF9" w:rsidRDefault="00A86225" w:rsidP="00445BF9">
      <w:pPr>
        <w:pStyle w:val="Caption"/>
        <w:spacing w:after="120" w:line="360" w:lineRule="auto"/>
        <w:rPr>
          <w:rFonts w:ascii="Times New Roman" w:hAnsi="Times New Roman"/>
          <w:b/>
          <w:sz w:val="24"/>
          <w:szCs w:val="24"/>
        </w:rPr>
      </w:pPr>
      <w:r w:rsidRPr="00445BF9">
        <w:rPr>
          <w:rFonts w:ascii="Times New Roman" w:hAnsi="Times New Roman"/>
          <w:b/>
          <w:sz w:val="24"/>
          <w:szCs w:val="24"/>
        </w:rPr>
        <w:t>Source:  MoFPED, 2018</w:t>
      </w:r>
    </w:p>
    <w:p w14:paraId="6D7D5DB8" w14:textId="1C9E9C3C" w:rsidR="00577FBB" w:rsidRPr="00445BF9" w:rsidRDefault="00577FBB" w:rsidP="00445BF9">
      <w:pPr>
        <w:pStyle w:val="Caption"/>
        <w:spacing w:after="120" w:line="360" w:lineRule="auto"/>
        <w:rPr>
          <w:rFonts w:ascii="Times New Roman" w:hAnsi="Times New Roman"/>
          <w:sz w:val="24"/>
          <w:szCs w:val="24"/>
        </w:rPr>
      </w:pPr>
      <w:r w:rsidRPr="00445BF9">
        <w:rPr>
          <w:rFonts w:ascii="Times New Roman" w:hAnsi="Times New Roman"/>
          <w:i w:val="0"/>
          <w:sz w:val="24"/>
          <w:szCs w:val="24"/>
          <w:u w:val="single"/>
        </w:rPr>
        <w:t>Footnote:</w:t>
      </w:r>
      <w:r w:rsidRPr="00445BF9">
        <w:rPr>
          <w:rFonts w:ascii="Times New Roman" w:hAnsi="Times New Roman"/>
          <w:sz w:val="24"/>
          <w:szCs w:val="24"/>
        </w:rPr>
        <w:t xml:space="preserve"> </w:t>
      </w:r>
      <w:r w:rsidR="009814F1" w:rsidRPr="00445BF9">
        <w:rPr>
          <w:rFonts w:ascii="Times New Roman" w:hAnsi="Times New Roman"/>
          <w:sz w:val="24"/>
          <w:szCs w:val="24"/>
        </w:rPr>
        <w:t xml:space="preserve">the </w:t>
      </w:r>
      <w:r w:rsidRPr="00445BF9">
        <w:rPr>
          <w:rFonts w:ascii="Times New Roman" w:hAnsi="Times New Roman"/>
          <w:sz w:val="24"/>
          <w:szCs w:val="24"/>
        </w:rPr>
        <w:t xml:space="preserve">off-budget </w:t>
      </w:r>
      <w:r w:rsidR="00603629" w:rsidRPr="00445BF9">
        <w:rPr>
          <w:rFonts w:ascii="Times New Roman" w:hAnsi="Times New Roman"/>
          <w:sz w:val="24"/>
          <w:szCs w:val="24"/>
        </w:rPr>
        <w:t xml:space="preserve">data is </w:t>
      </w:r>
      <w:r w:rsidRPr="00445BF9">
        <w:rPr>
          <w:rFonts w:ascii="Times New Roman" w:hAnsi="Times New Roman"/>
          <w:sz w:val="24"/>
          <w:szCs w:val="24"/>
        </w:rPr>
        <w:t>entirely depend</w:t>
      </w:r>
      <w:r w:rsidR="00603629" w:rsidRPr="00445BF9">
        <w:rPr>
          <w:rFonts w:ascii="Times New Roman" w:hAnsi="Times New Roman"/>
          <w:sz w:val="24"/>
          <w:szCs w:val="24"/>
        </w:rPr>
        <w:t>ent</w:t>
      </w:r>
      <w:r w:rsidRPr="00445BF9">
        <w:rPr>
          <w:rFonts w:ascii="Times New Roman" w:hAnsi="Times New Roman"/>
          <w:sz w:val="24"/>
          <w:szCs w:val="24"/>
        </w:rPr>
        <w:t xml:space="preserve"> on submission by D</w:t>
      </w:r>
      <w:r w:rsidR="00603629" w:rsidRPr="00445BF9">
        <w:rPr>
          <w:rFonts w:ascii="Times New Roman" w:hAnsi="Times New Roman"/>
          <w:sz w:val="24"/>
          <w:szCs w:val="24"/>
        </w:rPr>
        <w:t>Ps</w:t>
      </w:r>
      <w:r w:rsidRPr="00445BF9">
        <w:rPr>
          <w:rFonts w:ascii="Times New Roman" w:hAnsi="Times New Roman"/>
          <w:sz w:val="24"/>
          <w:szCs w:val="24"/>
        </w:rPr>
        <w:t>.</w:t>
      </w:r>
    </w:p>
    <w:p w14:paraId="75B1AF46" w14:textId="25F18C4C" w:rsidR="000867C5" w:rsidRPr="00445BF9" w:rsidRDefault="0074695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hAnsi="Times New Roman"/>
          <w:b/>
          <w:sz w:val="24"/>
          <w:szCs w:val="24"/>
        </w:rPr>
        <w:t>There is a declining trend in actual disbursement of DPs funds compared to commitments</w:t>
      </w:r>
      <w:r w:rsidR="00431216" w:rsidRPr="00445BF9">
        <w:rPr>
          <w:rFonts w:ascii="Times New Roman" w:hAnsi="Times New Roman"/>
          <w:b/>
          <w:sz w:val="24"/>
          <w:szCs w:val="24"/>
        </w:rPr>
        <w:t>.</w:t>
      </w:r>
      <w:r w:rsidR="00F74566" w:rsidRPr="00445BF9">
        <w:rPr>
          <w:rFonts w:ascii="Times New Roman" w:hAnsi="Times New Roman"/>
          <w:sz w:val="24"/>
          <w:szCs w:val="24"/>
        </w:rPr>
        <w:t xml:space="preserve"> </w:t>
      </w:r>
      <w:r w:rsidR="000C3B14" w:rsidRPr="00445BF9">
        <w:rPr>
          <w:rFonts w:ascii="Times New Roman" w:eastAsia="Arial Unicode MS" w:hAnsi="Times New Roman"/>
          <w:sz w:val="24"/>
          <w:szCs w:val="24"/>
        </w:rPr>
        <w:t xml:space="preserve">Over the first three years of the NDP-II on average 73 percent of planned development assistance was disbursed. This is illustrated </w:t>
      </w:r>
      <w:r w:rsidR="007D23EA" w:rsidRPr="00445BF9">
        <w:rPr>
          <w:rFonts w:ascii="Times New Roman" w:eastAsia="Arial Unicode MS" w:hAnsi="Times New Roman"/>
          <w:sz w:val="24"/>
          <w:szCs w:val="24"/>
        </w:rPr>
        <w:t xml:space="preserve">in </w:t>
      </w:r>
      <w:r w:rsidR="007D23EA" w:rsidRPr="00445BF9">
        <w:rPr>
          <w:rFonts w:ascii="Times New Roman" w:eastAsia="Arial Unicode MS" w:hAnsi="Times New Roman"/>
          <w:sz w:val="24"/>
          <w:szCs w:val="24"/>
        </w:rPr>
        <w:fldChar w:fldCharType="begin"/>
      </w:r>
      <w:r w:rsidR="007D23EA" w:rsidRPr="00445BF9">
        <w:rPr>
          <w:rFonts w:ascii="Times New Roman" w:eastAsia="Arial Unicode MS" w:hAnsi="Times New Roman"/>
          <w:sz w:val="24"/>
          <w:szCs w:val="24"/>
        </w:rPr>
        <w:instrText xml:space="preserve"> REF _Ref533677128 \h  \* MERGEFORMAT </w:instrText>
      </w:r>
      <w:r w:rsidR="007D23EA" w:rsidRPr="00445BF9">
        <w:rPr>
          <w:rFonts w:ascii="Times New Roman" w:eastAsia="Arial Unicode MS" w:hAnsi="Times New Roman"/>
          <w:sz w:val="24"/>
          <w:szCs w:val="24"/>
        </w:rPr>
      </w:r>
      <w:r w:rsidR="007D23EA" w:rsidRPr="00445BF9">
        <w:rPr>
          <w:rFonts w:ascii="Times New Roman" w:eastAsia="Arial Unicode MS" w:hAnsi="Times New Roman"/>
          <w:sz w:val="24"/>
          <w:szCs w:val="24"/>
        </w:rPr>
        <w:fldChar w:fldCharType="separate"/>
      </w:r>
      <w:r w:rsidR="006F31B1" w:rsidRPr="006F31B1">
        <w:rPr>
          <w:rFonts w:ascii="Times New Roman" w:eastAsia="Arial Unicode MS" w:hAnsi="Times New Roman"/>
          <w:sz w:val="24"/>
          <w:szCs w:val="24"/>
        </w:rPr>
        <w:t>Table 1</w:t>
      </w:r>
      <w:r w:rsidR="007D23EA" w:rsidRPr="00445BF9">
        <w:rPr>
          <w:rFonts w:ascii="Times New Roman" w:eastAsia="Arial Unicode MS" w:hAnsi="Times New Roman"/>
          <w:sz w:val="24"/>
          <w:szCs w:val="24"/>
        </w:rPr>
        <w:fldChar w:fldCharType="end"/>
      </w:r>
      <w:r w:rsidR="00F74566" w:rsidRPr="00445BF9">
        <w:rPr>
          <w:rFonts w:ascii="Times New Roman" w:eastAsia="Arial Unicode MS" w:hAnsi="Times New Roman"/>
          <w:sz w:val="24"/>
          <w:szCs w:val="24"/>
        </w:rPr>
        <w:t>, which presents percentage figures for NDP-I and NDP-II periods</w:t>
      </w:r>
      <w:r w:rsidR="007D23EA" w:rsidRPr="00445BF9">
        <w:rPr>
          <w:rFonts w:ascii="Times New Roman" w:eastAsia="Arial Unicode MS" w:hAnsi="Times New Roman"/>
          <w:sz w:val="24"/>
          <w:szCs w:val="24"/>
        </w:rPr>
        <w:t xml:space="preserve"> and</w:t>
      </w:r>
      <w:r w:rsidR="000C3B14" w:rsidRPr="00445BF9">
        <w:rPr>
          <w:rFonts w:ascii="Times New Roman" w:eastAsia="Arial Unicode MS" w:hAnsi="Times New Roman"/>
          <w:sz w:val="24"/>
          <w:szCs w:val="24"/>
        </w:rPr>
        <w:t xml:space="preserve"> </w:t>
      </w:r>
      <w:r w:rsidR="00512DB7" w:rsidRPr="00445BF9">
        <w:rPr>
          <w:rFonts w:ascii="Times New Roman" w:eastAsia="Arial Unicode MS" w:hAnsi="Times New Roman"/>
          <w:sz w:val="24"/>
          <w:szCs w:val="24"/>
        </w:rPr>
        <w:t xml:space="preserve">Figure 10, </w:t>
      </w:r>
      <w:r w:rsidR="000C3B14" w:rsidRPr="00445BF9">
        <w:rPr>
          <w:rFonts w:ascii="Times New Roman" w:eastAsia="Arial Unicode MS" w:hAnsi="Times New Roman"/>
          <w:sz w:val="24"/>
          <w:szCs w:val="24"/>
        </w:rPr>
        <w:t>which presents the approved estimates of Revenue and Expenditure (Recurrent and Development) for FY 2015/16, FY 2016/17, FY 2017/18.</w:t>
      </w:r>
      <w:r w:rsidR="00F74566" w:rsidRPr="00445BF9">
        <w:rPr>
          <w:rFonts w:ascii="Times New Roman" w:eastAsia="Arial Unicode MS" w:hAnsi="Times New Roman"/>
          <w:sz w:val="24"/>
          <w:szCs w:val="24"/>
        </w:rPr>
        <w:t xml:space="preserve"> </w:t>
      </w:r>
      <w:r w:rsidR="00F74566" w:rsidRPr="00445BF9">
        <w:rPr>
          <w:rFonts w:ascii="Times New Roman" w:eastAsia="Arial Unicode MS" w:hAnsi="Times New Roman"/>
          <w:b/>
          <w:sz w:val="24"/>
          <w:szCs w:val="24"/>
        </w:rPr>
        <w:t xml:space="preserve">Low absorption capacity </w:t>
      </w:r>
      <w:r w:rsidR="00DF3B27" w:rsidRPr="00445BF9">
        <w:rPr>
          <w:rFonts w:ascii="Times New Roman" w:eastAsia="Arial Unicode MS" w:hAnsi="Times New Roman"/>
          <w:b/>
          <w:sz w:val="24"/>
          <w:szCs w:val="24"/>
        </w:rPr>
        <w:t>(</w:t>
      </w:r>
      <w:r w:rsidR="00D80FDF" w:rsidRPr="00445BF9">
        <w:rPr>
          <w:rFonts w:ascii="Times New Roman" w:eastAsia="Arial Unicode MS" w:hAnsi="Times New Roman"/>
          <w:b/>
          <w:sz w:val="24"/>
          <w:szCs w:val="24"/>
        </w:rPr>
        <w:t xml:space="preserve">and </w:t>
      </w:r>
      <w:r w:rsidR="00DF3B27" w:rsidRPr="00445BF9">
        <w:rPr>
          <w:rFonts w:ascii="Times New Roman" w:eastAsia="Arial Unicode MS" w:hAnsi="Times New Roman"/>
          <w:b/>
          <w:sz w:val="24"/>
          <w:szCs w:val="24"/>
        </w:rPr>
        <w:t xml:space="preserve">slow implementation) </w:t>
      </w:r>
      <w:r w:rsidR="00F74566" w:rsidRPr="00445BF9">
        <w:rPr>
          <w:rFonts w:ascii="Times New Roman" w:eastAsia="Arial Unicode MS" w:hAnsi="Times New Roman"/>
          <w:b/>
          <w:sz w:val="24"/>
          <w:szCs w:val="24"/>
        </w:rPr>
        <w:t xml:space="preserve">in several MDAs remain a big challenge and has resulted into delays </w:t>
      </w:r>
      <w:r w:rsidR="00F74566" w:rsidRPr="00445BF9">
        <w:rPr>
          <w:rFonts w:ascii="Times New Roman" w:eastAsia="Arial Unicode MS" w:hAnsi="Times New Roman"/>
          <w:sz w:val="24"/>
          <w:szCs w:val="24"/>
        </w:rPr>
        <w:t>in implantation and accountability of aid-funded interventions.</w:t>
      </w:r>
      <w:r w:rsidR="00D1389A" w:rsidRPr="00445BF9">
        <w:rPr>
          <w:rFonts w:ascii="Times New Roman" w:eastAsia="Arial Unicode MS" w:hAnsi="Times New Roman"/>
          <w:sz w:val="24"/>
          <w:szCs w:val="24"/>
        </w:rPr>
        <w:t xml:space="preserve"> </w:t>
      </w:r>
      <w:r w:rsidR="006936CB" w:rsidRPr="00445BF9">
        <w:rPr>
          <w:rFonts w:ascii="Times New Roman" w:eastAsia="Arial Unicode MS" w:hAnsi="Times New Roman"/>
          <w:sz w:val="24"/>
          <w:szCs w:val="24"/>
        </w:rPr>
        <w:t xml:space="preserve">Low disbursement rate is </w:t>
      </w:r>
      <w:r w:rsidR="000867C5" w:rsidRPr="00445BF9">
        <w:rPr>
          <w:rFonts w:ascii="Times New Roman" w:eastAsia="Arial Unicode MS" w:hAnsi="Times New Roman"/>
          <w:sz w:val="24"/>
          <w:szCs w:val="24"/>
        </w:rPr>
        <w:t>due to delay</w:t>
      </w:r>
      <w:r w:rsidR="006936CB" w:rsidRPr="00445BF9">
        <w:rPr>
          <w:rFonts w:ascii="Times New Roman" w:eastAsia="Arial Unicode MS" w:hAnsi="Times New Roman"/>
          <w:sz w:val="24"/>
          <w:szCs w:val="24"/>
        </w:rPr>
        <w:t>s</w:t>
      </w:r>
      <w:r w:rsidR="000867C5" w:rsidRPr="00445BF9">
        <w:rPr>
          <w:rFonts w:ascii="Times New Roman" w:eastAsia="Arial Unicode MS" w:hAnsi="Times New Roman"/>
          <w:sz w:val="24"/>
          <w:szCs w:val="24"/>
        </w:rPr>
        <w:t xml:space="preserve"> of </w:t>
      </w:r>
      <w:r w:rsidR="006936CB" w:rsidRPr="00445BF9">
        <w:rPr>
          <w:rFonts w:ascii="Times New Roman" w:eastAsia="Arial Unicode MS" w:hAnsi="Times New Roman"/>
          <w:sz w:val="24"/>
          <w:szCs w:val="24"/>
        </w:rPr>
        <w:t>grants/</w:t>
      </w:r>
      <w:r w:rsidR="000867C5" w:rsidRPr="00445BF9">
        <w:rPr>
          <w:rFonts w:ascii="Times New Roman" w:eastAsia="Arial Unicode MS" w:hAnsi="Times New Roman"/>
          <w:sz w:val="24"/>
          <w:szCs w:val="24"/>
        </w:rPr>
        <w:t>loan projects, e.g procurement for tendering, low absorption capacity of the GoU</w:t>
      </w:r>
      <w:r w:rsidR="00D1389A" w:rsidRPr="00445BF9">
        <w:rPr>
          <w:rFonts w:ascii="Times New Roman" w:eastAsia="Arial Unicode MS" w:hAnsi="Times New Roman"/>
          <w:sz w:val="24"/>
          <w:szCs w:val="24"/>
        </w:rPr>
        <w:t>.</w:t>
      </w:r>
    </w:p>
    <w:p w14:paraId="17A462D7" w14:textId="4792DAA3" w:rsidR="00031919" w:rsidRPr="000938F3" w:rsidRDefault="00F57B87" w:rsidP="000938F3">
      <w:pPr>
        <w:pStyle w:val="Caption"/>
        <w:spacing w:after="0" w:line="360" w:lineRule="auto"/>
        <w:rPr>
          <w:rFonts w:ascii="Times New Roman" w:eastAsiaTheme="minorHAnsi" w:hAnsi="Times New Roman"/>
          <w:b/>
          <w:i w:val="0"/>
          <w:color w:val="000000" w:themeColor="text1"/>
          <w:sz w:val="24"/>
          <w:szCs w:val="24"/>
        </w:rPr>
      </w:pPr>
      <w:bookmarkStart w:id="85" w:name="_Ref533677128"/>
      <w:bookmarkStart w:id="86" w:name="_Toc3505098"/>
      <w:r w:rsidRPr="000938F3">
        <w:rPr>
          <w:rFonts w:ascii="Times New Roman" w:hAnsi="Times New Roman"/>
          <w:b/>
          <w:i w:val="0"/>
          <w:color w:val="000000" w:themeColor="text1"/>
          <w:sz w:val="24"/>
          <w:szCs w:val="24"/>
        </w:rPr>
        <w:t xml:space="preserve">Table </w:t>
      </w:r>
      <w:r w:rsidR="00773884" w:rsidRPr="000938F3">
        <w:rPr>
          <w:rFonts w:ascii="Times New Roman" w:hAnsi="Times New Roman"/>
          <w:b/>
          <w:i w:val="0"/>
          <w:color w:val="000000" w:themeColor="text1"/>
          <w:sz w:val="24"/>
          <w:szCs w:val="24"/>
        </w:rPr>
        <w:fldChar w:fldCharType="begin"/>
      </w:r>
      <w:r w:rsidR="00773884" w:rsidRPr="000938F3">
        <w:rPr>
          <w:rFonts w:ascii="Times New Roman" w:hAnsi="Times New Roman"/>
          <w:b/>
          <w:i w:val="0"/>
          <w:color w:val="000000" w:themeColor="text1"/>
          <w:sz w:val="24"/>
          <w:szCs w:val="24"/>
        </w:rPr>
        <w:instrText xml:space="preserve"> SEQ Table \* ARABIC </w:instrText>
      </w:r>
      <w:r w:rsidR="00773884" w:rsidRPr="000938F3">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1</w:t>
      </w:r>
      <w:r w:rsidR="00773884" w:rsidRPr="000938F3">
        <w:rPr>
          <w:rFonts w:ascii="Times New Roman" w:hAnsi="Times New Roman"/>
          <w:b/>
          <w:i w:val="0"/>
          <w:noProof/>
          <w:color w:val="000000" w:themeColor="text1"/>
          <w:sz w:val="24"/>
          <w:szCs w:val="24"/>
        </w:rPr>
        <w:fldChar w:fldCharType="end"/>
      </w:r>
      <w:bookmarkEnd w:id="85"/>
      <w:r w:rsidRPr="000938F3">
        <w:rPr>
          <w:rFonts w:ascii="Times New Roman" w:hAnsi="Times New Roman"/>
          <w:b/>
          <w:i w:val="0"/>
          <w:color w:val="000000" w:themeColor="text1"/>
          <w:sz w:val="24"/>
          <w:szCs w:val="24"/>
        </w:rPr>
        <w:t xml:space="preserve">: Development Assistance: </w:t>
      </w:r>
      <w:r w:rsidR="00031919" w:rsidRPr="000938F3">
        <w:rPr>
          <w:rFonts w:ascii="Times New Roman" w:hAnsi="Times New Roman"/>
          <w:b/>
          <w:i w:val="0"/>
          <w:color w:val="000000" w:themeColor="text1"/>
          <w:sz w:val="24"/>
          <w:szCs w:val="24"/>
        </w:rPr>
        <w:t xml:space="preserve">Disbursement vs </w:t>
      </w:r>
      <w:r w:rsidRPr="000938F3">
        <w:rPr>
          <w:rFonts w:ascii="Times New Roman" w:hAnsi="Times New Roman"/>
          <w:b/>
          <w:i w:val="0"/>
          <w:color w:val="000000" w:themeColor="text1"/>
          <w:sz w:val="24"/>
          <w:szCs w:val="24"/>
        </w:rPr>
        <w:t>Commitment</w:t>
      </w:r>
      <w:bookmarkEnd w:id="86"/>
    </w:p>
    <w:tbl>
      <w:tblPr>
        <w:tblW w:w="8976" w:type="dxa"/>
        <w:jc w:val="center"/>
        <w:tblCellMar>
          <w:left w:w="0" w:type="dxa"/>
          <w:right w:w="0" w:type="dxa"/>
        </w:tblCellMar>
        <w:tblLook w:val="04A0" w:firstRow="1" w:lastRow="0" w:firstColumn="1" w:lastColumn="0" w:noHBand="0" w:noVBand="1"/>
      </w:tblPr>
      <w:tblGrid>
        <w:gridCol w:w="1122"/>
        <w:gridCol w:w="1122"/>
        <w:gridCol w:w="1122"/>
        <w:gridCol w:w="1122"/>
        <w:gridCol w:w="1122"/>
        <w:gridCol w:w="1122"/>
        <w:gridCol w:w="1122"/>
        <w:gridCol w:w="1122"/>
      </w:tblGrid>
      <w:tr w:rsidR="00031919" w:rsidRPr="000938F3" w14:paraId="3FB0C7A8" w14:textId="77777777" w:rsidTr="00031919">
        <w:trPr>
          <w:trHeight w:val="300"/>
          <w:jc w:val="center"/>
        </w:trPr>
        <w:tc>
          <w:tcPr>
            <w:tcW w:w="1122" w:type="dxa"/>
            <w:tcBorders>
              <w:top w:val="single" w:sz="8" w:space="0" w:color="auto"/>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1870A009" w14:textId="77777777" w:rsidR="00031919" w:rsidRPr="000938F3" w:rsidRDefault="00031919" w:rsidP="000938F3">
            <w:pPr>
              <w:spacing w:after="0" w:line="240" w:lineRule="auto"/>
              <w:rPr>
                <w:rFonts w:ascii="Times New Roman" w:hAnsi="Times New Roman"/>
                <w:color w:val="000000"/>
                <w:sz w:val="24"/>
                <w:szCs w:val="24"/>
                <w:lang w:eastAsia="en-GB"/>
              </w:rPr>
            </w:pPr>
            <w:r w:rsidRPr="000938F3">
              <w:rPr>
                <w:rFonts w:ascii="Times New Roman" w:hAnsi="Times New Roman"/>
                <w:color w:val="000000"/>
                <w:sz w:val="24"/>
                <w:szCs w:val="24"/>
              </w:rPr>
              <w:t>FY 2010/11</w:t>
            </w:r>
          </w:p>
        </w:tc>
        <w:tc>
          <w:tcPr>
            <w:tcW w:w="1122" w:type="dxa"/>
            <w:tcBorders>
              <w:top w:val="single" w:sz="8" w:space="0" w:color="auto"/>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33B82926"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FY 2011/12</w:t>
            </w:r>
          </w:p>
        </w:tc>
        <w:tc>
          <w:tcPr>
            <w:tcW w:w="1122" w:type="dxa"/>
            <w:tcBorders>
              <w:top w:val="single" w:sz="8" w:space="0" w:color="auto"/>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3B0F7344"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FY 2012/13</w:t>
            </w:r>
          </w:p>
        </w:tc>
        <w:tc>
          <w:tcPr>
            <w:tcW w:w="1122" w:type="dxa"/>
            <w:tcBorders>
              <w:top w:val="single" w:sz="8" w:space="0" w:color="auto"/>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5AC5D716"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FY 2013/14</w:t>
            </w:r>
          </w:p>
        </w:tc>
        <w:tc>
          <w:tcPr>
            <w:tcW w:w="1122" w:type="dxa"/>
            <w:tcBorders>
              <w:top w:val="single" w:sz="8" w:space="0" w:color="auto"/>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72D94998"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FY 2014/15</w:t>
            </w:r>
          </w:p>
        </w:tc>
        <w:tc>
          <w:tcPr>
            <w:tcW w:w="11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4E94DEC"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FY 2015/16</w:t>
            </w:r>
          </w:p>
        </w:tc>
        <w:tc>
          <w:tcPr>
            <w:tcW w:w="11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5F1A65"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FY 2016/17</w:t>
            </w:r>
          </w:p>
        </w:tc>
        <w:tc>
          <w:tcPr>
            <w:tcW w:w="11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846F5B"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FY 2017/18</w:t>
            </w:r>
          </w:p>
        </w:tc>
      </w:tr>
      <w:tr w:rsidR="00031919" w:rsidRPr="000938F3" w14:paraId="742DDA72" w14:textId="77777777" w:rsidTr="00031919">
        <w:trPr>
          <w:trHeight w:val="300"/>
          <w:jc w:val="center"/>
        </w:trPr>
        <w:tc>
          <w:tcPr>
            <w:tcW w:w="1122"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7BE84A73"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93.6%</w:t>
            </w:r>
          </w:p>
        </w:tc>
        <w:tc>
          <w:tcPr>
            <w:tcW w:w="1122"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197D167D"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102.0%</w:t>
            </w:r>
          </w:p>
        </w:tc>
        <w:tc>
          <w:tcPr>
            <w:tcW w:w="1122"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6ED484DC"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98.7%</w:t>
            </w:r>
          </w:p>
        </w:tc>
        <w:tc>
          <w:tcPr>
            <w:tcW w:w="1122"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69F9E8C0"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80.9%</w:t>
            </w:r>
          </w:p>
        </w:tc>
        <w:tc>
          <w:tcPr>
            <w:tcW w:w="1122"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3362FF44"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82.3%</w:t>
            </w:r>
          </w:p>
        </w:tc>
        <w:tc>
          <w:tcPr>
            <w:tcW w:w="1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E7B4A8"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74.0%</w:t>
            </w:r>
          </w:p>
        </w:tc>
        <w:tc>
          <w:tcPr>
            <w:tcW w:w="1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A92E3"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68.7%</w:t>
            </w:r>
          </w:p>
        </w:tc>
        <w:tc>
          <w:tcPr>
            <w:tcW w:w="1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B1B9B3" w14:textId="77777777" w:rsidR="00031919" w:rsidRPr="000938F3" w:rsidRDefault="00031919" w:rsidP="000938F3">
            <w:pPr>
              <w:spacing w:after="0" w:line="240" w:lineRule="auto"/>
              <w:rPr>
                <w:rFonts w:ascii="Times New Roman" w:hAnsi="Times New Roman"/>
                <w:color w:val="000000"/>
                <w:sz w:val="24"/>
                <w:szCs w:val="24"/>
              </w:rPr>
            </w:pPr>
            <w:r w:rsidRPr="000938F3">
              <w:rPr>
                <w:rFonts w:ascii="Times New Roman" w:hAnsi="Times New Roman"/>
                <w:color w:val="000000"/>
                <w:sz w:val="24"/>
                <w:szCs w:val="24"/>
              </w:rPr>
              <w:t>76.1%</w:t>
            </w:r>
          </w:p>
        </w:tc>
      </w:tr>
    </w:tbl>
    <w:p w14:paraId="4ECF9A50" w14:textId="77777777" w:rsidR="00F74566" w:rsidRPr="000938F3" w:rsidRDefault="00F74566" w:rsidP="000938F3">
      <w:pPr>
        <w:pStyle w:val="Caption"/>
        <w:spacing w:line="360" w:lineRule="auto"/>
        <w:rPr>
          <w:rFonts w:ascii="Times New Roman" w:hAnsi="Times New Roman"/>
          <w:sz w:val="24"/>
          <w:szCs w:val="24"/>
        </w:rPr>
      </w:pPr>
      <w:r w:rsidRPr="000938F3">
        <w:rPr>
          <w:rFonts w:ascii="Times New Roman" w:hAnsi="Times New Roman"/>
          <w:b/>
          <w:sz w:val="24"/>
          <w:szCs w:val="24"/>
        </w:rPr>
        <w:t>Source:  MoFPED, 2018</w:t>
      </w:r>
    </w:p>
    <w:p w14:paraId="785DD388" w14:textId="77777777" w:rsidR="000938F3" w:rsidRDefault="000938F3">
      <w:pPr>
        <w:spacing w:after="0" w:line="240" w:lineRule="auto"/>
        <w:jc w:val="left"/>
        <w:rPr>
          <w:rFonts w:ascii="Times New Roman" w:hAnsi="Times New Roman"/>
          <w:b/>
          <w:iCs/>
          <w:color w:val="000000" w:themeColor="text1"/>
          <w:sz w:val="24"/>
          <w:szCs w:val="24"/>
        </w:rPr>
      </w:pPr>
      <w:bookmarkStart w:id="87" w:name="_Ref533535535"/>
      <w:r>
        <w:rPr>
          <w:rFonts w:ascii="Times New Roman" w:hAnsi="Times New Roman"/>
          <w:b/>
          <w:i/>
          <w:color w:val="000000" w:themeColor="text1"/>
          <w:sz w:val="24"/>
          <w:szCs w:val="24"/>
        </w:rPr>
        <w:br w:type="page"/>
      </w:r>
    </w:p>
    <w:p w14:paraId="5E749681" w14:textId="29EF5E00" w:rsidR="00E15CC2" w:rsidRPr="00445BF9" w:rsidRDefault="00E15CC2" w:rsidP="00445BF9">
      <w:pPr>
        <w:pStyle w:val="Caption"/>
        <w:spacing w:after="120"/>
        <w:rPr>
          <w:rFonts w:ascii="Times New Roman" w:hAnsi="Times New Roman"/>
          <w:b/>
          <w:i w:val="0"/>
          <w:color w:val="000000" w:themeColor="text1"/>
          <w:sz w:val="24"/>
          <w:szCs w:val="24"/>
        </w:rPr>
      </w:pPr>
      <w:bookmarkStart w:id="88" w:name="_Toc4410608"/>
      <w:r w:rsidRPr="00445BF9">
        <w:rPr>
          <w:rFonts w:ascii="Times New Roman" w:hAnsi="Times New Roman"/>
          <w:b/>
          <w:i w:val="0"/>
          <w:color w:val="000000" w:themeColor="text1"/>
          <w:sz w:val="24"/>
          <w:szCs w:val="24"/>
        </w:rPr>
        <w:lastRenderedPageBreak/>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10</w:t>
      </w:r>
      <w:r w:rsidRPr="00445BF9">
        <w:rPr>
          <w:rFonts w:ascii="Times New Roman" w:hAnsi="Times New Roman"/>
          <w:b/>
          <w:i w:val="0"/>
          <w:color w:val="000000" w:themeColor="text1"/>
          <w:sz w:val="24"/>
          <w:szCs w:val="24"/>
        </w:rPr>
        <w:fldChar w:fldCharType="end"/>
      </w:r>
      <w:bookmarkEnd w:id="87"/>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00A3041B" w:rsidRPr="00445BF9">
        <w:rPr>
          <w:rFonts w:ascii="Times New Roman" w:hAnsi="Times New Roman"/>
          <w:b/>
          <w:i w:val="0"/>
          <w:color w:val="000000" w:themeColor="text1"/>
          <w:sz w:val="24"/>
          <w:szCs w:val="24"/>
        </w:rPr>
        <w:t xml:space="preserve">Development Assistance over the first three years of NDP-II period: </w:t>
      </w:r>
      <w:r w:rsidRPr="00445BF9">
        <w:rPr>
          <w:rFonts w:ascii="Times New Roman" w:hAnsi="Times New Roman"/>
          <w:b/>
          <w:i w:val="0"/>
          <w:color w:val="000000" w:themeColor="text1"/>
          <w:sz w:val="24"/>
          <w:szCs w:val="24"/>
        </w:rPr>
        <w:t>Commitment/plan vs Disbursement</w:t>
      </w:r>
      <w:bookmarkEnd w:id="88"/>
    </w:p>
    <w:p w14:paraId="0BE23FD2" w14:textId="20E026C5" w:rsidR="00E15CC2" w:rsidRPr="00445BF9" w:rsidRDefault="00CE723B" w:rsidP="00445BF9">
      <w:pPr>
        <w:pStyle w:val="DeltaBodytext"/>
        <w:spacing w:after="120" w:line="360" w:lineRule="auto"/>
        <w:rPr>
          <w:rFonts w:ascii="Times New Roman" w:eastAsia="Arial Unicode MS" w:hAnsi="Times New Roman"/>
          <w:sz w:val="24"/>
          <w:szCs w:val="24"/>
        </w:rPr>
      </w:pPr>
      <w:r w:rsidRPr="00445BF9">
        <w:rPr>
          <w:rFonts w:ascii="Times New Roman" w:eastAsia="Arial Unicode MS" w:hAnsi="Times New Roman"/>
          <w:noProof/>
          <w:sz w:val="24"/>
          <w:szCs w:val="24"/>
          <w:lang w:eastAsia="en-GB"/>
        </w:rPr>
        <w:drawing>
          <wp:inline distT="0" distB="0" distL="0" distR="0" wp14:anchorId="0199F81A" wp14:editId="0ACFBFE9">
            <wp:extent cx="5937885" cy="305181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45BF9">
        <w:rPr>
          <w:rFonts w:ascii="Times New Roman" w:eastAsia="Arial Unicode MS" w:hAnsi="Times New Roman"/>
          <w:sz w:val="24"/>
          <w:szCs w:val="24"/>
        </w:rPr>
        <w:t xml:space="preserve"> </w:t>
      </w:r>
    </w:p>
    <w:p w14:paraId="03ABAC2B" w14:textId="5E7685AC" w:rsidR="00B46932" w:rsidRPr="00445BF9" w:rsidRDefault="00A86225" w:rsidP="00445BF9">
      <w:pPr>
        <w:pStyle w:val="Caption"/>
        <w:spacing w:after="120" w:line="360" w:lineRule="auto"/>
        <w:rPr>
          <w:rFonts w:ascii="Times New Roman" w:hAnsi="Times New Roman"/>
          <w:sz w:val="24"/>
          <w:szCs w:val="24"/>
        </w:rPr>
      </w:pPr>
      <w:r w:rsidRPr="00445BF9">
        <w:rPr>
          <w:rFonts w:ascii="Times New Roman" w:hAnsi="Times New Roman"/>
          <w:b/>
          <w:sz w:val="24"/>
          <w:szCs w:val="24"/>
        </w:rPr>
        <w:t>Source:  MoFPED, 2018</w:t>
      </w:r>
    </w:p>
    <w:p w14:paraId="78C15568" w14:textId="5A8EBA01" w:rsidR="00E15CC2" w:rsidRPr="00445BF9" w:rsidRDefault="00E15CC2"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89" w:name="_Toc534926853"/>
      <w:r w:rsidRPr="00445BF9">
        <w:rPr>
          <w:rFonts w:ascii="Times New Roman" w:eastAsia="Arial Unicode MS" w:hAnsi="Times New Roman"/>
          <w:bCs w:val="0"/>
          <w:sz w:val="24"/>
          <w:szCs w:val="24"/>
          <w:lang w:val="en-GB"/>
        </w:rPr>
        <w:t xml:space="preserve">Development Partnership Policy </w:t>
      </w:r>
      <w:r w:rsidR="000943D9" w:rsidRPr="00445BF9">
        <w:rPr>
          <w:rFonts w:ascii="Times New Roman" w:eastAsia="Arial Unicode MS" w:hAnsi="Times New Roman"/>
          <w:bCs w:val="0"/>
          <w:sz w:val="24"/>
          <w:szCs w:val="24"/>
          <w:lang w:val="en-GB"/>
        </w:rPr>
        <w:t xml:space="preserve">Framework in </w:t>
      </w:r>
      <w:r w:rsidRPr="00445BF9">
        <w:rPr>
          <w:rFonts w:ascii="Times New Roman" w:eastAsia="Arial Unicode MS" w:hAnsi="Times New Roman"/>
          <w:bCs w:val="0"/>
          <w:sz w:val="24"/>
          <w:szCs w:val="24"/>
          <w:lang w:val="en-GB"/>
        </w:rPr>
        <w:t>Uganda</w:t>
      </w:r>
      <w:bookmarkEnd w:id="89"/>
    </w:p>
    <w:p w14:paraId="4DF8FBCE" w14:textId="3518069F" w:rsidR="0042770A" w:rsidRPr="00445BF9" w:rsidRDefault="00863355"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 xml:space="preserve">There is an acknowledgment of the need for development partnership. </w:t>
      </w:r>
      <w:r w:rsidR="009E46BC" w:rsidRPr="00445BF9">
        <w:rPr>
          <w:rFonts w:ascii="Times New Roman" w:eastAsia="Arial Unicode MS" w:hAnsi="Times New Roman"/>
          <w:b/>
          <w:sz w:val="24"/>
          <w:szCs w:val="24"/>
        </w:rPr>
        <w:t xml:space="preserve">However, the NDP-II is silent on partnership framework. </w:t>
      </w:r>
      <w:r w:rsidR="00672D3B" w:rsidRPr="00445BF9">
        <w:rPr>
          <w:rFonts w:ascii="Times New Roman" w:eastAsia="Arial Unicode MS" w:hAnsi="Times New Roman"/>
          <w:sz w:val="24"/>
          <w:szCs w:val="24"/>
        </w:rPr>
        <w:t>T</w:t>
      </w:r>
      <w:r w:rsidR="00C01F94" w:rsidRPr="00445BF9">
        <w:rPr>
          <w:rFonts w:ascii="Times New Roman" w:eastAsia="Arial Unicode MS" w:hAnsi="Times New Roman"/>
          <w:sz w:val="24"/>
          <w:szCs w:val="24"/>
        </w:rPr>
        <w:t xml:space="preserve">hroughout the </w:t>
      </w:r>
      <w:r w:rsidR="0037500E" w:rsidRPr="00445BF9">
        <w:rPr>
          <w:rFonts w:ascii="Times New Roman" w:eastAsia="Arial Unicode MS" w:hAnsi="Times New Roman"/>
          <w:sz w:val="24"/>
          <w:szCs w:val="24"/>
        </w:rPr>
        <w:t>NDP-II</w:t>
      </w:r>
      <w:r w:rsidR="00C01F94" w:rsidRPr="00445BF9">
        <w:rPr>
          <w:rFonts w:ascii="Times New Roman" w:eastAsia="Arial Unicode MS" w:hAnsi="Times New Roman"/>
          <w:sz w:val="24"/>
          <w:szCs w:val="24"/>
        </w:rPr>
        <w:t xml:space="preserve"> the development partners are recognised as critical stakeholders in providing both financial and technical support towards </w:t>
      </w:r>
      <w:r w:rsidR="000E3E3C" w:rsidRPr="00445BF9">
        <w:rPr>
          <w:rFonts w:ascii="Times New Roman" w:eastAsia="Arial Unicode MS" w:hAnsi="Times New Roman"/>
          <w:sz w:val="24"/>
          <w:szCs w:val="24"/>
        </w:rPr>
        <w:t xml:space="preserve">the </w:t>
      </w:r>
      <w:r w:rsidR="00C01F94" w:rsidRPr="00445BF9">
        <w:rPr>
          <w:rFonts w:ascii="Times New Roman" w:eastAsia="Arial Unicode MS" w:hAnsi="Times New Roman"/>
          <w:sz w:val="24"/>
          <w:szCs w:val="24"/>
        </w:rPr>
        <w:t xml:space="preserve">implementation of the </w:t>
      </w:r>
      <w:r w:rsidR="00A8790F" w:rsidRPr="00445BF9">
        <w:rPr>
          <w:rFonts w:ascii="Times New Roman" w:eastAsia="Arial Unicode MS" w:hAnsi="Times New Roman"/>
          <w:sz w:val="24"/>
          <w:szCs w:val="24"/>
        </w:rPr>
        <w:t>NDP-II</w:t>
      </w:r>
      <w:r w:rsidR="00672D3B" w:rsidRPr="00445BF9">
        <w:rPr>
          <w:rFonts w:ascii="Times New Roman" w:eastAsia="Arial Unicode MS" w:hAnsi="Times New Roman"/>
          <w:sz w:val="24"/>
          <w:szCs w:val="24"/>
        </w:rPr>
        <w:t>.</w:t>
      </w:r>
      <w:r w:rsidR="00016D68" w:rsidRPr="00445BF9">
        <w:rPr>
          <w:rFonts w:ascii="Times New Roman" w:eastAsia="Arial Unicode MS" w:hAnsi="Times New Roman"/>
          <w:sz w:val="24"/>
          <w:szCs w:val="24"/>
        </w:rPr>
        <w:t xml:space="preserve"> </w:t>
      </w:r>
      <w:r w:rsidR="00672D3B" w:rsidRPr="00445BF9">
        <w:rPr>
          <w:rFonts w:ascii="Times New Roman" w:eastAsia="Arial Unicode MS" w:hAnsi="Times New Roman"/>
          <w:sz w:val="24"/>
          <w:szCs w:val="24"/>
        </w:rPr>
        <w:t>U</w:t>
      </w:r>
      <w:r w:rsidR="00C01F94" w:rsidRPr="00445BF9">
        <w:rPr>
          <w:rFonts w:ascii="Times New Roman" w:eastAsia="Arial Unicode MS" w:hAnsi="Times New Roman"/>
          <w:sz w:val="24"/>
          <w:szCs w:val="24"/>
        </w:rPr>
        <w:t xml:space="preserve">nlike in the </w:t>
      </w:r>
      <w:r w:rsidR="00672D3B" w:rsidRPr="00445BF9">
        <w:rPr>
          <w:rFonts w:ascii="Times New Roman" w:eastAsia="Arial Unicode MS" w:hAnsi="Times New Roman"/>
          <w:sz w:val="24"/>
          <w:szCs w:val="24"/>
        </w:rPr>
        <w:t>NDP-I</w:t>
      </w:r>
      <w:r w:rsidR="00C01F94" w:rsidRPr="00445BF9">
        <w:rPr>
          <w:rFonts w:ascii="Times New Roman" w:eastAsia="Arial Unicode MS" w:hAnsi="Times New Roman"/>
          <w:sz w:val="24"/>
          <w:szCs w:val="24"/>
        </w:rPr>
        <w:t xml:space="preserve"> where the partnership framework was clearly articulated, the NDP</w:t>
      </w:r>
      <w:r w:rsidR="00A45636" w:rsidRPr="00445BF9">
        <w:rPr>
          <w:rFonts w:ascii="Times New Roman" w:eastAsia="Arial Unicode MS" w:hAnsi="Times New Roman"/>
          <w:sz w:val="24"/>
          <w:szCs w:val="24"/>
        </w:rPr>
        <w:t>-</w:t>
      </w:r>
      <w:r w:rsidR="00C01F94" w:rsidRPr="00445BF9">
        <w:rPr>
          <w:rFonts w:ascii="Times New Roman" w:eastAsia="Arial Unicode MS" w:hAnsi="Times New Roman"/>
          <w:sz w:val="24"/>
          <w:szCs w:val="24"/>
        </w:rPr>
        <w:t>II is silent on partnership framework</w:t>
      </w:r>
      <w:r w:rsidR="004A2226" w:rsidRPr="00445BF9">
        <w:rPr>
          <w:rFonts w:ascii="Times New Roman" w:eastAsia="Arial Unicode MS" w:hAnsi="Times New Roman"/>
          <w:sz w:val="24"/>
          <w:szCs w:val="24"/>
        </w:rPr>
        <w:t xml:space="preserve"> and DP’s commitments</w:t>
      </w:r>
      <w:r w:rsidR="00C01F94" w:rsidRPr="00445BF9">
        <w:rPr>
          <w:rFonts w:ascii="Times New Roman" w:eastAsia="Arial Unicode MS" w:hAnsi="Times New Roman"/>
          <w:sz w:val="24"/>
          <w:szCs w:val="24"/>
        </w:rPr>
        <w:t xml:space="preserve">. However, in practice the modalities established prior to </w:t>
      </w:r>
      <w:r w:rsidR="0037500E" w:rsidRPr="00445BF9">
        <w:rPr>
          <w:rFonts w:ascii="Times New Roman" w:eastAsia="Arial Unicode MS" w:hAnsi="Times New Roman"/>
          <w:sz w:val="24"/>
          <w:szCs w:val="24"/>
        </w:rPr>
        <w:t>NDP-II</w:t>
      </w:r>
      <w:r w:rsidR="00C01F94" w:rsidRPr="00445BF9">
        <w:rPr>
          <w:rFonts w:ascii="Times New Roman" w:eastAsia="Arial Unicode MS" w:hAnsi="Times New Roman"/>
          <w:sz w:val="24"/>
          <w:szCs w:val="24"/>
        </w:rPr>
        <w:t xml:space="preserve"> still suffices.</w:t>
      </w:r>
    </w:p>
    <w:p w14:paraId="2A00714C" w14:textId="36AD6568" w:rsidR="00814533" w:rsidRPr="00445BF9" w:rsidRDefault="005808B6"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The Uganda Partnership Policy (2013) predated NDP-II.</w:t>
      </w:r>
      <w:r w:rsidRPr="00445BF9">
        <w:rPr>
          <w:rFonts w:ascii="Times New Roman" w:eastAsia="Arial Unicode MS" w:hAnsi="Times New Roman"/>
          <w:sz w:val="24"/>
          <w:szCs w:val="24"/>
        </w:rPr>
        <w:t xml:space="preserve"> The Partnership Policy</w:t>
      </w:r>
      <w:r w:rsidR="00550139" w:rsidRPr="00445BF9">
        <w:rPr>
          <w:rFonts w:ascii="Times New Roman" w:eastAsia="Arial Unicode MS" w:hAnsi="Times New Roman"/>
          <w:sz w:val="24"/>
          <w:szCs w:val="24"/>
        </w:rPr>
        <w:t xml:space="preserve">, which is owned </w:t>
      </w:r>
      <w:r w:rsidR="00EC11C3" w:rsidRPr="00445BF9">
        <w:rPr>
          <w:rFonts w:ascii="Times New Roman" w:eastAsia="Arial Unicode MS" w:hAnsi="Times New Roman"/>
          <w:sz w:val="24"/>
          <w:szCs w:val="24"/>
        </w:rPr>
        <w:t>by OPM,</w:t>
      </w:r>
      <w:r w:rsidRPr="00445BF9">
        <w:rPr>
          <w:rFonts w:ascii="Times New Roman" w:eastAsia="Arial Unicode MS" w:hAnsi="Times New Roman"/>
          <w:sz w:val="24"/>
          <w:szCs w:val="24"/>
        </w:rPr>
        <w:t xml:space="preserve"> was intended to provide a framework for effective relationships between government and donors during the implementation of the NDP-I </w:t>
      </w:r>
      <w:r w:rsidR="001B0FC5" w:rsidRPr="00445BF9">
        <w:rPr>
          <w:rFonts w:ascii="Times New Roman" w:eastAsia="Arial Unicode MS" w:hAnsi="Times New Roman"/>
          <w:sz w:val="24"/>
          <w:szCs w:val="24"/>
        </w:rPr>
        <w:t>predated NDP-II</w:t>
      </w:r>
      <w:r w:rsidRPr="00445BF9">
        <w:rPr>
          <w:rFonts w:ascii="Times New Roman" w:eastAsia="Arial Unicode MS" w:hAnsi="Times New Roman"/>
          <w:sz w:val="24"/>
          <w:szCs w:val="24"/>
        </w:rPr>
        <w:t>.</w:t>
      </w:r>
      <w:r w:rsidR="003C38B5" w:rsidRPr="00445BF9">
        <w:rPr>
          <w:rFonts w:ascii="Times New Roman" w:eastAsia="Arial Unicode MS" w:hAnsi="Times New Roman"/>
          <w:sz w:val="24"/>
          <w:szCs w:val="24"/>
        </w:rPr>
        <w:t xml:space="preserve"> </w:t>
      </w:r>
      <w:r w:rsidR="00DC2545" w:rsidRPr="00445BF9">
        <w:rPr>
          <w:rFonts w:ascii="Times New Roman" w:eastAsia="Arial Unicode MS" w:hAnsi="Times New Roman"/>
          <w:sz w:val="24"/>
          <w:szCs w:val="24"/>
        </w:rPr>
        <w:t xml:space="preserve">And </w:t>
      </w:r>
      <w:r w:rsidR="00DC2545" w:rsidRPr="00445BF9">
        <w:rPr>
          <w:rFonts w:ascii="Times New Roman" w:hAnsi="Times New Roman"/>
          <w:sz w:val="24"/>
          <w:szCs w:val="24"/>
        </w:rPr>
        <w:t>b</w:t>
      </w:r>
      <w:r w:rsidR="003C38B5" w:rsidRPr="00445BF9">
        <w:rPr>
          <w:rFonts w:ascii="Times New Roman" w:hAnsi="Times New Roman"/>
          <w:sz w:val="24"/>
          <w:szCs w:val="24"/>
        </w:rPr>
        <w:t>y the time it was approved, most of the partners e</w:t>
      </w:r>
      <w:r w:rsidR="00DC2545" w:rsidRPr="00445BF9">
        <w:rPr>
          <w:rFonts w:ascii="Times New Roman" w:hAnsi="Times New Roman"/>
          <w:sz w:val="24"/>
          <w:szCs w:val="24"/>
        </w:rPr>
        <w:t xml:space="preserve">xited </w:t>
      </w:r>
      <w:r w:rsidR="003C38B5" w:rsidRPr="00445BF9">
        <w:rPr>
          <w:rFonts w:ascii="Times New Roman" w:hAnsi="Times New Roman"/>
          <w:sz w:val="24"/>
          <w:szCs w:val="24"/>
        </w:rPr>
        <w:t>B</w:t>
      </w:r>
      <w:r w:rsidR="00DC2545" w:rsidRPr="00445BF9">
        <w:rPr>
          <w:rFonts w:ascii="Times New Roman" w:hAnsi="Times New Roman"/>
          <w:sz w:val="24"/>
          <w:szCs w:val="24"/>
        </w:rPr>
        <w:t xml:space="preserve">udget </w:t>
      </w:r>
      <w:r w:rsidR="003C38B5" w:rsidRPr="00445BF9">
        <w:rPr>
          <w:rFonts w:ascii="Times New Roman" w:hAnsi="Times New Roman"/>
          <w:sz w:val="24"/>
          <w:szCs w:val="24"/>
        </w:rPr>
        <w:t>S</w:t>
      </w:r>
      <w:r w:rsidR="00DC2545" w:rsidRPr="00445BF9">
        <w:rPr>
          <w:rFonts w:ascii="Times New Roman" w:hAnsi="Times New Roman"/>
          <w:sz w:val="24"/>
          <w:szCs w:val="24"/>
        </w:rPr>
        <w:t>upport</w:t>
      </w:r>
      <w:r w:rsidR="003C38B5" w:rsidRPr="00445BF9">
        <w:rPr>
          <w:rFonts w:ascii="Times New Roman" w:hAnsi="Times New Roman"/>
          <w:sz w:val="24"/>
          <w:szCs w:val="24"/>
        </w:rPr>
        <w:t xml:space="preserve">. </w:t>
      </w:r>
      <w:r w:rsidRPr="00445BF9">
        <w:rPr>
          <w:rFonts w:ascii="Times New Roman" w:eastAsia="Arial Unicode MS" w:hAnsi="Times New Roman"/>
          <w:sz w:val="24"/>
          <w:szCs w:val="24"/>
        </w:rPr>
        <w:t xml:space="preserve"> There has been no attempt to renew </w:t>
      </w:r>
      <w:r w:rsidR="00DC2545" w:rsidRPr="00445BF9">
        <w:rPr>
          <w:rFonts w:ascii="Times New Roman" w:eastAsia="Arial Unicode MS" w:hAnsi="Times New Roman"/>
          <w:sz w:val="24"/>
          <w:szCs w:val="24"/>
        </w:rPr>
        <w:t>the partnership policy</w:t>
      </w:r>
      <w:r w:rsidRPr="00445BF9">
        <w:rPr>
          <w:rFonts w:ascii="Times New Roman" w:eastAsia="Arial Unicode MS" w:hAnsi="Times New Roman"/>
          <w:sz w:val="24"/>
          <w:szCs w:val="24"/>
        </w:rPr>
        <w:t>.</w:t>
      </w:r>
    </w:p>
    <w:p w14:paraId="24D4BC96" w14:textId="64CEBFD3" w:rsidR="00814533" w:rsidRPr="00445BF9" w:rsidRDefault="00A35A8A"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Arial Unicode MS" w:hAnsi="Times New Roman"/>
          <w:sz w:val="24"/>
          <w:szCs w:val="24"/>
        </w:rPr>
        <w:t>Meanwhile, t</w:t>
      </w:r>
      <w:r w:rsidR="005808B6" w:rsidRPr="00445BF9">
        <w:rPr>
          <w:rFonts w:ascii="Times New Roman" w:eastAsia="Arial Unicode MS" w:hAnsi="Times New Roman"/>
          <w:sz w:val="24"/>
          <w:szCs w:val="24"/>
        </w:rPr>
        <w:t xml:space="preserve">o fill the </w:t>
      </w:r>
      <w:r w:rsidR="00AF5729" w:rsidRPr="00445BF9">
        <w:rPr>
          <w:rFonts w:ascii="Times New Roman" w:eastAsia="Arial Unicode MS" w:hAnsi="Times New Roman"/>
          <w:sz w:val="24"/>
          <w:szCs w:val="24"/>
        </w:rPr>
        <w:t>g</w:t>
      </w:r>
      <w:r w:rsidR="005808B6" w:rsidRPr="00445BF9">
        <w:rPr>
          <w:rFonts w:ascii="Times New Roman" w:eastAsia="Arial Unicode MS" w:hAnsi="Times New Roman"/>
          <w:sz w:val="24"/>
          <w:szCs w:val="24"/>
        </w:rPr>
        <w:t xml:space="preserve">ap the MoFPED is designing </w:t>
      </w:r>
      <w:r w:rsidRPr="00445BF9">
        <w:rPr>
          <w:rFonts w:ascii="Times New Roman" w:eastAsia="Arial Unicode MS" w:hAnsi="Times New Roman"/>
          <w:b/>
          <w:sz w:val="24"/>
          <w:szCs w:val="24"/>
        </w:rPr>
        <w:t>D</w:t>
      </w:r>
      <w:r w:rsidR="005808B6" w:rsidRPr="00445BF9">
        <w:rPr>
          <w:rFonts w:ascii="Times New Roman" w:eastAsia="Arial Unicode MS" w:hAnsi="Times New Roman"/>
          <w:b/>
          <w:sz w:val="24"/>
          <w:szCs w:val="24"/>
        </w:rPr>
        <w:t xml:space="preserve">evelopment </w:t>
      </w:r>
      <w:r w:rsidRPr="00445BF9">
        <w:rPr>
          <w:rFonts w:ascii="Times New Roman" w:eastAsia="Arial Unicode MS" w:hAnsi="Times New Roman"/>
          <w:b/>
          <w:sz w:val="24"/>
          <w:szCs w:val="24"/>
        </w:rPr>
        <w:t>C</w:t>
      </w:r>
      <w:r w:rsidR="005808B6" w:rsidRPr="00445BF9">
        <w:rPr>
          <w:rFonts w:ascii="Times New Roman" w:eastAsia="Arial Unicode MS" w:hAnsi="Times New Roman"/>
          <w:b/>
          <w:sz w:val="24"/>
          <w:szCs w:val="24"/>
        </w:rPr>
        <w:t xml:space="preserve">ooperation </w:t>
      </w:r>
      <w:r w:rsidRPr="00445BF9">
        <w:rPr>
          <w:rFonts w:ascii="Times New Roman" w:eastAsia="Arial Unicode MS" w:hAnsi="Times New Roman"/>
          <w:b/>
          <w:sz w:val="24"/>
          <w:szCs w:val="24"/>
        </w:rPr>
        <w:t>P</w:t>
      </w:r>
      <w:r w:rsidR="005808B6" w:rsidRPr="00445BF9">
        <w:rPr>
          <w:rFonts w:ascii="Times New Roman" w:eastAsia="Arial Unicode MS" w:hAnsi="Times New Roman"/>
          <w:b/>
          <w:sz w:val="24"/>
          <w:szCs w:val="24"/>
        </w:rPr>
        <w:t>olicy</w:t>
      </w:r>
      <w:r w:rsidR="00AE2258" w:rsidRPr="00445BF9">
        <w:rPr>
          <w:rFonts w:ascii="Times New Roman" w:eastAsia="Arial Unicode MS" w:hAnsi="Times New Roman"/>
          <w:b/>
          <w:sz w:val="24"/>
          <w:szCs w:val="24"/>
        </w:rPr>
        <w:t xml:space="preserve"> (DCP)</w:t>
      </w:r>
      <w:r w:rsidR="009454D0" w:rsidRPr="00445BF9">
        <w:rPr>
          <w:rFonts w:ascii="Times New Roman" w:hAnsi="Times New Roman"/>
          <w:b/>
          <w:sz w:val="24"/>
          <w:szCs w:val="24"/>
        </w:rPr>
        <w:t>.</w:t>
      </w:r>
      <w:r w:rsidR="009454D0" w:rsidRPr="00445BF9">
        <w:rPr>
          <w:rFonts w:ascii="Times New Roman" w:hAnsi="Times New Roman"/>
          <w:sz w:val="24"/>
          <w:szCs w:val="24"/>
        </w:rPr>
        <w:t xml:space="preserve"> The draft was circulated </w:t>
      </w:r>
      <w:r w:rsidR="00072547" w:rsidRPr="00445BF9">
        <w:rPr>
          <w:rFonts w:ascii="Times New Roman" w:hAnsi="Times New Roman"/>
          <w:sz w:val="24"/>
          <w:szCs w:val="24"/>
        </w:rPr>
        <w:t xml:space="preserve">to DPs </w:t>
      </w:r>
      <w:r w:rsidR="00986C40" w:rsidRPr="00445BF9">
        <w:rPr>
          <w:rFonts w:ascii="Times New Roman" w:hAnsi="Times New Roman"/>
          <w:sz w:val="24"/>
          <w:szCs w:val="24"/>
        </w:rPr>
        <w:t xml:space="preserve">about </w:t>
      </w:r>
      <w:r w:rsidR="009454D0" w:rsidRPr="00445BF9">
        <w:rPr>
          <w:rFonts w:ascii="Times New Roman" w:hAnsi="Times New Roman"/>
          <w:sz w:val="24"/>
          <w:szCs w:val="24"/>
        </w:rPr>
        <w:t>7 months ag</w:t>
      </w:r>
      <w:r w:rsidR="00072547" w:rsidRPr="00445BF9">
        <w:rPr>
          <w:rFonts w:ascii="Times New Roman" w:hAnsi="Times New Roman"/>
          <w:sz w:val="24"/>
          <w:szCs w:val="24"/>
        </w:rPr>
        <w:t>o and feedback was provided.</w:t>
      </w:r>
      <w:r w:rsidR="00AE2258" w:rsidRPr="00445BF9">
        <w:rPr>
          <w:rFonts w:ascii="Times New Roman" w:hAnsi="Times New Roman"/>
          <w:sz w:val="24"/>
          <w:szCs w:val="24"/>
        </w:rPr>
        <w:t xml:space="preserve"> </w:t>
      </w:r>
      <w:r w:rsidR="00B42E32" w:rsidRPr="00445BF9">
        <w:rPr>
          <w:rFonts w:ascii="Times New Roman" w:hAnsi="Times New Roman"/>
          <w:sz w:val="24"/>
          <w:szCs w:val="24"/>
        </w:rPr>
        <w:t>T</w:t>
      </w:r>
      <w:r w:rsidR="00986C40" w:rsidRPr="00445BF9">
        <w:rPr>
          <w:rFonts w:ascii="Times New Roman" w:hAnsi="Times New Roman"/>
          <w:sz w:val="24"/>
          <w:szCs w:val="24"/>
        </w:rPr>
        <w:t xml:space="preserve">he </w:t>
      </w:r>
      <w:r w:rsidR="0071139F" w:rsidRPr="00445BF9">
        <w:rPr>
          <w:rFonts w:ascii="Times New Roman" w:hAnsi="Times New Roman"/>
          <w:sz w:val="24"/>
          <w:szCs w:val="24"/>
        </w:rPr>
        <w:t>plan is to endorse as</w:t>
      </w:r>
      <w:r w:rsidR="00B42E32" w:rsidRPr="00445BF9">
        <w:rPr>
          <w:rFonts w:ascii="Times New Roman" w:hAnsi="Times New Roman"/>
          <w:sz w:val="24"/>
          <w:szCs w:val="24"/>
        </w:rPr>
        <w:t xml:space="preserve"> before </w:t>
      </w:r>
      <w:r w:rsidR="00CB69C1" w:rsidRPr="00445BF9">
        <w:rPr>
          <w:rFonts w:ascii="Times New Roman" w:hAnsi="Times New Roman"/>
          <w:sz w:val="24"/>
          <w:szCs w:val="24"/>
        </w:rPr>
        <w:t xml:space="preserve">the </w:t>
      </w:r>
      <w:r w:rsidR="00B42E32" w:rsidRPr="00445BF9">
        <w:rPr>
          <w:rFonts w:ascii="Times New Roman" w:hAnsi="Times New Roman"/>
          <w:sz w:val="24"/>
          <w:szCs w:val="24"/>
        </w:rPr>
        <w:t>NDP-III.</w:t>
      </w:r>
      <w:r w:rsidR="00CB69C1" w:rsidRPr="00445BF9">
        <w:rPr>
          <w:rFonts w:ascii="Times New Roman" w:hAnsi="Times New Roman"/>
          <w:sz w:val="24"/>
          <w:szCs w:val="24"/>
        </w:rPr>
        <w:t xml:space="preserve"> The MoFPED</w:t>
      </w:r>
      <w:r w:rsidR="0037790E" w:rsidRPr="00445BF9">
        <w:rPr>
          <w:rFonts w:ascii="Times New Roman" w:hAnsi="Times New Roman"/>
          <w:sz w:val="24"/>
          <w:szCs w:val="24"/>
        </w:rPr>
        <w:t xml:space="preserve"> is also working </w:t>
      </w:r>
      <w:r w:rsidR="00A004BD" w:rsidRPr="00445BF9">
        <w:rPr>
          <w:rFonts w:ascii="Times New Roman" w:hAnsi="Times New Roman"/>
          <w:sz w:val="24"/>
          <w:szCs w:val="24"/>
        </w:rPr>
        <w:t xml:space="preserve">on Public Finance strategy, i.e. </w:t>
      </w:r>
      <w:r w:rsidR="00A004BD" w:rsidRPr="00445BF9">
        <w:rPr>
          <w:rFonts w:ascii="Times New Roman" w:hAnsi="Times New Roman"/>
          <w:b/>
          <w:sz w:val="24"/>
          <w:szCs w:val="24"/>
        </w:rPr>
        <w:t xml:space="preserve">how to finance the NDP-III, </w:t>
      </w:r>
      <w:r w:rsidR="009F6312" w:rsidRPr="00445BF9">
        <w:rPr>
          <w:rFonts w:ascii="Times New Roman" w:hAnsi="Times New Roman"/>
          <w:sz w:val="24"/>
          <w:szCs w:val="24"/>
        </w:rPr>
        <w:t xml:space="preserve">in consideration both </w:t>
      </w:r>
      <w:r w:rsidR="00A004BD" w:rsidRPr="00445BF9">
        <w:rPr>
          <w:rFonts w:ascii="Times New Roman" w:hAnsi="Times New Roman"/>
          <w:sz w:val="24"/>
          <w:szCs w:val="24"/>
        </w:rPr>
        <w:t xml:space="preserve">public and private </w:t>
      </w:r>
      <w:r w:rsidR="009F6312" w:rsidRPr="00445BF9">
        <w:rPr>
          <w:rFonts w:ascii="Times New Roman" w:hAnsi="Times New Roman"/>
          <w:sz w:val="24"/>
          <w:szCs w:val="24"/>
        </w:rPr>
        <w:t>sources of funding</w:t>
      </w:r>
      <w:r w:rsidR="00A004BD" w:rsidRPr="00445BF9">
        <w:rPr>
          <w:rFonts w:ascii="Times New Roman" w:hAnsi="Times New Roman"/>
          <w:sz w:val="24"/>
          <w:szCs w:val="24"/>
        </w:rPr>
        <w:t xml:space="preserve">. </w:t>
      </w:r>
      <w:r w:rsidR="006F09BE" w:rsidRPr="00445BF9">
        <w:rPr>
          <w:rFonts w:ascii="Times New Roman" w:hAnsi="Times New Roman"/>
          <w:b/>
          <w:sz w:val="24"/>
          <w:szCs w:val="24"/>
        </w:rPr>
        <w:t>H</w:t>
      </w:r>
      <w:r w:rsidR="0064559B" w:rsidRPr="00445BF9">
        <w:rPr>
          <w:rFonts w:ascii="Times New Roman" w:hAnsi="Times New Roman"/>
          <w:b/>
          <w:sz w:val="24"/>
          <w:szCs w:val="24"/>
        </w:rPr>
        <w:t>armonis</w:t>
      </w:r>
      <w:r w:rsidR="002D0187" w:rsidRPr="00445BF9">
        <w:rPr>
          <w:rFonts w:ascii="Times New Roman" w:hAnsi="Times New Roman"/>
          <w:b/>
          <w:sz w:val="24"/>
          <w:szCs w:val="24"/>
        </w:rPr>
        <w:t xml:space="preserve">ation of </w:t>
      </w:r>
      <w:r w:rsidR="006F09BE" w:rsidRPr="00445BF9">
        <w:rPr>
          <w:rFonts w:ascii="Times New Roman" w:eastAsia="Arial Unicode MS" w:hAnsi="Times New Roman"/>
          <w:b/>
          <w:sz w:val="24"/>
          <w:szCs w:val="24"/>
        </w:rPr>
        <w:t xml:space="preserve">Development </w:t>
      </w:r>
      <w:r w:rsidR="002D0187" w:rsidRPr="00445BF9">
        <w:rPr>
          <w:rFonts w:ascii="Times New Roman" w:hAnsi="Times New Roman"/>
          <w:b/>
          <w:sz w:val="24"/>
          <w:szCs w:val="24"/>
        </w:rPr>
        <w:t>P</w:t>
      </w:r>
      <w:r w:rsidR="0064559B" w:rsidRPr="00445BF9">
        <w:rPr>
          <w:rFonts w:ascii="Times New Roman" w:hAnsi="Times New Roman"/>
          <w:b/>
          <w:sz w:val="24"/>
          <w:szCs w:val="24"/>
        </w:rPr>
        <w:t>artnership and Development Cooperation policies</w:t>
      </w:r>
      <w:r w:rsidR="002D0187" w:rsidRPr="00445BF9">
        <w:rPr>
          <w:rFonts w:ascii="Times New Roman" w:hAnsi="Times New Roman"/>
          <w:b/>
          <w:sz w:val="24"/>
          <w:szCs w:val="24"/>
        </w:rPr>
        <w:t xml:space="preserve">, </w:t>
      </w:r>
      <w:r w:rsidR="0052640E" w:rsidRPr="00445BF9">
        <w:rPr>
          <w:rFonts w:ascii="Times New Roman" w:hAnsi="Times New Roman"/>
          <w:b/>
          <w:sz w:val="24"/>
          <w:szCs w:val="24"/>
        </w:rPr>
        <w:t xml:space="preserve">with the aim </w:t>
      </w:r>
      <w:r w:rsidR="002D0187" w:rsidRPr="00445BF9">
        <w:rPr>
          <w:rFonts w:ascii="Times New Roman" w:hAnsi="Times New Roman"/>
          <w:b/>
          <w:sz w:val="24"/>
          <w:szCs w:val="24"/>
        </w:rPr>
        <w:t>t</w:t>
      </w:r>
      <w:r w:rsidR="0064559B" w:rsidRPr="00445BF9">
        <w:rPr>
          <w:rFonts w:ascii="Times New Roman" w:hAnsi="Times New Roman"/>
          <w:b/>
          <w:sz w:val="24"/>
          <w:szCs w:val="24"/>
        </w:rPr>
        <w:t xml:space="preserve">o have one integrated policy. </w:t>
      </w:r>
      <w:r w:rsidR="009D7994" w:rsidRPr="00445BF9">
        <w:rPr>
          <w:rFonts w:ascii="Times New Roman" w:hAnsi="Times New Roman"/>
          <w:sz w:val="24"/>
          <w:szCs w:val="24"/>
        </w:rPr>
        <w:t>Internal</w:t>
      </w:r>
      <w:r w:rsidR="00EC11C3" w:rsidRPr="00445BF9">
        <w:rPr>
          <w:rFonts w:ascii="Times New Roman" w:hAnsi="Times New Roman"/>
          <w:sz w:val="24"/>
          <w:szCs w:val="24"/>
        </w:rPr>
        <w:t xml:space="preserve"> coordination</w:t>
      </w:r>
      <w:r w:rsidR="004377E4" w:rsidRPr="00445BF9">
        <w:rPr>
          <w:rFonts w:ascii="Times New Roman" w:hAnsi="Times New Roman"/>
          <w:sz w:val="24"/>
          <w:szCs w:val="24"/>
        </w:rPr>
        <w:t xml:space="preserve"> on this</w:t>
      </w:r>
      <w:r w:rsidR="00EC11C3" w:rsidRPr="00445BF9">
        <w:rPr>
          <w:rFonts w:ascii="Times New Roman" w:hAnsi="Times New Roman"/>
          <w:sz w:val="24"/>
          <w:szCs w:val="24"/>
        </w:rPr>
        <w:t xml:space="preserve"> </w:t>
      </w:r>
      <w:r w:rsidR="009D7994" w:rsidRPr="00445BF9">
        <w:rPr>
          <w:rFonts w:ascii="Times New Roman" w:hAnsi="Times New Roman"/>
          <w:sz w:val="24"/>
          <w:szCs w:val="24"/>
        </w:rPr>
        <w:t xml:space="preserve">is lacking </w:t>
      </w:r>
      <w:r w:rsidR="00EC11C3" w:rsidRPr="00445BF9">
        <w:rPr>
          <w:rFonts w:ascii="Times New Roman" w:hAnsi="Times New Roman"/>
          <w:sz w:val="24"/>
          <w:szCs w:val="24"/>
        </w:rPr>
        <w:t>between OPM and MOFPED</w:t>
      </w:r>
      <w:r w:rsidR="004377E4" w:rsidRPr="00445BF9">
        <w:rPr>
          <w:rFonts w:ascii="Times New Roman" w:hAnsi="Times New Roman"/>
          <w:sz w:val="24"/>
          <w:szCs w:val="24"/>
        </w:rPr>
        <w:t>.</w:t>
      </w:r>
    </w:p>
    <w:p w14:paraId="6470D295" w14:textId="4CF6EC1D" w:rsidR="005808B6" w:rsidRPr="00445BF9" w:rsidRDefault="00616ED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hAnsi="Times New Roman"/>
          <w:b/>
          <w:sz w:val="24"/>
          <w:szCs w:val="24"/>
        </w:rPr>
        <w:lastRenderedPageBreak/>
        <w:t>Regional development</w:t>
      </w:r>
      <w:r w:rsidRPr="00445BF9">
        <w:rPr>
          <w:rFonts w:ascii="Times New Roman" w:hAnsi="Times New Roman"/>
          <w:sz w:val="24"/>
          <w:szCs w:val="24"/>
        </w:rPr>
        <w:t xml:space="preserve"> (through East African Union projects) can also be incorporated into NDP-III.</w:t>
      </w:r>
      <w:r w:rsidR="004D0069" w:rsidRPr="00445BF9">
        <w:rPr>
          <w:rFonts w:ascii="Times New Roman" w:hAnsi="Times New Roman"/>
          <w:sz w:val="24"/>
          <w:szCs w:val="24"/>
        </w:rPr>
        <w:t xml:space="preserve"> </w:t>
      </w:r>
      <w:r w:rsidR="0064559B" w:rsidRPr="00445BF9">
        <w:rPr>
          <w:rFonts w:ascii="Times New Roman" w:eastAsia="Arial Unicode MS" w:hAnsi="Times New Roman"/>
          <w:b/>
          <w:sz w:val="24"/>
          <w:szCs w:val="24"/>
        </w:rPr>
        <w:t xml:space="preserve">Policies </w:t>
      </w:r>
      <w:r w:rsidR="002D0187" w:rsidRPr="00445BF9">
        <w:rPr>
          <w:rFonts w:ascii="Times New Roman" w:eastAsia="Arial Unicode MS" w:hAnsi="Times New Roman"/>
          <w:b/>
          <w:sz w:val="24"/>
          <w:szCs w:val="24"/>
        </w:rPr>
        <w:t xml:space="preserve">would benefit </w:t>
      </w:r>
      <w:r w:rsidR="0064559B" w:rsidRPr="00445BF9">
        <w:rPr>
          <w:rFonts w:ascii="Times New Roman" w:eastAsia="Arial Unicode MS" w:hAnsi="Times New Roman"/>
          <w:b/>
          <w:sz w:val="24"/>
          <w:szCs w:val="24"/>
        </w:rPr>
        <w:t>hav</w:t>
      </w:r>
      <w:r w:rsidR="002D0187" w:rsidRPr="00445BF9">
        <w:rPr>
          <w:rFonts w:ascii="Times New Roman" w:eastAsia="Arial Unicode MS" w:hAnsi="Times New Roman"/>
          <w:b/>
          <w:sz w:val="24"/>
          <w:szCs w:val="24"/>
        </w:rPr>
        <w:t>ing</w:t>
      </w:r>
      <w:r w:rsidR="0064559B" w:rsidRPr="00445BF9">
        <w:rPr>
          <w:rFonts w:ascii="Times New Roman" w:eastAsia="Arial Unicode MS" w:hAnsi="Times New Roman"/>
          <w:b/>
          <w:sz w:val="24"/>
          <w:szCs w:val="24"/>
        </w:rPr>
        <w:t xml:space="preserve"> local level considerations.</w:t>
      </w:r>
      <w:r w:rsidR="0064559B" w:rsidRPr="00445BF9">
        <w:rPr>
          <w:rFonts w:ascii="Times New Roman" w:eastAsia="Arial Unicode MS" w:hAnsi="Times New Roman"/>
          <w:sz w:val="24"/>
          <w:szCs w:val="24"/>
        </w:rPr>
        <w:t xml:space="preserve"> </w:t>
      </w:r>
      <w:r w:rsidR="005D75DD" w:rsidRPr="00445BF9">
        <w:rPr>
          <w:rFonts w:ascii="Times New Roman" w:eastAsia="Arial Unicode MS" w:hAnsi="Times New Roman"/>
          <w:sz w:val="24"/>
          <w:szCs w:val="24"/>
        </w:rPr>
        <w:t>The role of DPs in development of local governments is yet unclear.</w:t>
      </w:r>
    </w:p>
    <w:p w14:paraId="600B90A0" w14:textId="4E43FE52" w:rsidR="006928E6" w:rsidRPr="00445BF9" w:rsidRDefault="00F9650D"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 xml:space="preserve">There is a GoU commitment to </w:t>
      </w:r>
      <w:r w:rsidR="00F834F8" w:rsidRPr="00445BF9">
        <w:rPr>
          <w:rFonts w:ascii="Times New Roman" w:eastAsia="Arial Unicode MS" w:hAnsi="Times New Roman"/>
          <w:b/>
          <w:sz w:val="24"/>
          <w:szCs w:val="24"/>
        </w:rPr>
        <w:t>refugees’</w:t>
      </w:r>
      <w:r w:rsidR="00EC198D" w:rsidRPr="00445BF9">
        <w:rPr>
          <w:rFonts w:ascii="Times New Roman" w:eastAsia="Arial Unicode MS" w:hAnsi="Times New Roman"/>
          <w:b/>
          <w:sz w:val="24"/>
          <w:szCs w:val="24"/>
        </w:rPr>
        <w:t xml:space="preserve"> inclusion</w:t>
      </w:r>
      <w:r w:rsidR="00EE3D54" w:rsidRPr="00445BF9">
        <w:rPr>
          <w:rFonts w:ascii="Times New Roman" w:eastAsia="Arial Unicode MS" w:hAnsi="Times New Roman"/>
          <w:b/>
          <w:sz w:val="24"/>
          <w:szCs w:val="24"/>
        </w:rPr>
        <w:t xml:space="preserve">, and the need </w:t>
      </w:r>
      <w:r w:rsidR="005C2965" w:rsidRPr="00445BF9">
        <w:rPr>
          <w:rFonts w:ascii="Times New Roman" w:eastAsia="Arial Unicode MS" w:hAnsi="Times New Roman"/>
          <w:b/>
          <w:sz w:val="24"/>
          <w:szCs w:val="24"/>
        </w:rPr>
        <w:t xml:space="preserve">recognised </w:t>
      </w:r>
      <w:r w:rsidR="00BB0F28" w:rsidRPr="00445BF9">
        <w:rPr>
          <w:rFonts w:ascii="Times New Roman" w:eastAsia="Arial Unicode MS" w:hAnsi="Times New Roman"/>
          <w:b/>
          <w:sz w:val="24"/>
          <w:szCs w:val="24"/>
        </w:rPr>
        <w:t xml:space="preserve">for </w:t>
      </w:r>
      <w:r w:rsidR="00F834F8" w:rsidRPr="00445BF9">
        <w:rPr>
          <w:rFonts w:ascii="Times New Roman" w:eastAsia="Arial Unicode MS" w:hAnsi="Times New Roman"/>
          <w:b/>
          <w:sz w:val="24"/>
          <w:szCs w:val="24"/>
        </w:rPr>
        <w:t xml:space="preserve">the </w:t>
      </w:r>
      <w:r w:rsidR="00EC198D" w:rsidRPr="00445BF9">
        <w:rPr>
          <w:rFonts w:ascii="Times New Roman" w:eastAsia="Arial Unicode MS" w:hAnsi="Times New Roman"/>
          <w:b/>
          <w:sz w:val="24"/>
          <w:szCs w:val="24"/>
        </w:rPr>
        <w:t xml:space="preserve">Compulsory Refugee Response Framework </w:t>
      </w:r>
      <w:r w:rsidR="006928E6" w:rsidRPr="00445BF9">
        <w:rPr>
          <w:rFonts w:ascii="Times New Roman" w:eastAsia="Arial Unicode MS" w:hAnsi="Times New Roman"/>
          <w:b/>
          <w:sz w:val="24"/>
          <w:szCs w:val="24"/>
        </w:rPr>
        <w:t>(CRRF)</w:t>
      </w:r>
      <w:r w:rsidR="00BB0F28" w:rsidRPr="00445BF9">
        <w:rPr>
          <w:rFonts w:ascii="Times New Roman" w:eastAsia="Arial Unicode MS" w:hAnsi="Times New Roman"/>
          <w:b/>
          <w:sz w:val="24"/>
          <w:szCs w:val="24"/>
        </w:rPr>
        <w:t xml:space="preserve"> to be folded into NDP-III</w:t>
      </w:r>
      <w:r w:rsidR="005D473E" w:rsidRPr="00445BF9">
        <w:rPr>
          <w:rFonts w:ascii="Times New Roman" w:eastAsia="Arial Unicode MS" w:hAnsi="Times New Roman"/>
          <w:b/>
          <w:sz w:val="24"/>
          <w:szCs w:val="24"/>
        </w:rPr>
        <w:t>.</w:t>
      </w:r>
      <w:r w:rsidR="00EC198D" w:rsidRPr="00445BF9">
        <w:rPr>
          <w:rFonts w:ascii="Times New Roman" w:eastAsia="Arial Unicode MS" w:hAnsi="Times New Roman"/>
          <w:b/>
          <w:sz w:val="24"/>
          <w:szCs w:val="24"/>
        </w:rPr>
        <w:t xml:space="preserve"> </w:t>
      </w:r>
      <w:r w:rsidR="003D4E4C" w:rsidRPr="00445BF9">
        <w:rPr>
          <w:rFonts w:ascii="Times New Roman" w:eastAsia="Arial Unicode MS" w:hAnsi="Times New Roman"/>
          <w:sz w:val="24"/>
          <w:szCs w:val="24"/>
        </w:rPr>
        <w:t xml:space="preserve">When the </w:t>
      </w:r>
      <w:r w:rsidR="00C036E7" w:rsidRPr="00445BF9">
        <w:rPr>
          <w:rFonts w:ascii="Times New Roman" w:eastAsia="Arial Unicode MS" w:hAnsi="Times New Roman"/>
          <w:sz w:val="24"/>
          <w:szCs w:val="24"/>
        </w:rPr>
        <w:t>NDP-II</w:t>
      </w:r>
      <w:r w:rsidR="003D4E4C" w:rsidRPr="00445BF9">
        <w:rPr>
          <w:rFonts w:ascii="Times New Roman" w:eastAsia="Arial Unicode MS" w:hAnsi="Times New Roman"/>
          <w:sz w:val="24"/>
          <w:szCs w:val="24"/>
        </w:rPr>
        <w:t xml:space="preserve"> was prepared, no one anticipated that Uganda would have received close to one million refugees half-way into the NDP</w:t>
      </w:r>
      <w:r w:rsidR="00C036E7" w:rsidRPr="00445BF9">
        <w:rPr>
          <w:rFonts w:ascii="Times New Roman" w:eastAsia="Arial Unicode MS" w:hAnsi="Times New Roman"/>
          <w:sz w:val="24"/>
          <w:szCs w:val="24"/>
        </w:rPr>
        <w:t>-</w:t>
      </w:r>
      <w:r w:rsidR="003D4E4C" w:rsidRPr="00445BF9">
        <w:rPr>
          <w:rFonts w:ascii="Times New Roman" w:eastAsia="Arial Unicode MS" w:hAnsi="Times New Roman"/>
          <w:sz w:val="24"/>
          <w:szCs w:val="24"/>
        </w:rPr>
        <w:t xml:space="preserve">II period. </w:t>
      </w:r>
      <w:r w:rsidR="005D473E" w:rsidRPr="00445BF9">
        <w:rPr>
          <w:rFonts w:ascii="Times New Roman" w:eastAsia="Arial Unicode MS" w:hAnsi="Times New Roman"/>
          <w:sz w:val="24"/>
          <w:szCs w:val="24"/>
        </w:rPr>
        <w:t xml:space="preserve">The country’s progressive policies for protecting and managing refugees are recognised globally. And the Government continues to express its clear commitment to support socio-economic inclusion of refugees, while addressing the needs of the communities hosting them. </w:t>
      </w:r>
      <w:r w:rsidR="006928E6" w:rsidRPr="00445BF9">
        <w:rPr>
          <w:rFonts w:ascii="Times New Roman" w:eastAsia="Arial Unicode MS" w:hAnsi="Times New Roman"/>
          <w:sz w:val="24"/>
          <w:szCs w:val="24"/>
        </w:rPr>
        <w:t xml:space="preserve"> </w:t>
      </w:r>
      <w:r w:rsidR="0037574A" w:rsidRPr="00445BF9">
        <w:rPr>
          <w:rFonts w:ascii="Times New Roman" w:eastAsia="Arial Unicode MS" w:hAnsi="Times New Roman"/>
          <w:sz w:val="24"/>
          <w:szCs w:val="24"/>
        </w:rPr>
        <w:t>DPs have stepped up to the plate</w:t>
      </w:r>
      <w:r w:rsidR="00184E36" w:rsidRPr="00445BF9">
        <w:rPr>
          <w:rFonts w:ascii="Times New Roman" w:eastAsia="Arial Unicode MS" w:hAnsi="Times New Roman"/>
          <w:sz w:val="24"/>
          <w:szCs w:val="24"/>
        </w:rPr>
        <w:t xml:space="preserve"> in 2017</w:t>
      </w:r>
      <w:r w:rsidR="00754F1E" w:rsidRPr="00445BF9">
        <w:rPr>
          <w:rFonts w:ascii="Times New Roman" w:eastAsia="Arial Unicode MS" w:hAnsi="Times New Roman"/>
          <w:sz w:val="24"/>
          <w:szCs w:val="24"/>
        </w:rPr>
        <w:t xml:space="preserve"> by </w:t>
      </w:r>
      <w:r w:rsidR="0037574A" w:rsidRPr="00445BF9">
        <w:rPr>
          <w:rFonts w:ascii="Times New Roman" w:eastAsia="Arial Unicode MS" w:hAnsi="Times New Roman"/>
          <w:sz w:val="24"/>
          <w:szCs w:val="24"/>
        </w:rPr>
        <w:t xml:space="preserve">providing significant financing for the refugee response.  </w:t>
      </w:r>
      <w:r w:rsidR="00FE7FCC" w:rsidRPr="00445BF9">
        <w:rPr>
          <w:rFonts w:ascii="Times New Roman" w:eastAsia="Arial Unicode MS" w:hAnsi="Times New Roman"/>
          <w:sz w:val="24"/>
          <w:szCs w:val="24"/>
        </w:rPr>
        <w:t xml:space="preserve">DPs </w:t>
      </w:r>
      <w:r w:rsidR="0037574A" w:rsidRPr="00445BF9">
        <w:rPr>
          <w:rFonts w:ascii="Times New Roman" w:eastAsia="Arial Unicode MS" w:hAnsi="Times New Roman"/>
          <w:sz w:val="24"/>
          <w:szCs w:val="24"/>
        </w:rPr>
        <w:t xml:space="preserve">are also working collaboratively to make the </w:t>
      </w:r>
      <w:r w:rsidR="00345C6B" w:rsidRPr="00445BF9">
        <w:rPr>
          <w:rFonts w:ascii="Times New Roman" w:eastAsia="Arial Unicode MS" w:hAnsi="Times New Roman"/>
          <w:sz w:val="24"/>
          <w:szCs w:val="24"/>
        </w:rPr>
        <w:t xml:space="preserve">CRRF </w:t>
      </w:r>
      <w:r w:rsidR="0037574A" w:rsidRPr="00445BF9">
        <w:rPr>
          <w:rFonts w:ascii="Times New Roman" w:eastAsia="Arial Unicode MS" w:hAnsi="Times New Roman"/>
          <w:sz w:val="24"/>
          <w:szCs w:val="24"/>
        </w:rPr>
        <w:t>a reality in Uganda</w:t>
      </w:r>
      <w:r w:rsidR="00FE7FCC" w:rsidRPr="00445BF9">
        <w:rPr>
          <w:rFonts w:ascii="Times New Roman" w:eastAsia="Arial Unicode MS" w:hAnsi="Times New Roman"/>
          <w:sz w:val="24"/>
          <w:szCs w:val="24"/>
        </w:rPr>
        <w:t>.</w:t>
      </w:r>
      <w:r w:rsidR="005C2965" w:rsidRPr="00445BF9">
        <w:rPr>
          <w:rFonts w:ascii="Times New Roman" w:eastAsia="Arial Unicode MS" w:hAnsi="Times New Roman"/>
          <w:sz w:val="24"/>
          <w:szCs w:val="24"/>
        </w:rPr>
        <w:t xml:space="preserve"> There is a need recognised for the CRRF to be folded into NDP-III</w:t>
      </w:r>
      <w:r w:rsidR="0092476E" w:rsidRPr="00445BF9">
        <w:rPr>
          <w:rFonts w:ascii="Times New Roman" w:eastAsia="Arial Unicode MS" w:hAnsi="Times New Roman"/>
          <w:sz w:val="24"/>
          <w:szCs w:val="24"/>
        </w:rPr>
        <w:t>, as a complementary programme to c</w:t>
      </w:r>
      <w:r w:rsidR="005C2965" w:rsidRPr="00445BF9">
        <w:rPr>
          <w:rFonts w:ascii="Times New Roman" w:eastAsia="Arial Unicode MS" w:hAnsi="Times New Roman"/>
          <w:sz w:val="24"/>
          <w:szCs w:val="24"/>
        </w:rPr>
        <w:t>los</w:t>
      </w:r>
      <w:r w:rsidR="0092476E" w:rsidRPr="00445BF9">
        <w:rPr>
          <w:rFonts w:ascii="Times New Roman" w:eastAsia="Arial Unicode MS" w:hAnsi="Times New Roman"/>
          <w:sz w:val="24"/>
          <w:szCs w:val="24"/>
        </w:rPr>
        <w:t>e</w:t>
      </w:r>
      <w:r w:rsidR="005C2965" w:rsidRPr="00445BF9">
        <w:rPr>
          <w:rFonts w:ascii="Times New Roman" w:eastAsia="Arial Unicode MS" w:hAnsi="Times New Roman"/>
          <w:sz w:val="24"/>
          <w:szCs w:val="24"/>
        </w:rPr>
        <w:t xml:space="preserve"> humanitarian-development divide</w:t>
      </w:r>
      <w:r w:rsidR="0092476E" w:rsidRPr="00445BF9">
        <w:rPr>
          <w:rFonts w:ascii="Times New Roman" w:eastAsia="Arial Unicode MS" w:hAnsi="Times New Roman"/>
          <w:sz w:val="24"/>
          <w:szCs w:val="24"/>
        </w:rPr>
        <w:t>.</w:t>
      </w:r>
      <w:r w:rsidR="00F04CFB" w:rsidRPr="00445BF9">
        <w:rPr>
          <w:rFonts w:ascii="Times New Roman" w:eastAsia="Arial Unicode MS" w:hAnsi="Times New Roman"/>
          <w:sz w:val="24"/>
          <w:szCs w:val="24"/>
        </w:rPr>
        <w:t xml:space="preserve"> </w:t>
      </w:r>
      <w:r w:rsidR="00F04CFB" w:rsidRPr="00445BF9">
        <w:rPr>
          <w:rFonts w:ascii="Times New Roman" w:hAnsi="Times New Roman"/>
          <w:b/>
          <w:sz w:val="24"/>
          <w:szCs w:val="24"/>
        </w:rPr>
        <w:t xml:space="preserve">There is </w:t>
      </w:r>
      <w:r w:rsidR="00BC5712" w:rsidRPr="00445BF9">
        <w:rPr>
          <w:rFonts w:ascii="Times New Roman" w:hAnsi="Times New Roman"/>
          <w:b/>
          <w:sz w:val="24"/>
          <w:szCs w:val="24"/>
        </w:rPr>
        <w:t xml:space="preserve">an </w:t>
      </w:r>
      <w:r w:rsidR="00F04CFB" w:rsidRPr="00445BF9">
        <w:rPr>
          <w:rFonts w:ascii="Times New Roman" w:hAnsi="Times New Roman"/>
          <w:b/>
          <w:sz w:val="24"/>
          <w:szCs w:val="24"/>
        </w:rPr>
        <w:t>IDA window on development response on refugee situation.</w:t>
      </w:r>
    </w:p>
    <w:p w14:paraId="3D8EF751" w14:textId="13028D1B" w:rsidR="005808B6" w:rsidRPr="00445BF9" w:rsidRDefault="00302F40" w:rsidP="00445BF9">
      <w:pPr>
        <w:pStyle w:val="DeltaBodytext"/>
        <w:numPr>
          <w:ilvl w:val="0"/>
          <w:numId w:val="14"/>
        </w:numPr>
        <w:spacing w:after="120" w:line="360" w:lineRule="auto"/>
        <w:ind w:left="567" w:hanging="567"/>
        <w:rPr>
          <w:rFonts w:ascii="Times New Roman" w:eastAsiaTheme="minorHAnsi" w:hAnsi="Times New Roman"/>
          <w:sz w:val="24"/>
          <w:szCs w:val="24"/>
        </w:rPr>
      </w:pPr>
      <w:r w:rsidRPr="00445BF9">
        <w:rPr>
          <w:rFonts w:ascii="Times New Roman" w:hAnsi="Times New Roman"/>
          <w:b/>
          <w:sz w:val="24"/>
          <w:szCs w:val="24"/>
        </w:rPr>
        <w:t xml:space="preserve">Partnership Policy would benefit exploring further on South to South Cooperation. </w:t>
      </w:r>
      <w:r w:rsidR="00FE386D" w:rsidRPr="00445BF9">
        <w:rPr>
          <w:rFonts w:ascii="Times New Roman" w:hAnsi="Times New Roman"/>
          <w:sz w:val="24"/>
          <w:szCs w:val="24"/>
        </w:rPr>
        <w:t>Uganda has been recognised and applauded for excelling in its contribution to the success of the FAO-China South -South Cooperation (SSC), a programme designed to improve food security through knowledge sharing. This was during the Ministerial Forum for Global South to South Cooperation held on 2nd November 2018 in Changsha city, Hunan Province of China.</w:t>
      </w:r>
    </w:p>
    <w:p w14:paraId="283A22E2" w14:textId="4B28B598" w:rsidR="00E15CC2" w:rsidRPr="00445BF9" w:rsidRDefault="00E15CC2"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90" w:name="_Toc534926854"/>
      <w:r w:rsidRPr="00445BF9">
        <w:rPr>
          <w:rFonts w:ascii="Times New Roman" w:eastAsia="Arial Unicode MS" w:hAnsi="Times New Roman"/>
          <w:bCs w:val="0"/>
          <w:sz w:val="24"/>
          <w:szCs w:val="24"/>
          <w:lang w:val="en-GB"/>
        </w:rPr>
        <w:t xml:space="preserve">Development Partnership Institutional </w:t>
      </w:r>
      <w:r w:rsidR="000943D9" w:rsidRPr="00445BF9">
        <w:rPr>
          <w:rFonts w:ascii="Times New Roman" w:eastAsia="Arial Unicode MS" w:hAnsi="Times New Roman"/>
          <w:bCs w:val="0"/>
          <w:sz w:val="24"/>
          <w:szCs w:val="24"/>
          <w:lang w:val="en-GB"/>
        </w:rPr>
        <w:t>Framework</w:t>
      </w:r>
      <w:bookmarkEnd w:id="90"/>
    </w:p>
    <w:p w14:paraId="53E325F8" w14:textId="74D2389D" w:rsidR="00A74E68" w:rsidRPr="00445BF9" w:rsidRDefault="007F2BB7"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 xml:space="preserve">Regular </w:t>
      </w:r>
      <w:r w:rsidR="00F53786" w:rsidRPr="00445BF9">
        <w:rPr>
          <w:rFonts w:ascii="Times New Roman" w:eastAsia="Arial Unicode MS" w:hAnsi="Times New Roman"/>
          <w:b/>
          <w:sz w:val="24"/>
          <w:szCs w:val="24"/>
        </w:rPr>
        <w:t xml:space="preserve">Development Partnership </w:t>
      </w:r>
      <w:r w:rsidRPr="00445BF9">
        <w:rPr>
          <w:rFonts w:ascii="Times New Roman" w:eastAsia="Arial Unicode MS" w:hAnsi="Times New Roman"/>
          <w:b/>
          <w:sz w:val="24"/>
          <w:szCs w:val="24"/>
        </w:rPr>
        <w:t xml:space="preserve">dialogue </w:t>
      </w:r>
      <w:r w:rsidR="00F53786" w:rsidRPr="00445BF9">
        <w:rPr>
          <w:rFonts w:ascii="Times New Roman" w:eastAsia="Arial Unicode MS" w:hAnsi="Times New Roman"/>
          <w:b/>
          <w:sz w:val="24"/>
          <w:szCs w:val="24"/>
        </w:rPr>
        <w:t xml:space="preserve">is </w:t>
      </w:r>
      <w:r w:rsidRPr="00445BF9">
        <w:rPr>
          <w:rFonts w:ascii="Times New Roman" w:eastAsia="Arial Unicode MS" w:hAnsi="Times New Roman"/>
          <w:b/>
          <w:sz w:val="24"/>
          <w:szCs w:val="24"/>
        </w:rPr>
        <w:t>in place</w:t>
      </w:r>
      <w:r w:rsidR="00426D20" w:rsidRPr="00445BF9">
        <w:rPr>
          <w:rFonts w:ascii="Times New Roman" w:eastAsia="Arial Unicode MS" w:hAnsi="Times New Roman"/>
          <w:b/>
          <w:sz w:val="24"/>
          <w:szCs w:val="24"/>
        </w:rPr>
        <w:t>,</w:t>
      </w:r>
      <w:r w:rsidR="00D8067A" w:rsidRPr="00445BF9">
        <w:rPr>
          <w:rFonts w:ascii="Times New Roman" w:eastAsia="Arial Unicode MS" w:hAnsi="Times New Roman"/>
          <w:b/>
          <w:sz w:val="24"/>
          <w:szCs w:val="24"/>
        </w:rPr>
        <w:t xml:space="preserve"> and ‘</w:t>
      </w:r>
      <w:r w:rsidR="007660FE" w:rsidRPr="00445BF9">
        <w:rPr>
          <w:rFonts w:ascii="Times New Roman" w:eastAsia="Arial Unicode MS" w:hAnsi="Times New Roman"/>
          <w:b/>
          <w:sz w:val="24"/>
          <w:szCs w:val="24"/>
        </w:rPr>
        <w:t>‘The</w:t>
      </w:r>
      <w:r w:rsidR="00D8067A" w:rsidRPr="00445BF9">
        <w:rPr>
          <w:rFonts w:ascii="Times New Roman" w:eastAsia="Arial Unicode MS" w:hAnsi="Times New Roman"/>
          <w:b/>
          <w:sz w:val="24"/>
          <w:szCs w:val="24"/>
        </w:rPr>
        <w:t xml:space="preserve"> door is open’’ for ongoing dialogue.</w:t>
      </w:r>
      <w:r w:rsidR="007660FE" w:rsidRPr="00445BF9">
        <w:rPr>
          <w:rFonts w:ascii="Times New Roman" w:eastAsia="Arial Unicode MS" w:hAnsi="Times New Roman"/>
          <w:b/>
          <w:sz w:val="24"/>
          <w:szCs w:val="24"/>
        </w:rPr>
        <w:t xml:space="preserve"> However, </w:t>
      </w:r>
      <w:r w:rsidR="00F53786" w:rsidRPr="00445BF9">
        <w:rPr>
          <w:rFonts w:ascii="Times New Roman" w:eastAsia="Arial Unicode MS" w:hAnsi="Times New Roman"/>
          <w:b/>
          <w:sz w:val="24"/>
          <w:szCs w:val="24"/>
        </w:rPr>
        <w:t>e</w:t>
      </w:r>
      <w:r w:rsidR="007C154E" w:rsidRPr="00445BF9">
        <w:rPr>
          <w:rFonts w:ascii="Times New Roman" w:eastAsia="Arial Unicode MS" w:hAnsi="Times New Roman"/>
          <w:b/>
          <w:sz w:val="24"/>
          <w:szCs w:val="24"/>
        </w:rPr>
        <w:t>ffective dialogue is challenged</w:t>
      </w:r>
      <w:r w:rsidR="007C154E" w:rsidRPr="00445BF9">
        <w:rPr>
          <w:rFonts w:ascii="Times New Roman" w:eastAsia="Arial Unicode MS" w:hAnsi="Times New Roman"/>
          <w:sz w:val="24"/>
          <w:szCs w:val="24"/>
        </w:rPr>
        <w:t xml:space="preserve"> post Joint Budget Support era. </w:t>
      </w:r>
      <w:r w:rsidR="00A10314" w:rsidRPr="00445BF9">
        <w:rPr>
          <w:rFonts w:ascii="Times New Roman" w:eastAsia="Arial Unicode MS" w:hAnsi="Times New Roman"/>
          <w:sz w:val="24"/>
          <w:szCs w:val="24"/>
        </w:rPr>
        <w:t>Meanwhile,</w:t>
      </w:r>
      <w:r w:rsidR="007C154E" w:rsidRPr="00445BF9">
        <w:rPr>
          <w:rFonts w:ascii="Times New Roman" w:eastAsia="Arial Unicode MS" w:hAnsi="Times New Roman"/>
          <w:sz w:val="24"/>
          <w:szCs w:val="24"/>
        </w:rPr>
        <w:t xml:space="preserve"> </w:t>
      </w:r>
      <w:r w:rsidR="00F53786" w:rsidRPr="00445BF9">
        <w:rPr>
          <w:rFonts w:ascii="Times New Roman" w:eastAsia="Arial Unicode MS" w:hAnsi="Times New Roman"/>
          <w:sz w:val="24"/>
          <w:szCs w:val="24"/>
        </w:rPr>
        <w:t xml:space="preserve">the </w:t>
      </w:r>
      <w:r w:rsidR="007660FE" w:rsidRPr="00445BF9">
        <w:rPr>
          <w:rFonts w:ascii="Times New Roman" w:eastAsia="Arial Unicode MS" w:hAnsi="Times New Roman"/>
          <w:sz w:val="24"/>
          <w:szCs w:val="24"/>
        </w:rPr>
        <w:t>dialogue does not include all DPs.</w:t>
      </w:r>
      <w:r w:rsidR="00871637" w:rsidRPr="00445BF9">
        <w:rPr>
          <w:rFonts w:ascii="Times New Roman" w:eastAsia="Arial Unicode MS" w:hAnsi="Times New Roman"/>
          <w:sz w:val="24"/>
          <w:szCs w:val="24"/>
        </w:rPr>
        <w:t xml:space="preserve"> </w:t>
      </w:r>
      <w:r w:rsidR="00387104" w:rsidRPr="00445BF9">
        <w:rPr>
          <w:rFonts w:ascii="Times New Roman" w:eastAsia="Arial Unicode MS" w:hAnsi="Times New Roman"/>
          <w:sz w:val="24"/>
          <w:szCs w:val="24"/>
        </w:rPr>
        <w:t>Particularly, t</w:t>
      </w:r>
      <w:r w:rsidR="00871637" w:rsidRPr="00445BF9">
        <w:rPr>
          <w:rFonts w:ascii="Times New Roman" w:eastAsia="Arial Unicode MS" w:hAnsi="Times New Roman"/>
          <w:sz w:val="24"/>
          <w:szCs w:val="24"/>
        </w:rPr>
        <w:t xml:space="preserve">he non-traditional development partners are not normally bound by </w:t>
      </w:r>
      <w:r w:rsidR="00CE24EA" w:rsidRPr="00445BF9">
        <w:rPr>
          <w:rFonts w:ascii="Times New Roman" w:eastAsia="Arial Unicode MS" w:hAnsi="Times New Roman"/>
          <w:sz w:val="24"/>
          <w:szCs w:val="24"/>
        </w:rPr>
        <w:t>National Partnership Forum (</w:t>
      </w:r>
      <w:r w:rsidR="00871637" w:rsidRPr="00445BF9">
        <w:rPr>
          <w:rFonts w:ascii="Times New Roman" w:eastAsia="Arial Unicode MS" w:hAnsi="Times New Roman"/>
          <w:sz w:val="24"/>
          <w:szCs w:val="24"/>
        </w:rPr>
        <w:t>NPF</w:t>
      </w:r>
      <w:r w:rsidR="00CE24EA" w:rsidRPr="00445BF9">
        <w:rPr>
          <w:rFonts w:ascii="Times New Roman" w:eastAsia="Arial Unicode MS" w:hAnsi="Times New Roman"/>
          <w:sz w:val="24"/>
          <w:szCs w:val="24"/>
        </w:rPr>
        <w:t>)</w:t>
      </w:r>
      <w:r w:rsidR="00871637" w:rsidRPr="00445BF9">
        <w:rPr>
          <w:rFonts w:ascii="Times New Roman" w:eastAsia="Arial Unicode MS" w:hAnsi="Times New Roman"/>
          <w:sz w:val="24"/>
          <w:szCs w:val="24"/>
        </w:rPr>
        <w:t xml:space="preserve"> arrangements. </w:t>
      </w:r>
      <w:r w:rsidR="001B1855" w:rsidRPr="00445BF9">
        <w:rPr>
          <w:rFonts w:ascii="Times New Roman" w:eastAsia="Arial Unicode MS" w:hAnsi="Times New Roman"/>
          <w:sz w:val="24"/>
          <w:szCs w:val="24"/>
        </w:rPr>
        <w:t>Although</w:t>
      </w:r>
      <w:r w:rsidR="00871637" w:rsidRPr="00445BF9">
        <w:rPr>
          <w:rFonts w:ascii="Times New Roman" w:eastAsia="Arial Unicode MS" w:hAnsi="Times New Roman"/>
          <w:sz w:val="24"/>
          <w:szCs w:val="24"/>
        </w:rPr>
        <w:t xml:space="preserve">, they attend </w:t>
      </w:r>
      <w:r w:rsidR="00AD06EC" w:rsidRPr="00445BF9">
        <w:rPr>
          <w:rFonts w:ascii="Times New Roman" w:eastAsia="Arial Unicode MS" w:hAnsi="Times New Roman"/>
          <w:sz w:val="24"/>
          <w:szCs w:val="24"/>
        </w:rPr>
        <w:t xml:space="preserve">some of </w:t>
      </w:r>
      <w:r w:rsidR="00871637" w:rsidRPr="00445BF9">
        <w:rPr>
          <w:rFonts w:ascii="Times New Roman" w:eastAsia="Arial Unicode MS" w:hAnsi="Times New Roman"/>
          <w:sz w:val="24"/>
          <w:szCs w:val="24"/>
        </w:rPr>
        <w:t xml:space="preserve">the meetings and </w:t>
      </w:r>
      <w:r w:rsidR="00AD06EC" w:rsidRPr="00445BF9">
        <w:rPr>
          <w:rFonts w:ascii="Times New Roman" w:eastAsia="Arial Unicode MS" w:hAnsi="Times New Roman"/>
          <w:sz w:val="24"/>
          <w:szCs w:val="24"/>
        </w:rPr>
        <w:t xml:space="preserve">are part of </w:t>
      </w:r>
      <w:r w:rsidR="00871637" w:rsidRPr="00445BF9">
        <w:rPr>
          <w:rFonts w:ascii="Times New Roman" w:eastAsia="Arial Unicode MS" w:hAnsi="Times New Roman"/>
          <w:sz w:val="24"/>
          <w:szCs w:val="24"/>
        </w:rPr>
        <w:t>most of the partnership fora’s.</w:t>
      </w:r>
    </w:p>
    <w:p w14:paraId="15065FAE" w14:textId="37125E3D" w:rsidR="00422BB4" w:rsidRPr="00445BF9" w:rsidRDefault="00A74E68"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There is a functional i</w:t>
      </w:r>
      <w:r w:rsidR="00C03A1E" w:rsidRPr="00445BF9">
        <w:rPr>
          <w:rFonts w:ascii="Times New Roman" w:eastAsia="Arial Unicode MS" w:hAnsi="Times New Roman"/>
          <w:b/>
          <w:sz w:val="24"/>
          <w:szCs w:val="24"/>
        </w:rPr>
        <w:t xml:space="preserve">nstitutional set-up </w:t>
      </w:r>
      <w:r w:rsidRPr="00445BF9">
        <w:rPr>
          <w:rFonts w:ascii="Times New Roman" w:eastAsia="Arial Unicode MS" w:hAnsi="Times New Roman"/>
          <w:b/>
          <w:sz w:val="24"/>
          <w:szCs w:val="24"/>
        </w:rPr>
        <w:t xml:space="preserve">with </w:t>
      </w:r>
      <w:r w:rsidR="00DA5147" w:rsidRPr="00445BF9">
        <w:rPr>
          <w:rFonts w:ascii="Times New Roman" w:eastAsia="Arial Unicode MS" w:hAnsi="Times New Roman"/>
          <w:b/>
          <w:sz w:val="24"/>
          <w:szCs w:val="24"/>
        </w:rPr>
        <w:t>National Partnership Forum (</w:t>
      </w:r>
      <w:r w:rsidR="00426D20" w:rsidRPr="00445BF9">
        <w:rPr>
          <w:rFonts w:ascii="Times New Roman" w:eastAsia="Arial Unicode MS" w:hAnsi="Times New Roman"/>
          <w:b/>
          <w:sz w:val="24"/>
          <w:szCs w:val="24"/>
        </w:rPr>
        <w:t>NPF</w:t>
      </w:r>
      <w:r w:rsidR="00DA5147" w:rsidRPr="00445BF9">
        <w:rPr>
          <w:rFonts w:ascii="Times New Roman" w:eastAsia="Arial Unicode MS" w:hAnsi="Times New Roman"/>
          <w:b/>
          <w:sz w:val="24"/>
          <w:szCs w:val="24"/>
        </w:rPr>
        <w:t>)</w:t>
      </w:r>
      <w:r w:rsidR="00E02600" w:rsidRPr="00445BF9">
        <w:rPr>
          <w:rFonts w:ascii="Times New Roman" w:eastAsia="Arial Unicode MS" w:hAnsi="Times New Roman"/>
          <w:b/>
          <w:sz w:val="24"/>
          <w:szCs w:val="24"/>
        </w:rPr>
        <w:t xml:space="preserve">, </w:t>
      </w:r>
      <w:r w:rsidR="00FD3A11" w:rsidRPr="00445BF9">
        <w:rPr>
          <w:rFonts w:ascii="Times New Roman" w:eastAsia="Arial Unicode MS" w:hAnsi="Times New Roman"/>
          <w:b/>
          <w:sz w:val="24"/>
          <w:szCs w:val="24"/>
        </w:rPr>
        <w:t>sector working groups (</w:t>
      </w:r>
      <w:r w:rsidR="00E02600" w:rsidRPr="00445BF9">
        <w:rPr>
          <w:rFonts w:ascii="Times New Roman" w:eastAsia="Arial Unicode MS" w:hAnsi="Times New Roman"/>
          <w:b/>
          <w:sz w:val="24"/>
          <w:szCs w:val="24"/>
        </w:rPr>
        <w:t>SWGs</w:t>
      </w:r>
      <w:r w:rsidR="00FD3A11" w:rsidRPr="00445BF9">
        <w:rPr>
          <w:rFonts w:ascii="Times New Roman" w:eastAsia="Arial Unicode MS" w:hAnsi="Times New Roman"/>
          <w:b/>
          <w:sz w:val="24"/>
          <w:szCs w:val="24"/>
        </w:rPr>
        <w:t>)</w:t>
      </w:r>
      <w:r w:rsidR="00422BB4" w:rsidRPr="00445BF9">
        <w:rPr>
          <w:rFonts w:ascii="Times New Roman" w:eastAsia="Arial Unicode MS" w:hAnsi="Times New Roman"/>
          <w:b/>
          <w:sz w:val="24"/>
          <w:szCs w:val="24"/>
        </w:rPr>
        <w:t xml:space="preserve"> and </w:t>
      </w:r>
      <w:r w:rsidR="00FD3A11" w:rsidRPr="00445BF9">
        <w:rPr>
          <w:rFonts w:ascii="Times New Roman" w:eastAsia="Arial Unicode MS" w:hAnsi="Times New Roman"/>
          <w:b/>
          <w:sz w:val="24"/>
          <w:szCs w:val="24"/>
        </w:rPr>
        <w:t>Local development Partner Group (</w:t>
      </w:r>
      <w:r w:rsidR="00E02600" w:rsidRPr="00445BF9">
        <w:rPr>
          <w:rFonts w:ascii="Times New Roman" w:eastAsia="Arial Unicode MS" w:hAnsi="Times New Roman"/>
          <w:b/>
          <w:sz w:val="24"/>
          <w:szCs w:val="24"/>
        </w:rPr>
        <w:t>LDPG</w:t>
      </w:r>
      <w:r w:rsidR="00FD3A11" w:rsidRPr="00445BF9">
        <w:rPr>
          <w:rFonts w:ascii="Times New Roman" w:eastAsia="Arial Unicode MS" w:hAnsi="Times New Roman"/>
          <w:b/>
          <w:sz w:val="24"/>
          <w:szCs w:val="24"/>
        </w:rPr>
        <w:t>)</w:t>
      </w:r>
      <w:r w:rsidR="00422BB4" w:rsidRPr="00445BF9">
        <w:rPr>
          <w:rFonts w:ascii="Times New Roman" w:eastAsia="Arial Unicode MS" w:hAnsi="Times New Roman"/>
          <w:b/>
          <w:sz w:val="24"/>
          <w:szCs w:val="24"/>
        </w:rPr>
        <w:t xml:space="preserve"> among few others</w:t>
      </w:r>
      <w:r w:rsidRPr="00445BF9">
        <w:rPr>
          <w:rFonts w:ascii="Times New Roman" w:eastAsia="Arial Unicode MS" w:hAnsi="Times New Roman"/>
          <w:b/>
          <w:sz w:val="24"/>
          <w:szCs w:val="24"/>
        </w:rPr>
        <w:t xml:space="preserve">. </w:t>
      </w:r>
      <w:r w:rsidR="00516107" w:rsidRPr="00445BF9">
        <w:rPr>
          <w:rFonts w:ascii="Times New Roman" w:eastAsia="Arial Unicode MS" w:hAnsi="Times New Roman"/>
          <w:b/>
          <w:sz w:val="24"/>
          <w:szCs w:val="24"/>
        </w:rPr>
        <w:t>However,</w:t>
      </w:r>
      <w:r w:rsidR="00E75179" w:rsidRPr="00445BF9">
        <w:rPr>
          <w:rFonts w:ascii="Times New Roman" w:eastAsia="Arial Unicode MS" w:hAnsi="Times New Roman"/>
          <w:b/>
          <w:sz w:val="24"/>
          <w:szCs w:val="24"/>
        </w:rPr>
        <w:t xml:space="preserve"> </w:t>
      </w:r>
      <w:r w:rsidR="00DA5147" w:rsidRPr="00445BF9">
        <w:rPr>
          <w:rFonts w:ascii="Times New Roman" w:eastAsia="Arial Unicode MS" w:hAnsi="Times New Roman"/>
          <w:b/>
          <w:sz w:val="24"/>
          <w:szCs w:val="24"/>
        </w:rPr>
        <w:t>the</w:t>
      </w:r>
      <w:r w:rsidR="00D0441A" w:rsidRPr="00445BF9">
        <w:rPr>
          <w:rFonts w:ascii="Times New Roman" w:eastAsia="Arial Unicode MS" w:hAnsi="Times New Roman"/>
          <w:b/>
          <w:sz w:val="24"/>
          <w:szCs w:val="24"/>
        </w:rPr>
        <w:t>y</w:t>
      </w:r>
      <w:r w:rsidR="00DA5147" w:rsidRPr="00445BF9">
        <w:rPr>
          <w:rFonts w:ascii="Times New Roman" w:eastAsia="Arial Unicode MS" w:hAnsi="Times New Roman"/>
          <w:b/>
          <w:sz w:val="24"/>
          <w:szCs w:val="24"/>
        </w:rPr>
        <w:t xml:space="preserve"> </w:t>
      </w:r>
      <w:r w:rsidR="00C318D4" w:rsidRPr="00445BF9">
        <w:rPr>
          <w:rFonts w:ascii="Times New Roman" w:eastAsia="Arial Unicode MS" w:hAnsi="Times New Roman"/>
          <w:b/>
          <w:sz w:val="24"/>
          <w:szCs w:val="24"/>
        </w:rPr>
        <w:t xml:space="preserve">are not efficient and </w:t>
      </w:r>
      <w:r w:rsidR="008C675D" w:rsidRPr="00445BF9">
        <w:rPr>
          <w:rFonts w:ascii="Times New Roman" w:eastAsia="Arial Unicode MS" w:hAnsi="Times New Roman"/>
          <w:b/>
          <w:sz w:val="24"/>
          <w:szCs w:val="24"/>
        </w:rPr>
        <w:t>require</w:t>
      </w:r>
      <w:r w:rsidR="00E02600" w:rsidRPr="00445BF9">
        <w:rPr>
          <w:rFonts w:ascii="Times New Roman" w:eastAsia="Arial Unicode MS" w:hAnsi="Times New Roman"/>
          <w:b/>
          <w:sz w:val="24"/>
          <w:szCs w:val="24"/>
        </w:rPr>
        <w:t xml:space="preserve"> streamlining</w:t>
      </w:r>
      <w:r w:rsidR="00D0441A" w:rsidRPr="00445BF9">
        <w:rPr>
          <w:rFonts w:ascii="Times New Roman" w:eastAsia="Arial Unicode MS" w:hAnsi="Times New Roman"/>
          <w:b/>
          <w:sz w:val="24"/>
          <w:szCs w:val="24"/>
        </w:rPr>
        <w:t xml:space="preserve"> and strengthening</w:t>
      </w:r>
      <w:r w:rsidR="00352FE9" w:rsidRPr="00445BF9">
        <w:rPr>
          <w:rStyle w:val="FootnoteReference"/>
          <w:rFonts w:ascii="Times New Roman" w:eastAsia="Arial Unicode MS" w:hAnsi="Times New Roman"/>
          <w:b/>
          <w:sz w:val="24"/>
          <w:szCs w:val="24"/>
        </w:rPr>
        <w:footnoteReference w:id="5"/>
      </w:r>
      <w:r w:rsidR="00E02600" w:rsidRPr="00445BF9">
        <w:rPr>
          <w:rFonts w:ascii="Times New Roman" w:eastAsia="Arial Unicode MS" w:hAnsi="Times New Roman"/>
          <w:b/>
          <w:sz w:val="24"/>
          <w:szCs w:val="24"/>
        </w:rPr>
        <w:t>.</w:t>
      </w:r>
      <w:r w:rsidR="00422BB4" w:rsidRPr="00445BF9">
        <w:rPr>
          <w:rFonts w:ascii="Times New Roman" w:eastAsia="Arial Unicode MS" w:hAnsi="Times New Roman"/>
          <w:sz w:val="24"/>
          <w:szCs w:val="24"/>
        </w:rPr>
        <w:t xml:space="preserve"> Partnership arrangements have been framed principally by established National Partnership Forum (NPF), </w:t>
      </w:r>
      <w:r w:rsidR="002353EA" w:rsidRPr="00445BF9">
        <w:rPr>
          <w:rFonts w:ascii="Times New Roman" w:eastAsia="Arial Unicode MS" w:hAnsi="Times New Roman"/>
          <w:sz w:val="24"/>
          <w:szCs w:val="24"/>
        </w:rPr>
        <w:t>Sector Working Group</w:t>
      </w:r>
      <w:r w:rsidR="00422BB4" w:rsidRPr="00445BF9">
        <w:rPr>
          <w:rFonts w:ascii="Times New Roman" w:eastAsia="Arial Unicode MS" w:hAnsi="Times New Roman"/>
          <w:sz w:val="24"/>
          <w:szCs w:val="24"/>
        </w:rPr>
        <w:t xml:space="preserve"> (SWG) processes</w:t>
      </w:r>
      <w:r w:rsidR="002353EA" w:rsidRPr="00445BF9">
        <w:rPr>
          <w:rFonts w:ascii="Times New Roman" w:eastAsia="Arial Unicode MS" w:hAnsi="Times New Roman"/>
          <w:sz w:val="24"/>
          <w:szCs w:val="24"/>
        </w:rPr>
        <w:t xml:space="preserve">, which are </w:t>
      </w:r>
      <w:r w:rsidR="00422BB4" w:rsidRPr="00445BF9">
        <w:rPr>
          <w:rFonts w:ascii="Times New Roman" w:eastAsia="Arial Unicode MS" w:hAnsi="Times New Roman"/>
          <w:sz w:val="24"/>
          <w:szCs w:val="24"/>
        </w:rPr>
        <w:t>linked to the budget</w:t>
      </w:r>
      <w:r w:rsidR="00BF1071" w:rsidRPr="00445BF9">
        <w:rPr>
          <w:rFonts w:ascii="Times New Roman" w:eastAsia="Arial Unicode MS" w:hAnsi="Times New Roman"/>
          <w:sz w:val="24"/>
          <w:szCs w:val="24"/>
        </w:rPr>
        <w:t xml:space="preserve"> by </w:t>
      </w:r>
      <w:r w:rsidR="00422BB4" w:rsidRPr="00445BF9">
        <w:rPr>
          <w:rFonts w:ascii="Times New Roman" w:eastAsia="Arial Unicode MS" w:hAnsi="Times New Roman"/>
          <w:sz w:val="24"/>
          <w:szCs w:val="24"/>
        </w:rPr>
        <w:lastRenderedPageBreak/>
        <w:t>bring</w:t>
      </w:r>
      <w:r w:rsidR="00BF1071" w:rsidRPr="00445BF9">
        <w:rPr>
          <w:rFonts w:ascii="Times New Roman" w:eastAsia="Arial Unicode MS" w:hAnsi="Times New Roman"/>
          <w:sz w:val="24"/>
          <w:szCs w:val="24"/>
        </w:rPr>
        <w:t>ing</w:t>
      </w:r>
      <w:r w:rsidR="00422BB4" w:rsidRPr="00445BF9">
        <w:rPr>
          <w:rFonts w:ascii="Times New Roman" w:eastAsia="Arial Unicode MS" w:hAnsi="Times New Roman"/>
          <w:sz w:val="24"/>
          <w:szCs w:val="24"/>
        </w:rPr>
        <w:t xml:space="preserve"> together </w:t>
      </w:r>
      <w:r w:rsidR="00F35305" w:rsidRPr="00445BF9">
        <w:rPr>
          <w:rFonts w:ascii="Times New Roman" w:eastAsia="Arial Unicode MS" w:hAnsi="Times New Roman"/>
          <w:sz w:val="24"/>
          <w:szCs w:val="24"/>
        </w:rPr>
        <w:t xml:space="preserve">the </w:t>
      </w:r>
      <w:r w:rsidR="00422BB4" w:rsidRPr="00445BF9">
        <w:rPr>
          <w:rFonts w:ascii="Times New Roman" w:eastAsia="Arial Unicode MS" w:hAnsi="Times New Roman"/>
          <w:sz w:val="24"/>
          <w:szCs w:val="24"/>
        </w:rPr>
        <w:t>government, bilateral and multilateral donors and other actors at sector level.</w:t>
      </w:r>
    </w:p>
    <w:p w14:paraId="401E4C9F" w14:textId="114960BA" w:rsidR="00340D78" w:rsidRPr="00445BF9" w:rsidRDefault="003F0C10" w:rsidP="00445BF9">
      <w:pPr>
        <w:pStyle w:val="DeltaBodytext"/>
        <w:numPr>
          <w:ilvl w:val="0"/>
          <w:numId w:val="14"/>
        </w:numPr>
        <w:spacing w:after="120" w:line="360" w:lineRule="auto"/>
        <w:ind w:left="567" w:hanging="567"/>
        <w:rPr>
          <w:rFonts w:ascii="Times New Roman" w:eastAsia="Arial Unicode MS" w:hAnsi="Times New Roman"/>
          <w:b/>
          <w:sz w:val="24"/>
          <w:szCs w:val="24"/>
        </w:rPr>
      </w:pPr>
      <w:r w:rsidRPr="00445BF9">
        <w:rPr>
          <w:rFonts w:ascii="Times New Roman" w:eastAsia="Arial Unicode MS" w:hAnsi="Times New Roman"/>
          <w:b/>
          <w:sz w:val="24"/>
          <w:szCs w:val="24"/>
        </w:rPr>
        <w:t>NPF is functional, however coordination is not-effective. Improve</w:t>
      </w:r>
      <w:r w:rsidR="0065045B" w:rsidRPr="00445BF9">
        <w:rPr>
          <w:rFonts w:ascii="Times New Roman" w:eastAsia="Arial Unicode MS" w:hAnsi="Times New Roman"/>
          <w:b/>
          <w:sz w:val="24"/>
          <w:szCs w:val="24"/>
        </w:rPr>
        <w:t xml:space="preserve">ments </w:t>
      </w:r>
      <w:r w:rsidR="000A2576" w:rsidRPr="00445BF9">
        <w:rPr>
          <w:rFonts w:ascii="Times New Roman" w:eastAsia="Arial Unicode MS" w:hAnsi="Times New Roman"/>
          <w:b/>
          <w:sz w:val="24"/>
          <w:szCs w:val="24"/>
        </w:rPr>
        <w:t xml:space="preserve">are </w:t>
      </w:r>
      <w:r w:rsidR="0065045B" w:rsidRPr="00445BF9">
        <w:rPr>
          <w:rFonts w:ascii="Times New Roman" w:eastAsia="Arial Unicode MS" w:hAnsi="Times New Roman"/>
          <w:b/>
          <w:sz w:val="24"/>
          <w:szCs w:val="24"/>
        </w:rPr>
        <w:t xml:space="preserve">needed to </w:t>
      </w:r>
      <w:r w:rsidRPr="00445BF9">
        <w:rPr>
          <w:rFonts w:ascii="Times New Roman" w:eastAsia="Arial Unicode MS" w:hAnsi="Times New Roman"/>
          <w:b/>
          <w:sz w:val="24"/>
          <w:szCs w:val="24"/>
        </w:rPr>
        <w:t>mak</w:t>
      </w:r>
      <w:r w:rsidR="0065045B" w:rsidRPr="00445BF9">
        <w:rPr>
          <w:rFonts w:ascii="Times New Roman" w:eastAsia="Arial Unicode MS" w:hAnsi="Times New Roman"/>
          <w:b/>
          <w:sz w:val="24"/>
          <w:szCs w:val="24"/>
        </w:rPr>
        <w:t xml:space="preserve">e it </w:t>
      </w:r>
      <w:r w:rsidRPr="00445BF9">
        <w:rPr>
          <w:rFonts w:ascii="Times New Roman" w:eastAsia="Arial Unicode MS" w:hAnsi="Times New Roman"/>
          <w:b/>
          <w:sz w:val="24"/>
          <w:szCs w:val="24"/>
        </w:rPr>
        <w:t>more result oriented.</w:t>
      </w:r>
      <w:r w:rsidR="000A2576" w:rsidRPr="00445BF9">
        <w:rPr>
          <w:rFonts w:ascii="Times New Roman" w:eastAsia="Arial Unicode MS" w:hAnsi="Times New Roman"/>
          <w:b/>
          <w:sz w:val="24"/>
          <w:szCs w:val="24"/>
        </w:rPr>
        <w:t xml:space="preserve"> </w:t>
      </w:r>
      <w:r w:rsidR="00422BB4" w:rsidRPr="00445BF9">
        <w:rPr>
          <w:rFonts w:ascii="Times New Roman" w:eastAsia="Arial Unicode MS" w:hAnsi="Times New Roman"/>
          <w:sz w:val="24"/>
          <w:szCs w:val="24"/>
        </w:rPr>
        <w:t>The NPF has become the principal focus for high level policy dialogue chaired by the Prime Minister and attended by Minister, Ambassadors, Head of Development cooperation to discuss policy issues pertaining to promoting development assistance effectiveness and mutual accountability. The NPF is supported by the Partnership Task Force chaired by the Permanent Secretary, Office of the Prime Minister to get prepared for the NPF and follow-up the agreed actions and implementation of the Partnership Policy. Members of the task force include, OPM, MoFPED, National Planning Authority, the NGO Forum and Development Partners.</w:t>
      </w:r>
      <w:r w:rsidR="00340D78" w:rsidRPr="00445BF9">
        <w:rPr>
          <w:rFonts w:ascii="Times New Roman" w:eastAsia="Arial Unicode MS" w:hAnsi="Times New Roman"/>
          <w:sz w:val="24"/>
          <w:szCs w:val="24"/>
        </w:rPr>
        <w:t xml:space="preserve"> </w:t>
      </w:r>
      <w:r w:rsidR="00340D78" w:rsidRPr="00445BF9">
        <w:rPr>
          <w:rFonts w:ascii="Times New Roman" w:eastAsia="Arial Unicode MS" w:hAnsi="Times New Roman"/>
          <w:b/>
          <w:sz w:val="24"/>
          <w:szCs w:val="24"/>
        </w:rPr>
        <w:t>However, they are either less inclusive or provide lower quality dialogue than the former BS high-level political meeting and do not cover macroeconomic and budget-related issues</w:t>
      </w:r>
      <w:r w:rsidR="008B722F" w:rsidRPr="00445BF9">
        <w:rPr>
          <w:rFonts w:ascii="Times New Roman" w:eastAsia="Arial Unicode MS" w:hAnsi="Times New Roman"/>
          <w:b/>
          <w:sz w:val="24"/>
          <w:szCs w:val="24"/>
        </w:rPr>
        <w:t xml:space="preserve"> (DEval, 2018)</w:t>
      </w:r>
      <w:r w:rsidR="00340D78" w:rsidRPr="00445BF9">
        <w:rPr>
          <w:rFonts w:ascii="Times New Roman" w:eastAsia="Arial Unicode MS" w:hAnsi="Times New Roman"/>
          <w:b/>
          <w:sz w:val="24"/>
          <w:szCs w:val="24"/>
        </w:rPr>
        <w:t>.</w:t>
      </w:r>
    </w:p>
    <w:p w14:paraId="4A62E2FE" w14:textId="6AA200BA" w:rsidR="00623C34" w:rsidRPr="00445BF9" w:rsidRDefault="009A166F"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E</w:t>
      </w:r>
      <w:r w:rsidR="002F32D6" w:rsidRPr="00445BF9">
        <w:rPr>
          <w:rFonts w:ascii="Times New Roman" w:eastAsia="Arial Unicode MS" w:hAnsi="Times New Roman"/>
          <w:b/>
          <w:sz w:val="24"/>
          <w:szCs w:val="24"/>
        </w:rPr>
        <w:t xml:space="preserve">ffectiveness of the </w:t>
      </w:r>
      <w:r w:rsidR="000201B9" w:rsidRPr="00445BF9">
        <w:rPr>
          <w:rFonts w:ascii="Times New Roman" w:eastAsia="Arial Unicode MS" w:hAnsi="Times New Roman"/>
          <w:b/>
          <w:sz w:val="24"/>
          <w:szCs w:val="24"/>
        </w:rPr>
        <w:t xml:space="preserve">Sector Working Groups (SWGs) </w:t>
      </w:r>
      <w:r w:rsidRPr="00445BF9">
        <w:rPr>
          <w:rFonts w:ascii="Times New Roman" w:eastAsia="Arial Unicode MS" w:hAnsi="Times New Roman"/>
          <w:b/>
          <w:sz w:val="24"/>
          <w:szCs w:val="24"/>
        </w:rPr>
        <w:t>needs to be increase</w:t>
      </w:r>
      <w:r w:rsidR="0071139F" w:rsidRPr="00445BF9">
        <w:rPr>
          <w:rFonts w:ascii="Times New Roman" w:eastAsia="Arial Unicode MS" w:hAnsi="Times New Roman"/>
          <w:b/>
          <w:sz w:val="24"/>
          <w:szCs w:val="24"/>
        </w:rPr>
        <w:t>d</w:t>
      </w:r>
      <w:r w:rsidRPr="00445BF9">
        <w:rPr>
          <w:rFonts w:ascii="Times New Roman" w:eastAsia="Arial Unicode MS" w:hAnsi="Times New Roman"/>
          <w:b/>
          <w:sz w:val="24"/>
          <w:szCs w:val="24"/>
        </w:rPr>
        <w:t>, for them to</w:t>
      </w:r>
      <w:r w:rsidR="000201B9" w:rsidRPr="00445BF9">
        <w:rPr>
          <w:rFonts w:ascii="Times New Roman" w:eastAsia="Arial Unicode MS" w:hAnsi="Times New Roman"/>
          <w:b/>
          <w:sz w:val="24"/>
          <w:szCs w:val="24"/>
        </w:rPr>
        <w:t xml:space="preserve"> become </w:t>
      </w:r>
      <w:r w:rsidR="000201B9" w:rsidRPr="00445BF9">
        <w:rPr>
          <w:rFonts w:ascii="Times New Roman" w:hAnsi="Times New Roman"/>
          <w:b/>
          <w:sz w:val="24"/>
          <w:szCs w:val="24"/>
        </w:rPr>
        <w:t>a forum on strategic discussion on sector issues.</w:t>
      </w:r>
      <w:r w:rsidR="004B6089" w:rsidRPr="00445BF9">
        <w:rPr>
          <w:rFonts w:ascii="Times New Roman" w:hAnsi="Times New Roman"/>
          <w:b/>
          <w:sz w:val="24"/>
          <w:szCs w:val="24"/>
        </w:rPr>
        <w:t xml:space="preserve"> </w:t>
      </w:r>
      <w:r w:rsidR="00623C34" w:rsidRPr="00445BF9">
        <w:rPr>
          <w:rFonts w:ascii="Times New Roman" w:eastAsia="Arial Unicode MS" w:hAnsi="Times New Roman"/>
          <w:sz w:val="24"/>
          <w:szCs w:val="24"/>
        </w:rPr>
        <w:t xml:space="preserve">At a sector level </w:t>
      </w:r>
      <w:r w:rsidR="000201B9" w:rsidRPr="00445BF9">
        <w:rPr>
          <w:rFonts w:ascii="Times New Roman" w:eastAsia="Arial Unicode MS" w:hAnsi="Times New Roman"/>
          <w:sz w:val="24"/>
          <w:szCs w:val="24"/>
        </w:rPr>
        <w:t xml:space="preserve">the SWGs were established </w:t>
      </w:r>
      <w:r w:rsidR="00623C34" w:rsidRPr="00445BF9">
        <w:rPr>
          <w:rFonts w:ascii="Times New Roman" w:eastAsia="Arial Unicode MS" w:hAnsi="Times New Roman"/>
          <w:sz w:val="24"/>
          <w:szCs w:val="24"/>
        </w:rPr>
        <w:t>to strengthen implementation and coordination of sector strategies and policies in line with NDP</w:t>
      </w:r>
      <w:r w:rsidR="000201B9" w:rsidRPr="00445BF9">
        <w:rPr>
          <w:rFonts w:ascii="Times New Roman" w:eastAsia="Arial Unicode MS" w:hAnsi="Times New Roman"/>
          <w:sz w:val="24"/>
          <w:szCs w:val="24"/>
        </w:rPr>
        <w:t xml:space="preserve">. </w:t>
      </w:r>
      <w:r w:rsidR="00623C34" w:rsidRPr="00445BF9">
        <w:rPr>
          <w:rFonts w:ascii="Times New Roman" w:eastAsia="Arial Unicode MS" w:hAnsi="Times New Roman"/>
          <w:sz w:val="24"/>
          <w:szCs w:val="24"/>
        </w:rPr>
        <w:t>The SWG</w:t>
      </w:r>
      <w:r w:rsidR="00B92D12" w:rsidRPr="00445BF9">
        <w:rPr>
          <w:rFonts w:ascii="Times New Roman" w:eastAsia="Arial Unicode MS" w:hAnsi="Times New Roman"/>
          <w:sz w:val="24"/>
          <w:szCs w:val="24"/>
        </w:rPr>
        <w:t xml:space="preserve">s </w:t>
      </w:r>
      <w:r w:rsidR="00623C34" w:rsidRPr="00445BF9">
        <w:rPr>
          <w:rFonts w:ascii="Times New Roman" w:eastAsia="Arial Unicode MS" w:hAnsi="Times New Roman"/>
          <w:sz w:val="24"/>
          <w:szCs w:val="24"/>
        </w:rPr>
        <w:t>existed prior to the NDP-II</w:t>
      </w:r>
      <w:r w:rsidRPr="00445BF9">
        <w:rPr>
          <w:rFonts w:ascii="Times New Roman" w:eastAsia="Arial Unicode MS" w:hAnsi="Times New Roman"/>
          <w:sz w:val="24"/>
          <w:szCs w:val="24"/>
        </w:rPr>
        <w:t xml:space="preserve">, are chaired by permanent secretaries of the concerned line </w:t>
      </w:r>
      <w:r w:rsidR="004B6089" w:rsidRPr="00445BF9">
        <w:rPr>
          <w:rFonts w:ascii="Times New Roman" w:eastAsia="Arial Unicode MS" w:hAnsi="Times New Roman"/>
          <w:sz w:val="24"/>
          <w:szCs w:val="24"/>
        </w:rPr>
        <w:t>ministry and</w:t>
      </w:r>
      <w:r w:rsidR="00B92D12" w:rsidRPr="00445BF9">
        <w:rPr>
          <w:rFonts w:ascii="Times New Roman" w:eastAsia="Arial Unicode MS" w:hAnsi="Times New Roman"/>
          <w:sz w:val="24"/>
          <w:szCs w:val="24"/>
        </w:rPr>
        <w:t xml:space="preserve"> </w:t>
      </w:r>
      <w:r w:rsidR="00623C34" w:rsidRPr="00445BF9">
        <w:rPr>
          <w:rFonts w:ascii="Times New Roman" w:eastAsia="Arial Unicode MS" w:hAnsi="Times New Roman"/>
          <w:sz w:val="24"/>
          <w:szCs w:val="24"/>
        </w:rPr>
        <w:t xml:space="preserve">continue </w:t>
      </w:r>
      <w:r w:rsidR="00B92D12" w:rsidRPr="00445BF9">
        <w:rPr>
          <w:rFonts w:ascii="Times New Roman" w:eastAsia="Arial Unicode MS" w:hAnsi="Times New Roman"/>
          <w:sz w:val="24"/>
          <w:szCs w:val="24"/>
        </w:rPr>
        <w:t xml:space="preserve">to </w:t>
      </w:r>
      <w:r w:rsidR="00623C34" w:rsidRPr="00445BF9">
        <w:rPr>
          <w:rFonts w:ascii="Times New Roman" w:eastAsia="Arial Unicode MS" w:hAnsi="Times New Roman"/>
          <w:sz w:val="24"/>
          <w:szCs w:val="24"/>
        </w:rPr>
        <w:t xml:space="preserve">be a key mechanism for ensuring that DPs’ support is aligned to the national planning (priorities) and budgeting processes. </w:t>
      </w:r>
      <w:r w:rsidR="00244A5A" w:rsidRPr="00445BF9">
        <w:rPr>
          <w:rFonts w:ascii="Times New Roman" w:eastAsia="Arial Unicode MS" w:hAnsi="Times New Roman"/>
          <w:sz w:val="24"/>
          <w:szCs w:val="24"/>
        </w:rPr>
        <w:t>DPs</w:t>
      </w:r>
      <w:r w:rsidR="00623C34" w:rsidRPr="00445BF9">
        <w:rPr>
          <w:rFonts w:ascii="Times New Roman" w:eastAsia="Arial Unicode MS" w:hAnsi="Times New Roman"/>
          <w:sz w:val="24"/>
          <w:szCs w:val="24"/>
        </w:rPr>
        <w:t xml:space="preserve"> are particularly active in 9 of the 16 main sector working groups</w:t>
      </w:r>
      <w:r w:rsidR="00623C34" w:rsidRPr="00445BF9">
        <w:rPr>
          <w:rFonts w:ascii="Times New Roman" w:eastAsia="Arial Unicode MS" w:hAnsi="Times New Roman"/>
          <w:sz w:val="24"/>
          <w:szCs w:val="24"/>
          <w:vertAlign w:val="superscript"/>
        </w:rPr>
        <w:footnoteReference w:id="6"/>
      </w:r>
      <w:r w:rsidR="00623C34" w:rsidRPr="00445BF9">
        <w:rPr>
          <w:rFonts w:ascii="Times New Roman" w:eastAsia="Arial Unicode MS" w:hAnsi="Times New Roman"/>
          <w:sz w:val="24"/>
          <w:szCs w:val="24"/>
        </w:rPr>
        <w:t xml:space="preserve"> that exist under the current structure. These </w:t>
      </w:r>
      <w:r w:rsidR="00244A5A" w:rsidRPr="00445BF9">
        <w:rPr>
          <w:rFonts w:ascii="Times New Roman" w:eastAsia="Arial Unicode MS" w:hAnsi="Times New Roman"/>
          <w:sz w:val="24"/>
          <w:szCs w:val="24"/>
        </w:rPr>
        <w:t xml:space="preserve">SWGs </w:t>
      </w:r>
      <w:r w:rsidR="00623C34" w:rsidRPr="00445BF9">
        <w:rPr>
          <w:rFonts w:ascii="Times New Roman" w:eastAsia="Arial Unicode MS" w:hAnsi="Times New Roman"/>
          <w:sz w:val="24"/>
          <w:szCs w:val="24"/>
        </w:rPr>
        <w:t xml:space="preserve">meet at least quarterly. In parallel with these groups </w:t>
      </w:r>
      <w:r w:rsidR="00244A5A" w:rsidRPr="00445BF9">
        <w:rPr>
          <w:rFonts w:ascii="Times New Roman" w:eastAsia="Arial Unicode MS" w:hAnsi="Times New Roman"/>
          <w:sz w:val="24"/>
          <w:szCs w:val="24"/>
        </w:rPr>
        <w:t>DPs</w:t>
      </w:r>
      <w:r w:rsidR="00623C34" w:rsidRPr="00445BF9">
        <w:rPr>
          <w:rFonts w:ascii="Times New Roman" w:eastAsia="Arial Unicode MS" w:hAnsi="Times New Roman"/>
          <w:sz w:val="24"/>
          <w:szCs w:val="24"/>
        </w:rPr>
        <w:t xml:space="preserve"> maintain their own sector arrangements to co-ordinate and share information.   The larger sector working groups, such as those for health and education, break in to smaller groups at technical level to cover key sub-sectors.</w:t>
      </w:r>
      <w:r w:rsidR="00352FE9" w:rsidRPr="00445BF9">
        <w:rPr>
          <w:rFonts w:ascii="Times New Roman" w:eastAsia="Arial Unicode MS" w:hAnsi="Times New Roman"/>
          <w:sz w:val="24"/>
          <w:szCs w:val="24"/>
        </w:rPr>
        <w:t xml:space="preserve"> </w:t>
      </w:r>
      <w:r w:rsidR="00F614AE" w:rsidRPr="00445BF9">
        <w:rPr>
          <w:rFonts w:ascii="Times New Roman" w:eastAsia="Arial Unicode MS" w:hAnsi="Times New Roman"/>
          <w:b/>
          <w:sz w:val="24"/>
          <w:szCs w:val="24"/>
        </w:rPr>
        <w:t xml:space="preserve">However, the effectiveness of the SWGs varies strongly and the dialogue is often fragmented and incoherent (DEval, 2018). </w:t>
      </w:r>
      <w:r w:rsidR="00352FE9" w:rsidRPr="00445BF9">
        <w:rPr>
          <w:rFonts w:ascii="Times New Roman" w:eastAsia="Arial Unicode MS" w:hAnsi="Times New Roman"/>
          <w:sz w:val="24"/>
          <w:szCs w:val="24"/>
        </w:rPr>
        <w:t>In many sectors</w:t>
      </w:r>
      <w:r w:rsidR="00F614AE" w:rsidRPr="00445BF9">
        <w:rPr>
          <w:rFonts w:ascii="Times New Roman" w:eastAsia="Arial Unicode MS" w:hAnsi="Times New Roman"/>
          <w:sz w:val="24"/>
          <w:szCs w:val="24"/>
        </w:rPr>
        <w:t xml:space="preserve"> </w:t>
      </w:r>
      <w:r w:rsidR="00352FE9" w:rsidRPr="00445BF9">
        <w:rPr>
          <w:rFonts w:ascii="Times New Roman" w:eastAsia="Arial Unicode MS" w:hAnsi="Times New Roman"/>
          <w:sz w:val="24"/>
          <w:szCs w:val="24"/>
        </w:rPr>
        <w:t>there is a problem of multiple implementing partners and projects with limited progress on joint programming, reviews, and technical support, and use of Government systems wherever possible.</w:t>
      </w:r>
    </w:p>
    <w:p w14:paraId="59C8DD99" w14:textId="19696337" w:rsidR="00F309BF" w:rsidRPr="00445BF9" w:rsidRDefault="005C38DB" w:rsidP="00445BF9">
      <w:pPr>
        <w:pStyle w:val="DeltaBodytext"/>
        <w:numPr>
          <w:ilvl w:val="0"/>
          <w:numId w:val="14"/>
        </w:numPr>
        <w:spacing w:after="120" w:line="360" w:lineRule="auto"/>
        <w:ind w:left="567" w:hanging="567"/>
        <w:rPr>
          <w:rFonts w:ascii="Times New Roman" w:hAnsi="Times New Roman"/>
          <w:b/>
          <w:sz w:val="24"/>
          <w:szCs w:val="24"/>
        </w:rPr>
      </w:pPr>
      <w:r w:rsidRPr="00445BF9">
        <w:rPr>
          <w:rFonts w:ascii="Times New Roman" w:hAnsi="Times New Roman"/>
          <w:b/>
          <w:sz w:val="24"/>
          <w:szCs w:val="24"/>
        </w:rPr>
        <w:t>The coordination among DPs is not strong.</w:t>
      </w:r>
      <w:r w:rsidR="00344A61" w:rsidRPr="00445BF9">
        <w:rPr>
          <w:rFonts w:ascii="Times New Roman" w:hAnsi="Times New Roman"/>
          <w:b/>
          <w:sz w:val="24"/>
          <w:szCs w:val="24"/>
        </w:rPr>
        <w:t xml:space="preserve"> </w:t>
      </w:r>
      <w:r w:rsidR="00344A61" w:rsidRPr="00445BF9">
        <w:rPr>
          <w:rFonts w:ascii="Times New Roman" w:eastAsia="Arial Unicode MS" w:hAnsi="Times New Roman"/>
          <w:b/>
          <w:sz w:val="24"/>
          <w:szCs w:val="24"/>
        </w:rPr>
        <w:t>A</w:t>
      </w:r>
      <w:r w:rsidR="00D15B47" w:rsidRPr="00445BF9">
        <w:rPr>
          <w:rFonts w:ascii="Times New Roman" w:eastAsia="Arial Unicode MS" w:hAnsi="Times New Roman"/>
          <w:b/>
          <w:sz w:val="24"/>
          <w:szCs w:val="24"/>
        </w:rPr>
        <w:t>nd</w:t>
      </w:r>
      <w:r w:rsidR="00046EF9" w:rsidRPr="00445BF9">
        <w:rPr>
          <w:rFonts w:ascii="Times New Roman" w:eastAsia="Arial Unicode MS" w:hAnsi="Times New Roman"/>
          <w:b/>
          <w:sz w:val="24"/>
          <w:szCs w:val="24"/>
        </w:rPr>
        <w:t xml:space="preserve"> </w:t>
      </w:r>
      <w:r w:rsidR="003032EF" w:rsidRPr="00445BF9">
        <w:rPr>
          <w:rFonts w:ascii="Times New Roman" w:eastAsia="Arial Unicode MS" w:hAnsi="Times New Roman"/>
          <w:b/>
          <w:sz w:val="24"/>
          <w:szCs w:val="24"/>
        </w:rPr>
        <w:t xml:space="preserve">the GoU leadership </w:t>
      </w:r>
      <w:r w:rsidR="00046EF9" w:rsidRPr="00445BF9">
        <w:rPr>
          <w:rFonts w:ascii="Times New Roman" w:eastAsia="Arial Unicode MS" w:hAnsi="Times New Roman"/>
          <w:b/>
          <w:sz w:val="24"/>
          <w:szCs w:val="24"/>
        </w:rPr>
        <w:t xml:space="preserve">is </w:t>
      </w:r>
      <w:r w:rsidR="003032EF" w:rsidRPr="00445BF9">
        <w:rPr>
          <w:rFonts w:ascii="Times New Roman" w:eastAsia="Arial Unicode MS" w:hAnsi="Times New Roman"/>
          <w:b/>
          <w:sz w:val="24"/>
          <w:szCs w:val="24"/>
        </w:rPr>
        <w:t>not</w:t>
      </w:r>
      <w:r w:rsidR="00046EF9" w:rsidRPr="00445BF9">
        <w:rPr>
          <w:rFonts w:ascii="Times New Roman" w:eastAsia="Arial Unicode MS" w:hAnsi="Times New Roman"/>
          <w:b/>
          <w:sz w:val="24"/>
          <w:szCs w:val="24"/>
        </w:rPr>
        <w:t xml:space="preserve"> </w:t>
      </w:r>
      <w:r w:rsidR="00E02600" w:rsidRPr="00445BF9">
        <w:rPr>
          <w:rFonts w:ascii="Times New Roman" w:eastAsia="Arial Unicode MS" w:hAnsi="Times New Roman"/>
          <w:b/>
          <w:sz w:val="24"/>
          <w:szCs w:val="24"/>
        </w:rPr>
        <w:t xml:space="preserve">strong </w:t>
      </w:r>
      <w:r w:rsidR="007A1CFD" w:rsidRPr="00445BF9">
        <w:rPr>
          <w:rFonts w:ascii="Times New Roman" w:eastAsia="Arial Unicode MS" w:hAnsi="Times New Roman"/>
          <w:b/>
          <w:sz w:val="24"/>
          <w:szCs w:val="24"/>
        </w:rPr>
        <w:t>enough</w:t>
      </w:r>
      <w:r w:rsidR="00344A61" w:rsidRPr="00445BF9">
        <w:rPr>
          <w:rFonts w:ascii="Times New Roman" w:eastAsia="Arial Unicode MS" w:hAnsi="Times New Roman"/>
          <w:b/>
          <w:sz w:val="24"/>
          <w:szCs w:val="24"/>
        </w:rPr>
        <w:t xml:space="preserve"> either</w:t>
      </w:r>
      <w:r w:rsidR="00E02600" w:rsidRPr="00445BF9">
        <w:rPr>
          <w:rFonts w:ascii="Times New Roman" w:eastAsia="Arial Unicode MS" w:hAnsi="Times New Roman"/>
          <w:b/>
          <w:sz w:val="24"/>
          <w:szCs w:val="24"/>
        </w:rPr>
        <w:t xml:space="preserve">. </w:t>
      </w:r>
      <w:r w:rsidR="00516107" w:rsidRPr="00445BF9">
        <w:rPr>
          <w:rFonts w:ascii="Times New Roman" w:eastAsia="Arial Unicode MS" w:hAnsi="Times New Roman"/>
          <w:b/>
          <w:sz w:val="24"/>
          <w:szCs w:val="24"/>
        </w:rPr>
        <w:t xml:space="preserve">DP division of labour </w:t>
      </w:r>
      <w:r w:rsidR="00D4046F" w:rsidRPr="00445BF9">
        <w:rPr>
          <w:rFonts w:ascii="Times New Roman" w:eastAsia="Arial Unicode MS" w:hAnsi="Times New Roman"/>
          <w:b/>
          <w:sz w:val="24"/>
          <w:szCs w:val="24"/>
        </w:rPr>
        <w:t xml:space="preserve">is </w:t>
      </w:r>
      <w:r w:rsidR="00262C8F" w:rsidRPr="00445BF9">
        <w:rPr>
          <w:rFonts w:ascii="Times New Roman" w:eastAsia="Arial Unicode MS" w:hAnsi="Times New Roman"/>
          <w:b/>
          <w:sz w:val="24"/>
          <w:szCs w:val="24"/>
        </w:rPr>
        <w:t>absent</w:t>
      </w:r>
      <w:r w:rsidR="00516107" w:rsidRPr="00445BF9">
        <w:rPr>
          <w:rFonts w:ascii="Times New Roman" w:eastAsia="Arial Unicode MS" w:hAnsi="Times New Roman"/>
          <w:b/>
          <w:sz w:val="24"/>
          <w:szCs w:val="24"/>
        </w:rPr>
        <w:t>.</w:t>
      </w:r>
      <w:r w:rsidR="006F04E4" w:rsidRPr="00445BF9">
        <w:rPr>
          <w:rFonts w:ascii="Times New Roman" w:eastAsia="Arial Unicode MS" w:hAnsi="Times New Roman"/>
          <w:b/>
          <w:sz w:val="24"/>
          <w:szCs w:val="24"/>
        </w:rPr>
        <w:t xml:space="preserve"> </w:t>
      </w:r>
      <w:r w:rsidR="00020789" w:rsidRPr="00445BF9">
        <w:rPr>
          <w:rFonts w:ascii="Times New Roman" w:eastAsia="Arial Unicode MS" w:hAnsi="Times New Roman"/>
          <w:b/>
          <w:sz w:val="24"/>
          <w:szCs w:val="24"/>
        </w:rPr>
        <w:t>There is a c</w:t>
      </w:r>
      <w:r w:rsidR="006F04E4" w:rsidRPr="00445BF9">
        <w:rPr>
          <w:rFonts w:ascii="Times New Roman" w:eastAsia="Arial Unicode MS" w:hAnsi="Times New Roman"/>
          <w:b/>
          <w:sz w:val="24"/>
          <w:szCs w:val="24"/>
        </w:rPr>
        <w:t>onfusion</w:t>
      </w:r>
      <w:r w:rsidR="00E01020" w:rsidRPr="00445BF9">
        <w:rPr>
          <w:rFonts w:ascii="Times New Roman" w:eastAsia="Arial Unicode MS" w:hAnsi="Times New Roman"/>
          <w:b/>
          <w:sz w:val="24"/>
          <w:szCs w:val="24"/>
        </w:rPr>
        <w:t xml:space="preserve"> of roles</w:t>
      </w:r>
      <w:r w:rsidR="006F04E4" w:rsidRPr="00445BF9">
        <w:rPr>
          <w:rFonts w:ascii="Times New Roman" w:eastAsia="Arial Unicode MS" w:hAnsi="Times New Roman"/>
          <w:b/>
          <w:sz w:val="24"/>
          <w:szCs w:val="24"/>
        </w:rPr>
        <w:t xml:space="preserve"> between OPM and MOFPED</w:t>
      </w:r>
      <w:r w:rsidR="0088558B" w:rsidRPr="00445BF9">
        <w:rPr>
          <w:rFonts w:ascii="Times New Roman" w:eastAsia="Arial Unicode MS" w:hAnsi="Times New Roman"/>
          <w:b/>
          <w:sz w:val="24"/>
          <w:szCs w:val="24"/>
        </w:rPr>
        <w:t>.</w:t>
      </w:r>
      <w:r w:rsidR="00DE3516" w:rsidRPr="00445BF9">
        <w:rPr>
          <w:rFonts w:ascii="Times New Roman" w:eastAsia="Arial Unicode MS" w:hAnsi="Times New Roman"/>
          <w:sz w:val="24"/>
          <w:szCs w:val="24"/>
        </w:rPr>
        <w:t xml:space="preserve"> MoFPED, OPM and NPA currently provide separate guidance to sectors</w:t>
      </w:r>
      <w:r w:rsidR="000F45FE" w:rsidRPr="00445BF9">
        <w:rPr>
          <w:rStyle w:val="FootnoteReference"/>
          <w:rFonts w:ascii="Times New Roman" w:eastAsia="Arial Unicode MS" w:hAnsi="Times New Roman"/>
          <w:sz w:val="24"/>
          <w:szCs w:val="24"/>
        </w:rPr>
        <w:footnoteReference w:id="7"/>
      </w:r>
      <w:r w:rsidR="00DE3516" w:rsidRPr="00445BF9">
        <w:rPr>
          <w:rFonts w:ascii="Times New Roman" w:eastAsia="Arial Unicode MS" w:hAnsi="Times New Roman"/>
          <w:sz w:val="24"/>
          <w:szCs w:val="24"/>
        </w:rPr>
        <w:t xml:space="preserve">. There is </w:t>
      </w:r>
      <w:r w:rsidR="00DE3516" w:rsidRPr="00445BF9">
        <w:rPr>
          <w:rFonts w:ascii="Times New Roman" w:eastAsia="Arial Unicode MS" w:hAnsi="Times New Roman"/>
          <w:sz w:val="24"/>
          <w:szCs w:val="24"/>
        </w:rPr>
        <w:lastRenderedPageBreak/>
        <w:t>need for clear guidelines on the SWG’s role in approving budgets and projects.</w:t>
      </w:r>
      <w:r w:rsidR="005B2B46" w:rsidRPr="00445BF9">
        <w:rPr>
          <w:rFonts w:ascii="Times New Roman" w:eastAsia="Arial Unicode MS" w:hAnsi="Times New Roman"/>
          <w:sz w:val="24"/>
          <w:szCs w:val="24"/>
        </w:rPr>
        <w:t xml:space="preserve"> </w:t>
      </w:r>
      <w:r w:rsidR="00C628FB" w:rsidRPr="00445BF9">
        <w:rPr>
          <w:rFonts w:ascii="Times New Roman" w:eastAsia="Arial Unicode MS" w:hAnsi="Times New Roman"/>
          <w:sz w:val="24"/>
          <w:szCs w:val="24"/>
        </w:rPr>
        <w:t xml:space="preserve">The 2016 GPEDC </w:t>
      </w:r>
      <w:r w:rsidR="00F974D0" w:rsidRPr="00445BF9">
        <w:rPr>
          <w:rFonts w:ascii="Times New Roman" w:eastAsia="Arial Unicode MS" w:hAnsi="Times New Roman"/>
          <w:sz w:val="24"/>
          <w:szCs w:val="24"/>
        </w:rPr>
        <w:t>(</w:t>
      </w:r>
      <w:r w:rsidR="00F974D0" w:rsidRPr="00445BF9">
        <w:rPr>
          <w:rFonts w:ascii="Times New Roman" w:hAnsi="Times New Roman"/>
          <w:sz w:val="24"/>
          <w:szCs w:val="24"/>
        </w:rPr>
        <w:t xml:space="preserve">Global Partnership for Effective Development Co-operation) </w:t>
      </w:r>
      <w:r w:rsidR="00C628FB" w:rsidRPr="00445BF9">
        <w:rPr>
          <w:rFonts w:ascii="Times New Roman" w:eastAsia="Arial Unicode MS" w:hAnsi="Times New Roman"/>
          <w:sz w:val="24"/>
          <w:szCs w:val="24"/>
        </w:rPr>
        <w:t xml:space="preserve">monitoring noted that the current legal and regularly framework provides for regular consultative processes with development partners, civil society and private sector stakeholders throughout the policy cycle. </w:t>
      </w:r>
      <w:r w:rsidR="00AB267D" w:rsidRPr="00445BF9">
        <w:rPr>
          <w:rFonts w:ascii="Times New Roman" w:eastAsia="Arial Unicode MS" w:hAnsi="Times New Roman"/>
          <w:sz w:val="24"/>
          <w:szCs w:val="24"/>
        </w:rPr>
        <w:t xml:space="preserve">Since the </w:t>
      </w:r>
      <w:r w:rsidR="000019EA" w:rsidRPr="00445BF9">
        <w:rPr>
          <w:rFonts w:ascii="Times New Roman" w:eastAsia="Arial Unicode MS" w:hAnsi="Times New Roman"/>
          <w:sz w:val="24"/>
          <w:szCs w:val="24"/>
        </w:rPr>
        <w:t xml:space="preserve">2012 Budget Support </w:t>
      </w:r>
      <w:r w:rsidR="00AB267D" w:rsidRPr="00445BF9">
        <w:rPr>
          <w:rFonts w:ascii="Times New Roman" w:eastAsia="Arial Unicode MS" w:hAnsi="Times New Roman"/>
          <w:sz w:val="24"/>
          <w:szCs w:val="24"/>
        </w:rPr>
        <w:t>exit</w:t>
      </w:r>
      <w:r w:rsidR="00763D53" w:rsidRPr="00445BF9">
        <w:rPr>
          <w:rFonts w:ascii="Times New Roman" w:eastAsia="Arial Unicode MS" w:hAnsi="Times New Roman"/>
          <w:sz w:val="24"/>
          <w:szCs w:val="24"/>
        </w:rPr>
        <w:t xml:space="preserve"> after corruption scandal in the Office of the Prime Minister</w:t>
      </w:r>
      <w:r w:rsidR="00AB267D" w:rsidRPr="00445BF9">
        <w:rPr>
          <w:rFonts w:ascii="Times New Roman" w:eastAsia="Arial Unicode MS" w:hAnsi="Times New Roman"/>
          <w:sz w:val="24"/>
          <w:szCs w:val="24"/>
        </w:rPr>
        <w:t>, there is less government involvement in</w:t>
      </w:r>
      <w:r w:rsidR="00763D53" w:rsidRPr="00445BF9">
        <w:rPr>
          <w:rFonts w:ascii="Times New Roman" w:eastAsia="Arial Unicode MS" w:hAnsi="Times New Roman"/>
          <w:sz w:val="24"/>
          <w:szCs w:val="24"/>
        </w:rPr>
        <w:t xml:space="preserve"> </w:t>
      </w:r>
      <w:r w:rsidR="00AB267D" w:rsidRPr="00445BF9">
        <w:rPr>
          <w:rFonts w:ascii="Times New Roman" w:eastAsia="Arial Unicode MS" w:hAnsi="Times New Roman"/>
          <w:sz w:val="24"/>
          <w:szCs w:val="24"/>
        </w:rPr>
        <w:t>donors’ programmes and less donor involvement in</w:t>
      </w:r>
      <w:r w:rsidR="00763D53" w:rsidRPr="00445BF9">
        <w:rPr>
          <w:rFonts w:ascii="Times New Roman" w:eastAsia="Arial Unicode MS" w:hAnsi="Times New Roman"/>
          <w:sz w:val="24"/>
          <w:szCs w:val="24"/>
        </w:rPr>
        <w:t xml:space="preserve"> </w:t>
      </w:r>
      <w:r w:rsidR="00AB267D" w:rsidRPr="00445BF9">
        <w:rPr>
          <w:rFonts w:ascii="Times New Roman" w:eastAsia="Arial Unicode MS" w:hAnsi="Times New Roman"/>
          <w:sz w:val="24"/>
          <w:szCs w:val="24"/>
        </w:rPr>
        <w:t>government decisions due to a collapse in dialogue</w:t>
      </w:r>
      <w:r w:rsidR="00763D53" w:rsidRPr="00445BF9">
        <w:rPr>
          <w:rFonts w:ascii="Times New Roman" w:eastAsia="Arial Unicode MS" w:hAnsi="Times New Roman"/>
          <w:sz w:val="24"/>
          <w:szCs w:val="24"/>
        </w:rPr>
        <w:t xml:space="preserve"> </w:t>
      </w:r>
      <w:r w:rsidR="00AB267D" w:rsidRPr="00445BF9">
        <w:rPr>
          <w:rFonts w:ascii="Times New Roman" w:eastAsia="Arial Unicode MS" w:hAnsi="Times New Roman"/>
          <w:sz w:val="24"/>
          <w:szCs w:val="24"/>
        </w:rPr>
        <w:t>structures, especially the high-level political dialogue</w:t>
      </w:r>
      <w:r w:rsidR="000E495E" w:rsidRPr="00445BF9">
        <w:rPr>
          <w:rStyle w:val="FootnoteReference"/>
          <w:rFonts w:ascii="Times New Roman" w:eastAsia="Arial Unicode MS" w:hAnsi="Times New Roman"/>
          <w:sz w:val="24"/>
          <w:szCs w:val="24"/>
        </w:rPr>
        <w:footnoteReference w:id="8"/>
      </w:r>
      <w:r w:rsidR="00AB267D" w:rsidRPr="00445BF9">
        <w:rPr>
          <w:rFonts w:ascii="Times New Roman" w:eastAsia="Arial Unicode MS" w:hAnsi="Times New Roman"/>
          <w:sz w:val="24"/>
          <w:szCs w:val="24"/>
        </w:rPr>
        <w:t>.</w:t>
      </w:r>
      <w:r w:rsidR="00763D53" w:rsidRPr="00445BF9">
        <w:rPr>
          <w:rFonts w:ascii="Times New Roman" w:eastAsia="Arial Unicode MS" w:hAnsi="Times New Roman"/>
          <w:sz w:val="24"/>
          <w:szCs w:val="24"/>
        </w:rPr>
        <w:t xml:space="preserve"> </w:t>
      </w:r>
    </w:p>
    <w:p w14:paraId="331ED7BB" w14:textId="6B46C525" w:rsidR="00E15CC2" w:rsidRPr="00445BF9" w:rsidRDefault="00E15CC2" w:rsidP="00445BF9">
      <w:pPr>
        <w:pStyle w:val="Heading2"/>
        <w:spacing w:after="120"/>
      </w:pPr>
      <w:bookmarkStart w:id="91" w:name="_Toc361577050"/>
      <w:bookmarkStart w:id="92" w:name="_Toc534926855"/>
      <w:bookmarkStart w:id="93" w:name="_Toc3505176"/>
      <w:r w:rsidRPr="00445BF9">
        <w:t>Development Partner Alignment</w:t>
      </w:r>
      <w:bookmarkEnd w:id="91"/>
      <w:bookmarkEnd w:id="92"/>
      <w:bookmarkEnd w:id="93"/>
    </w:p>
    <w:p w14:paraId="199B7B33" w14:textId="7D26D0AA" w:rsidR="00E15CC2" w:rsidRPr="00445BF9"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This section examines DP alignment with the NDP-</w:t>
      </w:r>
      <w:r w:rsidR="0024359C" w:rsidRPr="00445BF9">
        <w:rPr>
          <w:rFonts w:ascii="Times New Roman" w:eastAsia="Arial Unicode MS" w:hAnsi="Times New Roman"/>
          <w:sz w:val="24"/>
          <w:szCs w:val="24"/>
        </w:rPr>
        <w:t>I</w:t>
      </w:r>
      <w:r w:rsidRPr="00445BF9">
        <w:rPr>
          <w:rFonts w:ascii="Times New Roman" w:eastAsia="Arial Unicode MS" w:hAnsi="Times New Roman"/>
          <w:sz w:val="24"/>
          <w:szCs w:val="24"/>
        </w:rPr>
        <w:t>I, the extent to which donor strategies are aligned to the NDP-</w:t>
      </w:r>
      <w:r w:rsidR="0024359C" w:rsidRPr="00445BF9">
        <w:rPr>
          <w:rFonts w:ascii="Times New Roman" w:eastAsia="Arial Unicode MS" w:hAnsi="Times New Roman"/>
          <w:sz w:val="24"/>
          <w:szCs w:val="24"/>
        </w:rPr>
        <w:t>I</w:t>
      </w:r>
      <w:r w:rsidRPr="00445BF9">
        <w:rPr>
          <w:rFonts w:ascii="Times New Roman" w:eastAsia="Arial Unicode MS" w:hAnsi="Times New Roman"/>
          <w:sz w:val="24"/>
          <w:szCs w:val="24"/>
        </w:rPr>
        <w:t>I and the extent to which their priorities have changed as a response.  It also covers the mechanisms that the government has used to ensure that development partners’ support is aligned with NDP-I</w:t>
      </w:r>
      <w:r w:rsidR="0024359C" w:rsidRPr="00445BF9">
        <w:rPr>
          <w:rFonts w:ascii="Times New Roman" w:eastAsia="Arial Unicode MS" w:hAnsi="Times New Roman"/>
          <w:sz w:val="24"/>
          <w:szCs w:val="24"/>
        </w:rPr>
        <w:t>I</w:t>
      </w:r>
      <w:r w:rsidRPr="00445BF9">
        <w:rPr>
          <w:rFonts w:ascii="Times New Roman" w:eastAsia="Arial Unicode MS" w:hAnsi="Times New Roman"/>
          <w:sz w:val="24"/>
          <w:szCs w:val="24"/>
        </w:rPr>
        <w:t xml:space="preserve"> priorities. Finally, it considers how far donor programmes have measurably contributed to the achievement of NDP progress.</w:t>
      </w:r>
    </w:p>
    <w:p w14:paraId="72B0B8BC" w14:textId="46F36776" w:rsidR="00E15CC2" w:rsidRPr="00445BF9"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The Section answers the following </w:t>
      </w:r>
      <w:r w:rsidR="00590CFF" w:rsidRPr="00445BF9">
        <w:rPr>
          <w:rFonts w:ascii="Times New Roman" w:eastAsia="Arial Unicode MS" w:hAnsi="Times New Roman"/>
          <w:sz w:val="24"/>
          <w:szCs w:val="24"/>
        </w:rPr>
        <w:t>questions:</w:t>
      </w:r>
    </w:p>
    <w:p w14:paraId="599CF31E" w14:textId="77777777" w:rsidR="00FD30F3" w:rsidRPr="00445BF9" w:rsidRDefault="00FD30F3" w:rsidP="00445BF9">
      <w:pPr>
        <w:pStyle w:val="PlainText"/>
        <w:numPr>
          <w:ilvl w:val="0"/>
          <w:numId w:val="32"/>
        </w:numPr>
        <w:spacing w:after="120" w:line="360" w:lineRule="auto"/>
        <w:ind w:left="1276" w:hanging="709"/>
        <w:jc w:val="both"/>
        <w:rPr>
          <w:rFonts w:ascii="Times New Roman" w:hAnsi="Times New Roman"/>
          <w:sz w:val="24"/>
          <w:szCs w:val="24"/>
        </w:rPr>
      </w:pPr>
      <w:r w:rsidRPr="00445BF9">
        <w:rPr>
          <w:rFonts w:ascii="Times New Roman" w:hAnsi="Times New Roman"/>
          <w:b/>
          <w:sz w:val="24"/>
          <w:szCs w:val="24"/>
        </w:rPr>
        <w:t>DP1:</w:t>
      </w:r>
      <w:r w:rsidRPr="00445BF9">
        <w:rPr>
          <w:rFonts w:ascii="Times New Roman" w:hAnsi="Times New Roman"/>
          <w:sz w:val="24"/>
          <w:szCs w:val="24"/>
        </w:rPr>
        <w:t xml:space="preserve"> The extent to which donor support has been aligned to the NDP-II financing so far?</w:t>
      </w:r>
    </w:p>
    <w:p w14:paraId="752798FE" w14:textId="77777777" w:rsidR="00FD30F3" w:rsidRPr="00445BF9" w:rsidRDefault="00FD30F3" w:rsidP="00445BF9">
      <w:pPr>
        <w:pStyle w:val="PlainText"/>
        <w:numPr>
          <w:ilvl w:val="0"/>
          <w:numId w:val="32"/>
        </w:numPr>
        <w:spacing w:after="120" w:line="360" w:lineRule="auto"/>
        <w:ind w:left="1276" w:hanging="709"/>
        <w:jc w:val="both"/>
        <w:rPr>
          <w:rFonts w:ascii="Times New Roman" w:eastAsiaTheme="minorHAnsi" w:hAnsi="Times New Roman"/>
          <w:sz w:val="24"/>
          <w:szCs w:val="24"/>
        </w:rPr>
      </w:pPr>
      <w:r w:rsidRPr="00445BF9">
        <w:rPr>
          <w:rFonts w:ascii="Times New Roman" w:hAnsi="Times New Roman"/>
          <w:b/>
          <w:sz w:val="24"/>
          <w:szCs w:val="24"/>
        </w:rPr>
        <w:t>DP3:</w:t>
      </w:r>
      <w:r w:rsidRPr="00445BF9">
        <w:rPr>
          <w:rFonts w:ascii="Times New Roman" w:hAnsi="Times New Roman"/>
          <w:sz w:val="24"/>
          <w:szCs w:val="24"/>
        </w:rPr>
        <w:t xml:space="preserve"> To what extent has donor support to NDP II priorities contributed to the countries ownership of the results and achievement of the planned targets?</w:t>
      </w:r>
    </w:p>
    <w:p w14:paraId="0B2532FA" w14:textId="77777777" w:rsidR="00FD30F3" w:rsidRPr="00445BF9" w:rsidRDefault="00FD30F3" w:rsidP="00445BF9">
      <w:pPr>
        <w:pStyle w:val="PlainText"/>
        <w:numPr>
          <w:ilvl w:val="0"/>
          <w:numId w:val="32"/>
        </w:numPr>
        <w:spacing w:after="120" w:line="360" w:lineRule="auto"/>
        <w:ind w:left="1276" w:hanging="709"/>
        <w:jc w:val="both"/>
        <w:rPr>
          <w:rFonts w:ascii="Times New Roman" w:hAnsi="Times New Roman"/>
          <w:sz w:val="24"/>
          <w:szCs w:val="24"/>
        </w:rPr>
      </w:pPr>
      <w:r w:rsidRPr="00445BF9">
        <w:rPr>
          <w:rFonts w:ascii="Times New Roman" w:hAnsi="Times New Roman"/>
          <w:b/>
          <w:sz w:val="24"/>
          <w:szCs w:val="24"/>
        </w:rPr>
        <w:t>DP7:</w:t>
      </w:r>
      <w:r w:rsidRPr="00445BF9">
        <w:rPr>
          <w:rFonts w:ascii="Times New Roman" w:hAnsi="Times New Roman"/>
          <w:sz w:val="24"/>
          <w:szCs w:val="24"/>
        </w:rPr>
        <w:t xml:space="preserve"> To what extent have donor priorities changed significantly in the course of NDP II implementation so far and how well are DP strategies aligned to the Plan?</w:t>
      </w:r>
    </w:p>
    <w:p w14:paraId="2D21471C" w14:textId="77777777" w:rsidR="00FD30F3" w:rsidRPr="00445BF9" w:rsidRDefault="00FD30F3" w:rsidP="00445BF9">
      <w:pPr>
        <w:pStyle w:val="PlainText"/>
        <w:numPr>
          <w:ilvl w:val="0"/>
          <w:numId w:val="32"/>
        </w:numPr>
        <w:spacing w:after="120" w:line="360" w:lineRule="auto"/>
        <w:ind w:left="1276" w:hanging="709"/>
        <w:jc w:val="both"/>
        <w:rPr>
          <w:rFonts w:ascii="Times New Roman" w:hAnsi="Times New Roman"/>
          <w:sz w:val="24"/>
          <w:szCs w:val="24"/>
        </w:rPr>
      </w:pPr>
      <w:r w:rsidRPr="00445BF9">
        <w:rPr>
          <w:rFonts w:ascii="Times New Roman" w:hAnsi="Times New Roman"/>
          <w:b/>
          <w:sz w:val="24"/>
          <w:szCs w:val="24"/>
        </w:rPr>
        <w:t>DP8:</w:t>
      </w:r>
      <w:r w:rsidRPr="00445BF9">
        <w:rPr>
          <w:rFonts w:ascii="Times New Roman" w:hAnsi="Times New Roman"/>
          <w:sz w:val="24"/>
          <w:szCs w:val="24"/>
        </w:rPr>
        <w:t xml:space="preserve"> What mechanisms does GoU use to ensure that DP support is aligned with NDP II priorities?</w:t>
      </w:r>
    </w:p>
    <w:p w14:paraId="70B1D00A" w14:textId="77777777" w:rsidR="00FD30F3" w:rsidRPr="00445BF9" w:rsidRDefault="00FD30F3" w:rsidP="00445BF9">
      <w:pPr>
        <w:pStyle w:val="PlainText"/>
        <w:numPr>
          <w:ilvl w:val="0"/>
          <w:numId w:val="32"/>
        </w:numPr>
        <w:spacing w:after="120" w:line="360" w:lineRule="auto"/>
        <w:ind w:left="1276" w:hanging="709"/>
        <w:jc w:val="both"/>
        <w:rPr>
          <w:rFonts w:ascii="Times New Roman" w:hAnsi="Times New Roman"/>
          <w:sz w:val="24"/>
          <w:szCs w:val="24"/>
        </w:rPr>
      </w:pPr>
      <w:r w:rsidRPr="00445BF9">
        <w:rPr>
          <w:rFonts w:ascii="Times New Roman" w:hAnsi="Times New Roman"/>
          <w:b/>
          <w:sz w:val="24"/>
          <w:szCs w:val="24"/>
        </w:rPr>
        <w:t>DP9:</w:t>
      </w:r>
      <w:r w:rsidRPr="00445BF9">
        <w:rPr>
          <w:rFonts w:ascii="Times New Roman" w:hAnsi="Times New Roman"/>
          <w:sz w:val="24"/>
          <w:szCs w:val="24"/>
        </w:rPr>
        <w:t xml:space="preserve"> How have donor programmes tangibly / measurably contributed to achievement of NDP II progress?</w:t>
      </w:r>
    </w:p>
    <w:p w14:paraId="06184801" w14:textId="59399CAE" w:rsidR="00B44C38" w:rsidRPr="00445BF9" w:rsidRDefault="00FD30F3" w:rsidP="00445BF9">
      <w:pPr>
        <w:pStyle w:val="PlainText"/>
        <w:numPr>
          <w:ilvl w:val="0"/>
          <w:numId w:val="32"/>
        </w:numPr>
        <w:spacing w:after="120" w:line="360" w:lineRule="auto"/>
        <w:ind w:left="1276" w:hanging="709"/>
        <w:jc w:val="both"/>
        <w:rPr>
          <w:rFonts w:ascii="Times New Roman" w:hAnsi="Times New Roman"/>
          <w:sz w:val="24"/>
          <w:szCs w:val="24"/>
        </w:rPr>
      </w:pPr>
      <w:r w:rsidRPr="00445BF9">
        <w:rPr>
          <w:rFonts w:ascii="Times New Roman" w:hAnsi="Times New Roman"/>
          <w:b/>
          <w:sz w:val="24"/>
          <w:szCs w:val="24"/>
        </w:rPr>
        <w:t>DP15:</w:t>
      </w:r>
      <w:r w:rsidRPr="00445BF9">
        <w:rPr>
          <w:rFonts w:ascii="Times New Roman" w:hAnsi="Times New Roman"/>
          <w:sz w:val="24"/>
          <w:szCs w:val="24"/>
        </w:rPr>
        <w:t xml:space="preserve"> What has been the role of DP in development of local governments?</w:t>
      </w:r>
    </w:p>
    <w:p w14:paraId="2F2410E3" w14:textId="299D1ECC" w:rsidR="00B44C38" w:rsidRPr="00445BF9" w:rsidRDefault="00B44C38"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94" w:name="_Toc534926856"/>
      <w:bookmarkStart w:id="95" w:name="_Toc361577051"/>
      <w:r w:rsidRPr="00445BF9">
        <w:rPr>
          <w:rFonts w:ascii="Times New Roman" w:eastAsia="Arial Unicode MS" w:hAnsi="Times New Roman"/>
          <w:bCs w:val="0"/>
          <w:sz w:val="24"/>
          <w:szCs w:val="24"/>
          <w:lang w:val="en-GB"/>
        </w:rPr>
        <w:t xml:space="preserve">Mechanisms </w:t>
      </w:r>
      <w:r w:rsidR="000938F3" w:rsidRPr="00445BF9">
        <w:rPr>
          <w:rFonts w:ascii="Times New Roman" w:eastAsia="Arial Unicode MS" w:hAnsi="Times New Roman"/>
          <w:bCs w:val="0"/>
          <w:sz w:val="24"/>
          <w:szCs w:val="24"/>
          <w:lang w:val="en-GB"/>
        </w:rPr>
        <w:t xml:space="preserve">to Secure Development Partner Alignment with </w:t>
      </w:r>
      <w:r w:rsidR="00B721EB" w:rsidRPr="00445BF9">
        <w:rPr>
          <w:rFonts w:ascii="Times New Roman" w:eastAsia="Arial Unicode MS" w:hAnsi="Times New Roman"/>
          <w:bCs w:val="0"/>
          <w:sz w:val="24"/>
          <w:szCs w:val="24"/>
          <w:lang w:val="en-GB"/>
        </w:rPr>
        <w:t>the</w:t>
      </w:r>
      <w:r w:rsidR="000938F3" w:rsidRPr="00445BF9">
        <w:rPr>
          <w:rFonts w:ascii="Times New Roman" w:eastAsia="Arial Unicode MS" w:hAnsi="Times New Roman"/>
          <w:bCs w:val="0"/>
          <w:sz w:val="24"/>
          <w:szCs w:val="24"/>
          <w:lang w:val="en-GB"/>
        </w:rPr>
        <w:t xml:space="preserve"> </w:t>
      </w:r>
      <w:r w:rsidRPr="00445BF9">
        <w:rPr>
          <w:rFonts w:ascii="Times New Roman" w:eastAsia="Arial Unicode MS" w:hAnsi="Times New Roman"/>
          <w:bCs w:val="0"/>
          <w:sz w:val="24"/>
          <w:szCs w:val="24"/>
          <w:lang w:val="en-GB"/>
        </w:rPr>
        <w:t>NDP</w:t>
      </w:r>
      <w:bookmarkEnd w:id="94"/>
      <w:bookmarkEnd w:id="95"/>
    </w:p>
    <w:p w14:paraId="4D641502" w14:textId="7031F0EB" w:rsidR="003322F1" w:rsidRPr="00445BF9" w:rsidRDefault="00330D6F"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Times New Roman" w:hAnsi="Times New Roman"/>
          <w:b/>
          <w:sz w:val="24"/>
          <w:szCs w:val="24"/>
        </w:rPr>
        <w:t>The Government Annual Performance Review (GAPR) could be more systematic and potentially guide the NPF dialogue to make it more results-oriented and driven by national processes.</w:t>
      </w:r>
      <w:r w:rsidR="00BA51B7" w:rsidRPr="00445BF9">
        <w:rPr>
          <w:rFonts w:ascii="Times New Roman" w:eastAsia="Times New Roman" w:hAnsi="Times New Roman"/>
          <w:b/>
          <w:sz w:val="24"/>
          <w:szCs w:val="24"/>
        </w:rPr>
        <w:t xml:space="preserve"> </w:t>
      </w:r>
      <w:r w:rsidR="003322F1" w:rsidRPr="00445BF9">
        <w:rPr>
          <w:rFonts w:ascii="Times New Roman" w:hAnsi="Times New Roman"/>
          <w:sz w:val="24"/>
          <w:szCs w:val="24"/>
        </w:rPr>
        <w:t xml:space="preserve">Dialogue in SWGs, and through the stages of the budget process, provides </w:t>
      </w:r>
      <w:r w:rsidR="003322F1" w:rsidRPr="00445BF9">
        <w:rPr>
          <w:rFonts w:ascii="Times New Roman" w:hAnsi="Times New Roman"/>
          <w:sz w:val="24"/>
          <w:szCs w:val="24"/>
        </w:rPr>
        <w:lastRenderedPageBreak/>
        <w:t xml:space="preserve">an opportunity for development partners to engage in the design, implementation and monitoring of Sector Strategic Investment Plans and the preparation of annual and </w:t>
      </w:r>
      <w:r w:rsidR="00B50704" w:rsidRPr="00445BF9">
        <w:rPr>
          <w:rFonts w:ascii="Times New Roman" w:hAnsi="Times New Roman"/>
          <w:sz w:val="24"/>
          <w:szCs w:val="24"/>
        </w:rPr>
        <w:t>medium-term</w:t>
      </w:r>
      <w:r w:rsidR="003322F1" w:rsidRPr="00445BF9">
        <w:rPr>
          <w:rFonts w:ascii="Times New Roman" w:hAnsi="Times New Roman"/>
          <w:sz w:val="24"/>
          <w:szCs w:val="24"/>
        </w:rPr>
        <w:t xml:space="preserve"> budgets (including the Public Investment Plan). These processes typically include a major sector review towards the end of each calendar year as the annual budget preparation process gets underway, and a preparation of an annual sector performance report at the same time. The latter feeds in to the Government</w:t>
      </w:r>
      <w:r w:rsidR="00D7375C" w:rsidRPr="00445BF9">
        <w:rPr>
          <w:rFonts w:ascii="Times New Roman" w:hAnsi="Times New Roman"/>
          <w:sz w:val="24"/>
          <w:szCs w:val="24"/>
        </w:rPr>
        <w:t>’</w:t>
      </w:r>
      <w:r w:rsidR="003322F1" w:rsidRPr="00445BF9">
        <w:rPr>
          <w:rFonts w:ascii="Times New Roman" w:hAnsi="Times New Roman"/>
          <w:sz w:val="24"/>
          <w:szCs w:val="24"/>
        </w:rPr>
        <w:t>s Annual Performance Report (GAPR) process which is overseen by OPM.  Sector planning, budgeting and dialogue in turn gives government scope to influence the way in which donor resources (particularly on budget) support the implementation of the priorities set out in sector plans.</w:t>
      </w:r>
    </w:p>
    <w:p w14:paraId="1386C193" w14:textId="087D872B" w:rsidR="003322F1" w:rsidRPr="00445BF9" w:rsidRDefault="00A832EA"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Times New Roman" w:hAnsi="Times New Roman"/>
          <w:b/>
          <w:sz w:val="24"/>
          <w:szCs w:val="24"/>
        </w:rPr>
        <w:t>The quality of budget consultations (including on policy and prioritisation of projects) at national</w:t>
      </w:r>
      <w:r w:rsidR="00BD6B60" w:rsidRPr="00445BF9">
        <w:rPr>
          <w:rFonts w:ascii="Times New Roman" w:eastAsia="Times New Roman" w:hAnsi="Times New Roman"/>
          <w:b/>
          <w:sz w:val="24"/>
          <w:szCs w:val="24"/>
        </w:rPr>
        <w:t xml:space="preserve">, </w:t>
      </w:r>
      <w:r w:rsidRPr="00445BF9">
        <w:rPr>
          <w:rFonts w:ascii="Times New Roman" w:eastAsia="Times New Roman" w:hAnsi="Times New Roman"/>
          <w:b/>
          <w:sz w:val="24"/>
          <w:szCs w:val="24"/>
        </w:rPr>
        <w:t>sector</w:t>
      </w:r>
      <w:r w:rsidR="00BD6B60" w:rsidRPr="00445BF9">
        <w:rPr>
          <w:rFonts w:ascii="Times New Roman" w:eastAsia="Times New Roman" w:hAnsi="Times New Roman"/>
          <w:b/>
          <w:sz w:val="24"/>
          <w:szCs w:val="24"/>
        </w:rPr>
        <w:t xml:space="preserve"> and local</w:t>
      </w:r>
      <w:r w:rsidRPr="00445BF9">
        <w:rPr>
          <w:rFonts w:ascii="Times New Roman" w:eastAsia="Times New Roman" w:hAnsi="Times New Roman"/>
          <w:b/>
          <w:sz w:val="24"/>
          <w:szCs w:val="24"/>
        </w:rPr>
        <w:t xml:space="preserve"> level</w:t>
      </w:r>
      <w:r w:rsidR="00BD6B60" w:rsidRPr="00445BF9">
        <w:rPr>
          <w:rFonts w:ascii="Times New Roman" w:eastAsia="Times New Roman" w:hAnsi="Times New Roman"/>
          <w:b/>
          <w:sz w:val="24"/>
          <w:szCs w:val="24"/>
        </w:rPr>
        <w:t>s</w:t>
      </w:r>
      <w:r w:rsidRPr="00445BF9">
        <w:rPr>
          <w:rFonts w:ascii="Times New Roman" w:eastAsia="Times New Roman" w:hAnsi="Times New Roman"/>
          <w:b/>
          <w:sz w:val="24"/>
          <w:szCs w:val="24"/>
        </w:rPr>
        <w:t xml:space="preserve"> could improve – and would also be way of strengthening mutual accountability.</w:t>
      </w:r>
      <w:r w:rsidR="00763B26" w:rsidRPr="00445BF9">
        <w:rPr>
          <w:rFonts w:ascii="Times New Roman" w:eastAsia="Times New Roman" w:hAnsi="Times New Roman"/>
          <w:b/>
          <w:sz w:val="24"/>
          <w:szCs w:val="24"/>
        </w:rPr>
        <w:t xml:space="preserve"> </w:t>
      </w:r>
      <w:r w:rsidR="003322F1" w:rsidRPr="00445BF9">
        <w:rPr>
          <w:rFonts w:ascii="Times New Roman" w:hAnsi="Times New Roman"/>
          <w:sz w:val="24"/>
          <w:szCs w:val="24"/>
        </w:rPr>
        <w:t xml:space="preserve">Discussions with a small sample of development partners who lead or support donor engagement in different sectors, reveals concern about variation in the quality of discussion in </w:t>
      </w:r>
      <w:r w:rsidR="00BD6B60" w:rsidRPr="00445BF9">
        <w:rPr>
          <w:rFonts w:ascii="Times New Roman" w:hAnsi="Times New Roman"/>
          <w:sz w:val="24"/>
          <w:szCs w:val="24"/>
        </w:rPr>
        <w:t>SWGs</w:t>
      </w:r>
      <w:r w:rsidR="003322F1" w:rsidRPr="00445BF9">
        <w:rPr>
          <w:rFonts w:ascii="Times New Roman" w:hAnsi="Times New Roman"/>
          <w:sz w:val="24"/>
          <w:szCs w:val="24"/>
        </w:rPr>
        <w:t xml:space="preserve"> and a sense that technical discussions may have been more productive in recent years than higher level policy dialogue (including in annual reviews). </w:t>
      </w:r>
    </w:p>
    <w:p w14:paraId="33BCE1B2" w14:textId="3E400C77" w:rsidR="003322F1" w:rsidRPr="00445BF9" w:rsidRDefault="003322F1"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sz w:val="24"/>
          <w:szCs w:val="24"/>
        </w:rPr>
        <w:t xml:space="preserve">Furthermore, </w:t>
      </w:r>
      <w:r w:rsidR="00B617B5" w:rsidRPr="00445BF9">
        <w:rPr>
          <w:rFonts w:ascii="Times New Roman" w:hAnsi="Times New Roman"/>
          <w:sz w:val="24"/>
          <w:szCs w:val="24"/>
        </w:rPr>
        <w:t>DPs</w:t>
      </w:r>
      <w:r w:rsidRPr="00445BF9">
        <w:rPr>
          <w:rFonts w:ascii="Times New Roman" w:hAnsi="Times New Roman"/>
          <w:sz w:val="24"/>
          <w:szCs w:val="24"/>
        </w:rPr>
        <w:t xml:space="preserve"> as well as civil society and other stakeholders participate in national and regi</w:t>
      </w:r>
      <w:r w:rsidR="004675EF" w:rsidRPr="00445BF9">
        <w:rPr>
          <w:rFonts w:ascii="Times New Roman" w:hAnsi="Times New Roman"/>
          <w:sz w:val="24"/>
          <w:szCs w:val="24"/>
        </w:rPr>
        <w:t>o</w:t>
      </w:r>
      <w:r w:rsidRPr="00445BF9">
        <w:rPr>
          <w:rFonts w:ascii="Times New Roman" w:hAnsi="Times New Roman"/>
          <w:sz w:val="24"/>
          <w:szCs w:val="24"/>
        </w:rPr>
        <w:t xml:space="preserve">nal budget workshops that take place every budget cycle. </w:t>
      </w:r>
      <w:r w:rsidR="003C1A1C" w:rsidRPr="00445BF9">
        <w:rPr>
          <w:rFonts w:ascii="Times New Roman" w:hAnsi="Times New Roman"/>
          <w:sz w:val="24"/>
          <w:szCs w:val="24"/>
        </w:rPr>
        <w:t xml:space="preserve">Building on this, </w:t>
      </w:r>
      <w:r w:rsidR="003C1A1C" w:rsidRPr="00445BF9">
        <w:rPr>
          <w:rFonts w:ascii="Times New Roman" w:hAnsi="Times New Roman"/>
          <w:b/>
          <w:sz w:val="24"/>
          <w:szCs w:val="24"/>
        </w:rPr>
        <w:t xml:space="preserve">there is a </w:t>
      </w:r>
      <w:r w:rsidRPr="00445BF9">
        <w:rPr>
          <w:rFonts w:ascii="Times New Roman" w:hAnsi="Times New Roman"/>
          <w:b/>
          <w:sz w:val="24"/>
          <w:szCs w:val="24"/>
        </w:rPr>
        <w:t>further opportunity to align development assistance with not only to the national budget but also local government priorities and budgets.</w:t>
      </w:r>
    </w:p>
    <w:p w14:paraId="2F8230F1" w14:textId="66A1A045" w:rsidR="00637C36" w:rsidRPr="00445BF9" w:rsidRDefault="00CD33BE"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b/>
          <w:sz w:val="24"/>
          <w:szCs w:val="24"/>
        </w:rPr>
        <w:t>There is a need for a link between the country’s growth and budget strategies</w:t>
      </w:r>
      <w:r w:rsidR="00A92DD8" w:rsidRPr="00445BF9">
        <w:rPr>
          <w:rFonts w:ascii="Times New Roman" w:hAnsi="Times New Roman"/>
          <w:b/>
          <w:sz w:val="24"/>
          <w:szCs w:val="24"/>
        </w:rPr>
        <w:t xml:space="preserve">, as well as consideration of population dynamics and growth. </w:t>
      </w:r>
      <w:r w:rsidRPr="00445BF9">
        <w:rPr>
          <w:rFonts w:ascii="Times New Roman" w:hAnsi="Times New Roman"/>
          <w:b/>
          <w:sz w:val="24"/>
          <w:szCs w:val="24"/>
        </w:rPr>
        <w:t xml:space="preserve"> </w:t>
      </w:r>
      <w:r w:rsidR="003322F1" w:rsidRPr="00445BF9">
        <w:rPr>
          <w:rFonts w:ascii="Times New Roman" w:hAnsi="Times New Roman"/>
          <w:sz w:val="24"/>
          <w:szCs w:val="24"/>
        </w:rPr>
        <w:t>In addition to the national consultative workshops in September 2017, MoFPED held the first ever High-Level Economic Growth Forum with a view of providing insights on Uganda</w:t>
      </w:r>
      <w:r w:rsidR="004675EF" w:rsidRPr="00445BF9">
        <w:rPr>
          <w:rFonts w:ascii="Times New Roman" w:hAnsi="Times New Roman"/>
          <w:sz w:val="24"/>
          <w:szCs w:val="24"/>
        </w:rPr>
        <w:t>’</w:t>
      </w:r>
      <w:r w:rsidR="003322F1" w:rsidRPr="00445BF9">
        <w:rPr>
          <w:rFonts w:ascii="Times New Roman" w:hAnsi="Times New Roman"/>
          <w:sz w:val="24"/>
          <w:szCs w:val="24"/>
        </w:rPr>
        <w:t>s economy and growth potential. Following the results of the High-Level Economic Growth Forum held in September 2017, it was agreed that there was need for a link between the country</w:t>
      </w:r>
      <w:r w:rsidR="004675EF" w:rsidRPr="00445BF9">
        <w:rPr>
          <w:rFonts w:ascii="Times New Roman" w:hAnsi="Times New Roman"/>
          <w:sz w:val="24"/>
          <w:szCs w:val="24"/>
        </w:rPr>
        <w:t>’</w:t>
      </w:r>
      <w:r w:rsidR="003322F1" w:rsidRPr="00445BF9">
        <w:rPr>
          <w:rFonts w:ascii="Times New Roman" w:hAnsi="Times New Roman"/>
          <w:sz w:val="24"/>
          <w:szCs w:val="24"/>
        </w:rPr>
        <w:t>s growth and budget strategies. The MoFPED</w:t>
      </w:r>
      <w:r w:rsidR="004675EF" w:rsidRPr="00445BF9">
        <w:rPr>
          <w:rFonts w:ascii="Times New Roman" w:hAnsi="Times New Roman"/>
          <w:sz w:val="24"/>
          <w:szCs w:val="24"/>
        </w:rPr>
        <w:t xml:space="preserve"> </w:t>
      </w:r>
      <w:r w:rsidR="003322F1" w:rsidRPr="00445BF9">
        <w:rPr>
          <w:rFonts w:ascii="Times New Roman" w:hAnsi="Times New Roman"/>
          <w:sz w:val="24"/>
          <w:szCs w:val="24"/>
        </w:rPr>
        <w:t xml:space="preserve">is combining the National Budget Consultative workshop with the Growth Forum to reflect on the state of the Ugandan </w:t>
      </w:r>
      <w:r w:rsidR="00D44453" w:rsidRPr="00445BF9">
        <w:rPr>
          <w:rFonts w:ascii="Times New Roman" w:hAnsi="Times New Roman"/>
          <w:sz w:val="24"/>
          <w:szCs w:val="24"/>
        </w:rPr>
        <w:t>economy and</w:t>
      </w:r>
      <w:r w:rsidR="003322F1" w:rsidRPr="00445BF9">
        <w:rPr>
          <w:rFonts w:ascii="Times New Roman" w:hAnsi="Times New Roman"/>
          <w:sz w:val="24"/>
          <w:szCs w:val="24"/>
        </w:rPr>
        <w:t xml:space="preserve"> identify policy solutions to drive the country</w:t>
      </w:r>
      <w:r w:rsidR="004675EF" w:rsidRPr="00445BF9">
        <w:rPr>
          <w:rFonts w:ascii="Times New Roman" w:hAnsi="Times New Roman"/>
          <w:sz w:val="24"/>
          <w:szCs w:val="24"/>
        </w:rPr>
        <w:t>’</w:t>
      </w:r>
      <w:r w:rsidR="003322F1" w:rsidRPr="00445BF9">
        <w:rPr>
          <w:rFonts w:ascii="Times New Roman" w:hAnsi="Times New Roman"/>
          <w:sz w:val="24"/>
          <w:szCs w:val="24"/>
        </w:rPr>
        <w:t>s future economic growth performance.</w:t>
      </w:r>
      <w:r w:rsidR="00180DCE" w:rsidRPr="00445BF9">
        <w:rPr>
          <w:rFonts w:ascii="Times New Roman" w:hAnsi="Times New Roman"/>
          <w:sz w:val="24"/>
          <w:szCs w:val="24"/>
        </w:rPr>
        <w:t xml:space="preserve"> </w:t>
      </w:r>
    </w:p>
    <w:p w14:paraId="618E5686" w14:textId="1D51CC21" w:rsidR="00811B81" w:rsidRPr="00445BF9" w:rsidRDefault="005047FC"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sz w:val="24"/>
          <w:szCs w:val="24"/>
        </w:rPr>
        <w:t xml:space="preserve">The GoU has also </w:t>
      </w:r>
      <w:r w:rsidR="00811B81" w:rsidRPr="00445BF9">
        <w:rPr>
          <w:rFonts w:ascii="Times New Roman" w:hAnsi="Times New Roman"/>
          <w:sz w:val="24"/>
          <w:szCs w:val="24"/>
        </w:rPr>
        <w:t>included many SDG requirements</w:t>
      </w:r>
      <w:r w:rsidRPr="00445BF9">
        <w:rPr>
          <w:rFonts w:ascii="Times New Roman" w:hAnsi="Times New Roman"/>
          <w:sz w:val="24"/>
          <w:szCs w:val="24"/>
        </w:rPr>
        <w:t xml:space="preserve"> under NDP-II</w:t>
      </w:r>
      <w:r w:rsidR="00AF7243" w:rsidRPr="00445BF9">
        <w:rPr>
          <w:rFonts w:ascii="Times New Roman" w:hAnsi="Times New Roman"/>
          <w:sz w:val="24"/>
          <w:szCs w:val="24"/>
        </w:rPr>
        <w:t xml:space="preserve">, along with </w:t>
      </w:r>
      <w:r w:rsidR="00A655D0" w:rsidRPr="00445BF9">
        <w:rPr>
          <w:rFonts w:ascii="Times New Roman" w:hAnsi="Times New Roman"/>
          <w:sz w:val="24"/>
          <w:szCs w:val="24"/>
        </w:rPr>
        <w:t xml:space="preserve">consideration of debt </w:t>
      </w:r>
      <w:r w:rsidR="00811B81" w:rsidRPr="00445BF9">
        <w:rPr>
          <w:rFonts w:ascii="Times New Roman" w:hAnsi="Times New Roman"/>
          <w:sz w:val="24"/>
          <w:szCs w:val="24"/>
        </w:rPr>
        <w:t>sustainab</w:t>
      </w:r>
      <w:r w:rsidR="00877E9F" w:rsidRPr="00445BF9">
        <w:rPr>
          <w:rFonts w:ascii="Times New Roman" w:hAnsi="Times New Roman"/>
          <w:sz w:val="24"/>
          <w:szCs w:val="24"/>
        </w:rPr>
        <w:t xml:space="preserve">ility analysis </w:t>
      </w:r>
      <w:r w:rsidR="00811B81" w:rsidRPr="00445BF9">
        <w:rPr>
          <w:rFonts w:ascii="Times New Roman" w:hAnsi="Times New Roman"/>
          <w:sz w:val="24"/>
          <w:szCs w:val="24"/>
        </w:rPr>
        <w:t>(DSA)</w:t>
      </w:r>
      <w:r w:rsidR="00A655D0" w:rsidRPr="00445BF9">
        <w:rPr>
          <w:rFonts w:ascii="Times New Roman" w:hAnsi="Times New Roman"/>
          <w:sz w:val="24"/>
          <w:szCs w:val="24"/>
        </w:rPr>
        <w:t xml:space="preserve"> and the</w:t>
      </w:r>
      <w:r w:rsidR="00811B81" w:rsidRPr="00445BF9">
        <w:rPr>
          <w:rFonts w:ascii="Times New Roman" w:hAnsi="Times New Roman"/>
          <w:sz w:val="24"/>
          <w:szCs w:val="24"/>
        </w:rPr>
        <w:t xml:space="preserve"> medium-term D</w:t>
      </w:r>
      <w:r w:rsidR="00A655D0" w:rsidRPr="00445BF9">
        <w:rPr>
          <w:rFonts w:ascii="Times New Roman" w:hAnsi="Times New Roman"/>
          <w:sz w:val="24"/>
          <w:szCs w:val="24"/>
        </w:rPr>
        <w:t>ebt Management</w:t>
      </w:r>
      <w:r w:rsidR="00811B81" w:rsidRPr="00445BF9">
        <w:rPr>
          <w:rFonts w:ascii="Times New Roman" w:hAnsi="Times New Roman"/>
          <w:sz w:val="24"/>
          <w:szCs w:val="24"/>
        </w:rPr>
        <w:t xml:space="preserve"> Strategy.</w:t>
      </w:r>
    </w:p>
    <w:p w14:paraId="0C054590" w14:textId="6D13BE82" w:rsidR="003322F1" w:rsidRPr="00445BF9" w:rsidRDefault="003322F1"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b/>
          <w:sz w:val="24"/>
          <w:szCs w:val="24"/>
        </w:rPr>
        <w:t xml:space="preserve">The </w:t>
      </w:r>
      <w:r w:rsidR="00637C36" w:rsidRPr="00445BF9">
        <w:rPr>
          <w:rFonts w:ascii="Times New Roman" w:hAnsi="Times New Roman"/>
          <w:b/>
          <w:sz w:val="24"/>
          <w:szCs w:val="24"/>
        </w:rPr>
        <w:t xml:space="preserve">Forum </w:t>
      </w:r>
      <w:r w:rsidRPr="00445BF9">
        <w:rPr>
          <w:rFonts w:ascii="Times New Roman" w:hAnsi="Times New Roman"/>
          <w:b/>
          <w:sz w:val="24"/>
          <w:szCs w:val="24"/>
        </w:rPr>
        <w:t>provides an opportunity to discuss key growth constraints and required budget financing,</w:t>
      </w:r>
      <w:r w:rsidRPr="00445BF9">
        <w:rPr>
          <w:rFonts w:ascii="Times New Roman" w:hAnsi="Times New Roman"/>
          <w:sz w:val="24"/>
          <w:szCs w:val="24"/>
        </w:rPr>
        <w:t xml:space="preserve"> learnings from policy experiences in other countries, and identifies a course of policy actions to drive industrialisation and job creation. The audience consists of government officials and staff, the development partner community, and the academic and </w:t>
      </w:r>
      <w:r w:rsidRPr="00445BF9">
        <w:rPr>
          <w:rFonts w:ascii="Times New Roman" w:hAnsi="Times New Roman"/>
          <w:sz w:val="24"/>
          <w:szCs w:val="24"/>
        </w:rPr>
        <w:lastRenderedPageBreak/>
        <w:t>business private sector.</w:t>
      </w:r>
      <w:r w:rsidR="00637C36" w:rsidRPr="00445BF9">
        <w:rPr>
          <w:rFonts w:ascii="Times New Roman" w:hAnsi="Times New Roman"/>
          <w:sz w:val="24"/>
          <w:szCs w:val="24"/>
        </w:rPr>
        <w:t xml:space="preserve"> </w:t>
      </w:r>
      <w:r w:rsidRPr="00445BF9">
        <w:rPr>
          <w:rFonts w:ascii="Times New Roman" w:hAnsi="Times New Roman"/>
          <w:sz w:val="24"/>
          <w:szCs w:val="24"/>
        </w:rPr>
        <w:t>The Forum has been deliberately set to align with the Government of Uganda</w:t>
      </w:r>
      <w:r w:rsidR="0067300B" w:rsidRPr="00445BF9">
        <w:rPr>
          <w:rFonts w:ascii="Times New Roman" w:hAnsi="Times New Roman"/>
          <w:sz w:val="24"/>
          <w:szCs w:val="24"/>
        </w:rPr>
        <w:t>’</w:t>
      </w:r>
      <w:r w:rsidRPr="00445BF9">
        <w:rPr>
          <w:rFonts w:ascii="Times New Roman" w:hAnsi="Times New Roman"/>
          <w:sz w:val="24"/>
          <w:szCs w:val="24"/>
        </w:rPr>
        <w:t xml:space="preserve">s budget cycle such that any actionable policy proposals identified may be incorporated into the budget and action plans of relevant institutions in line with NDP priorities. </w:t>
      </w:r>
    </w:p>
    <w:p w14:paraId="11F16218" w14:textId="0396E785" w:rsidR="00612DEB" w:rsidRPr="00445BF9" w:rsidRDefault="00DD130C"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b/>
          <w:sz w:val="24"/>
          <w:szCs w:val="24"/>
        </w:rPr>
        <w:t>Public Investment management (</w:t>
      </w:r>
      <w:r w:rsidR="00612DEB" w:rsidRPr="00445BF9">
        <w:rPr>
          <w:rFonts w:ascii="Times New Roman" w:hAnsi="Times New Roman"/>
          <w:b/>
          <w:sz w:val="24"/>
          <w:szCs w:val="24"/>
        </w:rPr>
        <w:t>PIM</w:t>
      </w:r>
      <w:r w:rsidRPr="00445BF9">
        <w:rPr>
          <w:rFonts w:ascii="Times New Roman" w:hAnsi="Times New Roman"/>
          <w:b/>
          <w:sz w:val="24"/>
          <w:szCs w:val="24"/>
        </w:rPr>
        <w:t>)</w:t>
      </w:r>
      <w:r w:rsidR="00612DEB" w:rsidRPr="00445BF9">
        <w:rPr>
          <w:rFonts w:ascii="Times New Roman" w:hAnsi="Times New Roman"/>
          <w:b/>
          <w:sz w:val="24"/>
          <w:szCs w:val="24"/>
        </w:rPr>
        <w:t xml:space="preserve"> is a challenge</w:t>
      </w:r>
      <w:r w:rsidRPr="00445BF9">
        <w:rPr>
          <w:rFonts w:ascii="Times New Roman" w:hAnsi="Times New Roman"/>
          <w:b/>
          <w:sz w:val="24"/>
          <w:szCs w:val="24"/>
        </w:rPr>
        <w:t>, and it is n</w:t>
      </w:r>
      <w:r w:rsidR="00612DEB" w:rsidRPr="00445BF9">
        <w:rPr>
          <w:rFonts w:ascii="Times New Roman" w:hAnsi="Times New Roman"/>
          <w:b/>
          <w:sz w:val="24"/>
          <w:szCs w:val="24"/>
        </w:rPr>
        <w:t>ot clear if all donors using robust standards for project appraisals</w:t>
      </w:r>
      <w:r w:rsidRPr="00445BF9">
        <w:rPr>
          <w:rFonts w:ascii="Times New Roman" w:hAnsi="Times New Roman"/>
          <w:b/>
          <w:sz w:val="24"/>
          <w:szCs w:val="24"/>
        </w:rPr>
        <w:t>,</w:t>
      </w:r>
      <w:r w:rsidRPr="00445BF9">
        <w:rPr>
          <w:rFonts w:ascii="Times New Roman" w:hAnsi="Times New Roman"/>
          <w:sz w:val="24"/>
          <w:szCs w:val="24"/>
        </w:rPr>
        <w:t xml:space="preserve"> including </w:t>
      </w:r>
      <w:r w:rsidR="0071739A" w:rsidRPr="00445BF9">
        <w:rPr>
          <w:rFonts w:ascii="Times New Roman" w:hAnsi="Times New Roman"/>
          <w:sz w:val="24"/>
          <w:szCs w:val="24"/>
        </w:rPr>
        <w:t>Socio-Economic and Environmental Impact Assessments</w:t>
      </w:r>
      <w:r w:rsidR="001122D7" w:rsidRPr="00445BF9">
        <w:rPr>
          <w:rFonts w:ascii="Times New Roman" w:hAnsi="Times New Roman"/>
          <w:sz w:val="24"/>
          <w:szCs w:val="24"/>
        </w:rPr>
        <w:t>.</w:t>
      </w:r>
    </w:p>
    <w:p w14:paraId="414A49BA" w14:textId="7D596C1B" w:rsidR="003322F1" w:rsidRPr="00445BF9" w:rsidRDefault="003322F1"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sz w:val="24"/>
          <w:szCs w:val="24"/>
        </w:rPr>
        <w:t>Recognising the need to align all public investment to the NDP</w:t>
      </w:r>
      <w:r w:rsidR="00D806D5" w:rsidRPr="00445BF9">
        <w:rPr>
          <w:rFonts w:ascii="Times New Roman" w:hAnsi="Times New Roman"/>
          <w:sz w:val="24"/>
          <w:szCs w:val="24"/>
        </w:rPr>
        <w:t xml:space="preserve"> priorities</w:t>
      </w:r>
      <w:r w:rsidR="00FC5379" w:rsidRPr="00445BF9">
        <w:rPr>
          <w:rFonts w:ascii="Times New Roman" w:hAnsi="Times New Roman"/>
          <w:sz w:val="24"/>
          <w:szCs w:val="24"/>
        </w:rPr>
        <w:t>/objectives</w:t>
      </w:r>
      <w:r w:rsidRPr="00445BF9">
        <w:rPr>
          <w:rFonts w:ascii="Times New Roman" w:hAnsi="Times New Roman"/>
          <w:sz w:val="24"/>
          <w:szCs w:val="24"/>
        </w:rPr>
        <w:t xml:space="preserve">, the MoFPED established the Public Investment management system (PIMS). The public investment management procedures provide for sound investment project proposals to be included and or retained within the public investment. Projects are subjected to vigorous scrutiny by the Development Committee before being proposed for donor financing. The intention is to ensure that the projects are aligned to the national priority areas. </w:t>
      </w:r>
      <w:r w:rsidR="000C72A7" w:rsidRPr="00445BF9">
        <w:rPr>
          <w:rFonts w:ascii="Times New Roman" w:hAnsi="Times New Roman"/>
          <w:sz w:val="24"/>
          <w:szCs w:val="24"/>
        </w:rPr>
        <w:t xml:space="preserve">Robust Socio-Economic and Environmental Impact Assessments are particularly relevant for non-traditional DPs </w:t>
      </w:r>
      <w:r w:rsidR="007564EE" w:rsidRPr="00445BF9">
        <w:rPr>
          <w:rFonts w:ascii="Times New Roman" w:hAnsi="Times New Roman"/>
          <w:sz w:val="24"/>
          <w:szCs w:val="24"/>
        </w:rPr>
        <w:t xml:space="preserve">who </w:t>
      </w:r>
      <w:r w:rsidR="00713860" w:rsidRPr="00445BF9">
        <w:rPr>
          <w:rFonts w:ascii="Times New Roman" w:hAnsi="Times New Roman"/>
          <w:sz w:val="24"/>
          <w:szCs w:val="24"/>
        </w:rPr>
        <w:t xml:space="preserve">rather pursue profit driven behaviour, rather than </w:t>
      </w:r>
      <w:r w:rsidR="00C02778" w:rsidRPr="00445BF9">
        <w:rPr>
          <w:rFonts w:ascii="Times New Roman" w:hAnsi="Times New Roman"/>
          <w:sz w:val="24"/>
          <w:szCs w:val="24"/>
        </w:rPr>
        <w:t>development.</w:t>
      </w:r>
    </w:p>
    <w:p w14:paraId="6423092E" w14:textId="0A07B528" w:rsidR="00B44C38" w:rsidRPr="00445BF9" w:rsidRDefault="00092008"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b/>
          <w:sz w:val="24"/>
          <w:szCs w:val="24"/>
        </w:rPr>
        <w:t>T</w:t>
      </w:r>
      <w:r w:rsidR="003322F1" w:rsidRPr="00445BF9">
        <w:rPr>
          <w:rFonts w:ascii="Times New Roman" w:hAnsi="Times New Roman"/>
          <w:b/>
          <w:sz w:val="24"/>
          <w:szCs w:val="24"/>
        </w:rPr>
        <w:t xml:space="preserve">he links between budget and the achievement of NDP objectives depend upon the extent to which the sector strategic plans are linked to NDP </w:t>
      </w:r>
      <w:r w:rsidR="002871E1" w:rsidRPr="00445BF9">
        <w:rPr>
          <w:rFonts w:ascii="Times New Roman" w:hAnsi="Times New Roman"/>
          <w:b/>
          <w:sz w:val="24"/>
          <w:szCs w:val="24"/>
        </w:rPr>
        <w:t>priorities and</w:t>
      </w:r>
      <w:r w:rsidR="00617355" w:rsidRPr="00445BF9">
        <w:rPr>
          <w:rFonts w:ascii="Times New Roman" w:hAnsi="Times New Roman"/>
          <w:b/>
          <w:sz w:val="24"/>
          <w:szCs w:val="24"/>
        </w:rPr>
        <w:t xml:space="preserve"> need strengthening</w:t>
      </w:r>
      <w:r w:rsidR="003322F1" w:rsidRPr="00445BF9">
        <w:rPr>
          <w:rFonts w:ascii="Times New Roman" w:hAnsi="Times New Roman"/>
          <w:b/>
          <w:sz w:val="24"/>
          <w:szCs w:val="24"/>
        </w:rPr>
        <w:t>.</w:t>
      </w:r>
      <w:r w:rsidR="003322F1" w:rsidRPr="00445BF9">
        <w:rPr>
          <w:rFonts w:ascii="Times New Roman" w:hAnsi="Times New Roman"/>
          <w:sz w:val="24"/>
          <w:szCs w:val="24"/>
        </w:rPr>
        <w:t xml:space="preserve">  The NDP provides a framework within which sectors develop detailed Sector Investment Plans and Annual Work Plans. Sectors are obliged to align their policies and strategies with the NDP, the private sector, civil society and academia are all urged to align their development efforts towards achieving the NDP objectives and the country</w:t>
      </w:r>
      <w:r w:rsidR="007C7071" w:rsidRPr="00445BF9">
        <w:rPr>
          <w:rFonts w:ascii="Times New Roman" w:hAnsi="Times New Roman"/>
          <w:sz w:val="24"/>
          <w:szCs w:val="24"/>
        </w:rPr>
        <w:t>’</w:t>
      </w:r>
      <w:r w:rsidR="003322F1" w:rsidRPr="00445BF9">
        <w:rPr>
          <w:rFonts w:ascii="Times New Roman" w:hAnsi="Times New Roman"/>
          <w:sz w:val="24"/>
          <w:szCs w:val="24"/>
        </w:rPr>
        <w:t xml:space="preserve">s Vision. The NPA issue certificate of compliance of MDA plans and budgets to </w:t>
      </w:r>
      <w:r w:rsidR="0037500E" w:rsidRPr="00445BF9">
        <w:rPr>
          <w:rFonts w:ascii="Times New Roman" w:hAnsi="Times New Roman"/>
          <w:sz w:val="24"/>
          <w:szCs w:val="24"/>
        </w:rPr>
        <w:t>NDP-II</w:t>
      </w:r>
      <w:r w:rsidR="003322F1" w:rsidRPr="00445BF9">
        <w:rPr>
          <w:rFonts w:ascii="Times New Roman" w:hAnsi="Times New Roman"/>
          <w:sz w:val="24"/>
          <w:szCs w:val="24"/>
        </w:rPr>
        <w:t xml:space="preserve"> before they are approved by </w:t>
      </w:r>
      <w:r w:rsidR="007C7071" w:rsidRPr="00445BF9">
        <w:rPr>
          <w:rFonts w:ascii="Times New Roman" w:hAnsi="Times New Roman"/>
          <w:sz w:val="24"/>
          <w:szCs w:val="24"/>
        </w:rPr>
        <w:t xml:space="preserve">the </w:t>
      </w:r>
      <w:r w:rsidR="003322F1" w:rsidRPr="00445BF9">
        <w:rPr>
          <w:rFonts w:ascii="Times New Roman" w:hAnsi="Times New Roman"/>
          <w:sz w:val="24"/>
          <w:szCs w:val="24"/>
        </w:rPr>
        <w:t>Parliament.</w:t>
      </w:r>
    </w:p>
    <w:p w14:paraId="7CD201FB" w14:textId="6F198520" w:rsidR="00E15CC2" w:rsidRPr="00445BF9" w:rsidRDefault="00E15CC2"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96" w:name="_Toc361577052"/>
      <w:bookmarkStart w:id="97" w:name="_Toc534926857"/>
      <w:r w:rsidRPr="00445BF9">
        <w:rPr>
          <w:rFonts w:ascii="Times New Roman" w:eastAsia="Arial Unicode MS" w:hAnsi="Times New Roman"/>
          <w:bCs w:val="0"/>
          <w:sz w:val="24"/>
          <w:szCs w:val="24"/>
          <w:lang w:val="en-GB"/>
        </w:rPr>
        <w:t xml:space="preserve">Donor </w:t>
      </w:r>
      <w:r w:rsidR="000938F3" w:rsidRPr="00445BF9">
        <w:rPr>
          <w:rFonts w:ascii="Times New Roman" w:eastAsia="Arial Unicode MS" w:hAnsi="Times New Roman"/>
          <w:bCs w:val="0"/>
          <w:sz w:val="24"/>
          <w:szCs w:val="24"/>
          <w:lang w:val="en-GB"/>
        </w:rPr>
        <w:t xml:space="preserve">Priorities and Alignment with the </w:t>
      </w:r>
      <w:bookmarkEnd w:id="96"/>
      <w:r w:rsidRPr="00445BF9">
        <w:rPr>
          <w:rFonts w:ascii="Times New Roman" w:eastAsia="Arial Unicode MS" w:hAnsi="Times New Roman"/>
          <w:bCs w:val="0"/>
          <w:sz w:val="24"/>
          <w:szCs w:val="24"/>
          <w:lang w:val="en-GB"/>
        </w:rPr>
        <w:t>NDP</w:t>
      </w:r>
      <w:r w:rsidR="000938F3" w:rsidRPr="00445BF9">
        <w:rPr>
          <w:rFonts w:ascii="Times New Roman" w:eastAsia="Arial Unicode MS" w:hAnsi="Times New Roman"/>
          <w:bCs w:val="0"/>
          <w:sz w:val="24"/>
          <w:szCs w:val="24"/>
          <w:lang w:val="en-GB"/>
        </w:rPr>
        <w:t>-</w:t>
      </w:r>
      <w:r w:rsidRPr="00445BF9">
        <w:rPr>
          <w:rFonts w:ascii="Times New Roman" w:eastAsia="Arial Unicode MS" w:hAnsi="Times New Roman"/>
          <w:bCs w:val="0"/>
          <w:sz w:val="24"/>
          <w:szCs w:val="24"/>
          <w:lang w:val="en-GB"/>
        </w:rPr>
        <w:t>I</w:t>
      </w:r>
      <w:r w:rsidR="00DE5744" w:rsidRPr="00445BF9">
        <w:rPr>
          <w:rFonts w:ascii="Times New Roman" w:eastAsia="Arial Unicode MS" w:hAnsi="Times New Roman"/>
          <w:bCs w:val="0"/>
          <w:sz w:val="24"/>
          <w:szCs w:val="24"/>
          <w:lang w:val="en-GB"/>
        </w:rPr>
        <w:t>I</w:t>
      </w:r>
      <w:bookmarkEnd w:id="97"/>
      <w:r w:rsidRPr="00445BF9">
        <w:rPr>
          <w:rFonts w:ascii="Times New Roman" w:eastAsia="Arial Unicode MS" w:hAnsi="Times New Roman"/>
          <w:bCs w:val="0"/>
          <w:sz w:val="24"/>
          <w:szCs w:val="24"/>
          <w:lang w:val="en-GB"/>
        </w:rPr>
        <w:t xml:space="preserve"> </w:t>
      </w:r>
    </w:p>
    <w:p w14:paraId="60BDEC55" w14:textId="767A8066" w:rsidR="005D6D32" w:rsidRPr="00445BF9" w:rsidRDefault="009F5742"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b/>
          <w:sz w:val="24"/>
          <w:szCs w:val="24"/>
        </w:rPr>
        <w:t xml:space="preserve">The development assistance flows are </w:t>
      </w:r>
      <w:r w:rsidR="001A394C" w:rsidRPr="00445BF9">
        <w:rPr>
          <w:rFonts w:ascii="Times New Roman" w:hAnsi="Times New Roman"/>
          <w:b/>
          <w:sz w:val="24"/>
          <w:szCs w:val="24"/>
        </w:rPr>
        <w:t xml:space="preserve">broadly </w:t>
      </w:r>
      <w:r w:rsidRPr="00445BF9">
        <w:rPr>
          <w:rFonts w:ascii="Times New Roman" w:hAnsi="Times New Roman"/>
          <w:b/>
          <w:sz w:val="24"/>
          <w:szCs w:val="24"/>
        </w:rPr>
        <w:t>aligned with national priorities</w:t>
      </w:r>
      <w:r w:rsidR="00D84F25" w:rsidRPr="00445BF9">
        <w:rPr>
          <w:rFonts w:ascii="Times New Roman" w:hAnsi="Times New Roman"/>
          <w:b/>
          <w:sz w:val="24"/>
          <w:szCs w:val="24"/>
        </w:rPr>
        <w:t>, however further improvement can be achieved with strong</w:t>
      </w:r>
      <w:r w:rsidR="00210F45" w:rsidRPr="00445BF9">
        <w:rPr>
          <w:rFonts w:ascii="Times New Roman" w:hAnsi="Times New Roman"/>
          <w:b/>
          <w:sz w:val="24"/>
          <w:szCs w:val="24"/>
        </w:rPr>
        <w:t>er</w:t>
      </w:r>
      <w:r w:rsidR="00D84F25" w:rsidRPr="00445BF9">
        <w:rPr>
          <w:rFonts w:ascii="Times New Roman" w:hAnsi="Times New Roman"/>
          <w:b/>
          <w:sz w:val="24"/>
          <w:szCs w:val="24"/>
        </w:rPr>
        <w:t xml:space="preserve"> alignment.</w:t>
      </w:r>
      <w:r w:rsidR="00C75C77" w:rsidRPr="00445BF9">
        <w:rPr>
          <w:rFonts w:ascii="Times New Roman" w:hAnsi="Times New Roman"/>
          <w:b/>
          <w:sz w:val="24"/>
          <w:szCs w:val="24"/>
        </w:rPr>
        <w:t xml:space="preserve"> </w:t>
      </w:r>
      <w:r w:rsidR="005D6D32" w:rsidRPr="00445BF9">
        <w:rPr>
          <w:rFonts w:ascii="Times New Roman" w:hAnsi="Times New Roman"/>
          <w:sz w:val="24"/>
          <w:szCs w:val="24"/>
        </w:rPr>
        <w:t>The 2016 GPEDC monitoring of Uganda</w:t>
      </w:r>
      <w:r w:rsidR="00132B85" w:rsidRPr="00445BF9">
        <w:rPr>
          <w:rFonts w:ascii="Times New Roman" w:hAnsi="Times New Roman"/>
          <w:sz w:val="24"/>
          <w:szCs w:val="24"/>
        </w:rPr>
        <w:t>’</w:t>
      </w:r>
      <w:r w:rsidR="005D6D32" w:rsidRPr="00445BF9">
        <w:rPr>
          <w:rFonts w:ascii="Times New Roman" w:hAnsi="Times New Roman"/>
          <w:sz w:val="24"/>
          <w:szCs w:val="24"/>
        </w:rPr>
        <w:t xml:space="preserve">s progress in implementing the Busan Agreement concluded that there was high degree of alignment of development assistance flows with national </w:t>
      </w:r>
      <w:r w:rsidR="0015181A" w:rsidRPr="00445BF9">
        <w:rPr>
          <w:rFonts w:ascii="Times New Roman" w:hAnsi="Times New Roman"/>
          <w:sz w:val="24"/>
          <w:szCs w:val="24"/>
        </w:rPr>
        <w:t>priorities.</w:t>
      </w:r>
      <w:r w:rsidR="00186A24" w:rsidRPr="00445BF9">
        <w:rPr>
          <w:rFonts w:ascii="Times New Roman" w:hAnsi="Times New Roman"/>
          <w:sz w:val="24"/>
          <w:szCs w:val="24"/>
        </w:rPr>
        <w:t xml:space="preserve"> ‘’</w:t>
      </w:r>
      <w:r w:rsidR="005D6D32" w:rsidRPr="00445BF9">
        <w:rPr>
          <w:rFonts w:ascii="Times New Roman" w:hAnsi="Times New Roman"/>
          <w:sz w:val="24"/>
          <w:szCs w:val="24"/>
        </w:rPr>
        <w:t>Ninety-two percent of development co-operation reported in 2015 aligns to national objectives. However, only 46% includes country-led results and 35% uses the country</w:t>
      </w:r>
      <w:r w:rsidR="00132B85" w:rsidRPr="00445BF9">
        <w:rPr>
          <w:rFonts w:ascii="Times New Roman" w:hAnsi="Times New Roman"/>
          <w:sz w:val="24"/>
          <w:szCs w:val="24"/>
        </w:rPr>
        <w:t>’</w:t>
      </w:r>
      <w:r w:rsidR="005D6D32" w:rsidRPr="00445BF9">
        <w:rPr>
          <w:rFonts w:ascii="Times New Roman" w:hAnsi="Times New Roman"/>
          <w:sz w:val="24"/>
          <w:szCs w:val="24"/>
        </w:rPr>
        <w:t xml:space="preserve">s monitoring systems, indicating a strong tendency among partners to continue to use their own systems. </w:t>
      </w:r>
      <w:r w:rsidR="00132B85" w:rsidRPr="00445BF9">
        <w:rPr>
          <w:rFonts w:ascii="Times New Roman" w:hAnsi="Times New Roman"/>
          <w:sz w:val="24"/>
          <w:szCs w:val="24"/>
        </w:rPr>
        <w:t>Although 96% of</w:t>
      </w:r>
      <w:r w:rsidR="005D6D32" w:rsidRPr="00445BF9">
        <w:rPr>
          <w:rFonts w:ascii="Times New Roman" w:hAnsi="Times New Roman"/>
          <w:sz w:val="24"/>
          <w:szCs w:val="24"/>
        </w:rPr>
        <w:t xml:space="preserve"> the projects are evaluated by </w:t>
      </w:r>
      <w:r w:rsidR="0015181A" w:rsidRPr="00445BF9">
        <w:rPr>
          <w:rFonts w:ascii="Times New Roman" w:hAnsi="Times New Roman"/>
          <w:sz w:val="24"/>
          <w:szCs w:val="24"/>
        </w:rPr>
        <w:t>the government</w:t>
      </w:r>
      <w:r w:rsidR="005D6D32" w:rsidRPr="00445BF9">
        <w:rPr>
          <w:rFonts w:ascii="Times New Roman" w:hAnsi="Times New Roman"/>
          <w:sz w:val="24"/>
          <w:szCs w:val="24"/>
        </w:rPr>
        <w:t xml:space="preserve">, only 47% </w:t>
      </w:r>
      <w:r w:rsidR="0015181A" w:rsidRPr="00445BF9">
        <w:rPr>
          <w:rFonts w:ascii="Times New Roman" w:hAnsi="Times New Roman"/>
          <w:sz w:val="24"/>
          <w:szCs w:val="24"/>
        </w:rPr>
        <w:t>are organized</w:t>
      </w:r>
      <w:r w:rsidR="005D6D32" w:rsidRPr="00445BF9">
        <w:rPr>
          <w:rFonts w:ascii="Times New Roman" w:hAnsi="Times New Roman"/>
          <w:sz w:val="24"/>
          <w:szCs w:val="24"/>
        </w:rPr>
        <w:t xml:space="preserve"> jointly with partners and there is considerable variation in the use of country results</w:t>
      </w:r>
      <w:r w:rsidR="0015181A" w:rsidRPr="00445BF9">
        <w:rPr>
          <w:rFonts w:ascii="Times New Roman" w:hAnsi="Times New Roman"/>
          <w:sz w:val="24"/>
          <w:szCs w:val="24"/>
        </w:rPr>
        <w:t xml:space="preserve"> </w:t>
      </w:r>
      <w:r w:rsidR="005D6D32" w:rsidRPr="00445BF9">
        <w:rPr>
          <w:rFonts w:ascii="Times New Roman" w:hAnsi="Times New Roman"/>
          <w:sz w:val="24"/>
          <w:szCs w:val="24"/>
        </w:rPr>
        <w:t>frameworks among partners, especially bilateral agencies. This leaves quite some room for future improvement</w:t>
      </w:r>
      <w:r w:rsidR="00186A24" w:rsidRPr="00445BF9">
        <w:rPr>
          <w:rFonts w:ascii="Times New Roman" w:hAnsi="Times New Roman"/>
          <w:sz w:val="24"/>
          <w:szCs w:val="24"/>
        </w:rPr>
        <w:t>.’’</w:t>
      </w:r>
      <w:r w:rsidR="005D6D32" w:rsidRPr="00445BF9">
        <w:rPr>
          <w:rFonts w:ascii="Times New Roman" w:hAnsi="Times New Roman"/>
          <w:sz w:val="24"/>
          <w:szCs w:val="24"/>
        </w:rPr>
        <w:t>, extract from Uganda 2016 GPEDC Monitoring Country Report.</w:t>
      </w:r>
    </w:p>
    <w:p w14:paraId="7409A15E" w14:textId="32630294" w:rsidR="007B6737" w:rsidRPr="00445BF9" w:rsidRDefault="00612B9D" w:rsidP="00445BF9">
      <w:pPr>
        <w:pStyle w:val="DeltaBodytext"/>
        <w:numPr>
          <w:ilvl w:val="0"/>
          <w:numId w:val="14"/>
        </w:numPr>
        <w:spacing w:after="120" w:line="360" w:lineRule="auto"/>
        <w:ind w:left="567" w:hanging="567"/>
        <w:rPr>
          <w:rFonts w:ascii="Times New Roman" w:hAnsi="Times New Roman"/>
          <w:b/>
          <w:sz w:val="24"/>
          <w:szCs w:val="24"/>
        </w:rPr>
      </w:pPr>
      <w:r w:rsidRPr="00445BF9">
        <w:rPr>
          <w:rFonts w:ascii="Times New Roman" w:hAnsi="Times New Roman"/>
          <w:b/>
          <w:sz w:val="24"/>
          <w:szCs w:val="24"/>
        </w:rPr>
        <w:lastRenderedPageBreak/>
        <w:t>All</w:t>
      </w:r>
      <w:r w:rsidR="005D6D32" w:rsidRPr="00445BF9">
        <w:rPr>
          <w:rFonts w:ascii="Times New Roman" w:hAnsi="Times New Roman"/>
          <w:b/>
          <w:sz w:val="24"/>
          <w:szCs w:val="24"/>
        </w:rPr>
        <w:t xml:space="preserve"> development partners claimed that their strategies and programmes are aligned to the NDP</w:t>
      </w:r>
      <w:r w:rsidR="005D6D32" w:rsidRPr="00445BF9">
        <w:rPr>
          <w:rFonts w:ascii="Times New Roman" w:hAnsi="Times New Roman"/>
          <w:sz w:val="24"/>
          <w:szCs w:val="24"/>
        </w:rPr>
        <w:t xml:space="preserve"> and highlighted that their strategy documents emphasise the importance of the NDP in providing a framework for assistance.</w:t>
      </w:r>
      <w:r w:rsidR="003D7AA9" w:rsidRPr="00445BF9">
        <w:rPr>
          <w:rFonts w:ascii="Times New Roman" w:hAnsi="Times New Roman"/>
          <w:sz w:val="24"/>
          <w:szCs w:val="24"/>
        </w:rPr>
        <w:t xml:space="preserve"> </w:t>
      </w:r>
      <w:r w:rsidR="005D6D32" w:rsidRPr="00445BF9">
        <w:rPr>
          <w:rFonts w:ascii="Times New Roman" w:hAnsi="Times New Roman"/>
          <w:sz w:val="24"/>
          <w:szCs w:val="24"/>
        </w:rPr>
        <w:t xml:space="preserve">However, it can be argued that this perspective reflects </w:t>
      </w:r>
      <w:r w:rsidR="005D6D32" w:rsidRPr="00445BF9">
        <w:rPr>
          <w:rFonts w:ascii="Times New Roman" w:hAnsi="Times New Roman"/>
          <w:b/>
          <w:sz w:val="24"/>
          <w:szCs w:val="24"/>
        </w:rPr>
        <w:t>the broad range of NDP objectives and priorities that permits donors to claim alignment across a range of strategic approaches and activities.</w:t>
      </w:r>
      <w:r w:rsidR="009112F2" w:rsidRPr="00445BF9">
        <w:rPr>
          <w:rFonts w:ascii="Times New Roman" w:hAnsi="Times New Roman"/>
          <w:b/>
          <w:sz w:val="24"/>
          <w:szCs w:val="24"/>
        </w:rPr>
        <w:t xml:space="preserve"> </w:t>
      </w:r>
      <w:r w:rsidR="007D67A1" w:rsidRPr="00445BF9">
        <w:rPr>
          <w:rFonts w:ascii="Times New Roman" w:hAnsi="Times New Roman"/>
          <w:b/>
          <w:sz w:val="24"/>
          <w:szCs w:val="24"/>
        </w:rPr>
        <w:t>There is a need for structured consultation with DPs on priorities</w:t>
      </w:r>
      <w:r w:rsidR="00AC460F" w:rsidRPr="00445BF9">
        <w:rPr>
          <w:rFonts w:ascii="Times New Roman" w:hAnsi="Times New Roman"/>
          <w:b/>
          <w:sz w:val="24"/>
          <w:szCs w:val="24"/>
        </w:rPr>
        <w:t>, aligned to the country’s budget calendar.</w:t>
      </w:r>
    </w:p>
    <w:p w14:paraId="512F3CB2" w14:textId="77777777" w:rsidR="0085445A" w:rsidRPr="00445BF9" w:rsidRDefault="0085445A"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sz w:val="24"/>
          <w:szCs w:val="24"/>
        </w:rPr>
        <w:t xml:space="preserve">The interviews carried out with DPs for this thematic paper suggest that development assistance has continued to be closely aligned to NDP-II. </w:t>
      </w:r>
    </w:p>
    <w:p w14:paraId="1C42912E" w14:textId="0054578D" w:rsidR="00DD6C16" w:rsidRPr="00445BF9" w:rsidRDefault="00945A92" w:rsidP="00445BF9">
      <w:pPr>
        <w:pStyle w:val="ListParagraph"/>
        <w:numPr>
          <w:ilvl w:val="0"/>
          <w:numId w:val="12"/>
        </w:numPr>
        <w:spacing w:after="120" w:line="360" w:lineRule="auto"/>
        <w:ind w:left="1276" w:hanging="709"/>
        <w:rPr>
          <w:rFonts w:ascii="Times New Roman" w:hAnsi="Times New Roman"/>
          <w:sz w:val="24"/>
          <w:szCs w:val="24"/>
        </w:rPr>
      </w:pPr>
      <w:r w:rsidRPr="00445BF9">
        <w:rPr>
          <w:rFonts w:ascii="Times New Roman" w:hAnsi="Times New Roman"/>
          <w:b/>
          <w:sz w:val="24"/>
          <w:szCs w:val="24"/>
        </w:rPr>
        <w:t>T</w:t>
      </w:r>
      <w:r w:rsidR="00DD6C16" w:rsidRPr="00445BF9">
        <w:rPr>
          <w:rFonts w:ascii="Times New Roman" w:hAnsi="Times New Roman"/>
          <w:b/>
          <w:sz w:val="24"/>
          <w:szCs w:val="24"/>
        </w:rPr>
        <w:t xml:space="preserve">he WB </w:t>
      </w:r>
      <w:hyperlink r:id="rId29" w:history="1">
        <w:r w:rsidR="00DD6C16" w:rsidRPr="00445BF9">
          <w:rPr>
            <w:rStyle w:val="Hyperlink"/>
            <w:rFonts w:ascii="Times New Roman" w:hAnsi="Times New Roman"/>
            <w:sz w:val="24"/>
            <w:szCs w:val="24"/>
          </w:rPr>
          <w:t>Country Partnership Framework</w:t>
        </w:r>
      </w:hyperlink>
      <w:r w:rsidR="00DD6C16" w:rsidRPr="00445BF9">
        <w:rPr>
          <w:rFonts w:ascii="Times New Roman" w:hAnsi="Times New Roman"/>
          <w:sz w:val="24"/>
          <w:szCs w:val="24"/>
        </w:rPr>
        <w:t xml:space="preserve"> </w:t>
      </w:r>
      <w:r w:rsidR="00160294" w:rsidRPr="00445BF9">
        <w:rPr>
          <w:rFonts w:ascii="Times New Roman" w:hAnsi="Times New Roman"/>
          <w:sz w:val="24"/>
          <w:szCs w:val="24"/>
        </w:rPr>
        <w:t>for 5 years</w:t>
      </w:r>
      <w:r w:rsidR="00AA269A" w:rsidRPr="00445BF9">
        <w:rPr>
          <w:rFonts w:ascii="Times New Roman" w:hAnsi="Times New Roman"/>
          <w:sz w:val="24"/>
          <w:szCs w:val="24"/>
        </w:rPr>
        <w:t xml:space="preserve"> </w:t>
      </w:r>
      <w:r w:rsidR="00DD6C16" w:rsidRPr="00445BF9">
        <w:rPr>
          <w:rFonts w:ascii="Times New Roman" w:hAnsi="Times New Roman"/>
          <w:sz w:val="24"/>
          <w:szCs w:val="24"/>
        </w:rPr>
        <w:t xml:space="preserve">(covering </w:t>
      </w:r>
      <w:r w:rsidR="00160294" w:rsidRPr="00445BF9">
        <w:rPr>
          <w:rFonts w:ascii="Times New Roman" w:hAnsi="Times New Roman"/>
          <w:sz w:val="24"/>
          <w:szCs w:val="24"/>
        </w:rPr>
        <w:t xml:space="preserve">FY </w:t>
      </w:r>
      <w:r w:rsidR="00DD6C16" w:rsidRPr="00445BF9">
        <w:rPr>
          <w:rFonts w:ascii="Times New Roman" w:hAnsi="Times New Roman"/>
          <w:sz w:val="24"/>
          <w:szCs w:val="24"/>
        </w:rPr>
        <w:t xml:space="preserve">2016/17 – </w:t>
      </w:r>
      <w:r w:rsidR="00160294" w:rsidRPr="00445BF9">
        <w:rPr>
          <w:rFonts w:ascii="Times New Roman" w:hAnsi="Times New Roman"/>
          <w:sz w:val="24"/>
          <w:szCs w:val="24"/>
        </w:rPr>
        <w:t>FY 2020-</w:t>
      </w:r>
      <w:r w:rsidR="00DD6C16" w:rsidRPr="00445BF9">
        <w:rPr>
          <w:rFonts w:ascii="Times New Roman" w:hAnsi="Times New Roman"/>
          <w:sz w:val="24"/>
          <w:szCs w:val="24"/>
        </w:rPr>
        <w:t>21</w:t>
      </w:r>
      <w:r w:rsidR="00160294" w:rsidRPr="00445BF9">
        <w:rPr>
          <w:rFonts w:ascii="Times New Roman" w:hAnsi="Times New Roman"/>
          <w:sz w:val="24"/>
          <w:szCs w:val="24"/>
        </w:rPr>
        <w:t>)</w:t>
      </w:r>
      <w:r w:rsidR="00DD6C16" w:rsidRPr="00445BF9">
        <w:rPr>
          <w:rFonts w:ascii="Times New Roman" w:hAnsi="Times New Roman"/>
          <w:sz w:val="24"/>
          <w:szCs w:val="24"/>
        </w:rPr>
        <w:t xml:space="preserve"> </w:t>
      </w:r>
      <w:r w:rsidR="00AA269A" w:rsidRPr="00445BF9">
        <w:rPr>
          <w:rFonts w:ascii="Times New Roman" w:hAnsi="Times New Roman"/>
          <w:sz w:val="24"/>
          <w:szCs w:val="24"/>
        </w:rPr>
        <w:t>is broadly a</w:t>
      </w:r>
      <w:r w:rsidR="00DD6C16" w:rsidRPr="00445BF9">
        <w:rPr>
          <w:rFonts w:ascii="Times New Roman" w:hAnsi="Times New Roman"/>
          <w:sz w:val="24"/>
          <w:szCs w:val="24"/>
        </w:rPr>
        <w:t>ligned to NDP.</w:t>
      </w:r>
      <w:r w:rsidR="0022524F" w:rsidRPr="00445BF9">
        <w:rPr>
          <w:rFonts w:ascii="Times New Roman" w:hAnsi="Times New Roman"/>
          <w:sz w:val="24"/>
          <w:szCs w:val="24"/>
        </w:rPr>
        <w:t xml:space="preserve"> It has i</w:t>
      </w:r>
      <w:r w:rsidR="00DD6C16" w:rsidRPr="00445BF9">
        <w:rPr>
          <w:rFonts w:ascii="Times New Roman" w:hAnsi="Times New Roman"/>
          <w:sz w:val="24"/>
          <w:szCs w:val="24"/>
        </w:rPr>
        <w:t xml:space="preserve">dentified </w:t>
      </w:r>
      <w:r w:rsidR="0022524F" w:rsidRPr="00445BF9">
        <w:rPr>
          <w:rFonts w:ascii="Times New Roman" w:hAnsi="Times New Roman"/>
          <w:sz w:val="24"/>
          <w:szCs w:val="24"/>
        </w:rPr>
        <w:t>three</w:t>
      </w:r>
      <w:r w:rsidR="00DD6C16" w:rsidRPr="00445BF9">
        <w:rPr>
          <w:rFonts w:ascii="Times New Roman" w:hAnsi="Times New Roman"/>
          <w:sz w:val="24"/>
          <w:szCs w:val="24"/>
        </w:rPr>
        <w:t xml:space="preserve"> key areas of support: Economic </w:t>
      </w:r>
      <w:r w:rsidR="0022524F" w:rsidRPr="00445BF9">
        <w:rPr>
          <w:rFonts w:ascii="Times New Roman" w:hAnsi="Times New Roman"/>
          <w:sz w:val="24"/>
          <w:szCs w:val="24"/>
        </w:rPr>
        <w:t>g</w:t>
      </w:r>
      <w:r w:rsidR="00DD6C16" w:rsidRPr="00445BF9">
        <w:rPr>
          <w:rFonts w:ascii="Times New Roman" w:hAnsi="Times New Roman"/>
          <w:sz w:val="24"/>
          <w:szCs w:val="24"/>
        </w:rPr>
        <w:t>overnance and social service delivery</w:t>
      </w:r>
      <w:r w:rsidR="00CD5CE7" w:rsidRPr="00445BF9">
        <w:rPr>
          <w:rFonts w:ascii="Times New Roman" w:hAnsi="Times New Roman"/>
          <w:sz w:val="24"/>
          <w:szCs w:val="24"/>
        </w:rPr>
        <w:t xml:space="preserve">; </w:t>
      </w:r>
      <w:r w:rsidR="00DD6C16" w:rsidRPr="00445BF9">
        <w:rPr>
          <w:rFonts w:ascii="Times New Roman" w:hAnsi="Times New Roman"/>
          <w:sz w:val="24"/>
          <w:szCs w:val="24"/>
        </w:rPr>
        <w:t>Raising income and insuring resilience</w:t>
      </w:r>
      <w:r w:rsidR="00CD5CE7" w:rsidRPr="00445BF9">
        <w:rPr>
          <w:rFonts w:ascii="Times New Roman" w:hAnsi="Times New Roman"/>
          <w:sz w:val="24"/>
          <w:szCs w:val="24"/>
        </w:rPr>
        <w:t xml:space="preserve">; and </w:t>
      </w:r>
      <w:r w:rsidR="00DD6C16" w:rsidRPr="00445BF9">
        <w:rPr>
          <w:rFonts w:ascii="Times New Roman" w:hAnsi="Times New Roman"/>
          <w:sz w:val="24"/>
          <w:szCs w:val="24"/>
        </w:rPr>
        <w:t>Boosting inclu</w:t>
      </w:r>
      <w:r w:rsidR="0022524F" w:rsidRPr="00445BF9">
        <w:rPr>
          <w:rFonts w:ascii="Times New Roman" w:hAnsi="Times New Roman"/>
          <w:sz w:val="24"/>
          <w:szCs w:val="24"/>
        </w:rPr>
        <w:t>sive</w:t>
      </w:r>
      <w:r w:rsidR="00DD6C16" w:rsidRPr="00445BF9">
        <w:rPr>
          <w:rFonts w:ascii="Times New Roman" w:hAnsi="Times New Roman"/>
          <w:sz w:val="24"/>
          <w:szCs w:val="24"/>
        </w:rPr>
        <w:t xml:space="preserve"> growth with</w:t>
      </w:r>
      <w:r w:rsidR="0022524F" w:rsidRPr="00445BF9">
        <w:rPr>
          <w:rFonts w:ascii="Times New Roman" w:hAnsi="Times New Roman"/>
          <w:sz w:val="24"/>
          <w:szCs w:val="24"/>
        </w:rPr>
        <w:t>in</w:t>
      </w:r>
      <w:r w:rsidR="00DD6C16" w:rsidRPr="00445BF9">
        <w:rPr>
          <w:rFonts w:ascii="Times New Roman" w:hAnsi="Times New Roman"/>
          <w:sz w:val="24"/>
          <w:szCs w:val="24"/>
        </w:rPr>
        <w:t xml:space="preserve"> urban areas.</w:t>
      </w:r>
    </w:p>
    <w:p w14:paraId="670DE7C1" w14:textId="01A0E648" w:rsidR="00DD6C16" w:rsidRPr="00445BF9" w:rsidRDefault="00512641" w:rsidP="00445BF9">
      <w:pPr>
        <w:pStyle w:val="ListParagraph"/>
        <w:numPr>
          <w:ilvl w:val="0"/>
          <w:numId w:val="12"/>
        </w:numPr>
        <w:spacing w:after="120" w:line="360" w:lineRule="auto"/>
        <w:ind w:left="1276" w:hanging="709"/>
        <w:rPr>
          <w:rFonts w:ascii="Times New Roman" w:hAnsi="Times New Roman"/>
          <w:sz w:val="24"/>
          <w:szCs w:val="24"/>
        </w:rPr>
      </w:pPr>
      <w:r w:rsidRPr="00445BF9">
        <w:rPr>
          <w:rFonts w:ascii="Times New Roman" w:hAnsi="Times New Roman"/>
          <w:b/>
          <w:sz w:val="24"/>
          <w:szCs w:val="24"/>
        </w:rPr>
        <w:t xml:space="preserve">AfDB </w:t>
      </w:r>
      <w:r w:rsidR="004E4F60" w:rsidRPr="00445BF9">
        <w:rPr>
          <w:rFonts w:ascii="Times New Roman" w:hAnsi="Times New Roman"/>
          <w:b/>
          <w:sz w:val="24"/>
          <w:szCs w:val="24"/>
        </w:rPr>
        <w:t>C</w:t>
      </w:r>
      <w:r w:rsidRPr="00445BF9">
        <w:rPr>
          <w:rFonts w:ascii="Times New Roman" w:hAnsi="Times New Roman"/>
          <w:b/>
          <w:sz w:val="24"/>
          <w:szCs w:val="24"/>
        </w:rPr>
        <w:t xml:space="preserve">ountry </w:t>
      </w:r>
      <w:r w:rsidR="004E4F60" w:rsidRPr="00445BF9">
        <w:rPr>
          <w:rFonts w:ascii="Times New Roman" w:hAnsi="Times New Roman"/>
          <w:b/>
          <w:sz w:val="24"/>
          <w:szCs w:val="24"/>
        </w:rPr>
        <w:t>S</w:t>
      </w:r>
      <w:r w:rsidRPr="00445BF9">
        <w:rPr>
          <w:rFonts w:ascii="Times New Roman" w:hAnsi="Times New Roman"/>
          <w:b/>
          <w:sz w:val="24"/>
          <w:szCs w:val="24"/>
        </w:rPr>
        <w:t xml:space="preserve">trategy </w:t>
      </w:r>
      <w:r w:rsidR="004E4F60" w:rsidRPr="00445BF9">
        <w:rPr>
          <w:rFonts w:ascii="Times New Roman" w:hAnsi="Times New Roman"/>
          <w:b/>
          <w:sz w:val="24"/>
          <w:szCs w:val="24"/>
        </w:rPr>
        <w:t>P</w:t>
      </w:r>
      <w:r w:rsidRPr="00445BF9">
        <w:rPr>
          <w:rFonts w:ascii="Times New Roman" w:hAnsi="Times New Roman"/>
          <w:b/>
          <w:sz w:val="24"/>
          <w:szCs w:val="24"/>
        </w:rPr>
        <w:t>apers</w:t>
      </w:r>
      <w:r w:rsidRPr="00445BF9">
        <w:rPr>
          <w:rFonts w:ascii="Times New Roman" w:hAnsi="Times New Roman"/>
          <w:sz w:val="24"/>
          <w:szCs w:val="24"/>
        </w:rPr>
        <w:t xml:space="preserve"> </w:t>
      </w:r>
      <w:r w:rsidR="004E4F60" w:rsidRPr="00445BF9">
        <w:rPr>
          <w:rFonts w:ascii="Times New Roman" w:hAnsi="Times New Roman"/>
          <w:sz w:val="24"/>
          <w:szCs w:val="24"/>
        </w:rPr>
        <w:t xml:space="preserve">(CSP) </w:t>
      </w:r>
      <w:r w:rsidRPr="00445BF9">
        <w:rPr>
          <w:rFonts w:ascii="Times New Roman" w:hAnsi="Times New Roman"/>
          <w:sz w:val="24"/>
          <w:szCs w:val="24"/>
        </w:rPr>
        <w:t xml:space="preserve">are </w:t>
      </w:r>
      <w:r w:rsidR="00923455" w:rsidRPr="00445BF9">
        <w:rPr>
          <w:rFonts w:ascii="Times New Roman" w:hAnsi="Times New Roman"/>
          <w:sz w:val="24"/>
          <w:szCs w:val="24"/>
        </w:rPr>
        <w:t xml:space="preserve">also </w:t>
      </w:r>
      <w:r w:rsidRPr="00445BF9">
        <w:rPr>
          <w:rFonts w:ascii="Times New Roman" w:hAnsi="Times New Roman"/>
          <w:sz w:val="24"/>
          <w:szCs w:val="24"/>
        </w:rPr>
        <w:t>aligned to NDP</w:t>
      </w:r>
      <w:r w:rsidR="00923455" w:rsidRPr="00445BF9">
        <w:rPr>
          <w:rFonts w:ascii="Times New Roman" w:hAnsi="Times New Roman"/>
          <w:sz w:val="24"/>
          <w:szCs w:val="24"/>
        </w:rPr>
        <w:t>s</w:t>
      </w:r>
      <w:r w:rsidRPr="00445BF9">
        <w:rPr>
          <w:rFonts w:ascii="Times New Roman" w:hAnsi="Times New Roman"/>
          <w:sz w:val="24"/>
          <w:szCs w:val="24"/>
        </w:rPr>
        <w:t xml:space="preserve">. </w:t>
      </w:r>
      <w:hyperlink r:id="rId30" w:history="1">
        <w:r w:rsidR="00923455" w:rsidRPr="00445BF9">
          <w:rPr>
            <w:rStyle w:val="Hyperlink"/>
            <w:rFonts w:ascii="Times New Roman" w:hAnsi="Times New Roman"/>
            <w:sz w:val="24"/>
            <w:szCs w:val="24"/>
          </w:rPr>
          <w:t>The c</w:t>
        </w:r>
        <w:r w:rsidRPr="00445BF9">
          <w:rPr>
            <w:rStyle w:val="Hyperlink"/>
            <w:rFonts w:ascii="Times New Roman" w:hAnsi="Times New Roman"/>
            <w:sz w:val="24"/>
            <w:szCs w:val="24"/>
          </w:rPr>
          <w:t xml:space="preserve">urrent </w:t>
        </w:r>
        <w:r w:rsidR="004E4F60" w:rsidRPr="00445BF9">
          <w:rPr>
            <w:rStyle w:val="Hyperlink"/>
            <w:rFonts w:ascii="Times New Roman" w:hAnsi="Times New Roman"/>
            <w:sz w:val="24"/>
            <w:szCs w:val="24"/>
          </w:rPr>
          <w:t>CSP</w:t>
        </w:r>
        <w:r w:rsidRPr="00445BF9">
          <w:rPr>
            <w:rStyle w:val="Hyperlink"/>
            <w:rFonts w:ascii="Times New Roman" w:hAnsi="Times New Roman"/>
            <w:sz w:val="24"/>
            <w:szCs w:val="24"/>
          </w:rPr>
          <w:t xml:space="preserve"> covers 2017-21</w:t>
        </w:r>
        <w:r w:rsidR="00923455" w:rsidRPr="00445BF9">
          <w:rPr>
            <w:rStyle w:val="Hyperlink"/>
            <w:rFonts w:ascii="Times New Roman" w:hAnsi="Times New Roman"/>
            <w:sz w:val="24"/>
            <w:szCs w:val="24"/>
          </w:rPr>
          <w:t xml:space="preserve"> period</w:t>
        </w:r>
      </w:hyperlink>
      <w:r w:rsidR="00923455" w:rsidRPr="00445BF9">
        <w:rPr>
          <w:rFonts w:ascii="Times New Roman" w:hAnsi="Times New Roman"/>
          <w:sz w:val="24"/>
          <w:szCs w:val="24"/>
        </w:rPr>
        <w:t xml:space="preserve"> and is </w:t>
      </w:r>
      <w:r w:rsidR="00AD6B47" w:rsidRPr="00445BF9">
        <w:rPr>
          <w:rFonts w:ascii="Times New Roman" w:hAnsi="Times New Roman"/>
          <w:sz w:val="24"/>
          <w:szCs w:val="24"/>
        </w:rPr>
        <w:t xml:space="preserve">aligned to </w:t>
      </w:r>
      <w:r w:rsidR="00923455" w:rsidRPr="00445BF9">
        <w:rPr>
          <w:rFonts w:ascii="Times New Roman" w:hAnsi="Times New Roman"/>
          <w:sz w:val="24"/>
          <w:szCs w:val="24"/>
        </w:rPr>
        <w:t>the Government</w:t>
      </w:r>
      <w:r w:rsidRPr="00445BF9">
        <w:rPr>
          <w:rFonts w:ascii="Times New Roman" w:hAnsi="Times New Roman"/>
          <w:sz w:val="24"/>
          <w:szCs w:val="24"/>
        </w:rPr>
        <w:t xml:space="preserve"> priorities.</w:t>
      </w:r>
      <w:r w:rsidR="002B5BC2" w:rsidRPr="00445BF9">
        <w:rPr>
          <w:rFonts w:ascii="Times New Roman" w:hAnsi="Times New Roman"/>
          <w:sz w:val="24"/>
          <w:szCs w:val="24"/>
        </w:rPr>
        <w:t xml:space="preserve"> Key </w:t>
      </w:r>
      <w:r w:rsidRPr="00445BF9">
        <w:rPr>
          <w:rFonts w:ascii="Times New Roman" w:hAnsi="Times New Roman"/>
          <w:sz w:val="24"/>
          <w:szCs w:val="24"/>
        </w:rPr>
        <w:t>areas</w:t>
      </w:r>
      <w:r w:rsidR="002B5BC2" w:rsidRPr="00445BF9">
        <w:rPr>
          <w:rFonts w:ascii="Times New Roman" w:hAnsi="Times New Roman"/>
          <w:sz w:val="24"/>
          <w:szCs w:val="24"/>
        </w:rPr>
        <w:t xml:space="preserve"> include</w:t>
      </w:r>
      <w:r w:rsidRPr="00445BF9">
        <w:rPr>
          <w:rFonts w:ascii="Times New Roman" w:hAnsi="Times New Roman"/>
          <w:sz w:val="24"/>
          <w:szCs w:val="24"/>
        </w:rPr>
        <w:t xml:space="preserve">: Energy, agriculture, water and sanitation, regional integration (transport), improving livelihoods (some aspects of health). </w:t>
      </w:r>
      <w:r w:rsidR="00E125FD" w:rsidRPr="00445BF9">
        <w:rPr>
          <w:rFonts w:ascii="Times New Roman" w:hAnsi="Times New Roman"/>
          <w:sz w:val="24"/>
          <w:szCs w:val="24"/>
        </w:rPr>
        <w:t xml:space="preserve">The </w:t>
      </w:r>
      <w:r w:rsidRPr="00445BF9">
        <w:rPr>
          <w:rFonts w:ascii="Times New Roman" w:hAnsi="Times New Roman"/>
          <w:sz w:val="24"/>
          <w:szCs w:val="24"/>
        </w:rPr>
        <w:t xml:space="preserve">Projects are selected in partnership with the </w:t>
      </w:r>
      <w:r w:rsidR="00E125FD" w:rsidRPr="00445BF9">
        <w:rPr>
          <w:rFonts w:ascii="Times New Roman" w:hAnsi="Times New Roman"/>
          <w:sz w:val="24"/>
          <w:szCs w:val="24"/>
        </w:rPr>
        <w:t>g</w:t>
      </w:r>
      <w:r w:rsidRPr="00445BF9">
        <w:rPr>
          <w:rFonts w:ascii="Times New Roman" w:hAnsi="Times New Roman"/>
          <w:sz w:val="24"/>
          <w:szCs w:val="24"/>
        </w:rPr>
        <w:t>overnment</w:t>
      </w:r>
      <w:r w:rsidR="00E125FD" w:rsidRPr="00445BF9">
        <w:rPr>
          <w:rFonts w:ascii="Times New Roman" w:hAnsi="Times New Roman"/>
          <w:sz w:val="24"/>
          <w:szCs w:val="24"/>
        </w:rPr>
        <w:t>, and the g</w:t>
      </w:r>
      <w:r w:rsidRPr="00445BF9">
        <w:rPr>
          <w:rFonts w:ascii="Times New Roman" w:hAnsi="Times New Roman"/>
          <w:sz w:val="24"/>
          <w:szCs w:val="24"/>
        </w:rPr>
        <w:t>overnment ownership</w:t>
      </w:r>
      <w:r w:rsidR="00E125FD" w:rsidRPr="00445BF9">
        <w:rPr>
          <w:rFonts w:ascii="Times New Roman" w:hAnsi="Times New Roman"/>
          <w:sz w:val="24"/>
          <w:szCs w:val="24"/>
        </w:rPr>
        <w:t xml:space="preserve"> is strong.</w:t>
      </w:r>
    </w:p>
    <w:p w14:paraId="6D4A079D" w14:textId="51CD65B2" w:rsidR="0020222D" w:rsidRPr="00445BF9" w:rsidRDefault="0077120C" w:rsidP="00445BF9">
      <w:pPr>
        <w:pStyle w:val="ListParagraph"/>
        <w:numPr>
          <w:ilvl w:val="0"/>
          <w:numId w:val="12"/>
        </w:numPr>
        <w:spacing w:after="120" w:line="360" w:lineRule="auto"/>
        <w:ind w:left="1276" w:hanging="709"/>
        <w:rPr>
          <w:rFonts w:ascii="Times New Roman" w:hAnsi="Times New Roman"/>
          <w:sz w:val="24"/>
          <w:szCs w:val="24"/>
        </w:rPr>
      </w:pPr>
      <w:r w:rsidRPr="00445BF9">
        <w:rPr>
          <w:rFonts w:ascii="Times New Roman" w:hAnsi="Times New Roman"/>
          <w:sz w:val="24"/>
          <w:szCs w:val="24"/>
        </w:rPr>
        <w:t>The</w:t>
      </w:r>
      <w:r w:rsidR="0020222D" w:rsidRPr="00445BF9">
        <w:rPr>
          <w:rFonts w:ascii="Times New Roman" w:hAnsi="Times New Roman"/>
          <w:sz w:val="24"/>
          <w:szCs w:val="24"/>
        </w:rPr>
        <w:t xml:space="preserve"> </w:t>
      </w:r>
      <w:r w:rsidR="0020222D" w:rsidRPr="00445BF9">
        <w:rPr>
          <w:rFonts w:ascii="Times New Roman" w:hAnsi="Times New Roman"/>
          <w:b/>
          <w:sz w:val="24"/>
          <w:szCs w:val="24"/>
        </w:rPr>
        <w:t>E</w:t>
      </w:r>
      <w:r w:rsidR="00E84821" w:rsidRPr="00445BF9">
        <w:rPr>
          <w:rFonts w:ascii="Times New Roman" w:hAnsi="Times New Roman"/>
          <w:b/>
          <w:sz w:val="24"/>
          <w:szCs w:val="24"/>
        </w:rPr>
        <w:t xml:space="preserve">uropean </w:t>
      </w:r>
      <w:r w:rsidR="0020222D" w:rsidRPr="00445BF9">
        <w:rPr>
          <w:rFonts w:ascii="Times New Roman" w:hAnsi="Times New Roman"/>
          <w:b/>
          <w:sz w:val="24"/>
          <w:szCs w:val="24"/>
        </w:rPr>
        <w:t>U</w:t>
      </w:r>
      <w:r w:rsidR="00E84821" w:rsidRPr="00445BF9">
        <w:rPr>
          <w:rFonts w:ascii="Times New Roman" w:hAnsi="Times New Roman"/>
          <w:b/>
          <w:sz w:val="24"/>
          <w:szCs w:val="24"/>
        </w:rPr>
        <w:t>nion</w:t>
      </w:r>
      <w:r w:rsidR="0020222D" w:rsidRPr="00445BF9">
        <w:rPr>
          <w:rFonts w:ascii="Times New Roman" w:hAnsi="Times New Roman"/>
          <w:sz w:val="24"/>
          <w:szCs w:val="24"/>
        </w:rPr>
        <w:t xml:space="preserve"> </w:t>
      </w:r>
      <w:r w:rsidRPr="00445BF9">
        <w:rPr>
          <w:rFonts w:ascii="Times New Roman" w:hAnsi="Times New Roman"/>
          <w:sz w:val="24"/>
          <w:szCs w:val="24"/>
        </w:rPr>
        <w:t xml:space="preserve">has recently signed an agreement </w:t>
      </w:r>
      <w:r w:rsidR="0020222D" w:rsidRPr="00445BF9">
        <w:rPr>
          <w:rFonts w:ascii="Times New Roman" w:hAnsi="Times New Roman"/>
          <w:sz w:val="24"/>
          <w:szCs w:val="24"/>
        </w:rPr>
        <w:t>to support the country</w:t>
      </w:r>
      <w:r w:rsidRPr="00445BF9">
        <w:rPr>
          <w:rFonts w:ascii="Times New Roman" w:hAnsi="Times New Roman"/>
          <w:sz w:val="24"/>
          <w:szCs w:val="24"/>
        </w:rPr>
        <w:t>’s</w:t>
      </w:r>
      <w:r w:rsidR="0020222D" w:rsidRPr="00445BF9">
        <w:rPr>
          <w:rFonts w:ascii="Times New Roman" w:hAnsi="Times New Roman"/>
          <w:sz w:val="24"/>
          <w:szCs w:val="24"/>
        </w:rPr>
        <w:t xml:space="preserve"> growth programme through the European Development Fund-11 (EDF-11). </w:t>
      </w:r>
      <w:r w:rsidR="00F1058D" w:rsidRPr="00445BF9">
        <w:rPr>
          <w:rFonts w:ascii="Times New Roman" w:hAnsi="Times New Roman"/>
          <w:sz w:val="24"/>
          <w:szCs w:val="24"/>
        </w:rPr>
        <w:t>The</w:t>
      </w:r>
      <w:r w:rsidR="0020222D" w:rsidRPr="00445BF9">
        <w:rPr>
          <w:rFonts w:ascii="Times New Roman" w:hAnsi="Times New Roman"/>
          <w:sz w:val="24"/>
          <w:szCs w:val="24"/>
        </w:rPr>
        <w:t xml:space="preserve"> EU programmes </w:t>
      </w:r>
      <w:r w:rsidR="00AF18E4" w:rsidRPr="00445BF9">
        <w:rPr>
          <w:rFonts w:ascii="Times New Roman" w:hAnsi="Times New Roman"/>
          <w:sz w:val="24"/>
          <w:szCs w:val="24"/>
        </w:rPr>
        <w:t>cover d</w:t>
      </w:r>
      <w:r w:rsidR="00F1058D" w:rsidRPr="00445BF9">
        <w:rPr>
          <w:rFonts w:ascii="Times New Roman" w:hAnsi="Times New Roman"/>
          <w:sz w:val="24"/>
          <w:szCs w:val="24"/>
        </w:rPr>
        <w:t xml:space="preserve">emocratic </w:t>
      </w:r>
      <w:r w:rsidR="00AF18E4" w:rsidRPr="00445BF9">
        <w:rPr>
          <w:rFonts w:ascii="Times New Roman" w:hAnsi="Times New Roman"/>
          <w:sz w:val="24"/>
          <w:szCs w:val="24"/>
        </w:rPr>
        <w:t>governance, accountability</w:t>
      </w:r>
      <w:r w:rsidR="00F1058D" w:rsidRPr="00445BF9">
        <w:rPr>
          <w:rFonts w:ascii="Times New Roman" w:hAnsi="Times New Roman"/>
          <w:sz w:val="24"/>
          <w:szCs w:val="24"/>
        </w:rPr>
        <w:t xml:space="preserve">, </w:t>
      </w:r>
      <w:r w:rsidR="003F1346" w:rsidRPr="00445BF9">
        <w:rPr>
          <w:rFonts w:ascii="Times New Roman" w:hAnsi="Times New Roman"/>
          <w:sz w:val="24"/>
          <w:szCs w:val="24"/>
        </w:rPr>
        <w:t xml:space="preserve">anti-corruption, </w:t>
      </w:r>
      <w:r w:rsidR="00AF18E4" w:rsidRPr="00445BF9">
        <w:rPr>
          <w:rFonts w:ascii="Times New Roman" w:hAnsi="Times New Roman"/>
          <w:sz w:val="24"/>
          <w:szCs w:val="24"/>
        </w:rPr>
        <w:t>j</w:t>
      </w:r>
      <w:r w:rsidR="00F1058D" w:rsidRPr="00445BF9">
        <w:rPr>
          <w:rFonts w:ascii="Times New Roman" w:hAnsi="Times New Roman"/>
          <w:sz w:val="24"/>
          <w:szCs w:val="24"/>
        </w:rPr>
        <w:t xml:space="preserve">ustice, </w:t>
      </w:r>
      <w:r w:rsidR="00AF18E4" w:rsidRPr="00445BF9">
        <w:rPr>
          <w:rFonts w:ascii="Times New Roman" w:hAnsi="Times New Roman"/>
          <w:sz w:val="24"/>
          <w:szCs w:val="24"/>
        </w:rPr>
        <w:t xml:space="preserve">civil society, human rights, </w:t>
      </w:r>
      <w:r w:rsidR="00F1058D" w:rsidRPr="00445BF9">
        <w:rPr>
          <w:rFonts w:ascii="Times New Roman" w:hAnsi="Times New Roman"/>
          <w:sz w:val="24"/>
          <w:szCs w:val="24"/>
        </w:rPr>
        <w:t>gender</w:t>
      </w:r>
      <w:r w:rsidR="00AF18E4" w:rsidRPr="00445BF9">
        <w:rPr>
          <w:rFonts w:ascii="Times New Roman" w:hAnsi="Times New Roman"/>
          <w:sz w:val="24"/>
          <w:szCs w:val="24"/>
        </w:rPr>
        <w:t xml:space="preserve"> and </w:t>
      </w:r>
      <w:r w:rsidR="00F1058D" w:rsidRPr="00445BF9">
        <w:rPr>
          <w:rFonts w:ascii="Times New Roman" w:hAnsi="Times New Roman"/>
          <w:sz w:val="24"/>
          <w:szCs w:val="24"/>
        </w:rPr>
        <w:t>youth</w:t>
      </w:r>
      <w:r w:rsidR="003F1346" w:rsidRPr="00445BF9">
        <w:rPr>
          <w:rFonts w:ascii="Times New Roman" w:hAnsi="Times New Roman"/>
          <w:sz w:val="24"/>
          <w:szCs w:val="24"/>
        </w:rPr>
        <w:t>, as well as Northern Uganda Development initiative (democratic governance, rural development, agriculture, infrastructure).</w:t>
      </w:r>
    </w:p>
    <w:p w14:paraId="458DCA8D" w14:textId="2ED4D088" w:rsidR="00935660" w:rsidRPr="00445BF9" w:rsidRDefault="00E84821" w:rsidP="00445BF9">
      <w:pPr>
        <w:pStyle w:val="ListParagraph"/>
        <w:numPr>
          <w:ilvl w:val="0"/>
          <w:numId w:val="12"/>
        </w:numPr>
        <w:spacing w:after="120" w:line="360" w:lineRule="auto"/>
        <w:ind w:left="1276" w:hanging="709"/>
        <w:rPr>
          <w:rFonts w:ascii="Times New Roman" w:hAnsi="Times New Roman"/>
          <w:sz w:val="24"/>
          <w:szCs w:val="24"/>
        </w:rPr>
      </w:pPr>
      <w:r w:rsidRPr="00445BF9">
        <w:rPr>
          <w:rFonts w:ascii="Times New Roman" w:hAnsi="Times New Roman"/>
          <w:b/>
          <w:sz w:val="24"/>
          <w:szCs w:val="24"/>
        </w:rPr>
        <w:t>Japan</w:t>
      </w:r>
      <w:r w:rsidR="002D6821" w:rsidRPr="00445BF9">
        <w:rPr>
          <w:rFonts w:ascii="Times New Roman" w:hAnsi="Times New Roman"/>
          <w:b/>
          <w:sz w:val="24"/>
          <w:szCs w:val="24"/>
        </w:rPr>
        <w:t>’s</w:t>
      </w:r>
      <w:r w:rsidR="00F93B80" w:rsidRPr="00445BF9">
        <w:rPr>
          <w:rFonts w:ascii="Times New Roman" w:hAnsi="Times New Roman"/>
          <w:b/>
          <w:sz w:val="24"/>
          <w:szCs w:val="24"/>
        </w:rPr>
        <w:t>/JICA</w:t>
      </w:r>
      <w:r w:rsidR="002D6821" w:rsidRPr="00445BF9">
        <w:rPr>
          <w:rFonts w:ascii="Times New Roman" w:hAnsi="Times New Roman"/>
          <w:sz w:val="24"/>
          <w:szCs w:val="24"/>
        </w:rPr>
        <w:t xml:space="preserve"> assistance is a</w:t>
      </w:r>
      <w:r w:rsidRPr="00445BF9">
        <w:rPr>
          <w:rFonts w:ascii="Times New Roman" w:hAnsi="Times New Roman"/>
          <w:sz w:val="24"/>
          <w:szCs w:val="24"/>
        </w:rPr>
        <w:t xml:space="preserve">ligned to NDP </w:t>
      </w:r>
      <w:r w:rsidR="00C92749" w:rsidRPr="00445BF9">
        <w:rPr>
          <w:rFonts w:ascii="Times New Roman" w:hAnsi="Times New Roman"/>
          <w:sz w:val="24"/>
          <w:szCs w:val="24"/>
        </w:rPr>
        <w:t>priorities and covers</w:t>
      </w:r>
      <w:r w:rsidRPr="00445BF9">
        <w:rPr>
          <w:rFonts w:ascii="Times New Roman" w:hAnsi="Times New Roman"/>
          <w:sz w:val="24"/>
          <w:szCs w:val="24"/>
        </w:rPr>
        <w:t>:</w:t>
      </w:r>
      <w:r w:rsidR="00C92749" w:rsidRPr="00445BF9">
        <w:rPr>
          <w:rFonts w:ascii="Times New Roman" w:hAnsi="Times New Roman"/>
          <w:sz w:val="24"/>
          <w:szCs w:val="24"/>
        </w:rPr>
        <w:t xml:space="preserve"> </w:t>
      </w:r>
      <w:r w:rsidRPr="00445BF9">
        <w:rPr>
          <w:rFonts w:ascii="Times New Roman" w:hAnsi="Times New Roman"/>
          <w:sz w:val="24"/>
          <w:szCs w:val="24"/>
        </w:rPr>
        <w:t xml:space="preserve">Economic Infrastructure and Agricultural Development; Basic Human Needs, Northern Reconstruction, HR Development. </w:t>
      </w:r>
      <w:r w:rsidR="00C92749" w:rsidRPr="00445BF9">
        <w:rPr>
          <w:rFonts w:ascii="Times New Roman" w:hAnsi="Times New Roman"/>
          <w:sz w:val="24"/>
          <w:szCs w:val="24"/>
        </w:rPr>
        <w:t>Japan is a</w:t>
      </w:r>
      <w:r w:rsidRPr="00445BF9">
        <w:rPr>
          <w:rFonts w:ascii="Times New Roman" w:hAnsi="Times New Roman"/>
          <w:sz w:val="24"/>
          <w:szCs w:val="24"/>
        </w:rPr>
        <w:t xml:space="preserve">lso focusing </w:t>
      </w:r>
      <w:r w:rsidR="003F2BD3" w:rsidRPr="00445BF9">
        <w:rPr>
          <w:rFonts w:ascii="Times New Roman" w:hAnsi="Times New Roman"/>
          <w:sz w:val="24"/>
          <w:szCs w:val="24"/>
        </w:rPr>
        <w:t xml:space="preserve">support </w:t>
      </w:r>
      <w:r w:rsidRPr="00445BF9">
        <w:rPr>
          <w:rFonts w:ascii="Times New Roman" w:hAnsi="Times New Roman"/>
          <w:sz w:val="24"/>
          <w:szCs w:val="24"/>
        </w:rPr>
        <w:t>in social sectors (mostly grants).</w:t>
      </w:r>
      <w:r w:rsidR="00935660" w:rsidRPr="00445BF9">
        <w:rPr>
          <w:rFonts w:ascii="Times New Roman" w:hAnsi="Times New Roman"/>
          <w:sz w:val="24"/>
          <w:szCs w:val="24"/>
        </w:rPr>
        <w:t xml:space="preserve"> Loans and Grants are on-budget, whereas Technical Cooperation is channelled with off-budget modality.</w:t>
      </w:r>
    </w:p>
    <w:p w14:paraId="279E4703" w14:textId="790292B0" w:rsidR="009F11AB" w:rsidRPr="00445BF9" w:rsidRDefault="009F11AB" w:rsidP="00445BF9">
      <w:pPr>
        <w:pStyle w:val="ListParagraph"/>
        <w:numPr>
          <w:ilvl w:val="0"/>
          <w:numId w:val="12"/>
        </w:numPr>
        <w:spacing w:after="120" w:line="360" w:lineRule="auto"/>
        <w:ind w:left="1276" w:hanging="709"/>
        <w:rPr>
          <w:rFonts w:ascii="Times New Roman" w:hAnsi="Times New Roman"/>
          <w:sz w:val="24"/>
          <w:szCs w:val="24"/>
        </w:rPr>
      </w:pPr>
      <w:r w:rsidRPr="00445BF9">
        <w:rPr>
          <w:rFonts w:ascii="Times New Roman" w:hAnsi="Times New Roman"/>
          <w:b/>
          <w:sz w:val="24"/>
          <w:szCs w:val="24"/>
        </w:rPr>
        <w:t xml:space="preserve">USAID </w:t>
      </w:r>
      <w:r w:rsidRPr="00445BF9">
        <w:rPr>
          <w:rFonts w:ascii="Times New Roman" w:hAnsi="Times New Roman"/>
          <w:sz w:val="24"/>
          <w:szCs w:val="24"/>
        </w:rPr>
        <w:t>has Country Development Cooperation Strategy (CDCS</w:t>
      </w:r>
      <w:r w:rsidR="00D260CD" w:rsidRPr="00445BF9">
        <w:rPr>
          <w:rFonts w:ascii="Times New Roman" w:hAnsi="Times New Roman"/>
          <w:sz w:val="24"/>
          <w:szCs w:val="24"/>
        </w:rPr>
        <w:t xml:space="preserve">, </w:t>
      </w:r>
      <w:r w:rsidRPr="00445BF9">
        <w:rPr>
          <w:rFonts w:ascii="Times New Roman" w:hAnsi="Times New Roman"/>
          <w:sz w:val="24"/>
          <w:szCs w:val="24"/>
        </w:rPr>
        <w:t>2017-2021</w:t>
      </w:r>
      <w:r w:rsidR="00D260CD" w:rsidRPr="00445BF9">
        <w:rPr>
          <w:rFonts w:ascii="Times New Roman" w:hAnsi="Times New Roman"/>
          <w:sz w:val="24"/>
          <w:szCs w:val="24"/>
        </w:rPr>
        <w:t>) that</w:t>
      </w:r>
      <w:r w:rsidRPr="00445BF9">
        <w:rPr>
          <w:rFonts w:ascii="Times New Roman" w:hAnsi="Times New Roman"/>
          <w:sz w:val="24"/>
          <w:szCs w:val="24"/>
        </w:rPr>
        <w:t xml:space="preserve"> has </w:t>
      </w:r>
      <w:r w:rsidR="00D260CD" w:rsidRPr="00445BF9">
        <w:rPr>
          <w:rFonts w:ascii="Times New Roman" w:hAnsi="Times New Roman"/>
          <w:sz w:val="24"/>
          <w:szCs w:val="24"/>
        </w:rPr>
        <w:t>three</w:t>
      </w:r>
      <w:r w:rsidRPr="00445BF9">
        <w:rPr>
          <w:rFonts w:ascii="Times New Roman" w:hAnsi="Times New Roman"/>
          <w:sz w:val="24"/>
          <w:szCs w:val="24"/>
        </w:rPr>
        <w:t xml:space="preserve"> </w:t>
      </w:r>
      <w:r w:rsidR="00D260CD" w:rsidRPr="00445BF9">
        <w:rPr>
          <w:rFonts w:ascii="Times New Roman" w:hAnsi="Times New Roman"/>
          <w:sz w:val="24"/>
          <w:szCs w:val="24"/>
        </w:rPr>
        <w:t>d</w:t>
      </w:r>
      <w:r w:rsidRPr="00445BF9">
        <w:rPr>
          <w:rFonts w:ascii="Times New Roman" w:hAnsi="Times New Roman"/>
          <w:sz w:val="24"/>
          <w:szCs w:val="24"/>
        </w:rPr>
        <w:t xml:space="preserve">evelopment </w:t>
      </w:r>
      <w:r w:rsidR="00D260CD" w:rsidRPr="00445BF9">
        <w:rPr>
          <w:rFonts w:ascii="Times New Roman" w:hAnsi="Times New Roman"/>
          <w:sz w:val="24"/>
          <w:szCs w:val="24"/>
        </w:rPr>
        <w:t>o</w:t>
      </w:r>
      <w:r w:rsidRPr="00445BF9">
        <w:rPr>
          <w:rFonts w:ascii="Times New Roman" w:hAnsi="Times New Roman"/>
          <w:sz w:val="24"/>
          <w:szCs w:val="24"/>
        </w:rPr>
        <w:t>bjectives, and intermediary results under each, that align to NDP-</w:t>
      </w:r>
      <w:r w:rsidR="00D260CD" w:rsidRPr="00445BF9">
        <w:rPr>
          <w:rFonts w:ascii="Times New Roman" w:hAnsi="Times New Roman"/>
          <w:sz w:val="24"/>
          <w:szCs w:val="24"/>
        </w:rPr>
        <w:t>II</w:t>
      </w:r>
      <w:r w:rsidRPr="00445BF9">
        <w:rPr>
          <w:rFonts w:ascii="Times New Roman" w:hAnsi="Times New Roman"/>
          <w:sz w:val="24"/>
          <w:szCs w:val="24"/>
        </w:rPr>
        <w:t xml:space="preserve"> priorities.</w:t>
      </w:r>
    </w:p>
    <w:p w14:paraId="7FBD30FF" w14:textId="4267D236" w:rsidR="005D6D32" w:rsidRPr="00445BF9" w:rsidRDefault="003C5657"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Further </w:t>
      </w:r>
      <w:r w:rsidR="005D6D32" w:rsidRPr="00445BF9">
        <w:rPr>
          <w:rFonts w:ascii="Times New Roman" w:eastAsia="Arial Unicode MS" w:hAnsi="Times New Roman"/>
          <w:sz w:val="24"/>
          <w:szCs w:val="24"/>
        </w:rPr>
        <w:t>observations on the alignment of development assistance</w:t>
      </w:r>
      <w:r w:rsidRPr="00445BF9">
        <w:rPr>
          <w:rFonts w:ascii="Times New Roman" w:eastAsia="Arial Unicode MS" w:hAnsi="Times New Roman"/>
          <w:sz w:val="24"/>
          <w:szCs w:val="24"/>
        </w:rPr>
        <w:t xml:space="preserve"> are as follows</w:t>
      </w:r>
      <w:r w:rsidR="005D6D32" w:rsidRPr="00445BF9">
        <w:rPr>
          <w:rFonts w:ascii="Times New Roman" w:eastAsia="Arial Unicode MS" w:hAnsi="Times New Roman"/>
          <w:sz w:val="24"/>
          <w:szCs w:val="24"/>
        </w:rPr>
        <w:t>:</w:t>
      </w:r>
    </w:p>
    <w:p w14:paraId="4B16F09D" w14:textId="2E12C2EF" w:rsidR="00BF2449" w:rsidRPr="00445BF9" w:rsidRDefault="00BF2449" w:rsidP="00445BF9">
      <w:pPr>
        <w:pStyle w:val="ListParagraph"/>
        <w:numPr>
          <w:ilvl w:val="0"/>
          <w:numId w:val="23"/>
        </w:numPr>
        <w:spacing w:after="120" w:line="360" w:lineRule="auto"/>
        <w:ind w:left="1276" w:hanging="709"/>
        <w:rPr>
          <w:rFonts w:ascii="Times New Roman" w:hAnsi="Times New Roman"/>
          <w:sz w:val="24"/>
          <w:szCs w:val="24"/>
        </w:rPr>
      </w:pPr>
      <w:r w:rsidRPr="00445BF9">
        <w:rPr>
          <w:rFonts w:ascii="Times New Roman" w:hAnsi="Times New Roman"/>
          <w:b/>
          <w:sz w:val="24"/>
          <w:szCs w:val="24"/>
        </w:rPr>
        <w:lastRenderedPageBreak/>
        <w:t>Under the NDP-II there is a requirement for loans alignment to NDP priorities:</w:t>
      </w:r>
      <w:r w:rsidRPr="00445BF9">
        <w:rPr>
          <w:rFonts w:ascii="Times New Roman" w:hAnsi="Times New Roman"/>
          <w:sz w:val="24"/>
          <w:szCs w:val="24"/>
        </w:rPr>
        <w:t xml:space="preserve"> the NPA has to write a letter to confirm </w:t>
      </w:r>
      <w:r w:rsidRPr="00445BF9">
        <w:rPr>
          <w:rFonts w:ascii="Times New Roman" w:eastAsia="Arial Unicode MS" w:hAnsi="Times New Roman"/>
          <w:sz w:val="24"/>
          <w:szCs w:val="24"/>
        </w:rPr>
        <w:t>alignment</w:t>
      </w:r>
      <w:r w:rsidRPr="00445BF9">
        <w:rPr>
          <w:rFonts w:ascii="Times New Roman" w:hAnsi="Times New Roman"/>
          <w:sz w:val="24"/>
          <w:szCs w:val="24"/>
        </w:rPr>
        <w:t xml:space="preserve"> to NDP for each loan, after discussing each </w:t>
      </w:r>
      <w:r w:rsidR="00ED5B68" w:rsidRPr="00445BF9">
        <w:rPr>
          <w:rFonts w:ascii="Times New Roman" w:hAnsi="Times New Roman"/>
          <w:sz w:val="24"/>
          <w:szCs w:val="24"/>
        </w:rPr>
        <w:t>loan</w:t>
      </w:r>
      <w:r w:rsidRPr="00445BF9">
        <w:rPr>
          <w:rFonts w:ascii="Times New Roman" w:hAnsi="Times New Roman"/>
          <w:sz w:val="24"/>
          <w:szCs w:val="24"/>
        </w:rPr>
        <w:t xml:space="preserve"> with relevant sector ministry.</w:t>
      </w:r>
    </w:p>
    <w:p w14:paraId="180D98AE" w14:textId="5F080A9A" w:rsidR="005D6D32" w:rsidRPr="00445BF9" w:rsidRDefault="005D6D32" w:rsidP="00445BF9">
      <w:pPr>
        <w:pStyle w:val="ListParagraph"/>
        <w:numPr>
          <w:ilvl w:val="0"/>
          <w:numId w:val="23"/>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sz w:val="24"/>
          <w:szCs w:val="24"/>
        </w:rPr>
        <w:t xml:space="preserve">There is still concern that </w:t>
      </w:r>
      <w:r w:rsidRPr="00445BF9">
        <w:rPr>
          <w:rFonts w:ascii="Times New Roman" w:eastAsia="Arial Unicode MS" w:hAnsi="Times New Roman"/>
          <w:b/>
          <w:sz w:val="24"/>
          <w:szCs w:val="24"/>
        </w:rPr>
        <w:t>not all sectors have effectively aligned their sector strategic plans to the NDP</w:t>
      </w:r>
      <w:r w:rsidR="00297215" w:rsidRPr="00445BF9">
        <w:rPr>
          <w:rFonts w:ascii="Times New Roman" w:eastAsia="Arial Unicode MS" w:hAnsi="Times New Roman"/>
          <w:b/>
          <w:sz w:val="24"/>
          <w:szCs w:val="24"/>
        </w:rPr>
        <w:t>-II</w:t>
      </w:r>
      <w:r w:rsidRPr="00445BF9">
        <w:rPr>
          <w:rFonts w:ascii="Times New Roman" w:eastAsia="Arial Unicode MS" w:hAnsi="Times New Roman"/>
          <w:b/>
          <w:sz w:val="24"/>
          <w:szCs w:val="24"/>
        </w:rPr>
        <w:t xml:space="preserve">.  </w:t>
      </w:r>
      <w:r w:rsidR="00050920" w:rsidRPr="00445BF9">
        <w:rPr>
          <w:rFonts w:ascii="Times New Roman" w:eastAsia="Arial Unicode MS" w:hAnsi="Times New Roman"/>
          <w:sz w:val="24"/>
          <w:szCs w:val="24"/>
        </w:rPr>
        <w:t xml:space="preserve">This </w:t>
      </w:r>
      <w:r w:rsidR="00643BE8" w:rsidRPr="00445BF9">
        <w:rPr>
          <w:rFonts w:ascii="Times New Roman" w:eastAsia="Arial Unicode MS" w:hAnsi="Times New Roman"/>
          <w:sz w:val="24"/>
          <w:szCs w:val="24"/>
        </w:rPr>
        <w:t xml:space="preserve">in its turn concerns to the alignment of development assistance, which is linked to the </w:t>
      </w:r>
      <w:r w:rsidR="00EF4F8F" w:rsidRPr="00445BF9">
        <w:rPr>
          <w:rFonts w:ascii="Times New Roman" w:eastAsia="Arial Unicode MS" w:hAnsi="Times New Roman"/>
          <w:sz w:val="24"/>
          <w:szCs w:val="24"/>
        </w:rPr>
        <w:t xml:space="preserve">sector strategies (including the </w:t>
      </w:r>
      <w:r w:rsidR="00643BE8" w:rsidRPr="00445BF9">
        <w:rPr>
          <w:rFonts w:ascii="Times New Roman" w:eastAsia="Arial Unicode MS" w:hAnsi="Times New Roman"/>
          <w:sz w:val="24"/>
          <w:szCs w:val="24"/>
        </w:rPr>
        <w:t xml:space="preserve">coverage and </w:t>
      </w:r>
      <w:r w:rsidR="00EF4F8F" w:rsidRPr="00445BF9">
        <w:rPr>
          <w:rFonts w:ascii="Times New Roman" w:eastAsia="Arial Unicode MS" w:hAnsi="Times New Roman"/>
          <w:sz w:val="24"/>
          <w:szCs w:val="24"/>
        </w:rPr>
        <w:t xml:space="preserve">the </w:t>
      </w:r>
      <w:r w:rsidR="00643BE8" w:rsidRPr="00445BF9">
        <w:rPr>
          <w:rFonts w:ascii="Times New Roman" w:eastAsia="Arial Unicode MS" w:hAnsi="Times New Roman"/>
          <w:sz w:val="24"/>
          <w:szCs w:val="24"/>
        </w:rPr>
        <w:t>quality of sector strategies</w:t>
      </w:r>
      <w:r w:rsidR="00EF4F8F" w:rsidRPr="00445BF9">
        <w:rPr>
          <w:rFonts w:ascii="Times New Roman" w:eastAsia="Arial Unicode MS" w:hAnsi="Times New Roman"/>
          <w:sz w:val="24"/>
          <w:szCs w:val="24"/>
        </w:rPr>
        <w:t>)</w:t>
      </w:r>
      <w:r w:rsidR="00643BE8" w:rsidRPr="00445BF9">
        <w:rPr>
          <w:rFonts w:ascii="Times New Roman" w:eastAsia="Arial Unicode MS" w:hAnsi="Times New Roman"/>
          <w:sz w:val="24"/>
          <w:szCs w:val="24"/>
        </w:rPr>
        <w:t>.</w:t>
      </w:r>
    </w:p>
    <w:p w14:paraId="7B7485FF" w14:textId="012BD531" w:rsidR="007A7C4C" w:rsidRPr="00445BF9" w:rsidRDefault="007A7C4C" w:rsidP="00445BF9">
      <w:pPr>
        <w:pStyle w:val="ListParagraph"/>
        <w:numPr>
          <w:ilvl w:val="0"/>
          <w:numId w:val="23"/>
        </w:numPr>
        <w:spacing w:after="120" w:line="360" w:lineRule="auto"/>
        <w:ind w:left="1276" w:hanging="709"/>
        <w:rPr>
          <w:rFonts w:ascii="Times New Roman" w:hAnsi="Times New Roman"/>
          <w:sz w:val="24"/>
          <w:szCs w:val="24"/>
        </w:rPr>
      </w:pPr>
      <w:r w:rsidRPr="00445BF9">
        <w:rPr>
          <w:rFonts w:ascii="Times New Roman" w:hAnsi="Times New Roman"/>
          <w:sz w:val="24"/>
          <w:szCs w:val="24"/>
        </w:rPr>
        <w:t>DPs funding</w:t>
      </w:r>
      <w:r w:rsidR="00F02366" w:rsidRPr="00445BF9">
        <w:rPr>
          <w:rFonts w:ascii="Times New Roman" w:hAnsi="Times New Roman"/>
          <w:sz w:val="24"/>
          <w:szCs w:val="24"/>
        </w:rPr>
        <w:t xml:space="preserve"> and projects</w:t>
      </w:r>
      <w:r w:rsidRPr="00445BF9">
        <w:rPr>
          <w:rFonts w:ascii="Times New Roman" w:hAnsi="Times New Roman"/>
          <w:sz w:val="24"/>
          <w:szCs w:val="24"/>
        </w:rPr>
        <w:t xml:space="preserve"> </w:t>
      </w:r>
      <w:r w:rsidR="004811FE" w:rsidRPr="00445BF9">
        <w:rPr>
          <w:rFonts w:ascii="Times New Roman" w:hAnsi="Times New Roman"/>
          <w:sz w:val="24"/>
          <w:szCs w:val="24"/>
        </w:rPr>
        <w:t xml:space="preserve">are </w:t>
      </w:r>
      <w:r w:rsidRPr="00445BF9">
        <w:rPr>
          <w:rFonts w:ascii="Times New Roman" w:hAnsi="Times New Roman"/>
          <w:sz w:val="24"/>
          <w:szCs w:val="24"/>
        </w:rPr>
        <w:t>more focus</w:t>
      </w:r>
      <w:r w:rsidR="004811FE" w:rsidRPr="00445BF9">
        <w:rPr>
          <w:rFonts w:ascii="Times New Roman" w:hAnsi="Times New Roman"/>
          <w:sz w:val="24"/>
          <w:szCs w:val="24"/>
        </w:rPr>
        <w:t xml:space="preserve">ed </w:t>
      </w:r>
      <w:r w:rsidRPr="00445BF9">
        <w:rPr>
          <w:rFonts w:ascii="Times New Roman" w:hAnsi="Times New Roman"/>
          <w:sz w:val="24"/>
          <w:szCs w:val="24"/>
        </w:rPr>
        <w:t xml:space="preserve">on </w:t>
      </w:r>
      <w:r w:rsidR="00961B6F" w:rsidRPr="00445BF9">
        <w:rPr>
          <w:rFonts w:ascii="Times New Roman" w:eastAsia="Arial Unicode MS" w:hAnsi="Times New Roman"/>
          <w:sz w:val="24"/>
          <w:szCs w:val="24"/>
        </w:rPr>
        <w:t>human capital development</w:t>
      </w:r>
      <w:r w:rsidRPr="00445BF9">
        <w:rPr>
          <w:rFonts w:ascii="Times New Roman" w:hAnsi="Times New Roman"/>
          <w:sz w:val="24"/>
          <w:szCs w:val="24"/>
        </w:rPr>
        <w:t xml:space="preserve">, whereas </w:t>
      </w:r>
      <w:r w:rsidR="00961B6F" w:rsidRPr="00445BF9">
        <w:rPr>
          <w:rFonts w:ascii="Times New Roman" w:hAnsi="Times New Roman"/>
          <w:sz w:val="24"/>
          <w:szCs w:val="24"/>
        </w:rPr>
        <w:t xml:space="preserve">the </w:t>
      </w:r>
      <w:r w:rsidRPr="00445BF9">
        <w:rPr>
          <w:rFonts w:ascii="Times New Roman" w:hAnsi="Times New Roman"/>
          <w:sz w:val="24"/>
          <w:szCs w:val="24"/>
        </w:rPr>
        <w:t xml:space="preserve">GoU </w:t>
      </w:r>
      <w:r w:rsidR="00F52254" w:rsidRPr="00445BF9">
        <w:rPr>
          <w:rFonts w:ascii="Times New Roman" w:hAnsi="Times New Roman"/>
          <w:sz w:val="24"/>
          <w:szCs w:val="24"/>
        </w:rPr>
        <w:t xml:space="preserve">focuses on </w:t>
      </w:r>
      <w:r w:rsidRPr="00445BF9">
        <w:rPr>
          <w:rFonts w:ascii="Times New Roman" w:hAnsi="Times New Roman"/>
          <w:sz w:val="24"/>
          <w:szCs w:val="24"/>
        </w:rPr>
        <w:t>infrastructure</w:t>
      </w:r>
      <w:r w:rsidR="00F52254" w:rsidRPr="00445BF9">
        <w:rPr>
          <w:rFonts w:ascii="Times New Roman" w:hAnsi="Times New Roman"/>
          <w:sz w:val="24"/>
          <w:szCs w:val="24"/>
        </w:rPr>
        <w:t xml:space="preserve"> projects</w:t>
      </w:r>
      <w:r w:rsidR="00FB1F34" w:rsidRPr="00445BF9">
        <w:rPr>
          <w:rFonts w:ascii="Times New Roman" w:hAnsi="Times New Roman"/>
          <w:sz w:val="24"/>
          <w:szCs w:val="24"/>
        </w:rPr>
        <w:t>, hence complementary nature of DP/GoU interventions in NDP-II.</w:t>
      </w:r>
    </w:p>
    <w:p w14:paraId="5CA71BC2" w14:textId="20E9EE04" w:rsidR="005D6D32" w:rsidRPr="00445BF9" w:rsidRDefault="005D6D32" w:rsidP="00445BF9">
      <w:pPr>
        <w:pStyle w:val="ListParagraph"/>
        <w:numPr>
          <w:ilvl w:val="0"/>
          <w:numId w:val="23"/>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sz w:val="24"/>
          <w:szCs w:val="24"/>
        </w:rPr>
        <w:t xml:space="preserve">There are </w:t>
      </w:r>
      <w:r w:rsidR="00163079" w:rsidRPr="00445BF9">
        <w:rPr>
          <w:rFonts w:ascii="Times New Roman" w:eastAsia="Arial Unicode MS" w:hAnsi="Times New Roman"/>
          <w:sz w:val="24"/>
          <w:szCs w:val="24"/>
        </w:rPr>
        <w:t>challenges</w:t>
      </w:r>
      <w:r w:rsidRPr="00445BF9">
        <w:rPr>
          <w:rFonts w:ascii="Times New Roman" w:eastAsia="Arial Unicode MS" w:hAnsi="Times New Roman"/>
          <w:sz w:val="24"/>
          <w:szCs w:val="24"/>
        </w:rPr>
        <w:t xml:space="preserve"> in assessing </w:t>
      </w:r>
      <w:r w:rsidRPr="00445BF9">
        <w:rPr>
          <w:rFonts w:ascii="Times New Roman" w:eastAsia="Arial Unicode MS" w:hAnsi="Times New Roman"/>
          <w:b/>
          <w:sz w:val="24"/>
          <w:szCs w:val="24"/>
        </w:rPr>
        <w:t>the alignment of “off budget” resources</w:t>
      </w:r>
      <w:r w:rsidRPr="00445BF9">
        <w:rPr>
          <w:rFonts w:ascii="Times New Roman" w:eastAsia="Arial Unicode MS" w:hAnsi="Times New Roman"/>
          <w:sz w:val="24"/>
          <w:szCs w:val="24"/>
        </w:rPr>
        <w:t xml:space="preserve"> because, although they may be reviewed in sector working group processes, they are </w:t>
      </w:r>
      <w:r w:rsidR="00DE5744" w:rsidRPr="00445BF9">
        <w:rPr>
          <w:rFonts w:ascii="Times New Roman" w:eastAsia="Arial Unicode MS" w:hAnsi="Times New Roman"/>
          <w:sz w:val="24"/>
          <w:szCs w:val="24"/>
        </w:rPr>
        <w:t>never</w:t>
      </w:r>
      <w:r w:rsidRPr="00445BF9">
        <w:rPr>
          <w:rFonts w:ascii="Times New Roman" w:eastAsia="Arial Unicode MS" w:hAnsi="Times New Roman"/>
          <w:sz w:val="24"/>
          <w:szCs w:val="24"/>
        </w:rPr>
        <w:t xml:space="preserve"> factored into sector plans and included in monitoring and evaluation frameworks. </w:t>
      </w:r>
    </w:p>
    <w:p w14:paraId="11E0C56F" w14:textId="46D9BB42" w:rsidR="005D6D32" w:rsidRPr="00445BF9" w:rsidRDefault="0038209A" w:rsidP="00445BF9">
      <w:pPr>
        <w:pStyle w:val="ListParagraph"/>
        <w:numPr>
          <w:ilvl w:val="0"/>
          <w:numId w:val="23"/>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b/>
          <w:sz w:val="24"/>
          <w:szCs w:val="24"/>
        </w:rPr>
        <w:t xml:space="preserve">DPs’ </w:t>
      </w:r>
      <w:r w:rsidR="00381D8D" w:rsidRPr="00445BF9">
        <w:rPr>
          <w:rFonts w:ascii="Times New Roman" w:eastAsia="Arial Unicode MS" w:hAnsi="Times New Roman"/>
          <w:b/>
          <w:sz w:val="24"/>
          <w:szCs w:val="24"/>
        </w:rPr>
        <w:t>planning cycle is not aligned with the NDP-II</w:t>
      </w:r>
      <w:r w:rsidRPr="00445BF9">
        <w:rPr>
          <w:rFonts w:ascii="Times New Roman" w:eastAsia="Arial Unicode MS" w:hAnsi="Times New Roman"/>
          <w:b/>
          <w:sz w:val="24"/>
          <w:szCs w:val="24"/>
        </w:rPr>
        <w:t>.</w:t>
      </w:r>
      <w:r w:rsidR="00381D8D" w:rsidRPr="00445BF9">
        <w:rPr>
          <w:rFonts w:ascii="Times New Roman" w:eastAsia="Arial Unicode MS" w:hAnsi="Times New Roman"/>
          <w:sz w:val="24"/>
          <w:szCs w:val="24"/>
        </w:rPr>
        <w:t xml:space="preserve"> </w:t>
      </w:r>
      <w:r w:rsidR="005D6D32" w:rsidRPr="00445BF9">
        <w:rPr>
          <w:rFonts w:ascii="Times New Roman" w:eastAsia="Arial Unicode MS" w:hAnsi="Times New Roman"/>
          <w:sz w:val="24"/>
          <w:szCs w:val="24"/>
        </w:rPr>
        <w:t xml:space="preserve">Although </w:t>
      </w:r>
      <w:r w:rsidR="003F276E" w:rsidRPr="00445BF9">
        <w:rPr>
          <w:rFonts w:ascii="Times New Roman" w:eastAsia="Arial Unicode MS" w:hAnsi="Times New Roman"/>
          <w:sz w:val="24"/>
          <w:szCs w:val="24"/>
        </w:rPr>
        <w:t>several</w:t>
      </w:r>
      <w:r w:rsidR="005D6D32" w:rsidRPr="00445BF9">
        <w:rPr>
          <w:rFonts w:ascii="Times New Roman" w:eastAsia="Arial Unicode MS" w:hAnsi="Times New Roman"/>
          <w:sz w:val="24"/>
          <w:szCs w:val="24"/>
        </w:rPr>
        <w:t xml:space="preserve"> </w:t>
      </w:r>
      <w:r w:rsidR="00A13C0E" w:rsidRPr="00445BF9">
        <w:rPr>
          <w:rFonts w:ascii="Times New Roman" w:eastAsia="Arial Unicode MS" w:hAnsi="Times New Roman"/>
          <w:sz w:val="24"/>
          <w:szCs w:val="24"/>
        </w:rPr>
        <w:t>DPs</w:t>
      </w:r>
      <w:r w:rsidR="005D6D32" w:rsidRPr="00445BF9">
        <w:rPr>
          <w:rFonts w:ascii="Times New Roman" w:eastAsia="Arial Unicode MS" w:hAnsi="Times New Roman"/>
          <w:sz w:val="24"/>
          <w:szCs w:val="24"/>
        </w:rPr>
        <w:t xml:space="preserve"> adjusted their strategic </w:t>
      </w:r>
      <w:r w:rsidR="00381D8D" w:rsidRPr="00445BF9">
        <w:rPr>
          <w:rFonts w:ascii="Times New Roman" w:eastAsia="Arial Unicode MS" w:hAnsi="Times New Roman"/>
          <w:sz w:val="24"/>
          <w:szCs w:val="24"/>
        </w:rPr>
        <w:t xml:space="preserve">planning cycle to align it with the NDP-II, </w:t>
      </w:r>
      <w:r w:rsidR="005D6D32" w:rsidRPr="00445BF9">
        <w:rPr>
          <w:rFonts w:ascii="Times New Roman" w:eastAsia="Arial Unicode MS" w:hAnsi="Times New Roman"/>
          <w:sz w:val="24"/>
          <w:szCs w:val="24"/>
        </w:rPr>
        <w:t xml:space="preserve">the majority remain constrained from doing so by existing arrangements and by their </w:t>
      </w:r>
      <w:r w:rsidR="00FB46CB" w:rsidRPr="00445BF9">
        <w:rPr>
          <w:rFonts w:ascii="Times New Roman" w:eastAsia="Arial Unicode MS" w:hAnsi="Times New Roman"/>
          <w:sz w:val="24"/>
          <w:szCs w:val="24"/>
        </w:rPr>
        <w:t>HQ/</w:t>
      </w:r>
      <w:r w:rsidR="005D6D32" w:rsidRPr="00445BF9">
        <w:rPr>
          <w:rFonts w:ascii="Times New Roman" w:eastAsia="Arial Unicode MS" w:hAnsi="Times New Roman"/>
          <w:sz w:val="24"/>
          <w:szCs w:val="24"/>
        </w:rPr>
        <w:t>internal institutional requirements.</w:t>
      </w:r>
    </w:p>
    <w:p w14:paraId="7384DD66" w14:textId="77777777" w:rsidR="00407142" w:rsidRPr="00445BF9" w:rsidRDefault="0038209A" w:rsidP="00445BF9">
      <w:pPr>
        <w:pStyle w:val="ListParagraph"/>
        <w:numPr>
          <w:ilvl w:val="0"/>
          <w:numId w:val="23"/>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b/>
          <w:sz w:val="24"/>
          <w:szCs w:val="24"/>
        </w:rPr>
        <w:t>Only f</w:t>
      </w:r>
      <w:r w:rsidR="005D6D32" w:rsidRPr="00445BF9">
        <w:rPr>
          <w:rFonts w:ascii="Times New Roman" w:eastAsia="Arial Unicode MS" w:hAnsi="Times New Roman"/>
          <w:b/>
          <w:sz w:val="24"/>
          <w:szCs w:val="24"/>
        </w:rPr>
        <w:t xml:space="preserve">ew donors have been able to indicate a </w:t>
      </w:r>
      <w:r w:rsidRPr="00445BF9">
        <w:rPr>
          <w:rFonts w:ascii="Times New Roman" w:eastAsia="Arial Unicode MS" w:hAnsi="Times New Roman"/>
          <w:b/>
          <w:sz w:val="24"/>
          <w:szCs w:val="24"/>
        </w:rPr>
        <w:t>long-term</w:t>
      </w:r>
      <w:r w:rsidR="005D6D32" w:rsidRPr="00445BF9">
        <w:rPr>
          <w:rFonts w:ascii="Times New Roman" w:eastAsia="Arial Unicode MS" w:hAnsi="Times New Roman"/>
          <w:b/>
          <w:sz w:val="24"/>
          <w:szCs w:val="24"/>
        </w:rPr>
        <w:t xml:space="preserve"> financial envelope</w:t>
      </w:r>
      <w:r w:rsidR="005D6D32" w:rsidRPr="00445BF9">
        <w:rPr>
          <w:rFonts w:ascii="Times New Roman" w:eastAsia="Arial Unicode MS" w:hAnsi="Times New Roman"/>
          <w:sz w:val="24"/>
          <w:szCs w:val="24"/>
        </w:rPr>
        <w:t xml:space="preserve"> that might better facilitate </w:t>
      </w:r>
      <w:r w:rsidR="0037500E" w:rsidRPr="00445BF9">
        <w:rPr>
          <w:rFonts w:ascii="Times New Roman" w:eastAsia="Arial Unicode MS" w:hAnsi="Times New Roman"/>
          <w:sz w:val="24"/>
          <w:szCs w:val="24"/>
        </w:rPr>
        <w:t>NDP-II</w:t>
      </w:r>
      <w:r w:rsidR="005D6D32" w:rsidRPr="00445BF9">
        <w:rPr>
          <w:rFonts w:ascii="Times New Roman" w:eastAsia="Arial Unicode MS" w:hAnsi="Times New Roman"/>
          <w:sz w:val="24"/>
          <w:szCs w:val="24"/>
        </w:rPr>
        <w:t xml:space="preserve"> programming.</w:t>
      </w:r>
    </w:p>
    <w:p w14:paraId="472343B6" w14:textId="56C58B7B" w:rsidR="005D6D32" w:rsidRPr="00445BF9" w:rsidRDefault="005D6D32" w:rsidP="00445BF9">
      <w:pPr>
        <w:pStyle w:val="ListParagraph"/>
        <w:numPr>
          <w:ilvl w:val="0"/>
          <w:numId w:val="23"/>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b/>
          <w:sz w:val="24"/>
          <w:szCs w:val="24"/>
        </w:rPr>
        <w:t xml:space="preserve">Constraints on alignment </w:t>
      </w:r>
      <w:r w:rsidR="007C0968" w:rsidRPr="00445BF9">
        <w:rPr>
          <w:rFonts w:ascii="Times New Roman" w:eastAsia="Arial Unicode MS" w:hAnsi="Times New Roman"/>
          <w:b/>
          <w:sz w:val="24"/>
          <w:szCs w:val="24"/>
        </w:rPr>
        <w:t>are also related to</w:t>
      </w:r>
      <w:r w:rsidRPr="00445BF9">
        <w:rPr>
          <w:rFonts w:ascii="Times New Roman" w:eastAsia="Arial Unicode MS" w:hAnsi="Times New Roman"/>
          <w:sz w:val="24"/>
          <w:szCs w:val="24"/>
        </w:rPr>
        <w:t xml:space="preserve"> restrictions on the use of the resources available to development partners, </w:t>
      </w:r>
      <w:r w:rsidR="007C0968" w:rsidRPr="00445BF9">
        <w:rPr>
          <w:rFonts w:ascii="Times New Roman" w:eastAsia="Arial Unicode MS" w:hAnsi="Times New Roman"/>
          <w:sz w:val="24"/>
          <w:szCs w:val="24"/>
        </w:rPr>
        <w:t>because</w:t>
      </w:r>
      <w:r w:rsidRPr="00445BF9">
        <w:rPr>
          <w:rFonts w:ascii="Times New Roman" w:eastAsia="Arial Unicode MS" w:hAnsi="Times New Roman"/>
          <w:sz w:val="24"/>
          <w:szCs w:val="24"/>
        </w:rPr>
        <w:t xml:space="preserve"> they are drawn from </w:t>
      </w:r>
      <w:r w:rsidRPr="00445BF9">
        <w:rPr>
          <w:rFonts w:ascii="Times New Roman" w:eastAsia="Arial Unicode MS" w:hAnsi="Times New Roman"/>
          <w:b/>
          <w:sz w:val="24"/>
          <w:szCs w:val="24"/>
        </w:rPr>
        <w:t xml:space="preserve">vertical funds with specific purposes.  </w:t>
      </w:r>
      <w:r w:rsidRPr="00445BF9">
        <w:rPr>
          <w:rFonts w:ascii="Times New Roman" w:eastAsia="Arial Unicode MS" w:hAnsi="Times New Roman"/>
          <w:sz w:val="24"/>
          <w:szCs w:val="24"/>
        </w:rPr>
        <w:t>The US programme in Uganda for example draws resources from a number of vertical initiatives in Washington some of which have been created by Congress (for example on human rights and investing in people) and some of which have been created by Presidential initiative (such as “empower Africa trade” and “feed the future as well as global health initiatives covering malaria HIV/AID and the saving of mothers lives).</w:t>
      </w:r>
    </w:p>
    <w:p w14:paraId="2EE9778F" w14:textId="22B081E0" w:rsidR="005D6D32" w:rsidRPr="00445BF9" w:rsidRDefault="005D6D32" w:rsidP="00445BF9">
      <w:pPr>
        <w:pStyle w:val="ListParagraph"/>
        <w:numPr>
          <w:ilvl w:val="0"/>
          <w:numId w:val="23"/>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b/>
          <w:sz w:val="24"/>
          <w:szCs w:val="24"/>
        </w:rPr>
        <w:t xml:space="preserve">The allocation of </w:t>
      </w:r>
      <w:r w:rsidR="007F0F79" w:rsidRPr="00445BF9">
        <w:rPr>
          <w:rFonts w:ascii="Times New Roman" w:eastAsia="Arial Unicode MS" w:hAnsi="Times New Roman"/>
          <w:b/>
          <w:sz w:val="24"/>
          <w:szCs w:val="24"/>
        </w:rPr>
        <w:t xml:space="preserve">development assistance </w:t>
      </w:r>
      <w:r w:rsidRPr="00445BF9">
        <w:rPr>
          <w:rFonts w:ascii="Times New Roman" w:eastAsia="Arial Unicode MS" w:hAnsi="Times New Roman"/>
          <w:b/>
          <w:sz w:val="24"/>
          <w:szCs w:val="24"/>
        </w:rPr>
        <w:t xml:space="preserve">collectively </w:t>
      </w:r>
      <w:r w:rsidR="0070588D" w:rsidRPr="00445BF9">
        <w:rPr>
          <w:rFonts w:ascii="Times New Roman" w:eastAsia="Arial Unicode MS" w:hAnsi="Times New Roman"/>
          <w:b/>
          <w:sz w:val="24"/>
          <w:szCs w:val="24"/>
        </w:rPr>
        <w:t>reflects</w:t>
      </w:r>
      <w:r w:rsidRPr="00445BF9">
        <w:rPr>
          <w:rFonts w:ascii="Times New Roman" w:eastAsia="Arial Unicode MS" w:hAnsi="Times New Roman"/>
          <w:b/>
          <w:sz w:val="24"/>
          <w:szCs w:val="24"/>
        </w:rPr>
        <w:t xml:space="preserve"> the </w:t>
      </w:r>
      <w:r w:rsidR="0037500E" w:rsidRPr="00445BF9">
        <w:rPr>
          <w:rFonts w:ascii="Times New Roman" w:eastAsia="Arial Unicode MS" w:hAnsi="Times New Roman"/>
          <w:b/>
          <w:sz w:val="24"/>
          <w:szCs w:val="24"/>
        </w:rPr>
        <w:t>NDP-II</w:t>
      </w:r>
      <w:r w:rsidRPr="00445BF9">
        <w:rPr>
          <w:rFonts w:ascii="Times New Roman" w:eastAsia="Arial Unicode MS" w:hAnsi="Times New Roman"/>
          <w:b/>
          <w:sz w:val="24"/>
          <w:szCs w:val="24"/>
        </w:rPr>
        <w:t xml:space="preserve"> </w:t>
      </w:r>
      <w:r w:rsidR="0070588D" w:rsidRPr="00445BF9">
        <w:rPr>
          <w:rFonts w:ascii="Times New Roman" w:eastAsia="Arial Unicode MS" w:hAnsi="Times New Roman"/>
          <w:b/>
          <w:sz w:val="24"/>
          <w:szCs w:val="24"/>
        </w:rPr>
        <w:t xml:space="preserve">priorities. </w:t>
      </w:r>
      <w:r w:rsidRPr="00445BF9">
        <w:rPr>
          <w:rFonts w:ascii="Times New Roman" w:eastAsia="Arial Unicode MS" w:hAnsi="Times New Roman"/>
          <w:sz w:val="24"/>
          <w:szCs w:val="24"/>
        </w:rPr>
        <w:t xml:space="preserve">At sector level </w:t>
      </w:r>
      <w:r w:rsidR="0005622C" w:rsidRPr="00445BF9">
        <w:rPr>
          <w:rFonts w:ascii="Times New Roman" w:eastAsia="Arial Unicode MS" w:hAnsi="Times New Roman"/>
          <w:sz w:val="24"/>
          <w:szCs w:val="24"/>
        </w:rPr>
        <w:t>(</w:t>
      </w:r>
      <w:r w:rsidRPr="00445BF9">
        <w:rPr>
          <w:rFonts w:ascii="Times New Roman" w:eastAsia="Arial Unicode MS" w:hAnsi="Times New Roman"/>
          <w:sz w:val="24"/>
          <w:szCs w:val="24"/>
        </w:rPr>
        <w:t>combining both on</w:t>
      </w:r>
      <w:r w:rsidR="0005622C" w:rsidRPr="00445BF9">
        <w:rPr>
          <w:rFonts w:ascii="Times New Roman" w:eastAsia="Arial Unicode MS" w:hAnsi="Times New Roman"/>
          <w:sz w:val="24"/>
          <w:szCs w:val="24"/>
        </w:rPr>
        <w:t>-</w:t>
      </w:r>
      <w:r w:rsidRPr="00445BF9">
        <w:rPr>
          <w:rFonts w:ascii="Times New Roman" w:eastAsia="Arial Unicode MS" w:hAnsi="Times New Roman"/>
          <w:sz w:val="24"/>
          <w:szCs w:val="24"/>
        </w:rPr>
        <w:t>budget and off</w:t>
      </w:r>
      <w:r w:rsidR="00B67FD5" w:rsidRPr="00445BF9">
        <w:rPr>
          <w:rFonts w:ascii="Times New Roman" w:eastAsia="Arial Unicode MS" w:hAnsi="Times New Roman"/>
          <w:sz w:val="24"/>
          <w:szCs w:val="24"/>
        </w:rPr>
        <w:t>-</w:t>
      </w:r>
      <w:r w:rsidRPr="00445BF9">
        <w:rPr>
          <w:rFonts w:ascii="Times New Roman" w:eastAsia="Arial Unicode MS" w:hAnsi="Times New Roman"/>
          <w:sz w:val="24"/>
          <w:szCs w:val="24"/>
        </w:rPr>
        <w:t>budget support</w:t>
      </w:r>
      <w:r w:rsidR="00B67FD5" w:rsidRPr="00445BF9">
        <w:rPr>
          <w:rFonts w:ascii="Times New Roman" w:eastAsia="Arial Unicode MS" w:hAnsi="Times New Roman"/>
          <w:sz w:val="24"/>
          <w:szCs w:val="24"/>
        </w:rPr>
        <w:t>)</w:t>
      </w:r>
      <w:r w:rsidRPr="00445BF9">
        <w:rPr>
          <w:rFonts w:ascii="Times New Roman" w:eastAsia="Arial Unicode MS" w:hAnsi="Times New Roman"/>
          <w:sz w:val="24"/>
          <w:szCs w:val="24"/>
        </w:rPr>
        <w:t xml:space="preserve">, over the first years of </w:t>
      </w:r>
      <w:r w:rsidR="0037500E" w:rsidRPr="00445BF9">
        <w:rPr>
          <w:rFonts w:ascii="Times New Roman" w:eastAsia="Arial Unicode MS" w:hAnsi="Times New Roman"/>
          <w:sz w:val="24"/>
          <w:szCs w:val="24"/>
        </w:rPr>
        <w:t>NDP-II</w:t>
      </w:r>
      <w:r w:rsidRPr="00445BF9">
        <w:rPr>
          <w:rFonts w:ascii="Times New Roman" w:eastAsia="Arial Unicode MS" w:hAnsi="Times New Roman"/>
          <w:sz w:val="24"/>
          <w:szCs w:val="24"/>
        </w:rPr>
        <w:t>, three sectors</w:t>
      </w:r>
      <w:r w:rsidR="00B67FD5" w:rsidRPr="00445BF9">
        <w:rPr>
          <w:rFonts w:ascii="Times New Roman" w:eastAsia="Arial Unicode MS" w:hAnsi="Times New Roman"/>
          <w:sz w:val="24"/>
          <w:szCs w:val="24"/>
        </w:rPr>
        <w:t>,</w:t>
      </w:r>
      <w:r w:rsidRPr="00445BF9">
        <w:rPr>
          <w:rFonts w:ascii="Times New Roman" w:eastAsia="Arial Unicode MS" w:hAnsi="Times New Roman"/>
          <w:sz w:val="24"/>
          <w:szCs w:val="24"/>
        </w:rPr>
        <w:t xml:space="preserve"> namely: Energy and mineral development, health and works &amp; transport received over 62.7 percent of the total project development assistance the remaining thirteen sectors shared the 37.3 percent.</w:t>
      </w:r>
    </w:p>
    <w:p w14:paraId="4D9C65A4" w14:textId="2BA0B2EA" w:rsidR="005D6D32" w:rsidRPr="00445BF9" w:rsidRDefault="005D6D32" w:rsidP="00445BF9">
      <w:pPr>
        <w:pStyle w:val="ListParagraph"/>
        <w:numPr>
          <w:ilvl w:val="0"/>
          <w:numId w:val="23"/>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b/>
          <w:sz w:val="24"/>
          <w:szCs w:val="24"/>
        </w:rPr>
        <w:lastRenderedPageBreak/>
        <w:t xml:space="preserve">The </w:t>
      </w:r>
      <w:r w:rsidR="0070588D" w:rsidRPr="00445BF9">
        <w:rPr>
          <w:rFonts w:ascii="Times New Roman" w:eastAsia="Arial Unicode MS" w:hAnsi="Times New Roman"/>
          <w:b/>
          <w:sz w:val="24"/>
          <w:szCs w:val="24"/>
        </w:rPr>
        <w:t>DPs</w:t>
      </w:r>
      <w:r w:rsidRPr="00445BF9">
        <w:rPr>
          <w:rFonts w:ascii="Times New Roman" w:eastAsia="Arial Unicode MS" w:hAnsi="Times New Roman"/>
          <w:b/>
          <w:sz w:val="24"/>
          <w:szCs w:val="24"/>
        </w:rPr>
        <w:t xml:space="preserve"> engaged in infrastructure</w:t>
      </w:r>
      <w:r w:rsidRPr="00445BF9">
        <w:rPr>
          <w:rFonts w:ascii="Times New Roman" w:eastAsia="Arial Unicode MS" w:hAnsi="Times New Roman"/>
          <w:b/>
          <w:sz w:val="24"/>
          <w:szCs w:val="24"/>
          <w:vertAlign w:val="superscript"/>
        </w:rPr>
        <w:footnoteReference w:id="9"/>
      </w:r>
      <w:r w:rsidRPr="00445BF9">
        <w:rPr>
          <w:rFonts w:ascii="Times New Roman" w:eastAsia="Arial Unicode MS" w:hAnsi="Times New Roman"/>
          <w:b/>
          <w:sz w:val="24"/>
          <w:szCs w:val="24"/>
        </w:rPr>
        <w:t xml:space="preserve"> have specifically aligned their support for investments </w:t>
      </w:r>
      <w:r w:rsidRPr="00445BF9">
        <w:rPr>
          <w:rFonts w:ascii="Times New Roman" w:eastAsia="Arial Unicode MS" w:hAnsi="Times New Roman"/>
          <w:sz w:val="24"/>
          <w:szCs w:val="24"/>
        </w:rPr>
        <w:t>that are identified as national core projects which are essential to increasing country’s competitiveness focusing on energy and road transport.</w:t>
      </w:r>
    </w:p>
    <w:p w14:paraId="446AFB6E" w14:textId="0CB89520" w:rsidR="00E15CC2" w:rsidRPr="00445BF9" w:rsidRDefault="005D6D3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The framework for GPEDC monitoring the Busan commitments assesses alignment in </w:t>
      </w:r>
      <w:r w:rsidR="00DF7DA2" w:rsidRPr="00445BF9">
        <w:rPr>
          <w:rFonts w:ascii="Times New Roman" w:eastAsia="Arial Unicode MS" w:hAnsi="Times New Roman"/>
          <w:sz w:val="24"/>
          <w:szCs w:val="24"/>
        </w:rPr>
        <w:t>several</w:t>
      </w:r>
      <w:r w:rsidRPr="00445BF9">
        <w:rPr>
          <w:rFonts w:ascii="Times New Roman" w:eastAsia="Arial Unicode MS" w:hAnsi="Times New Roman"/>
          <w:sz w:val="24"/>
          <w:szCs w:val="24"/>
        </w:rPr>
        <w:t xml:space="preserve"> different dimensions in addition to the alignment of development assistance with national objectives and priorities. These dimensions </w:t>
      </w:r>
      <w:r w:rsidR="005E2BB8" w:rsidRPr="00445BF9">
        <w:rPr>
          <w:rFonts w:ascii="Times New Roman" w:eastAsia="Arial Unicode MS" w:hAnsi="Times New Roman"/>
          <w:sz w:val="24"/>
          <w:szCs w:val="24"/>
        </w:rPr>
        <w:t xml:space="preserve">are covered in the next section and </w:t>
      </w:r>
      <w:r w:rsidRPr="00445BF9">
        <w:rPr>
          <w:rFonts w:ascii="Times New Roman" w:eastAsia="Arial Unicode MS" w:hAnsi="Times New Roman"/>
          <w:sz w:val="24"/>
          <w:szCs w:val="24"/>
        </w:rPr>
        <w:t>include</w:t>
      </w:r>
      <w:r w:rsidR="005E2BB8" w:rsidRPr="00445BF9">
        <w:rPr>
          <w:rFonts w:ascii="Times New Roman" w:eastAsia="Arial Unicode MS" w:hAnsi="Times New Roman"/>
          <w:sz w:val="24"/>
          <w:szCs w:val="24"/>
        </w:rPr>
        <w:t>:</w:t>
      </w:r>
      <w:r w:rsidRPr="00445BF9">
        <w:rPr>
          <w:rFonts w:ascii="Times New Roman" w:eastAsia="Arial Unicode MS" w:hAnsi="Times New Roman"/>
          <w:sz w:val="24"/>
          <w:szCs w:val="24"/>
        </w:rPr>
        <w:t xml:space="preserve"> the use of country systems; the predictability of development assistance; mutual accountability and the extent of development assistance untying.</w:t>
      </w:r>
    </w:p>
    <w:p w14:paraId="1E884B74" w14:textId="171DDCF5" w:rsidR="00E15CC2" w:rsidRPr="00445BF9" w:rsidRDefault="00E15CC2"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98" w:name="_Toc361577053"/>
      <w:bookmarkStart w:id="99" w:name="_Toc534926858"/>
      <w:r w:rsidRPr="00445BF9">
        <w:rPr>
          <w:rFonts w:ascii="Times New Roman" w:eastAsia="Arial Unicode MS" w:hAnsi="Times New Roman"/>
          <w:bCs w:val="0"/>
          <w:sz w:val="24"/>
          <w:szCs w:val="24"/>
          <w:lang w:val="en-GB"/>
        </w:rPr>
        <w:t xml:space="preserve">Development </w:t>
      </w:r>
      <w:r w:rsidR="000938F3" w:rsidRPr="00445BF9">
        <w:rPr>
          <w:rFonts w:ascii="Times New Roman" w:eastAsia="Arial Unicode MS" w:hAnsi="Times New Roman"/>
          <w:bCs w:val="0"/>
          <w:sz w:val="24"/>
          <w:szCs w:val="24"/>
          <w:lang w:val="en-GB"/>
        </w:rPr>
        <w:t xml:space="preserve">Partners’ Contribution to </w:t>
      </w:r>
      <w:r w:rsidRPr="00445BF9">
        <w:rPr>
          <w:rFonts w:ascii="Times New Roman" w:eastAsia="Arial Unicode MS" w:hAnsi="Times New Roman"/>
          <w:bCs w:val="0"/>
          <w:sz w:val="24"/>
          <w:szCs w:val="24"/>
          <w:lang w:val="en-GB"/>
        </w:rPr>
        <w:t xml:space="preserve">NDP </w:t>
      </w:r>
      <w:r w:rsidR="000938F3" w:rsidRPr="00445BF9">
        <w:rPr>
          <w:rFonts w:ascii="Times New Roman" w:eastAsia="Arial Unicode MS" w:hAnsi="Times New Roman"/>
          <w:bCs w:val="0"/>
          <w:sz w:val="24"/>
          <w:szCs w:val="24"/>
          <w:lang w:val="en-GB"/>
        </w:rPr>
        <w:t>Progress</w:t>
      </w:r>
      <w:bookmarkEnd w:id="98"/>
      <w:bookmarkEnd w:id="99"/>
    </w:p>
    <w:p w14:paraId="3F677D25" w14:textId="02E55259" w:rsidR="00200FAF" w:rsidRPr="00445BF9" w:rsidRDefault="00200FAF"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The contribution of development assistance to the </w:t>
      </w:r>
      <w:r w:rsidR="0037500E" w:rsidRPr="00445BF9">
        <w:rPr>
          <w:rFonts w:ascii="Times New Roman" w:eastAsia="Arial Unicode MS" w:hAnsi="Times New Roman"/>
          <w:sz w:val="24"/>
          <w:szCs w:val="24"/>
        </w:rPr>
        <w:t>NDP-II</w:t>
      </w:r>
      <w:r w:rsidRPr="00445BF9">
        <w:rPr>
          <w:rFonts w:ascii="Times New Roman" w:eastAsia="Arial Unicode MS" w:hAnsi="Times New Roman"/>
          <w:sz w:val="24"/>
          <w:szCs w:val="24"/>
        </w:rPr>
        <w:t xml:space="preserve"> progress cannot be underestimated given that on an annual average so far 31.6% of total budget is funded by the development assistance. However, it is not easy to discern the contribution of development assistance singularly. Based on specific observations, it is possible to identify </w:t>
      </w:r>
      <w:r w:rsidR="006D3791" w:rsidRPr="00445BF9">
        <w:rPr>
          <w:rFonts w:ascii="Times New Roman" w:eastAsia="Arial Unicode MS" w:hAnsi="Times New Roman"/>
          <w:sz w:val="24"/>
          <w:szCs w:val="24"/>
        </w:rPr>
        <w:t>several</w:t>
      </w:r>
      <w:r w:rsidRPr="00445BF9">
        <w:rPr>
          <w:rFonts w:ascii="Times New Roman" w:eastAsia="Arial Unicode MS" w:hAnsi="Times New Roman"/>
          <w:sz w:val="24"/>
          <w:szCs w:val="24"/>
        </w:rPr>
        <w:t xml:space="preserve"> ways in which </w:t>
      </w:r>
      <w:r w:rsidR="006D3791" w:rsidRPr="00445BF9">
        <w:rPr>
          <w:rFonts w:ascii="Times New Roman" w:eastAsia="Arial Unicode MS" w:hAnsi="Times New Roman"/>
          <w:sz w:val="24"/>
          <w:szCs w:val="24"/>
        </w:rPr>
        <w:t xml:space="preserve">DPs </w:t>
      </w:r>
      <w:r w:rsidRPr="00445BF9">
        <w:rPr>
          <w:rFonts w:ascii="Times New Roman" w:eastAsia="Arial Unicode MS" w:hAnsi="Times New Roman"/>
          <w:sz w:val="24"/>
          <w:szCs w:val="24"/>
        </w:rPr>
        <w:t>have helped underpin the progress that has been made. In particular:</w:t>
      </w:r>
    </w:p>
    <w:p w14:paraId="0038C1C6" w14:textId="5B74F9C5" w:rsidR="00200FAF" w:rsidRPr="00445BF9" w:rsidRDefault="00EA7151" w:rsidP="00445BF9">
      <w:pPr>
        <w:pStyle w:val="ListParagraph"/>
        <w:numPr>
          <w:ilvl w:val="0"/>
          <w:numId w:val="24"/>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b/>
          <w:sz w:val="24"/>
          <w:szCs w:val="24"/>
        </w:rPr>
        <w:t>DPs’</w:t>
      </w:r>
      <w:r w:rsidR="00200FAF" w:rsidRPr="00445BF9">
        <w:rPr>
          <w:rFonts w:ascii="Times New Roman" w:eastAsia="Arial Unicode MS" w:hAnsi="Times New Roman"/>
          <w:b/>
          <w:sz w:val="24"/>
          <w:szCs w:val="24"/>
        </w:rPr>
        <w:t xml:space="preserve"> support has helped underpin the progress that has been made in implementing the </w:t>
      </w:r>
      <w:r w:rsidR="0037500E" w:rsidRPr="00445BF9">
        <w:rPr>
          <w:rFonts w:ascii="Times New Roman" w:eastAsia="Arial Unicode MS" w:hAnsi="Times New Roman"/>
          <w:b/>
          <w:sz w:val="24"/>
          <w:szCs w:val="24"/>
        </w:rPr>
        <w:t>NDP-II</w:t>
      </w:r>
      <w:r w:rsidR="00200FAF" w:rsidRPr="00445BF9">
        <w:rPr>
          <w:rFonts w:ascii="Times New Roman" w:eastAsia="Arial Unicode MS" w:hAnsi="Times New Roman"/>
          <w:b/>
          <w:sz w:val="24"/>
          <w:szCs w:val="24"/>
        </w:rPr>
        <w:t xml:space="preserve"> core projects.</w:t>
      </w:r>
      <w:r w:rsidR="00200FAF" w:rsidRPr="00445BF9">
        <w:rPr>
          <w:rFonts w:ascii="Times New Roman" w:eastAsia="Arial Unicode MS" w:hAnsi="Times New Roman"/>
          <w:sz w:val="24"/>
          <w:szCs w:val="24"/>
        </w:rPr>
        <w:t xml:space="preserve"> Support from China Exim Bank helped to finance the Karuma and Bujagali hydro powers station and associated transmission lines projects; Finance from UKEF and Standard Chartered Bank has been secured to finance the construction of Kabaale Airport in Hoima; Funds from the AFD and KfW to finance the project has been secured to finance Mbrarara-Maska Transmission line; Funds from IDA secured to finance Gulu- Nebbi- Lira Transmission line; Secured lines of Credit from BADEA and IDB</w:t>
      </w:r>
      <w:r w:rsidR="005138D9" w:rsidRPr="00445BF9">
        <w:rPr>
          <w:rFonts w:ascii="Times New Roman" w:eastAsia="Arial Unicode MS" w:hAnsi="Times New Roman"/>
          <w:sz w:val="24"/>
          <w:szCs w:val="24"/>
        </w:rPr>
        <w:t xml:space="preserve"> helped</w:t>
      </w:r>
      <w:r w:rsidR="00200FAF" w:rsidRPr="00445BF9">
        <w:rPr>
          <w:rFonts w:ascii="Times New Roman" w:eastAsia="Arial Unicode MS" w:hAnsi="Times New Roman"/>
          <w:sz w:val="24"/>
          <w:szCs w:val="24"/>
        </w:rPr>
        <w:t xml:space="preserve"> to recapitalize UDBL. </w:t>
      </w:r>
    </w:p>
    <w:p w14:paraId="528297AA" w14:textId="2F36F5D6" w:rsidR="00200FAF" w:rsidRPr="00445BF9" w:rsidRDefault="00200FAF" w:rsidP="00445BF9">
      <w:pPr>
        <w:pStyle w:val="ListParagraph"/>
        <w:numPr>
          <w:ilvl w:val="0"/>
          <w:numId w:val="24"/>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sz w:val="24"/>
          <w:szCs w:val="24"/>
        </w:rPr>
        <w:t xml:space="preserve">In the </w:t>
      </w:r>
      <w:r w:rsidRPr="00445BF9">
        <w:rPr>
          <w:rFonts w:ascii="Times New Roman" w:eastAsia="Arial Unicode MS" w:hAnsi="Times New Roman"/>
          <w:b/>
          <w:sz w:val="24"/>
          <w:szCs w:val="24"/>
        </w:rPr>
        <w:t>health sector development partner support</w:t>
      </w:r>
      <w:r w:rsidRPr="00445BF9">
        <w:rPr>
          <w:rFonts w:ascii="Times New Roman" w:eastAsia="Arial Unicode MS" w:hAnsi="Times New Roman"/>
          <w:sz w:val="24"/>
          <w:szCs w:val="24"/>
        </w:rPr>
        <w:t xml:space="preserve"> both “off</w:t>
      </w:r>
      <w:r w:rsidR="008E3A80" w:rsidRPr="00445BF9">
        <w:rPr>
          <w:rFonts w:ascii="Times New Roman" w:eastAsia="Arial Unicode MS" w:hAnsi="Times New Roman"/>
          <w:sz w:val="24"/>
          <w:szCs w:val="24"/>
        </w:rPr>
        <w:t>-</w:t>
      </w:r>
      <w:r w:rsidRPr="00445BF9">
        <w:rPr>
          <w:rFonts w:ascii="Times New Roman" w:eastAsia="Arial Unicode MS" w:hAnsi="Times New Roman"/>
          <w:sz w:val="24"/>
          <w:szCs w:val="24"/>
        </w:rPr>
        <w:t>budget” and “on</w:t>
      </w:r>
      <w:r w:rsidR="008E3A80" w:rsidRPr="00445BF9">
        <w:rPr>
          <w:rFonts w:ascii="Times New Roman" w:eastAsia="Arial Unicode MS" w:hAnsi="Times New Roman"/>
          <w:sz w:val="24"/>
          <w:szCs w:val="24"/>
        </w:rPr>
        <w:t>-</w:t>
      </w:r>
      <w:r w:rsidRPr="00445BF9">
        <w:rPr>
          <w:rFonts w:ascii="Times New Roman" w:eastAsia="Arial Unicode MS" w:hAnsi="Times New Roman"/>
          <w:sz w:val="24"/>
          <w:szCs w:val="24"/>
        </w:rPr>
        <w:t xml:space="preserve">budget” have been directly associated with improvements under the </w:t>
      </w:r>
      <w:r w:rsidR="0037500E" w:rsidRPr="00445BF9">
        <w:rPr>
          <w:rFonts w:ascii="Times New Roman" w:eastAsia="Arial Unicode MS" w:hAnsi="Times New Roman"/>
          <w:sz w:val="24"/>
          <w:szCs w:val="24"/>
        </w:rPr>
        <w:t>NDP-II</w:t>
      </w:r>
      <w:r w:rsidRPr="00445BF9">
        <w:rPr>
          <w:rFonts w:ascii="Times New Roman" w:eastAsia="Arial Unicode MS" w:hAnsi="Times New Roman"/>
          <w:sz w:val="24"/>
          <w:szCs w:val="24"/>
        </w:rPr>
        <w:t xml:space="preserve"> in increasing the proportion of deliveries that take place in health facilities, increasing child immunisation, increasing the proportion of health facilities without drug stock outs and increasing the number of couple years of protection through contraception programmes.</w:t>
      </w:r>
    </w:p>
    <w:p w14:paraId="77013F87" w14:textId="1BDCB278" w:rsidR="00200FAF" w:rsidRPr="00445BF9" w:rsidRDefault="00200FAF" w:rsidP="00445BF9">
      <w:pPr>
        <w:pStyle w:val="ListParagraph"/>
        <w:numPr>
          <w:ilvl w:val="0"/>
          <w:numId w:val="24"/>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sz w:val="24"/>
          <w:szCs w:val="24"/>
        </w:rPr>
        <w:t>Development</w:t>
      </w:r>
      <w:r w:rsidRPr="00445BF9">
        <w:rPr>
          <w:rFonts w:ascii="Times New Roman" w:eastAsia="Arial Unicode MS" w:hAnsi="Times New Roman"/>
          <w:b/>
          <w:sz w:val="24"/>
          <w:szCs w:val="24"/>
        </w:rPr>
        <w:t xml:space="preserve"> partner support in the roads sector,</w:t>
      </w:r>
      <w:r w:rsidRPr="00445BF9">
        <w:rPr>
          <w:rFonts w:ascii="Times New Roman" w:eastAsia="Arial Unicode MS" w:hAnsi="Times New Roman"/>
          <w:sz w:val="24"/>
          <w:szCs w:val="24"/>
        </w:rPr>
        <w:t xml:space="preserve"> especially from the World Bank, European Union, AfDB</w:t>
      </w:r>
      <w:r w:rsidR="00EA47E9" w:rsidRPr="00445BF9">
        <w:rPr>
          <w:rFonts w:ascii="Times New Roman" w:eastAsia="Arial Unicode MS" w:hAnsi="Times New Roman"/>
          <w:sz w:val="24"/>
          <w:szCs w:val="24"/>
        </w:rPr>
        <w:t>,</w:t>
      </w:r>
      <w:r w:rsidRPr="00445BF9">
        <w:rPr>
          <w:rFonts w:ascii="Times New Roman" w:eastAsia="Arial Unicode MS" w:hAnsi="Times New Roman"/>
          <w:sz w:val="24"/>
          <w:szCs w:val="24"/>
        </w:rPr>
        <w:t xml:space="preserve"> China </w:t>
      </w:r>
      <w:r w:rsidR="00EA47E9" w:rsidRPr="00445BF9">
        <w:rPr>
          <w:rFonts w:ascii="Times New Roman" w:eastAsia="Arial Unicode MS" w:hAnsi="Times New Roman"/>
          <w:sz w:val="24"/>
          <w:szCs w:val="24"/>
        </w:rPr>
        <w:t xml:space="preserve">and </w:t>
      </w:r>
      <w:r w:rsidRPr="00445BF9">
        <w:rPr>
          <w:rFonts w:ascii="Times New Roman" w:eastAsia="Arial Unicode MS" w:hAnsi="Times New Roman"/>
          <w:sz w:val="24"/>
          <w:szCs w:val="24"/>
        </w:rPr>
        <w:t xml:space="preserve">Japan </w:t>
      </w:r>
      <w:r w:rsidR="00730010" w:rsidRPr="00445BF9">
        <w:rPr>
          <w:rFonts w:ascii="Times New Roman" w:eastAsia="Arial Unicode MS" w:hAnsi="Times New Roman"/>
          <w:sz w:val="24"/>
          <w:szCs w:val="24"/>
        </w:rPr>
        <w:t>have</w:t>
      </w:r>
      <w:r w:rsidRPr="00445BF9">
        <w:rPr>
          <w:rFonts w:ascii="Times New Roman" w:eastAsia="Arial Unicode MS" w:hAnsi="Times New Roman"/>
          <w:sz w:val="24"/>
          <w:szCs w:val="24"/>
        </w:rPr>
        <w:t xml:space="preserve"> helped secure recent improvements in the proportion of both paved roads and unpaved roads that are in fair to good condition. This investment is set to increase over the remaining period of the </w:t>
      </w:r>
      <w:r w:rsidR="0037500E" w:rsidRPr="00445BF9">
        <w:rPr>
          <w:rFonts w:ascii="Times New Roman" w:eastAsia="Arial Unicode MS" w:hAnsi="Times New Roman"/>
          <w:sz w:val="24"/>
          <w:szCs w:val="24"/>
        </w:rPr>
        <w:t>NDP-II</w:t>
      </w:r>
      <w:r w:rsidRPr="00445BF9">
        <w:rPr>
          <w:rFonts w:ascii="Times New Roman" w:eastAsia="Arial Unicode MS" w:hAnsi="Times New Roman"/>
          <w:sz w:val="24"/>
          <w:szCs w:val="24"/>
        </w:rPr>
        <w:t xml:space="preserve"> especially as </w:t>
      </w:r>
      <w:r w:rsidRPr="00445BF9">
        <w:rPr>
          <w:rFonts w:ascii="Times New Roman" w:eastAsia="Arial Unicode MS" w:hAnsi="Times New Roman"/>
          <w:sz w:val="24"/>
          <w:szCs w:val="24"/>
        </w:rPr>
        <w:lastRenderedPageBreak/>
        <w:t xml:space="preserve">a result of projects which are already underway or in the pipeline for example to Kampala – Jinja Express highway, Kibuye –Busega Express Highway and metropolitan network around Kampala. </w:t>
      </w:r>
    </w:p>
    <w:p w14:paraId="00AACF55" w14:textId="156A4CED" w:rsidR="00C8135D" w:rsidRPr="00445BF9" w:rsidRDefault="00200FAF" w:rsidP="00445BF9">
      <w:pPr>
        <w:pStyle w:val="ListParagraph"/>
        <w:numPr>
          <w:ilvl w:val="0"/>
          <w:numId w:val="24"/>
        </w:numPr>
        <w:spacing w:after="120" w:line="360" w:lineRule="auto"/>
        <w:ind w:left="1276" w:hanging="709"/>
        <w:rPr>
          <w:rFonts w:ascii="Times New Roman" w:eastAsia="Arial Unicode MS" w:hAnsi="Times New Roman"/>
          <w:sz w:val="24"/>
          <w:szCs w:val="24"/>
        </w:rPr>
      </w:pPr>
      <w:r w:rsidRPr="00445BF9">
        <w:rPr>
          <w:rFonts w:ascii="Times New Roman" w:eastAsia="Arial Unicode MS" w:hAnsi="Times New Roman"/>
          <w:b/>
          <w:sz w:val="24"/>
          <w:szCs w:val="24"/>
        </w:rPr>
        <w:t>In education,</w:t>
      </w:r>
      <w:r w:rsidRPr="00445BF9">
        <w:rPr>
          <w:rFonts w:ascii="Times New Roman" w:eastAsia="Arial Unicode MS" w:hAnsi="Times New Roman"/>
          <w:sz w:val="24"/>
          <w:szCs w:val="24"/>
        </w:rPr>
        <w:t xml:space="preserve"> donors, such as the AfDB, Belgium and World Bank have increased their support for vocational training and skills development in line with </w:t>
      </w:r>
      <w:r w:rsidR="0037500E" w:rsidRPr="00445BF9">
        <w:rPr>
          <w:rFonts w:ascii="Times New Roman" w:eastAsia="Arial Unicode MS" w:hAnsi="Times New Roman"/>
          <w:sz w:val="24"/>
          <w:szCs w:val="24"/>
        </w:rPr>
        <w:t>NDP-II</w:t>
      </w:r>
      <w:r w:rsidRPr="00445BF9">
        <w:rPr>
          <w:rFonts w:ascii="Times New Roman" w:eastAsia="Arial Unicode MS" w:hAnsi="Times New Roman"/>
          <w:sz w:val="24"/>
          <w:szCs w:val="24"/>
        </w:rPr>
        <w:t xml:space="preserve"> objectives.</w:t>
      </w:r>
    </w:p>
    <w:p w14:paraId="231B4F3C" w14:textId="083343C4" w:rsidR="00E15CC2" w:rsidRPr="00445BF9" w:rsidRDefault="00DE44A4" w:rsidP="00445BF9">
      <w:pPr>
        <w:pStyle w:val="Heading2"/>
        <w:spacing w:after="120"/>
      </w:pPr>
      <w:bookmarkStart w:id="100" w:name="_Toc361577054"/>
      <w:bookmarkStart w:id="101" w:name="_Toc534926859"/>
      <w:bookmarkStart w:id="102" w:name="_Toc3505177"/>
      <w:r w:rsidRPr="00445BF9">
        <w:t>Harmonisation, Transaction Costs and Mutual Accountability</w:t>
      </w:r>
      <w:bookmarkEnd w:id="100"/>
      <w:bookmarkEnd w:id="101"/>
      <w:bookmarkEnd w:id="102"/>
    </w:p>
    <w:p w14:paraId="553660C6" w14:textId="26F81D6A" w:rsidR="00E15CC2" w:rsidRPr="00445BF9"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This section cover</w:t>
      </w:r>
      <w:r w:rsidR="00990BB4" w:rsidRPr="00445BF9">
        <w:rPr>
          <w:rFonts w:ascii="Times New Roman" w:eastAsia="Arial Unicode MS" w:hAnsi="Times New Roman"/>
          <w:sz w:val="24"/>
          <w:szCs w:val="24"/>
        </w:rPr>
        <w:t>s</w:t>
      </w:r>
      <w:r w:rsidRPr="00445BF9">
        <w:rPr>
          <w:rFonts w:ascii="Times New Roman" w:eastAsia="Arial Unicode MS" w:hAnsi="Times New Roman"/>
          <w:sz w:val="24"/>
          <w:szCs w:val="24"/>
        </w:rPr>
        <w:t xml:space="preserve"> the extent to which the NDP-I</w:t>
      </w:r>
      <w:r w:rsidR="0067735B" w:rsidRPr="00445BF9">
        <w:rPr>
          <w:rFonts w:ascii="Times New Roman" w:eastAsia="Arial Unicode MS" w:hAnsi="Times New Roman"/>
          <w:sz w:val="24"/>
          <w:szCs w:val="24"/>
        </w:rPr>
        <w:t>I</w:t>
      </w:r>
      <w:r w:rsidRPr="00445BF9">
        <w:rPr>
          <w:rFonts w:ascii="Times New Roman" w:eastAsia="Arial Unicode MS" w:hAnsi="Times New Roman"/>
          <w:sz w:val="24"/>
          <w:szCs w:val="24"/>
        </w:rPr>
        <w:t xml:space="preserve"> has provided a framework for improved harmonisation and reduced transaction costs in dealing with </w:t>
      </w:r>
      <w:r w:rsidR="004E7296" w:rsidRPr="00445BF9">
        <w:rPr>
          <w:rFonts w:ascii="Times New Roman" w:eastAsia="Arial Unicode MS" w:hAnsi="Times New Roman"/>
          <w:sz w:val="24"/>
          <w:szCs w:val="24"/>
        </w:rPr>
        <w:t>DP</w:t>
      </w:r>
      <w:r w:rsidR="0067735B" w:rsidRPr="00445BF9">
        <w:rPr>
          <w:rFonts w:ascii="Times New Roman" w:eastAsia="Arial Unicode MS" w:hAnsi="Times New Roman"/>
          <w:sz w:val="24"/>
          <w:szCs w:val="24"/>
        </w:rPr>
        <w:t>s</w:t>
      </w:r>
      <w:r w:rsidR="003C1618" w:rsidRPr="00445BF9">
        <w:rPr>
          <w:rFonts w:ascii="Times New Roman" w:eastAsia="Arial Unicode MS" w:hAnsi="Times New Roman"/>
          <w:sz w:val="24"/>
          <w:szCs w:val="24"/>
        </w:rPr>
        <w:t xml:space="preserve">, as well as </w:t>
      </w:r>
      <w:r w:rsidRPr="00445BF9">
        <w:rPr>
          <w:rFonts w:ascii="Times New Roman" w:eastAsia="Arial Unicode MS" w:hAnsi="Times New Roman"/>
          <w:sz w:val="24"/>
          <w:szCs w:val="24"/>
        </w:rPr>
        <w:t>the extent to which the NDP-</w:t>
      </w:r>
      <w:r w:rsidR="0067735B" w:rsidRPr="00445BF9">
        <w:rPr>
          <w:rFonts w:ascii="Times New Roman" w:eastAsia="Arial Unicode MS" w:hAnsi="Times New Roman"/>
          <w:sz w:val="24"/>
          <w:szCs w:val="24"/>
        </w:rPr>
        <w:t>I</w:t>
      </w:r>
      <w:r w:rsidRPr="00445BF9">
        <w:rPr>
          <w:rFonts w:ascii="Times New Roman" w:eastAsia="Arial Unicode MS" w:hAnsi="Times New Roman"/>
          <w:sz w:val="24"/>
          <w:szCs w:val="24"/>
        </w:rPr>
        <w:t xml:space="preserve">I has provided a basis for mutual accountability between government and </w:t>
      </w:r>
      <w:r w:rsidR="004E7296" w:rsidRPr="00445BF9">
        <w:rPr>
          <w:rFonts w:ascii="Times New Roman" w:eastAsia="Arial Unicode MS" w:hAnsi="Times New Roman"/>
          <w:sz w:val="24"/>
          <w:szCs w:val="24"/>
        </w:rPr>
        <w:t>DPs</w:t>
      </w:r>
      <w:r w:rsidRPr="00445BF9">
        <w:rPr>
          <w:rFonts w:ascii="Times New Roman" w:eastAsia="Arial Unicode MS" w:hAnsi="Times New Roman"/>
          <w:sz w:val="24"/>
          <w:szCs w:val="24"/>
        </w:rPr>
        <w:t>.</w:t>
      </w:r>
    </w:p>
    <w:p w14:paraId="23207CD7" w14:textId="61636B1B" w:rsidR="00E15CC2" w:rsidRPr="00445BF9"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The Section answers the following </w:t>
      </w:r>
      <w:r w:rsidR="00590CFF" w:rsidRPr="00445BF9">
        <w:rPr>
          <w:rFonts w:ascii="Times New Roman" w:eastAsia="Arial Unicode MS" w:hAnsi="Times New Roman"/>
          <w:sz w:val="24"/>
          <w:szCs w:val="24"/>
        </w:rPr>
        <w:t>questions:</w:t>
      </w:r>
    </w:p>
    <w:p w14:paraId="75F632B9" w14:textId="77777777" w:rsidR="009567BC" w:rsidRPr="00445BF9" w:rsidRDefault="009567BC" w:rsidP="00445BF9">
      <w:pPr>
        <w:pStyle w:val="ListParagraph"/>
        <w:numPr>
          <w:ilvl w:val="0"/>
          <w:numId w:val="25"/>
        </w:numPr>
        <w:spacing w:after="120" w:line="360" w:lineRule="auto"/>
        <w:ind w:left="1276" w:hanging="709"/>
        <w:rPr>
          <w:rFonts w:ascii="Times New Roman" w:eastAsiaTheme="minorHAnsi" w:hAnsi="Times New Roman"/>
          <w:sz w:val="24"/>
          <w:szCs w:val="24"/>
        </w:rPr>
      </w:pPr>
      <w:r w:rsidRPr="00445BF9">
        <w:rPr>
          <w:rFonts w:ascii="Times New Roman" w:hAnsi="Times New Roman"/>
          <w:b/>
          <w:sz w:val="24"/>
          <w:szCs w:val="24"/>
        </w:rPr>
        <w:t>DP2:</w:t>
      </w:r>
      <w:r w:rsidRPr="00445BF9">
        <w:rPr>
          <w:rFonts w:ascii="Times New Roman" w:hAnsi="Times New Roman"/>
          <w:sz w:val="24"/>
          <w:szCs w:val="24"/>
        </w:rPr>
        <w:t xml:space="preserve"> The extent to which the NDP II has provided a basis for mutual accountability; </w:t>
      </w:r>
    </w:p>
    <w:p w14:paraId="0104CEBC" w14:textId="77777777" w:rsidR="009567BC" w:rsidRPr="00445BF9" w:rsidRDefault="009567BC" w:rsidP="00445BF9">
      <w:pPr>
        <w:pStyle w:val="ListParagraph"/>
        <w:numPr>
          <w:ilvl w:val="0"/>
          <w:numId w:val="25"/>
        </w:numPr>
        <w:spacing w:after="120" w:line="360" w:lineRule="auto"/>
        <w:ind w:left="1276" w:hanging="709"/>
        <w:rPr>
          <w:rFonts w:ascii="Times New Roman" w:eastAsiaTheme="minorHAnsi" w:hAnsi="Times New Roman"/>
          <w:sz w:val="24"/>
          <w:szCs w:val="24"/>
        </w:rPr>
      </w:pPr>
      <w:r w:rsidRPr="00445BF9">
        <w:rPr>
          <w:rFonts w:ascii="Times New Roman" w:hAnsi="Times New Roman"/>
          <w:b/>
          <w:sz w:val="24"/>
          <w:szCs w:val="24"/>
        </w:rPr>
        <w:t xml:space="preserve">DP4: </w:t>
      </w:r>
      <w:r w:rsidRPr="00445BF9">
        <w:rPr>
          <w:rFonts w:ascii="Times New Roman" w:hAnsi="Times New Roman"/>
          <w:sz w:val="24"/>
          <w:szCs w:val="24"/>
        </w:rPr>
        <w:t>To what extent has government been transparent in utilizing donor support?</w:t>
      </w:r>
    </w:p>
    <w:p w14:paraId="307BA896" w14:textId="77777777" w:rsidR="009567BC" w:rsidRPr="00445BF9" w:rsidRDefault="009567BC" w:rsidP="00445BF9">
      <w:pPr>
        <w:pStyle w:val="ListParagraph"/>
        <w:numPr>
          <w:ilvl w:val="0"/>
          <w:numId w:val="25"/>
        </w:numPr>
        <w:spacing w:after="120" w:line="360" w:lineRule="auto"/>
        <w:ind w:left="1276" w:hanging="709"/>
        <w:rPr>
          <w:rFonts w:ascii="Times New Roman" w:hAnsi="Times New Roman"/>
          <w:sz w:val="24"/>
          <w:szCs w:val="24"/>
        </w:rPr>
      </w:pPr>
      <w:r w:rsidRPr="00445BF9">
        <w:rPr>
          <w:rFonts w:ascii="Times New Roman" w:hAnsi="Times New Roman"/>
          <w:b/>
          <w:sz w:val="24"/>
          <w:szCs w:val="24"/>
        </w:rPr>
        <w:t xml:space="preserve">DP10: </w:t>
      </w:r>
      <w:r w:rsidRPr="00445BF9">
        <w:rPr>
          <w:rFonts w:ascii="Times New Roman" w:hAnsi="Times New Roman"/>
          <w:sz w:val="24"/>
          <w:szCs w:val="24"/>
        </w:rPr>
        <w:t>To what extent has NDP II provided a framework for improved harmonisation and reduced transaction costs in dealing with different development partners?</w:t>
      </w:r>
    </w:p>
    <w:p w14:paraId="12FF555E" w14:textId="77777777" w:rsidR="009567BC" w:rsidRPr="00445BF9" w:rsidRDefault="009567BC" w:rsidP="00445BF9">
      <w:pPr>
        <w:pStyle w:val="ListParagraph"/>
        <w:numPr>
          <w:ilvl w:val="0"/>
          <w:numId w:val="25"/>
        </w:numPr>
        <w:spacing w:after="120" w:line="360" w:lineRule="auto"/>
        <w:ind w:left="1276" w:hanging="709"/>
        <w:rPr>
          <w:rFonts w:ascii="Times New Roman" w:hAnsi="Times New Roman"/>
          <w:sz w:val="24"/>
          <w:szCs w:val="24"/>
        </w:rPr>
      </w:pPr>
      <w:r w:rsidRPr="00445BF9">
        <w:rPr>
          <w:rFonts w:ascii="Times New Roman" w:hAnsi="Times New Roman"/>
          <w:b/>
          <w:sz w:val="24"/>
          <w:szCs w:val="24"/>
        </w:rPr>
        <w:t xml:space="preserve">DP11: </w:t>
      </w:r>
      <w:r w:rsidRPr="00445BF9">
        <w:rPr>
          <w:rFonts w:ascii="Times New Roman" w:hAnsi="Times New Roman"/>
          <w:sz w:val="24"/>
          <w:szCs w:val="24"/>
        </w:rPr>
        <w:t>To what extent has the NDP II provided a basis for mutual accountability between GoU and DPs</w:t>
      </w:r>
    </w:p>
    <w:p w14:paraId="687AB214" w14:textId="77777777" w:rsidR="009567BC" w:rsidRPr="00445BF9" w:rsidRDefault="009567BC" w:rsidP="00445BF9">
      <w:pPr>
        <w:pStyle w:val="ListParagraph"/>
        <w:numPr>
          <w:ilvl w:val="0"/>
          <w:numId w:val="25"/>
        </w:numPr>
        <w:spacing w:after="120" w:line="360" w:lineRule="auto"/>
        <w:ind w:left="1276" w:hanging="709"/>
        <w:rPr>
          <w:rFonts w:ascii="Times New Roman" w:hAnsi="Times New Roman"/>
          <w:sz w:val="24"/>
          <w:szCs w:val="24"/>
        </w:rPr>
      </w:pPr>
      <w:r w:rsidRPr="00445BF9">
        <w:rPr>
          <w:rFonts w:ascii="Times New Roman" w:hAnsi="Times New Roman"/>
          <w:b/>
          <w:sz w:val="24"/>
          <w:szCs w:val="24"/>
        </w:rPr>
        <w:t xml:space="preserve">DP12: </w:t>
      </w:r>
      <w:r w:rsidRPr="00445BF9">
        <w:rPr>
          <w:rFonts w:ascii="Times New Roman" w:hAnsi="Times New Roman"/>
          <w:sz w:val="24"/>
          <w:szCs w:val="24"/>
        </w:rPr>
        <w:t>How effective have GoU-donor partnerships been in the course of NDP implementation? Extent of pursuance of Public/Private Partnerships (PPPs) for sustainable development;</w:t>
      </w:r>
    </w:p>
    <w:p w14:paraId="481CEFD0" w14:textId="09A523D8" w:rsidR="00E15CC2" w:rsidRPr="00445BF9" w:rsidRDefault="009567BC" w:rsidP="00445BF9">
      <w:pPr>
        <w:pStyle w:val="ListParagraph"/>
        <w:numPr>
          <w:ilvl w:val="0"/>
          <w:numId w:val="25"/>
        </w:numPr>
        <w:spacing w:after="120" w:line="360" w:lineRule="auto"/>
        <w:ind w:left="1276" w:hanging="709"/>
        <w:rPr>
          <w:rFonts w:ascii="Times New Roman" w:hAnsi="Times New Roman"/>
          <w:sz w:val="24"/>
          <w:szCs w:val="24"/>
        </w:rPr>
      </w:pPr>
      <w:r w:rsidRPr="00445BF9">
        <w:rPr>
          <w:rFonts w:ascii="Times New Roman" w:hAnsi="Times New Roman"/>
          <w:b/>
          <w:sz w:val="24"/>
          <w:szCs w:val="24"/>
        </w:rPr>
        <w:t xml:space="preserve">DP13: </w:t>
      </w:r>
      <w:r w:rsidRPr="00445BF9">
        <w:rPr>
          <w:rFonts w:ascii="Times New Roman" w:hAnsi="Times New Roman"/>
          <w:sz w:val="24"/>
          <w:szCs w:val="24"/>
        </w:rPr>
        <w:t>How can GoU / DP relations be strengthened so that the efficient and effective implementation of the NDP is enhanced?</w:t>
      </w:r>
    </w:p>
    <w:p w14:paraId="222B67DE" w14:textId="4810B258" w:rsidR="00E15CC2" w:rsidRPr="00445BF9" w:rsidRDefault="00E15CC2"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103" w:name="_Toc534926860"/>
      <w:bookmarkStart w:id="104" w:name="_Toc361577055"/>
      <w:r w:rsidRPr="00445BF9">
        <w:rPr>
          <w:rFonts w:ascii="Times New Roman" w:eastAsia="Arial Unicode MS" w:hAnsi="Times New Roman"/>
          <w:bCs w:val="0"/>
          <w:sz w:val="24"/>
          <w:szCs w:val="24"/>
          <w:lang w:val="en-GB"/>
        </w:rPr>
        <w:t xml:space="preserve">Harmonisation </w:t>
      </w:r>
      <w:r w:rsidR="000938F3" w:rsidRPr="00445BF9">
        <w:rPr>
          <w:rFonts w:ascii="Times New Roman" w:eastAsia="Arial Unicode MS" w:hAnsi="Times New Roman"/>
          <w:bCs w:val="0"/>
          <w:sz w:val="24"/>
          <w:szCs w:val="24"/>
          <w:lang w:val="en-GB"/>
        </w:rPr>
        <w:t>and Transaction Costs</w:t>
      </w:r>
      <w:bookmarkEnd w:id="103"/>
      <w:bookmarkEnd w:id="104"/>
    </w:p>
    <w:p w14:paraId="2CDF942D" w14:textId="7C11B6D6" w:rsidR="00113DA5" w:rsidRPr="00445BF9" w:rsidRDefault="00E40F38"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The NDP-II is silent on harmonisation arrangements</w:t>
      </w:r>
      <w:r w:rsidR="004D2C58" w:rsidRPr="00445BF9">
        <w:rPr>
          <w:rFonts w:ascii="Times New Roman" w:eastAsia="Arial Unicode MS" w:hAnsi="Times New Roman"/>
          <w:sz w:val="24"/>
          <w:szCs w:val="24"/>
        </w:rPr>
        <w:t>, unlike the NDP-I where the harmonisation modalities were clearly articulated</w:t>
      </w:r>
      <w:r w:rsidR="00FC306B" w:rsidRPr="00445BF9">
        <w:rPr>
          <w:rFonts w:ascii="Times New Roman" w:eastAsia="Arial Unicode MS" w:hAnsi="Times New Roman"/>
          <w:sz w:val="24"/>
          <w:szCs w:val="24"/>
        </w:rPr>
        <w:t xml:space="preserve">. However, in practice the modalities established under the NDP-I still suffices. </w:t>
      </w:r>
      <w:r w:rsidR="006344B8" w:rsidRPr="00445BF9">
        <w:rPr>
          <w:rFonts w:ascii="Times New Roman" w:eastAsia="Arial Unicode MS" w:hAnsi="Times New Roman"/>
          <w:sz w:val="24"/>
          <w:szCs w:val="24"/>
        </w:rPr>
        <w:t>Nevertheless,</w:t>
      </w:r>
      <w:r w:rsidR="00FC306B" w:rsidRPr="00445BF9">
        <w:rPr>
          <w:rFonts w:ascii="Times New Roman" w:eastAsia="Arial Unicode MS" w:hAnsi="Times New Roman"/>
          <w:sz w:val="24"/>
          <w:szCs w:val="24"/>
        </w:rPr>
        <w:t xml:space="preserve"> </w:t>
      </w:r>
      <w:r w:rsidR="00C20718" w:rsidRPr="00445BF9">
        <w:rPr>
          <w:rFonts w:ascii="Times New Roman" w:eastAsia="Arial Unicode MS" w:hAnsi="Times New Roman"/>
          <w:sz w:val="24"/>
          <w:szCs w:val="24"/>
        </w:rPr>
        <w:t xml:space="preserve">throughout the </w:t>
      </w:r>
      <w:r w:rsidR="0037500E" w:rsidRPr="00445BF9">
        <w:rPr>
          <w:rFonts w:ascii="Times New Roman" w:eastAsia="Arial Unicode MS" w:hAnsi="Times New Roman"/>
          <w:sz w:val="24"/>
          <w:szCs w:val="24"/>
        </w:rPr>
        <w:t>NDP-II</w:t>
      </w:r>
      <w:r w:rsidR="00C20718" w:rsidRPr="00445BF9">
        <w:rPr>
          <w:rFonts w:ascii="Times New Roman" w:eastAsia="Arial Unicode MS" w:hAnsi="Times New Roman"/>
          <w:sz w:val="24"/>
          <w:szCs w:val="24"/>
        </w:rPr>
        <w:t xml:space="preserve"> the development partners are recognised as critical stakeholders in providing both financial and technical support towards implementation of the plans.</w:t>
      </w:r>
      <w:r w:rsidR="00113DA5" w:rsidRPr="00445BF9">
        <w:rPr>
          <w:rFonts w:ascii="Times New Roman" w:eastAsia="Arial Unicode MS" w:hAnsi="Times New Roman"/>
          <w:sz w:val="24"/>
          <w:szCs w:val="24"/>
        </w:rPr>
        <w:t xml:space="preserve"> </w:t>
      </w:r>
    </w:p>
    <w:p w14:paraId="21CD80B2" w14:textId="7AD14FEC" w:rsidR="006344B8" w:rsidRPr="00445BF9" w:rsidRDefault="006344B8" w:rsidP="00445BF9">
      <w:pPr>
        <w:pStyle w:val="DeltaBodytext"/>
        <w:numPr>
          <w:ilvl w:val="0"/>
          <w:numId w:val="14"/>
        </w:numPr>
        <w:spacing w:after="120" w:line="360" w:lineRule="auto"/>
        <w:ind w:left="567" w:hanging="567"/>
        <w:rPr>
          <w:rFonts w:ascii="Times New Roman" w:eastAsia="Arial Unicode MS" w:hAnsi="Times New Roman"/>
          <w:b/>
          <w:sz w:val="24"/>
          <w:szCs w:val="24"/>
        </w:rPr>
      </w:pPr>
      <w:r w:rsidRPr="00445BF9">
        <w:rPr>
          <w:rFonts w:ascii="Times New Roman" w:eastAsia="Arial Unicode MS" w:hAnsi="Times New Roman"/>
          <w:b/>
          <w:sz w:val="24"/>
          <w:szCs w:val="24"/>
        </w:rPr>
        <w:t>W</w:t>
      </w:r>
      <w:r w:rsidR="00564077" w:rsidRPr="00445BF9">
        <w:rPr>
          <w:rFonts w:ascii="Times New Roman" w:eastAsia="Arial Unicode MS" w:hAnsi="Times New Roman"/>
          <w:b/>
          <w:sz w:val="24"/>
          <w:szCs w:val="24"/>
        </w:rPr>
        <w:t xml:space="preserve">ith the drying up of Budget support, there is no </w:t>
      </w:r>
      <w:r w:rsidR="00127AF4" w:rsidRPr="00445BF9">
        <w:rPr>
          <w:rFonts w:ascii="Times New Roman" w:eastAsia="Arial Unicode MS" w:hAnsi="Times New Roman"/>
          <w:b/>
          <w:sz w:val="24"/>
          <w:szCs w:val="24"/>
        </w:rPr>
        <w:t xml:space="preserve">common </w:t>
      </w:r>
      <w:r w:rsidRPr="00445BF9">
        <w:rPr>
          <w:rFonts w:ascii="Times New Roman" w:eastAsia="Arial Unicode MS" w:hAnsi="Times New Roman"/>
          <w:b/>
          <w:sz w:val="24"/>
          <w:szCs w:val="24"/>
        </w:rPr>
        <w:t>Joint Assessment Framework (JAF)</w:t>
      </w:r>
      <w:r w:rsidR="00127AF4" w:rsidRPr="00445BF9">
        <w:rPr>
          <w:rFonts w:ascii="Times New Roman" w:eastAsia="Arial Unicode MS" w:hAnsi="Times New Roman"/>
          <w:b/>
          <w:sz w:val="24"/>
          <w:szCs w:val="24"/>
        </w:rPr>
        <w:t>,</w:t>
      </w:r>
      <w:r w:rsidRPr="00445BF9">
        <w:rPr>
          <w:rFonts w:ascii="Times New Roman" w:eastAsia="Arial Unicode MS" w:hAnsi="Times New Roman"/>
          <w:b/>
          <w:sz w:val="24"/>
          <w:szCs w:val="24"/>
        </w:rPr>
        <w:t xml:space="preserve"> </w:t>
      </w:r>
      <w:r w:rsidR="00564077" w:rsidRPr="00445BF9">
        <w:rPr>
          <w:rFonts w:ascii="Times New Roman" w:eastAsia="Arial Unicode MS" w:hAnsi="Times New Roman"/>
          <w:b/>
          <w:sz w:val="24"/>
          <w:szCs w:val="24"/>
        </w:rPr>
        <w:t>and annual progress report has been replaced by GAPR.</w:t>
      </w:r>
      <w:r w:rsidRPr="00445BF9">
        <w:rPr>
          <w:rFonts w:ascii="Times New Roman" w:eastAsia="Arial Unicode MS" w:hAnsi="Times New Roman"/>
          <w:b/>
          <w:sz w:val="24"/>
          <w:szCs w:val="24"/>
        </w:rPr>
        <w:t xml:space="preserve"> </w:t>
      </w:r>
      <w:r w:rsidR="009C3848" w:rsidRPr="00445BF9">
        <w:rPr>
          <w:rFonts w:ascii="Times New Roman" w:eastAsia="Arial Unicode MS" w:hAnsi="Times New Roman"/>
          <w:sz w:val="24"/>
          <w:szCs w:val="24"/>
        </w:rPr>
        <w:t>It was</w:t>
      </w:r>
      <w:r w:rsidR="00C20718" w:rsidRPr="00445BF9">
        <w:rPr>
          <w:rFonts w:ascii="Times New Roman" w:eastAsia="Arial Unicode MS" w:hAnsi="Times New Roman"/>
          <w:sz w:val="24"/>
          <w:szCs w:val="24"/>
        </w:rPr>
        <w:t xml:space="preserve"> anticipated that a key focus for the Partnership Policy would be improved harmonisation between development partners</w:t>
      </w:r>
      <w:r w:rsidR="00222DDD" w:rsidRPr="00445BF9">
        <w:rPr>
          <w:rFonts w:ascii="Times New Roman" w:eastAsia="Arial Unicode MS" w:hAnsi="Times New Roman"/>
          <w:sz w:val="24"/>
          <w:szCs w:val="24"/>
        </w:rPr>
        <w:t>,</w:t>
      </w:r>
      <w:r w:rsidR="00C20718" w:rsidRPr="00445BF9">
        <w:rPr>
          <w:rFonts w:ascii="Times New Roman" w:eastAsia="Arial Unicode MS" w:hAnsi="Times New Roman"/>
          <w:sz w:val="24"/>
          <w:szCs w:val="24"/>
        </w:rPr>
        <w:t xml:space="preserve"> which would help reduce government’s transaction costs. It was particularly expected </w:t>
      </w:r>
      <w:r w:rsidR="00C20718" w:rsidRPr="00445BF9">
        <w:rPr>
          <w:rFonts w:ascii="Times New Roman" w:eastAsia="Arial Unicode MS" w:hAnsi="Times New Roman"/>
          <w:sz w:val="24"/>
          <w:szCs w:val="24"/>
        </w:rPr>
        <w:lastRenderedPageBreak/>
        <w:t xml:space="preserve">that greater use of joint </w:t>
      </w:r>
      <w:r w:rsidR="00FC4EAC" w:rsidRPr="00445BF9">
        <w:rPr>
          <w:rFonts w:ascii="Times New Roman" w:eastAsia="Arial Unicode MS" w:hAnsi="Times New Roman"/>
          <w:sz w:val="24"/>
          <w:szCs w:val="24"/>
        </w:rPr>
        <w:t>programme-based</w:t>
      </w:r>
      <w:r w:rsidR="00C20718" w:rsidRPr="00445BF9">
        <w:rPr>
          <w:rFonts w:ascii="Times New Roman" w:eastAsia="Arial Unicode MS" w:hAnsi="Times New Roman"/>
          <w:sz w:val="24"/>
          <w:szCs w:val="24"/>
        </w:rPr>
        <w:t xml:space="preserve"> approaches in the provision of aid (especially budget support) would be a basis for greater use of uniform disbursement and accountability rules, common indicators and reporting systems and more joint missions and analytical work.  However, with the drying up of Budget support, there is no JAF common framework and annual progress report has been replaced by GAPR.</w:t>
      </w:r>
      <w:r w:rsidR="0074398C" w:rsidRPr="00445BF9">
        <w:rPr>
          <w:rFonts w:ascii="Times New Roman" w:eastAsia="Arial Unicode MS" w:hAnsi="Times New Roman"/>
          <w:sz w:val="24"/>
          <w:szCs w:val="24"/>
        </w:rPr>
        <w:t xml:space="preserve"> And </w:t>
      </w:r>
      <w:r w:rsidR="0074398C" w:rsidRPr="00445BF9">
        <w:rPr>
          <w:rFonts w:ascii="Times New Roman" w:eastAsia="Arial Unicode MS" w:hAnsi="Times New Roman"/>
          <w:b/>
          <w:sz w:val="24"/>
          <w:szCs w:val="24"/>
        </w:rPr>
        <w:t>there are challenges for the GoU to hold DPs to account</w:t>
      </w:r>
      <w:r w:rsidR="00A573D4" w:rsidRPr="00445BF9">
        <w:rPr>
          <w:rFonts w:ascii="Times New Roman" w:eastAsia="Arial Unicode MS" w:hAnsi="Times New Roman"/>
          <w:b/>
          <w:sz w:val="24"/>
          <w:szCs w:val="24"/>
        </w:rPr>
        <w:t xml:space="preserve">, particularly </w:t>
      </w:r>
      <w:r w:rsidR="001519F2" w:rsidRPr="00445BF9">
        <w:rPr>
          <w:rFonts w:ascii="Times New Roman" w:eastAsia="Arial Unicode MS" w:hAnsi="Times New Roman"/>
          <w:b/>
          <w:sz w:val="24"/>
          <w:szCs w:val="24"/>
        </w:rPr>
        <w:t xml:space="preserve">when the </w:t>
      </w:r>
      <w:r w:rsidR="00A573D4" w:rsidRPr="00445BF9">
        <w:rPr>
          <w:rFonts w:ascii="Times New Roman" w:eastAsia="Arial Unicode MS" w:hAnsi="Times New Roman"/>
          <w:b/>
          <w:sz w:val="24"/>
          <w:szCs w:val="24"/>
        </w:rPr>
        <w:t xml:space="preserve">funding is </w:t>
      </w:r>
      <w:r w:rsidR="001519F2" w:rsidRPr="00445BF9">
        <w:rPr>
          <w:rFonts w:ascii="Times New Roman" w:eastAsia="Arial Unicode MS" w:hAnsi="Times New Roman"/>
          <w:b/>
          <w:sz w:val="24"/>
          <w:szCs w:val="24"/>
        </w:rPr>
        <w:t xml:space="preserve">largely </w:t>
      </w:r>
      <w:r w:rsidR="00A573D4" w:rsidRPr="00445BF9">
        <w:rPr>
          <w:rFonts w:ascii="Times New Roman" w:eastAsia="Arial Unicode MS" w:hAnsi="Times New Roman"/>
          <w:b/>
          <w:sz w:val="24"/>
          <w:szCs w:val="24"/>
        </w:rPr>
        <w:t>off</w:t>
      </w:r>
      <w:r w:rsidR="001519F2" w:rsidRPr="00445BF9">
        <w:rPr>
          <w:rFonts w:ascii="Times New Roman" w:eastAsia="Arial Unicode MS" w:hAnsi="Times New Roman"/>
          <w:b/>
          <w:sz w:val="24"/>
          <w:szCs w:val="24"/>
        </w:rPr>
        <w:t>-</w:t>
      </w:r>
      <w:r w:rsidR="00A573D4" w:rsidRPr="00445BF9">
        <w:rPr>
          <w:rFonts w:ascii="Times New Roman" w:eastAsia="Arial Unicode MS" w:hAnsi="Times New Roman"/>
          <w:b/>
          <w:sz w:val="24"/>
          <w:szCs w:val="24"/>
        </w:rPr>
        <w:t>budget.</w:t>
      </w:r>
    </w:p>
    <w:p w14:paraId="1FFC6F5E" w14:textId="1E2C9F55" w:rsidR="004E4EA9" w:rsidRPr="00445BF9" w:rsidRDefault="00C20718"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Arial Unicode MS" w:hAnsi="Times New Roman"/>
          <w:b/>
          <w:sz w:val="24"/>
          <w:szCs w:val="24"/>
        </w:rPr>
        <w:t xml:space="preserve">There </w:t>
      </w:r>
      <w:r w:rsidR="00FC4EAC" w:rsidRPr="00445BF9">
        <w:rPr>
          <w:rFonts w:ascii="Times New Roman" w:eastAsia="Arial Unicode MS" w:hAnsi="Times New Roman"/>
          <w:b/>
          <w:sz w:val="24"/>
          <w:szCs w:val="24"/>
        </w:rPr>
        <w:t>are</w:t>
      </w:r>
      <w:r w:rsidRPr="00445BF9">
        <w:rPr>
          <w:rFonts w:ascii="Times New Roman" w:eastAsia="Arial Unicode MS" w:hAnsi="Times New Roman"/>
          <w:b/>
          <w:sz w:val="24"/>
          <w:szCs w:val="24"/>
        </w:rPr>
        <w:t xml:space="preserve"> no joint programme-based approaches, no agreement among </w:t>
      </w:r>
      <w:r w:rsidR="00B17811" w:rsidRPr="00445BF9">
        <w:rPr>
          <w:rFonts w:ascii="Times New Roman" w:eastAsia="Arial Unicode MS" w:hAnsi="Times New Roman"/>
          <w:b/>
          <w:sz w:val="24"/>
          <w:szCs w:val="24"/>
        </w:rPr>
        <w:t>DPs</w:t>
      </w:r>
      <w:r w:rsidRPr="00445BF9">
        <w:rPr>
          <w:rFonts w:ascii="Times New Roman" w:eastAsia="Arial Unicode MS" w:hAnsi="Times New Roman"/>
          <w:b/>
          <w:sz w:val="24"/>
          <w:szCs w:val="24"/>
        </w:rPr>
        <w:t xml:space="preserve"> on common principles for disbursement and accountability.  Government no longer monitors </w:t>
      </w:r>
      <w:r w:rsidR="006A5A9C" w:rsidRPr="00445BF9">
        <w:rPr>
          <w:rFonts w:ascii="Times New Roman" w:eastAsia="Arial Unicode MS" w:hAnsi="Times New Roman"/>
          <w:b/>
          <w:sz w:val="24"/>
          <w:szCs w:val="24"/>
        </w:rPr>
        <w:t>DPs</w:t>
      </w:r>
      <w:r w:rsidRPr="00445BF9">
        <w:rPr>
          <w:rFonts w:ascii="Times New Roman" w:eastAsia="Arial Unicode MS" w:hAnsi="Times New Roman"/>
          <w:b/>
          <w:sz w:val="24"/>
          <w:szCs w:val="24"/>
        </w:rPr>
        <w:t xml:space="preserve"> interventions </w:t>
      </w:r>
      <w:r w:rsidRPr="00445BF9">
        <w:rPr>
          <w:rFonts w:ascii="Times New Roman" w:eastAsia="Arial Unicode MS" w:hAnsi="Times New Roman"/>
          <w:sz w:val="24"/>
          <w:szCs w:val="24"/>
        </w:rPr>
        <w:t>as it was with budget support, funds have been channelled through off-budget funding, development partners implement projects without government involvement either directly or through NGOs and CSOs.</w:t>
      </w:r>
      <w:r w:rsidR="004E4EA9" w:rsidRPr="00445BF9">
        <w:rPr>
          <w:rFonts w:ascii="Times New Roman" w:eastAsia="Arial Unicode MS" w:hAnsi="Times New Roman"/>
          <w:sz w:val="24"/>
          <w:szCs w:val="24"/>
        </w:rPr>
        <w:t xml:space="preserve"> </w:t>
      </w:r>
      <w:r w:rsidR="001B3048" w:rsidRPr="00445BF9">
        <w:rPr>
          <w:rFonts w:ascii="Times New Roman" w:eastAsia="Arial Unicode MS" w:hAnsi="Times New Roman"/>
          <w:sz w:val="24"/>
          <w:szCs w:val="24"/>
        </w:rPr>
        <w:t xml:space="preserve">The </w:t>
      </w:r>
      <w:r w:rsidR="004E4EA9" w:rsidRPr="00445BF9">
        <w:rPr>
          <w:rFonts w:ascii="Times New Roman" w:hAnsi="Times New Roman"/>
          <w:b/>
          <w:sz w:val="24"/>
          <w:szCs w:val="24"/>
        </w:rPr>
        <w:t>M&amp;E capacity needs to be strengthened, including the capacity of executing agencies. Meanwhile, M&amp;E is currently focused on outputs, rather on outcomes, which needs an improvement.</w:t>
      </w:r>
    </w:p>
    <w:p w14:paraId="323753F4" w14:textId="27D14666" w:rsidR="00CF0124" w:rsidRPr="00445BF9" w:rsidRDefault="00C20718"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Arial Unicode MS" w:hAnsi="Times New Roman"/>
          <w:sz w:val="24"/>
          <w:szCs w:val="24"/>
        </w:rPr>
        <w:t xml:space="preserve">It was also hoped a </w:t>
      </w:r>
      <w:r w:rsidRPr="00445BF9">
        <w:rPr>
          <w:rFonts w:ascii="Times New Roman" w:eastAsia="Arial Unicode MS" w:hAnsi="Times New Roman"/>
          <w:b/>
          <w:sz w:val="24"/>
          <w:szCs w:val="24"/>
        </w:rPr>
        <w:t xml:space="preserve">better division of labour </w:t>
      </w:r>
      <w:r w:rsidR="00C259E2" w:rsidRPr="00445BF9">
        <w:rPr>
          <w:rFonts w:ascii="Times New Roman" w:eastAsia="Arial Unicode MS" w:hAnsi="Times New Roman"/>
          <w:b/>
          <w:sz w:val="24"/>
          <w:szCs w:val="24"/>
        </w:rPr>
        <w:t xml:space="preserve">between DPs </w:t>
      </w:r>
      <w:r w:rsidRPr="00445BF9">
        <w:rPr>
          <w:rFonts w:ascii="Times New Roman" w:eastAsia="Arial Unicode MS" w:hAnsi="Times New Roman"/>
          <w:sz w:val="24"/>
          <w:szCs w:val="24"/>
        </w:rPr>
        <w:t>would reduce the number of individual donors operating in each sector, and agreement on key mechanisms such as a closed season on donor missions during the particularly busy time of budget preparations would further reduce the burden on government. This has also not happened.</w:t>
      </w:r>
      <w:r w:rsidR="00FB6293" w:rsidRPr="00445BF9">
        <w:rPr>
          <w:rFonts w:ascii="Times New Roman" w:eastAsia="Arial Unicode MS" w:hAnsi="Times New Roman"/>
          <w:sz w:val="24"/>
          <w:szCs w:val="24"/>
        </w:rPr>
        <w:t xml:space="preserve"> </w:t>
      </w:r>
      <w:r w:rsidR="00CF0124" w:rsidRPr="00445BF9">
        <w:rPr>
          <w:rFonts w:ascii="Times New Roman" w:hAnsi="Times New Roman"/>
          <w:sz w:val="24"/>
          <w:szCs w:val="24"/>
        </w:rPr>
        <w:t xml:space="preserve">Government is working on National Standards Indicators, which will be linked to SDGs. </w:t>
      </w:r>
      <w:r w:rsidR="00CF0124" w:rsidRPr="00445BF9">
        <w:rPr>
          <w:rFonts w:ascii="Times New Roman" w:hAnsi="Times New Roman"/>
          <w:b/>
          <w:sz w:val="24"/>
          <w:szCs w:val="24"/>
        </w:rPr>
        <w:t>Harmonisation is needed of DPs reporting.</w:t>
      </w:r>
    </w:p>
    <w:p w14:paraId="40408E76" w14:textId="625915A0" w:rsidR="00C20718" w:rsidRPr="00445BF9" w:rsidRDefault="00C20718" w:rsidP="00445BF9">
      <w:pPr>
        <w:pStyle w:val="DeltaBodytext"/>
        <w:numPr>
          <w:ilvl w:val="0"/>
          <w:numId w:val="14"/>
        </w:numPr>
        <w:spacing w:after="120" w:line="360" w:lineRule="auto"/>
        <w:ind w:left="567" w:hanging="567"/>
        <w:rPr>
          <w:rFonts w:ascii="Times New Roman" w:hAnsi="Times New Roman"/>
          <w:b/>
          <w:sz w:val="24"/>
          <w:szCs w:val="24"/>
        </w:rPr>
      </w:pPr>
      <w:r w:rsidRPr="00445BF9">
        <w:rPr>
          <w:rFonts w:ascii="Times New Roman" w:hAnsi="Times New Roman"/>
          <w:sz w:val="24"/>
          <w:szCs w:val="24"/>
        </w:rPr>
        <w:t>The GPEDC 2016 monitoring survey also reported that although 96% of the projects are evaluated by the government, only 47% are organi</w:t>
      </w:r>
      <w:r w:rsidR="00B17811" w:rsidRPr="00445BF9">
        <w:rPr>
          <w:rFonts w:ascii="Times New Roman" w:hAnsi="Times New Roman"/>
          <w:sz w:val="24"/>
          <w:szCs w:val="24"/>
        </w:rPr>
        <w:t>s</w:t>
      </w:r>
      <w:r w:rsidRPr="00445BF9">
        <w:rPr>
          <w:rFonts w:ascii="Times New Roman" w:hAnsi="Times New Roman"/>
          <w:sz w:val="24"/>
          <w:szCs w:val="24"/>
        </w:rPr>
        <w:t xml:space="preserve">ed jointly with partners and there is considerable variation in the use of country results frameworks among partners, especially bilateral agencies. This leaves quite some room for future improvement. The interviews conducted during review confirmed that </w:t>
      </w:r>
      <w:r w:rsidRPr="00445BF9">
        <w:rPr>
          <w:rFonts w:ascii="Times New Roman" w:hAnsi="Times New Roman"/>
          <w:b/>
          <w:sz w:val="24"/>
          <w:szCs w:val="24"/>
        </w:rPr>
        <w:t xml:space="preserve">there </w:t>
      </w:r>
      <w:r w:rsidR="00B17811" w:rsidRPr="00445BF9">
        <w:rPr>
          <w:rFonts w:ascii="Times New Roman" w:hAnsi="Times New Roman"/>
          <w:b/>
          <w:sz w:val="24"/>
          <w:szCs w:val="24"/>
        </w:rPr>
        <w:t>are</w:t>
      </w:r>
      <w:r w:rsidRPr="00445BF9">
        <w:rPr>
          <w:rFonts w:ascii="Times New Roman" w:hAnsi="Times New Roman"/>
          <w:b/>
          <w:sz w:val="24"/>
          <w:szCs w:val="24"/>
        </w:rPr>
        <w:t xml:space="preserve"> no joint monitoring missions and the development partners’ coordination framework are dormant.</w:t>
      </w:r>
    </w:p>
    <w:p w14:paraId="052A15FC" w14:textId="135FDB16" w:rsidR="00B71DD7" w:rsidRPr="00445BF9" w:rsidRDefault="006A27B8"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Arial Unicode MS" w:hAnsi="Times New Roman"/>
          <w:b/>
          <w:sz w:val="24"/>
          <w:szCs w:val="24"/>
        </w:rPr>
        <w:t>In order to consolidate national systems, the government has undertaken several PFM reforms,</w:t>
      </w:r>
      <w:r w:rsidRPr="00445BF9">
        <w:rPr>
          <w:rFonts w:ascii="Times New Roman" w:eastAsia="Arial Unicode MS" w:hAnsi="Times New Roman"/>
          <w:sz w:val="24"/>
          <w:szCs w:val="24"/>
        </w:rPr>
        <w:t xml:space="preserve"> including budget monitoring, </w:t>
      </w:r>
      <w:r w:rsidR="008C11F1" w:rsidRPr="00445BF9">
        <w:rPr>
          <w:rFonts w:ascii="Times New Roman" w:eastAsia="Arial Unicode MS" w:hAnsi="Times New Roman"/>
          <w:sz w:val="24"/>
          <w:szCs w:val="24"/>
        </w:rPr>
        <w:t xml:space="preserve">strengthening of OAG, </w:t>
      </w:r>
      <w:r w:rsidR="00026332" w:rsidRPr="00445BF9">
        <w:rPr>
          <w:rFonts w:ascii="Times New Roman" w:eastAsia="Arial Unicode MS" w:hAnsi="Times New Roman"/>
          <w:sz w:val="24"/>
          <w:szCs w:val="24"/>
        </w:rPr>
        <w:t xml:space="preserve">enabling </w:t>
      </w:r>
      <w:r w:rsidR="00026332" w:rsidRPr="00445BF9">
        <w:rPr>
          <w:rFonts w:ascii="Times New Roman" w:hAnsi="Times New Roman"/>
          <w:sz w:val="24"/>
          <w:szCs w:val="24"/>
        </w:rPr>
        <w:t xml:space="preserve">legal and regulatory </w:t>
      </w:r>
      <w:r w:rsidR="009C1FDC" w:rsidRPr="00445BF9">
        <w:rPr>
          <w:rFonts w:ascii="Times New Roman" w:hAnsi="Times New Roman"/>
          <w:sz w:val="24"/>
          <w:szCs w:val="24"/>
        </w:rPr>
        <w:t>framework for</w:t>
      </w:r>
      <w:r w:rsidR="00026332" w:rsidRPr="00445BF9">
        <w:rPr>
          <w:rFonts w:ascii="Times New Roman" w:hAnsi="Times New Roman"/>
          <w:sz w:val="24"/>
          <w:szCs w:val="24"/>
        </w:rPr>
        <w:t xml:space="preserve"> PFM, as well as </w:t>
      </w:r>
      <w:r w:rsidR="009C1FDC" w:rsidRPr="00445BF9">
        <w:rPr>
          <w:rFonts w:ascii="Times New Roman" w:hAnsi="Times New Roman"/>
          <w:sz w:val="24"/>
          <w:szCs w:val="24"/>
        </w:rPr>
        <w:t xml:space="preserve">establishment of </w:t>
      </w:r>
      <w:r w:rsidRPr="00445BF9">
        <w:rPr>
          <w:rFonts w:ascii="Times New Roman" w:eastAsia="Arial Unicode MS" w:hAnsi="Times New Roman"/>
          <w:sz w:val="24"/>
          <w:szCs w:val="24"/>
        </w:rPr>
        <w:t xml:space="preserve">a PFM partner group to </w:t>
      </w:r>
      <w:r w:rsidR="009C1FDC" w:rsidRPr="00445BF9">
        <w:rPr>
          <w:rFonts w:ascii="Times New Roman" w:eastAsia="Arial Unicode MS" w:hAnsi="Times New Roman"/>
          <w:sz w:val="24"/>
          <w:szCs w:val="24"/>
        </w:rPr>
        <w:t xml:space="preserve">further </w:t>
      </w:r>
      <w:r w:rsidRPr="00445BF9">
        <w:rPr>
          <w:rFonts w:ascii="Times New Roman" w:eastAsia="Arial Unicode MS" w:hAnsi="Times New Roman"/>
          <w:sz w:val="24"/>
          <w:szCs w:val="24"/>
        </w:rPr>
        <w:t xml:space="preserve">strengthen these PFM reforms. </w:t>
      </w:r>
      <w:r w:rsidR="00136A03" w:rsidRPr="00445BF9">
        <w:rPr>
          <w:rFonts w:ascii="Times New Roman" w:hAnsi="Times New Roman"/>
          <w:sz w:val="24"/>
          <w:szCs w:val="24"/>
        </w:rPr>
        <w:t>Under NDP-2 new PFM Act (2015)</w:t>
      </w:r>
      <w:r w:rsidR="003B43CE" w:rsidRPr="00445BF9">
        <w:rPr>
          <w:rFonts w:ascii="Times New Roman" w:hAnsi="Times New Roman"/>
          <w:sz w:val="24"/>
          <w:szCs w:val="24"/>
        </w:rPr>
        <w:t xml:space="preserve"> was introduced</w:t>
      </w:r>
      <w:r w:rsidR="007334DA" w:rsidRPr="00445BF9">
        <w:rPr>
          <w:rFonts w:ascii="Times New Roman" w:hAnsi="Times New Roman"/>
          <w:sz w:val="24"/>
          <w:szCs w:val="24"/>
        </w:rPr>
        <w:t>, which has a c</w:t>
      </w:r>
      <w:r w:rsidR="00136A03" w:rsidRPr="00445BF9">
        <w:rPr>
          <w:rFonts w:ascii="Times New Roman" w:hAnsi="Times New Roman"/>
          <w:sz w:val="24"/>
          <w:szCs w:val="24"/>
        </w:rPr>
        <w:t xml:space="preserve">lause on alignment of Budget to NDP. </w:t>
      </w:r>
      <w:r w:rsidR="007334DA" w:rsidRPr="00445BF9">
        <w:rPr>
          <w:rFonts w:ascii="Times New Roman" w:hAnsi="Times New Roman"/>
          <w:sz w:val="24"/>
          <w:szCs w:val="24"/>
        </w:rPr>
        <w:t>T</w:t>
      </w:r>
      <w:r w:rsidR="00136A03" w:rsidRPr="00445BF9">
        <w:rPr>
          <w:rFonts w:ascii="Times New Roman" w:hAnsi="Times New Roman"/>
          <w:sz w:val="24"/>
          <w:szCs w:val="24"/>
        </w:rPr>
        <w:t xml:space="preserve">here is </w:t>
      </w:r>
      <w:r w:rsidR="007334DA" w:rsidRPr="00445BF9">
        <w:rPr>
          <w:rFonts w:ascii="Times New Roman" w:hAnsi="Times New Roman"/>
          <w:sz w:val="24"/>
          <w:szCs w:val="24"/>
        </w:rPr>
        <w:t xml:space="preserve">also </w:t>
      </w:r>
      <w:r w:rsidR="00136A03" w:rsidRPr="00445BF9">
        <w:rPr>
          <w:rFonts w:ascii="Times New Roman" w:hAnsi="Times New Roman"/>
          <w:sz w:val="24"/>
          <w:szCs w:val="24"/>
        </w:rPr>
        <w:t>a certificate to be issued by NPA to confirm the alignment of sector budget</w:t>
      </w:r>
      <w:r w:rsidR="007334DA" w:rsidRPr="00445BF9">
        <w:rPr>
          <w:rFonts w:ascii="Times New Roman" w:hAnsi="Times New Roman"/>
          <w:sz w:val="24"/>
          <w:szCs w:val="24"/>
        </w:rPr>
        <w:t>s</w:t>
      </w:r>
      <w:r w:rsidR="00136A03" w:rsidRPr="00445BF9">
        <w:rPr>
          <w:rFonts w:ascii="Times New Roman" w:hAnsi="Times New Roman"/>
          <w:sz w:val="24"/>
          <w:szCs w:val="24"/>
        </w:rPr>
        <w:t xml:space="preserve"> to NDPs, and overall certification that budget framework paper is aligned. </w:t>
      </w:r>
      <w:r w:rsidR="00BC71D9" w:rsidRPr="00445BF9">
        <w:rPr>
          <w:rFonts w:ascii="Times New Roman" w:hAnsi="Times New Roman"/>
          <w:sz w:val="24"/>
          <w:szCs w:val="24"/>
        </w:rPr>
        <w:t xml:space="preserve">The GoU has also introduced requirement certification confirming that the budget is </w:t>
      </w:r>
      <w:r w:rsidR="00BC71D9" w:rsidRPr="00445BF9">
        <w:rPr>
          <w:rFonts w:ascii="Times New Roman" w:hAnsi="Times New Roman"/>
          <w:sz w:val="24"/>
          <w:szCs w:val="24"/>
        </w:rPr>
        <w:lastRenderedPageBreak/>
        <w:t>gender based and socially inclusive.</w:t>
      </w:r>
      <w:r w:rsidR="00B71DD7" w:rsidRPr="00445BF9">
        <w:rPr>
          <w:rFonts w:ascii="Times New Roman" w:hAnsi="Times New Roman"/>
          <w:sz w:val="24"/>
          <w:szCs w:val="24"/>
        </w:rPr>
        <w:t xml:space="preserve"> The OAG office created a directorate for FIIT to undertake special audits and investigations in response to corruption scandals in the country</w:t>
      </w:r>
      <w:r w:rsidR="00B71DD7" w:rsidRPr="00445BF9">
        <w:rPr>
          <w:rStyle w:val="FootnoteReference"/>
          <w:rFonts w:ascii="Times New Roman" w:hAnsi="Times New Roman"/>
          <w:sz w:val="24"/>
          <w:szCs w:val="24"/>
        </w:rPr>
        <w:footnoteReference w:id="10"/>
      </w:r>
      <w:r w:rsidR="00B71DD7" w:rsidRPr="00445BF9">
        <w:rPr>
          <w:rFonts w:ascii="Times New Roman" w:hAnsi="Times New Roman"/>
          <w:sz w:val="24"/>
          <w:szCs w:val="24"/>
        </w:rPr>
        <w:t>.</w:t>
      </w:r>
    </w:p>
    <w:p w14:paraId="421C96A1" w14:textId="213FAC6A" w:rsidR="00984356" w:rsidRPr="00445BF9" w:rsidRDefault="00CE0119"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Arial Unicode MS" w:hAnsi="Times New Roman"/>
          <w:sz w:val="24"/>
          <w:szCs w:val="24"/>
        </w:rPr>
        <w:t xml:space="preserve">The 2016 GPEDC monitoring noted some </w:t>
      </w:r>
      <w:r w:rsidRPr="00445BF9">
        <w:rPr>
          <w:rFonts w:ascii="Times New Roman" w:eastAsia="Arial Unicode MS" w:hAnsi="Times New Roman"/>
          <w:b/>
          <w:sz w:val="24"/>
          <w:szCs w:val="24"/>
        </w:rPr>
        <w:t>improvement in the use of country systems</w:t>
      </w:r>
      <w:r w:rsidRPr="00445BF9">
        <w:rPr>
          <w:rFonts w:ascii="Times New Roman" w:eastAsia="Arial Unicode MS" w:hAnsi="Times New Roman"/>
          <w:sz w:val="24"/>
          <w:szCs w:val="24"/>
        </w:rPr>
        <w:t xml:space="preserve"> like public financial management and procurement systems, especially government audit and government financial reporting systems. In 2015, 64% of development co-operation used budget execution, 68% followed country financial reporting and 71% followed auditing procedures. Some 70% of development finance used national procurement.  </w:t>
      </w:r>
      <w:r w:rsidR="00B23E42" w:rsidRPr="00445BF9">
        <w:rPr>
          <w:rFonts w:ascii="Times New Roman" w:eastAsia="Arial Unicode MS" w:hAnsi="Times New Roman"/>
          <w:b/>
          <w:sz w:val="24"/>
          <w:szCs w:val="24"/>
        </w:rPr>
        <w:t>Still only few DPs use</w:t>
      </w:r>
      <w:r w:rsidR="008C11F1" w:rsidRPr="00445BF9">
        <w:rPr>
          <w:rFonts w:ascii="Times New Roman" w:eastAsia="Arial Unicode MS" w:hAnsi="Times New Roman"/>
          <w:b/>
          <w:sz w:val="24"/>
          <w:szCs w:val="24"/>
        </w:rPr>
        <w:t xml:space="preserve"> country systems</w:t>
      </w:r>
      <w:r w:rsidR="00D509C1" w:rsidRPr="00445BF9">
        <w:rPr>
          <w:rFonts w:ascii="Times New Roman" w:eastAsia="Arial Unicode MS" w:hAnsi="Times New Roman"/>
          <w:b/>
          <w:sz w:val="24"/>
          <w:szCs w:val="24"/>
        </w:rPr>
        <w:t>.</w:t>
      </w:r>
      <w:r w:rsidR="00984356" w:rsidRPr="00445BF9">
        <w:rPr>
          <w:rFonts w:ascii="Times New Roman" w:eastAsia="Arial Unicode MS" w:hAnsi="Times New Roman"/>
          <w:b/>
          <w:sz w:val="24"/>
          <w:szCs w:val="24"/>
        </w:rPr>
        <w:t xml:space="preserve"> And challenges remain to</w:t>
      </w:r>
      <w:r w:rsidR="00BA3D79" w:rsidRPr="00445BF9">
        <w:rPr>
          <w:rFonts w:ascii="Times New Roman" w:eastAsia="Arial Unicode MS" w:hAnsi="Times New Roman"/>
          <w:b/>
          <w:sz w:val="24"/>
          <w:szCs w:val="24"/>
        </w:rPr>
        <w:t xml:space="preserve"> </w:t>
      </w:r>
      <w:r w:rsidR="00BA3D79" w:rsidRPr="00445BF9">
        <w:rPr>
          <w:rFonts w:ascii="Times New Roman" w:hAnsi="Times New Roman"/>
          <w:sz w:val="24"/>
          <w:szCs w:val="24"/>
        </w:rPr>
        <w:t xml:space="preserve">convince the DPs to use country systems, </w:t>
      </w:r>
      <w:r w:rsidR="00022D26" w:rsidRPr="00445BF9">
        <w:rPr>
          <w:rFonts w:ascii="Times New Roman" w:hAnsi="Times New Roman"/>
          <w:sz w:val="24"/>
          <w:szCs w:val="24"/>
        </w:rPr>
        <w:t xml:space="preserve">to </w:t>
      </w:r>
      <w:r w:rsidR="00BA3D79" w:rsidRPr="00445BF9">
        <w:rPr>
          <w:rFonts w:ascii="Times New Roman" w:hAnsi="Times New Roman"/>
          <w:sz w:val="24"/>
          <w:szCs w:val="24"/>
        </w:rPr>
        <w:t>tra</w:t>
      </w:r>
      <w:r w:rsidR="00022D26" w:rsidRPr="00445BF9">
        <w:rPr>
          <w:rFonts w:ascii="Times New Roman" w:hAnsi="Times New Roman"/>
          <w:sz w:val="24"/>
          <w:szCs w:val="24"/>
        </w:rPr>
        <w:t>nsition their off-budget projects into on-budget</w:t>
      </w:r>
      <w:r w:rsidR="00911C6D" w:rsidRPr="00445BF9">
        <w:rPr>
          <w:rFonts w:ascii="Times New Roman" w:hAnsi="Times New Roman"/>
          <w:sz w:val="24"/>
          <w:szCs w:val="24"/>
        </w:rPr>
        <w:t xml:space="preserve"> and using country PFM systems - </w:t>
      </w:r>
      <w:r w:rsidR="00984356" w:rsidRPr="00445BF9">
        <w:rPr>
          <w:rFonts w:ascii="Times New Roman" w:hAnsi="Times New Roman"/>
          <w:sz w:val="24"/>
          <w:szCs w:val="24"/>
        </w:rPr>
        <w:t>IFMIS, TSA, procurement</w:t>
      </w:r>
      <w:r w:rsidR="00911C6D" w:rsidRPr="00445BF9">
        <w:rPr>
          <w:rFonts w:ascii="Times New Roman" w:hAnsi="Times New Roman"/>
          <w:sz w:val="24"/>
          <w:szCs w:val="24"/>
        </w:rPr>
        <w:t xml:space="preserve">, as well as audit </w:t>
      </w:r>
      <w:r w:rsidR="004233EE" w:rsidRPr="00445BF9">
        <w:rPr>
          <w:rFonts w:ascii="Times New Roman" w:hAnsi="Times New Roman"/>
          <w:sz w:val="24"/>
          <w:szCs w:val="24"/>
        </w:rPr>
        <w:t xml:space="preserve">arrangements </w:t>
      </w:r>
      <w:r w:rsidR="00911C6D" w:rsidRPr="00445BF9">
        <w:rPr>
          <w:rFonts w:ascii="Times New Roman" w:hAnsi="Times New Roman"/>
          <w:sz w:val="24"/>
          <w:szCs w:val="24"/>
        </w:rPr>
        <w:t>(</w:t>
      </w:r>
      <w:r w:rsidR="004233EE" w:rsidRPr="00445BF9">
        <w:rPr>
          <w:rFonts w:ascii="Times New Roman" w:hAnsi="Times New Roman"/>
          <w:sz w:val="24"/>
          <w:szCs w:val="24"/>
        </w:rPr>
        <w:t xml:space="preserve">both for OAG external </w:t>
      </w:r>
      <w:r w:rsidR="008A3395" w:rsidRPr="00445BF9">
        <w:rPr>
          <w:rFonts w:ascii="Times New Roman" w:hAnsi="Times New Roman"/>
          <w:sz w:val="24"/>
          <w:szCs w:val="24"/>
        </w:rPr>
        <w:t xml:space="preserve">audit, </w:t>
      </w:r>
      <w:r w:rsidR="00911C6D" w:rsidRPr="00445BF9">
        <w:rPr>
          <w:rFonts w:ascii="Times New Roman" w:hAnsi="Times New Roman"/>
          <w:sz w:val="24"/>
          <w:szCs w:val="24"/>
        </w:rPr>
        <w:t>as well as internal audit)</w:t>
      </w:r>
      <w:r w:rsidR="008A3395" w:rsidRPr="00445BF9">
        <w:rPr>
          <w:rFonts w:ascii="Times New Roman" w:hAnsi="Times New Roman"/>
          <w:sz w:val="24"/>
          <w:szCs w:val="24"/>
        </w:rPr>
        <w:t>.</w:t>
      </w:r>
    </w:p>
    <w:p w14:paraId="6ED15D0D" w14:textId="660E47DE" w:rsidR="00590CC9" w:rsidRPr="00445BF9" w:rsidRDefault="00CE0119"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As regards the proportion of </w:t>
      </w:r>
      <w:r w:rsidRPr="00445BF9">
        <w:rPr>
          <w:rFonts w:ascii="Times New Roman" w:eastAsia="Arial Unicode MS" w:hAnsi="Times New Roman"/>
          <w:b/>
          <w:sz w:val="24"/>
          <w:szCs w:val="24"/>
        </w:rPr>
        <w:t xml:space="preserve">development assistance that is untied, Uganda has </w:t>
      </w:r>
      <w:r w:rsidR="002876B6" w:rsidRPr="00445BF9">
        <w:rPr>
          <w:rFonts w:ascii="Times New Roman" w:eastAsia="Arial Unicode MS" w:hAnsi="Times New Roman"/>
          <w:b/>
          <w:sz w:val="24"/>
          <w:szCs w:val="24"/>
        </w:rPr>
        <w:t>made a</w:t>
      </w:r>
      <w:r w:rsidRPr="00445BF9">
        <w:rPr>
          <w:rFonts w:ascii="Times New Roman" w:eastAsia="Arial Unicode MS" w:hAnsi="Times New Roman"/>
          <w:b/>
          <w:sz w:val="24"/>
          <w:szCs w:val="24"/>
        </w:rPr>
        <w:t xml:space="preserve"> progress </w:t>
      </w:r>
      <w:r w:rsidRPr="00445BF9">
        <w:rPr>
          <w:rFonts w:ascii="Times New Roman" w:eastAsia="Arial Unicode MS" w:hAnsi="Times New Roman"/>
          <w:sz w:val="24"/>
          <w:szCs w:val="24"/>
        </w:rPr>
        <w:t>from an already very satisfactory percentage: from 90% in 2013 to 92% in 2014. Further, partners seem to channel their assistance equitably between government and CSO implementation (on</w:t>
      </w:r>
      <w:r w:rsidR="002876B6" w:rsidRPr="00445BF9">
        <w:rPr>
          <w:rFonts w:ascii="Times New Roman" w:eastAsia="Arial Unicode MS" w:hAnsi="Times New Roman"/>
          <w:sz w:val="24"/>
          <w:szCs w:val="24"/>
        </w:rPr>
        <w:t>-</w:t>
      </w:r>
      <w:r w:rsidRPr="00445BF9">
        <w:rPr>
          <w:rFonts w:ascii="Times New Roman" w:eastAsia="Arial Unicode MS" w:hAnsi="Times New Roman"/>
          <w:sz w:val="24"/>
          <w:szCs w:val="24"/>
        </w:rPr>
        <w:t xml:space="preserve"> and off</w:t>
      </w:r>
      <w:r w:rsidR="002876B6" w:rsidRPr="00445BF9">
        <w:rPr>
          <w:rFonts w:ascii="Times New Roman" w:eastAsia="Arial Unicode MS" w:hAnsi="Times New Roman"/>
          <w:sz w:val="24"/>
          <w:szCs w:val="24"/>
        </w:rPr>
        <w:t>-b</w:t>
      </w:r>
      <w:r w:rsidRPr="00445BF9">
        <w:rPr>
          <w:rFonts w:ascii="Times New Roman" w:eastAsia="Arial Unicode MS" w:hAnsi="Times New Roman"/>
          <w:sz w:val="24"/>
          <w:szCs w:val="24"/>
        </w:rPr>
        <w:t>udget).</w:t>
      </w:r>
    </w:p>
    <w:p w14:paraId="4A8CB167" w14:textId="254CB660" w:rsidR="00827BDE" w:rsidRPr="00445BF9" w:rsidRDefault="00C16EB1"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b/>
          <w:sz w:val="24"/>
          <w:szCs w:val="24"/>
        </w:rPr>
        <w:t>The</w:t>
      </w:r>
      <w:r w:rsidR="00210BBC" w:rsidRPr="00445BF9">
        <w:rPr>
          <w:rFonts w:ascii="Times New Roman" w:hAnsi="Times New Roman"/>
          <w:b/>
          <w:sz w:val="24"/>
          <w:szCs w:val="24"/>
        </w:rPr>
        <w:t xml:space="preserve"> pursuance of Public</w:t>
      </w:r>
      <w:r w:rsidRPr="00445BF9">
        <w:rPr>
          <w:rFonts w:ascii="Times New Roman" w:hAnsi="Times New Roman"/>
          <w:b/>
          <w:sz w:val="24"/>
          <w:szCs w:val="24"/>
        </w:rPr>
        <w:t xml:space="preserve"> </w:t>
      </w:r>
      <w:r w:rsidR="00210BBC" w:rsidRPr="00445BF9">
        <w:rPr>
          <w:rFonts w:ascii="Times New Roman" w:hAnsi="Times New Roman"/>
          <w:b/>
          <w:sz w:val="24"/>
          <w:szCs w:val="24"/>
        </w:rPr>
        <w:t>Private Partnerships (PPPs) for sustainable development</w:t>
      </w:r>
      <w:r w:rsidR="005132FE" w:rsidRPr="00445BF9">
        <w:rPr>
          <w:rFonts w:ascii="Times New Roman" w:hAnsi="Times New Roman"/>
          <w:b/>
          <w:sz w:val="24"/>
          <w:szCs w:val="24"/>
        </w:rPr>
        <w:t xml:space="preserve"> became an important</w:t>
      </w:r>
      <w:r w:rsidR="005132FE" w:rsidRPr="00445BF9">
        <w:rPr>
          <w:rFonts w:ascii="Times New Roman" w:hAnsi="Times New Roman"/>
          <w:sz w:val="24"/>
          <w:szCs w:val="24"/>
        </w:rPr>
        <w:t xml:space="preserve"> action in GoU</w:t>
      </w:r>
      <w:r w:rsidR="005132FE" w:rsidRPr="00445BF9">
        <w:rPr>
          <w:rFonts w:ascii="Times New Roman" w:eastAsia="Arial Unicode MS" w:hAnsi="Times New Roman"/>
          <w:sz w:val="24"/>
          <w:szCs w:val="24"/>
        </w:rPr>
        <w:t>-donor partnerships been in the course of NDP-II implementation.</w:t>
      </w:r>
      <w:r w:rsidR="00025665" w:rsidRPr="00445BF9">
        <w:rPr>
          <w:rFonts w:ascii="Times New Roman" w:eastAsia="Arial Unicode MS" w:hAnsi="Times New Roman"/>
          <w:sz w:val="24"/>
          <w:szCs w:val="24"/>
        </w:rPr>
        <w:t xml:space="preserve"> </w:t>
      </w:r>
      <w:r w:rsidR="00612912" w:rsidRPr="00445BF9">
        <w:rPr>
          <w:rFonts w:ascii="Times New Roman" w:eastAsia="Arial Unicode MS" w:hAnsi="Times New Roman"/>
          <w:sz w:val="24"/>
          <w:szCs w:val="24"/>
        </w:rPr>
        <w:t xml:space="preserve">There is a need to engage more private sector funding in development projects, as </w:t>
      </w:r>
      <w:r w:rsidR="00BF2F60" w:rsidRPr="00445BF9">
        <w:rPr>
          <w:rFonts w:ascii="Times New Roman" w:eastAsia="Arial Unicode MS" w:hAnsi="Times New Roman"/>
          <w:sz w:val="24"/>
          <w:szCs w:val="24"/>
        </w:rPr>
        <w:t>ODA</w:t>
      </w:r>
      <w:r w:rsidR="00025665" w:rsidRPr="00445BF9">
        <w:rPr>
          <w:rFonts w:ascii="Times New Roman" w:eastAsia="Arial Unicode MS" w:hAnsi="Times New Roman"/>
          <w:sz w:val="24"/>
          <w:szCs w:val="24"/>
        </w:rPr>
        <w:t xml:space="preserve"> </w:t>
      </w:r>
      <w:r w:rsidR="004623F8" w:rsidRPr="00445BF9">
        <w:rPr>
          <w:rFonts w:ascii="Times New Roman" w:eastAsia="Arial Unicode MS" w:hAnsi="Times New Roman"/>
          <w:sz w:val="24"/>
          <w:szCs w:val="24"/>
        </w:rPr>
        <w:t>is declining</w:t>
      </w:r>
      <w:r w:rsidR="00BF2F60" w:rsidRPr="00445BF9">
        <w:rPr>
          <w:rFonts w:ascii="Times New Roman" w:eastAsia="Arial Unicode MS" w:hAnsi="Times New Roman"/>
          <w:sz w:val="24"/>
          <w:szCs w:val="24"/>
        </w:rPr>
        <w:t xml:space="preserve">, </w:t>
      </w:r>
      <w:r w:rsidR="00612912" w:rsidRPr="00445BF9">
        <w:rPr>
          <w:rFonts w:ascii="Times New Roman" w:eastAsia="Arial Unicode MS" w:hAnsi="Times New Roman"/>
          <w:sz w:val="24"/>
          <w:szCs w:val="24"/>
        </w:rPr>
        <w:t>and DPs’ funding is limited and not enough to Uganda.</w:t>
      </w:r>
      <w:r w:rsidR="0011285A" w:rsidRPr="00445BF9">
        <w:rPr>
          <w:rFonts w:ascii="Times New Roman" w:eastAsia="Arial Unicode MS" w:hAnsi="Times New Roman"/>
          <w:sz w:val="24"/>
          <w:szCs w:val="24"/>
        </w:rPr>
        <w:t xml:space="preserve"> T</w:t>
      </w:r>
      <w:r w:rsidR="00BF2F60" w:rsidRPr="00445BF9">
        <w:rPr>
          <w:rFonts w:ascii="Times New Roman" w:eastAsia="Arial Unicode MS" w:hAnsi="Times New Roman"/>
          <w:sz w:val="24"/>
          <w:szCs w:val="24"/>
        </w:rPr>
        <w:t xml:space="preserve">he WB </w:t>
      </w:r>
      <w:r w:rsidR="0038666F" w:rsidRPr="00445BF9">
        <w:rPr>
          <w:rFonts w:ascii="Times New Roman" w:eastAsia="Arial Unicode MS" w:hAnsi="Times New Roman"/>
          <w:sz w:val="24"/>
          <w:szCs w:val="24"/>
        </w:rPr>
        <w:t xml:space="preserve">and other DPs </w:t>
      </w:r>
      <w:r w:rsidR="00BF2F60" w:rsidRPr="00445BF9">
        <w:rPr>
          <w:rFonts w:ascii="Times New Roman" w:eastAsia="Arial Unicode MS" w:hAnsi="Times New Roman"/>
          <w:sz w:val="24"/>
          <w:szCs w:val="24"/>
        </w:rPr>
        <w:t>work</w:t>
      </w:r>
      <w:r w:rsidR="00025665" w:rsidRPr="00445BF9">
        <w:rPr>
          <w:rFonts w:ascii="Times New Roman" w:eastAsia="Arial Unicode MS" w:hAnsi="Times New Roman"/>
          <w:sz w:val="24"/>
          <w:szCs w:val="24"/>
        </w:rPr>
        <w:t xml:space="preserve"> </w:t>
      </w:r>
      <w:r w:rsidR="00BF2F60" w:rsidRPr="00445BF9">
        <w:rPr>
          <w:rFonts w:ascii="Times New Roman" w:eastAsia="Arial Unicode MS" w:hAnsi="Times New Roman"/>
          <w:sz w:val="24"/>
          <w:szCs w:val="24"/>
        </w:rPr>
        <w:t>with Go</w:t>
      </w:r>
      <w:r w:rsidR="00025665" w:rsidRPr="00445BF9">
        <w:rPr>
          <w:rFonts w:ascii="Times New Roman" w:eastAsia="Arial Unicode MS" w:hAnsi="Times New Roman"/>
          <w:sz w:val="24"/>
          <w:szCs w:val="24"/>
        </w:rPr>
        <w:t xml:space="preserve">U </w:t>
      </w:r>
      <w:r w:rsidR="00BF2F60" w:rsidRPr="00445BF9">
        <w:rPr>
          <w:rFonts w:ascii="Times New Roman" w:eastAsia="Arial Unicode MS" w:hAnsi="Times New Roman"/>
          <w:sz w:val="24"/>
          <w:szCs w:val="24"/>
        </w:rPr>
        <w:t xml:space="preserve">to help </w:t>
      </w:r>
      <w:r w:rsidR="004623F8" w:rsidRPr="00445BF9">
        <w:rPr>
          <w:rFonts w:ascii="Times New Roman" w:eastAsia="Arial Unicode MS" w:hAnsi="Times New Roman"/>
          <w:sz w:val="24"/>
          <w:szCs w:val="24"/>
        </w:rPr>
        <w:t xml:space="preserve">to boost </w:t>
      </w:r>
      <w:r w:rsidR="00BF2F60" w:rsidRPr="00445BF9">
        <w:rPr>
          <w:rFonts w:ascii="Times New Roman" w:eastAsia="Arial Unicode MS" w:hAnsi="Times New Roman"/>
          <w:sz w:val="24"/>
          <w:szCs w:val="24"/>
        </w:rPr>
        <w:t xml:space="preserve">on </w:t>
      </w:r>
      <w:r w:rsidR="001046EF" w:rsidRPr="00445BF9">
        <w:rPr>
          <w:rFonts w:ascii="Times New Roman" w:eastAsia="Arial Unicode MS" w:hAnsi="Times New Roman"/>
          <w:sz w:val="24"/>
          <w:szCs w:val="24"/>
        </w:rPr>
        <w:t>Domestic Resource Mobilisation (</w:t>
      </w:r>
      <w:r w:rsidR="00BF2F60" w:rsidRPr="00445BF9">
        <w:rPr>
          <w:rFonts w:ascii="Times New Roman" w:eastAsia="Arial Unicode MS" w:hAnsi="Times New Roman"/>
          <w:sz w:val="24"/>
          <w:szCs w:val="24"/>
        </w:rPr>
        <w:t>DRM</w:t>
      </w:r>
      <w:r w:rsidR="001046EF" w:rsidRPr="00445BF9">
        <w:rPr>
          <w:rFonts w:ascii="Times New Roman" w:eastAsia="Arial Unicode MS" w:hAnsi="Times New Roman"/>
          <w:sz w:val="24"/>
          <w:szCs w:val="24"/>
        </w:rPr>
        <w:t>)</w:t>
      </w:r>
      <w:r w:rsidR="00BF2F60" w:rsidRPr="00445BF9">
        <w:rPr>
          <w:rFonts w:ascii="Times New Roman" w:eastAsia="Arial Unicode MS" w:hAnsi="Times New Roman"/>
          <w:sz w:val="24"/>
          <w:szCs w:val="24"/>
        </w:rPr>
        <w:t xml:space="preserve">. </w:t>
      </w:r>
      <w:r w:rsidR="002D097F" w:rsidRPr="00445BF9">
        <w:rPr>
          <w:rFonts w:ascii="Times New Roman" w:eastAsia="Arial Unicode MS" w:hAnsi="Times New Roman"/>
          <w:sz w:val="24"/>
          <w:szCs w:val="24"/>
        </w:rPr>
        <w:t>There is a law on PPP. And r</w:t>
      </w:r>
      <w:r w:rsidR="004623F8" w:rsidRPr="00445BF9">
        <w:rPr>
          <w:rFonts w:ascii="Times New Roman" w:eastAsia="Arial Unicode MS" w:hAnsi="Times New Roman"/>
          <w:sz w:val="24"/>
          <w:szCs w:val="24"/>
        </w:rPr>
        <w:t xml:space="preserve">ecently the </w:t>
      </w:r>
      <w:r w:rsidR="0000625D" w:rsidRPr="00445BF9">
        <w:rPr>
          <w:rFonts w:ascii="Times New Roman" w:eastAsia="Arial Unicode MS" w:hAnsi="Times New Roman"/>
          <w:sz w:val="24"/>
          <w:szCs w:val="24"/>
        </w:rPr>
        <w:t xml:space="preserve">WB </w:t>
      </w:r>
      <w:r w:rsidR="004623F8" w:rsidRPr="00445BF9">
        <w:rPr>
          <w:rFonts w:ascii="Times New Roman" w:eastAsia="Arial Unicode MS" w:hAnsi="Times New Roman"/>
          <w:sz w:val="24"/>
          <w:szCs w:val="24"/>
        </w:rPr>
        <w:t xml:space="preserve">Uganda </w:t>
      </w:r>
      <w:r w:rsidR="00BF2F60" w:rsidRPr="00445BF9">
        <w:rPr>
          <w:rFonts w:ascii="Times New Roman" w:eastAsia="Arial Unicode MS" w:hAnsi="Times New Roman"/>
          <w:sz w:val="24"/>
          <w:szCs w:val="24"/>
        </w:rPr>
        <w:t xml:space="preserve">study </w:t>
      </w:r>
      <w:r w:rsidR="004623F8" w:rsidRPr="00445BF9">
        <w:rPr>
          <w:rFonts w:ascii="Times New Roman" w:eastAsia="Arial Unicode MS" w:hAnsi="Times New Roman"/>
          <w:sz w:val="24"/>
          <w:szCs w:val="24"/>
        </w:rPr>
        <w:t xml:space="preserve">has commission a study </w:t>
      </w:r>
      <w:r w:rsidR="00BF2F60" w:rsidRPr="00445BF9">
        <w:rPr>
          <w:rFonts w:ascii="Times New Roman" w:eastAsia="Arial Unicode MS" w:hAnsi="Times New Roman"/>
          <w:sz w:val="24"/>
          <w:szCs w:val="24"/>
        </w:rPr>
        <w:t>how to bo</w:t>
      </w:r>
      <w:r w:rsidR="00BF2F60" w:rsidRPr="00445BF9">
        <w:rPr>
          <w:rFonts w:ascii="Times New Roman" w:hAnsi="Times New Roman"/>
          <w:sz w:val="24"/>
          <w:szCs w:val="24"/>
        </w:rPr>
        <w:t xml:space="preserve">ost DRM. </w:t>
      </w:r>
      <w:r w:rsidR="0011285A" w:rsidRPr="00445BF9">
        <w:rPr>
          <w:rFonts w:ascii="Times New Roman" w:hAnsi="Times New Roman"/>
          <w:sz w:val="24"/>
          <w:szCs w:val="24"/>
        </w:rPr>
        <w:t xml:space="preserve">The </w:t>
      </w:r>
      <w:r w:rsidR="00BF2F60" w:rsidRPr="00445BF9">
        <w:rPr>
          <w:rFonts w:ascii="Times New Roman" w:hAnsi="Times New Roman"/>
          <w:sz w:val="24"/>
          <w:szCs w:val="24"/>
        </w:rPr>
        <w:t>WB ha</w:t>
      </w:r>
      <w:r w:rsidR="0000625D" w:rsidRPr="00445BF9">
        <w:rPr>
          <w:rFonts w:ascii="Times New Roman" w:hAnsi="Times New Roman"/>
          <w:sz w:val="24"/>
          <w:szCs w:val="24"/>
        </w:rPr>
        <w:t xml:space="preserve">s </w:t>
      </w:r>
      <w:r w:rsidR="00BF2F60" w:rsidRPr="00445BF9">
        <w:rPr>
          <w:rFonts w:ascii="Times New Roman" w:hAnsi="Times New Roman"/>
          <w:sz w:val="24"/>
          <w:szCs w:val="24"/>
        </w:rPr>
        <w:t xml:space="preserve">couple of </w:t>
      </w:r>
      <w:r w:rsidR="003641C4" w:rsidRPr="00445BF9">
        <w:rPr>
          <w:rFonts w:ascii="Times New Roman" w:hAnsi="Times New Roman"/>
          <w:sz w:val="24"/>
          <w:szCs w:val="24"/>
        </w:rPr>
        <w:t>programmes</w:t>
      </w:r>
      <w:r w:rsidR="00BF2F60" w:rsidRPr="00445BF9">
        <w:rPr>
          <w:rFonts w:ascii="Times New Roman" w:hAnsi="Times New Roman"/>
          <w:sz w:val="24"/>
          <w:szCs w:val="24"/>
        </w:rPr>
        <w:t xml:space="preserve"> to support PPP</w:t>
      </w:r>
      <w:r w:rsidR="002D097F" w:rsidRPr="00445BF9">
        <w:rPr>
          <w:rFonts w:ascii="Times New Roman" w:hAnsi="Times New Roman"/>
          <w:sz w:val="24"/>
          <w:szCs w:val="24"/>
        </w:rPr>
        <w:t xml:space="preserve">, however, the </w:t>
      </w:r>
      <w:r w:rsidR="00BF2F60" w:rsidRPr="00445BF9">
        <w:rPr>
          <w:rFonts w:ascii="Times New Roman" w:hAnsi="Times New Roman"/>
          <w:sz w:val="24"/>
          <w:szCs w:val="24"/>
        </w:rPr>
        <w:t xml:space="preserve">PPP portfolio is </w:t>
      </w:r>
      <w:r w:rsidR="002D097F" w:rsidRPr="00445BF9">
        <w:rPr>
          <w:rFonts w:ascii="Times New Roman" w:hAnsi="Times New Roman"/>
          <w:sz w:val="24"/>
          <w:szCs w:val="24"/>
        </w:rPr>
        <w:t xml:space="preserve">still </w:t>
      </w:r>
      <w:r w:rsidR="00BF2F60" w:rsidRPr="00445BF9">
        <w:rPr>
          <w:rFonts w:ascii="Times New Roman" w:hAnsi="Times New Roman"/>
          <w:sz w:val="24"/>
          <w:szCs w:val="24"/>
        </w:rPr>
        <w:t xml:space="preserve">small. </w:t>
      </w:r>
      <w:r w:rsidR="00827BDE" w:rsidRPr="00445BF9">
        <w:rPr>
          <w:rFonts w:ascii="Times New Roman" w:hAnsi="Times New Roman"/>
          <w:b/>
          <w:sz w:val="24"/>
          <w:szCs w:val="24"/>
        </w:rPr>
        <w:t>DPs should play catalytic role, investing</w:t>
      </w:r>
      <w:r w:rsidR="00DC475D" w:rsidRPr="00445BF9">
        <w:rPr>
          <w:rFonts w:ascii="Times New Roman" w:hAnsi="Times New Roman"/>
          <w:b/>
          <w:sz w:val="24"/>
          <w:szCs w:val="24"/>
        </w:rPr>
        <w:t xml:space="preserve">/contributing to </w:t>
      </w:r>
      <w:r w:rsidR="00827BDE" w:rsidRPr="00445BF9">
        <w:rPr>
          <w:rFonts w:ascii="Times New Roman" w:hAnsi="Times New Roman"/>
          <w:b/>
          <w:sz w:val="24"/>
          <w:szCs w:val="24"/>
        </w:rPr>
        <w:t>formulate PP</w:t>
      </w:r>
      <w:r w:rsidR="00DC475D" w:rsidRPr="00445BF9">
        <w:rPr>
          <w:rFonts w:ascii="Times New Roman" w:hAnsi="Times New Roman"/>
          <w:b/>
          <w:sz w:val="24"/>
          <w:szCs w:val="24"/>
        </w:rPr>
        <w:t>P</w:t>
      </w:r>
      <w:r w:rsidR="00827BDE" w:rsidRPr="00445BF9">
        <w:rPr>
          <w:rFonts w:ascii="Times New Roman" w:hAnsi="Times New Roman"/>
          <w:b/>
          <w:sz w:val="24"/>
          <w:szCs w:val="24"/>
        </w:rPr>
        <w:t xml:space="preserve"> funds. This </w:t>
      </w:r>
      <w:r w:rsidR="00DC475D" w:rsidRPr="00445BF9">
        <w:rPr>
          <w:rFonts w:ascii="Times New Roman" w:hAnsi="Times New Roman"/>
          <w:b/>
          <w:sz w:val="24"/>
          <w:szCs w:val="24"/>
        </w:rPr>
        <w:t>remains</w:t>
      </w:r>
      <w:r w:rsidR="00827BDE" w:rsidRPr="00445BF9">
        <w:rPr>
          <w:rFonts w:ascii="Times New Roman" w:hAnsi="Times New Roman"/>
          <w:b/>
          <w:sz w:val="24"/>
          <w:szCs w:val="24"/>
        </w:rPr>
        <w:t xml:space="preserve"> in the agenda of the Go</w:t>
      </w:r>
      <w:r w:rsidR="00A70318" w:rsidRPr="00445BF9">
        <w:rPr>
          <w:rFonts w:ascii="Times New Roman" w:hAnsi="Times New Roman"/>
          <w:b/>
          <w:sz w:val="24"/>
          <w:szCs w:val="24"/>
        </w:rPr>
        <w:t>U</w:t>
      </w:r>
      <w:r w:rsidR="00827BDE" w:rsidRPr="00445BF9">
        <w:rPr>
          <w:rFonts w:ascii="Times New Roman" w:hAnsi="Times New Roman"/>
          <w:b/>
          <w:sz w:val="24"/>
          <w:szCs w:val="24"/>
        </w:rPr>
        <w:t>.</w:t>
      </w:r>
    </w:p>
    <w:p w14:paraId="50AFC346" w14:textId="3411A7B8" w:rsidR="00C777DA" w:rsidRPr="00445BF9" w:rsidRDefault="00C777DA"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105" w:name="_Toc534926861"/>
      <w:bookmarkStart w:id="106" w:name="_Toc532563829"/>
      <w:r w:rsidRPr="00445BF9">
        <w:rPr>
          <w:rFonts w:ascii="Times New Roman" w:eastAsia="Arial Unicode MS" w:hAnsi="Times New Roman"/>
          <w:bCs w:val="0"/>
          <w:sz w:val="24"/>
          <w:szCs w:val="24"/>
          <w:lang w:val="en-GB"/>
        </w:rPr>
        <w:t>Transparency and Predictability</w:t>
      </w:r>
      <w:bookmarkEnd w:id="105"/>
      <w:bookmarkEnd w:id="106"/>
    </w:p>
    <w:p w14:paraId="43E6DAA6" w14:textId="66B72113" w:rsidR="00C777DA" w:rsidRPr="00445BF9" w:rsidRDefault="00C777DA"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The achievement of the </w:t>
      </w:r>
      <w:r w:rsidR="0037500E" w:rsidRPr="00445BF9">
        <w:rPr>
          <w:rFonts w:ascii="Times New Roman" w:eastAsia="Arial Unicode MS" w:hAnsi="Times New Roman"/>
          <w:sz w:val="24"/>
          <w:szCs w:val="24"/>
        </w:rPr>
        <w:t>NDP-II</w:t>
      </w:r>
      <w:r w:rsidRPr="00445BF9">
        <w:rPr>
          <w:rFonts w:ascii="Times New Roman" w:eastAsia="Arial Unicode MS" w:hAnsi="Times New Roman"/>
          <w:sz w:val="24"/>
          <w:szCs w:val="24"/>
        </w:rPr>
        <w:t xml:space="preserve"> priorities entirely </w:t>
      </w:r>
      <w:r w:rsidR="00DB769A" w:rsidRPr="00445BF9">
        <w:rPr>
          <w:rFonts w:ascii="Times New Roman" w:eastAsia="Arial Unicode MS" w:hAnsi="Times New Roman"/>
          <w:sz w:val="24"/>
          <w:szCs w:val="24"/>
        </w:rPr>
        <w:t>depends</w:t>
      </w:r>
      <w:r w:rsidRPr="00445BF9">
        <w:rPr>
          <w:rFonts w:ascii="Times New Roman" w:eastAsia="Arial Unicode MS" w:hAnsi="Times New Roman"/>
          <w:sz w:val="24"/>
          <w:szCs w:val="24"/>
        </w:rPr>
        <w:t xml:space="preserve"> on availability of sufficient and predictable financing. Government operates a </w:t>
      </w:r>
      <w:r w:rsidR="001D4126" w:rsidRPr="00445BF9">
        <w:rPr>
          <w:rFonts w:ascii="Times New Roman" w:eastAsia="Arial Unicode MS" w:hAnsi="Times New Roman"/>
          <w:sz w:val="24"/>
          <w:szCs w:val="24"/>
        </w:rPr>
        <w:t>M</w:t>
      </w:r>
      <w:r w:rsidR="00DB769A" w:rsidRPr="00445BF9">
        <w:rPr>
          <w:rFonts w:ascii="Times New Roman" w:eastAsia="Arial Unicode MS" w:hAnsi="Times New Roman"/>
          <w:sz w:val="24"/>
          <w:szCs w:val="24"/>
        </w:rPr>
        <w:t>edium-term</w:t>
      </w:r>
      <w:r w:rsidRPr="00445BF9">
        <w:rPr>
          <w:rFonts w:ascii="Times New Roman" w:eastAsia="Arial Unicode MS" w:hAnsi="Times New Roman"/>
          <w:sz w:val="24"/>
          <w:szCs w:val="24"/>
        </w:rPr>
        <w:t xml:space="preserve"> </w:t>
      </w:r>
      <w:r w:rsidR="001D4126" w:rsidRPr="00445BF9">
        <w:rPr>
          <w:rFonts w:ascii="Times New Roman" w:eastAsia="Arial Unicode MS" w:hAnsi="Times New Roman"/>
          <w:sz w:val="24"/>
          <w:szCs w:val="24"/>
        </w:rPr>
        <w:t>E</w:t>
      </w:r>
      <w:r w:rsidRPr="00445BF9">
        <w:rPr>
          <w:rFonts w:ascii="Times New Roman" w:eastAsia="Arial Unicode MS" w:hAnsi="Times New Roman"/>
          <w:sz w:val="24"/>
          <w:szCs w:val="24"/>
        </w:rPr>
        <w:t xml:space="preserve">xpenditure </w:t>
      </w:r>
      <w:r w:rsidR="001D4126" w:rsidRPr="00445BF9">
        <w:rPr>
          <w:rFonts w:ascii="Times New Roman" w:eastAsia="Arial Unicode MS" w:hAnsi="Times New Roman"/>
          <w:sz w:val="24"/>
          <w:szCs w:val="24"/>
        </w:rPr>
        <w:t>F</w:t>
      </w:r>
      <w:r w:rsidRPr="00445BF9">
        <w:rPr>
          <w:rFonts w:ascii="Times New Roman" w:eastAsia="Arial Unicode MS" w:hAnsi="Times New Roman"/>
          <w:sz w:val="24"/>
          <w:szCs w:val="24"/>
        </w:rPr>
        <w:t xml:space="preserve">ramework </w:t>
      </w:r>
      <w:r w:rsidR="001D4126" w:rsidRPr="00445BF9">
        <w:rPr>
          <w:rFonts w:ascii="Times New Roman" w:eastAsia="Arial Unicode MS" w:hAnsi="Times New Roman"/>
          <w:sz w:val="24"/>
          <w:szCs w:val="24"/>
        </w:rPr>
        <w:t xml:space="preserve">(MTEF) </w:t>
      </w:r>
      <w:r w:rsidRPr="00445BF9">
        <w:rPr>
          <w:rFonts w:ascii="Times New Roman" w:eastAsia="Arial Unicode MS" w:hAnsi="Times New Roman"/>
          <w:sz w:val="24"/>
          <w:szCs w:val="24"/>
        </w:rPr>
        <w:t>that require</w:t>
      </w:r>
      <w:r w:rsidR="001D4126" w:rsidRPr="00445BF9">
        <w:rPr>
          <w:rFonts w:ascii="Times New Roman" w:eastAsia="Arial Unicode MS" w:hAnsi="Times New Roman"/>
          <w:sz w:val="24"/>
          <w:szCs w:val="24"/>
        </w:rPr>
        <w:t>s</w:t>
      </w:r>
      <w:r w:rsidRPr="00445BF9">
        <w:rPr>
          <w:rFonts w:ascii="Times New Roman" w:eastAsia="Arial Unicode MS" w:hAnsi="Times New Roman"/>
          <w:sz w:val="24"/>
          <w:szCs w:val="24"/>
        </w:rPr>
        <w:t xml:space="preserve"> transparent and predictable financing.  </w:t>
      </w:r>
      <w:r w:rsidR="00463E5B" w:rsidRPr="00445BF9">
        <w:rPr>
          <w:rFonts w:ascii="Times New Roman" w:eastAsia="Arial Unicode MS" w:hAnsi="Times New Roman"/>
          <w:sz w:val="24"/>
          <w:szCs w:val="24"/>
        </w:rPr>
        <w:t xml:space="preserve">However, </w:t>
      </w:r>
      <w:r w:rsidR="00191E26" w:rsidRPr="00445BF9">
        <w:rPr>
          <w:rFonts w:ascii="Times New Roman" w:eastAsia="Arial Unicode MS" w:hAnsi="Times New Roman"/>
          <w:b/>
          <w:sz w:val="24"/>
          <w:szCs w:val="24"/>
        </w:rPr>
        <w:t xml:space="preserve">only few DPs provide </w:t>
      </w:r>
      <w:r w:rsidR="00C649C4" w:rsidRPr="00445BF9">
        <w:rPr>
          <w:rFonts w:ascii="Times New Roman" w:eastAsia="Arial Unicode MS" w:hAnsi="Times New Roman"/>
          <w:b/>
          <w:sz w:val="24"/>
          <w:szCs w:val="24"/>
        </w:rPr>
        <w:t xml:space="preserve">indicative financing (or commitments) </w:t>
      </w:r>
      <w:r w:rsidR="00191E26" w:rsidRPr="00445BF9">
        <w:rPr>
          <w:rFonts w:ascii="Times New Roman" w:eastAsia="Arial Unicode MS" w:hAnsi="Times New Roman"/>
          <w:b/>
          <w:sz w:val="24"/>
          <w:szCs w:val="24"/>
        </w:rPr>
        <w:t xml:space="preserve">in advance and in most </w:t>
      </w:r>
      <w:r w:rsidR="00D27255" w:rsidRPr="00445BF9">
        <w:rPr>
          <w:rFonts w:ascii="Times New Roman" w:eastAsia="Arial Unicode MS" w:hAnsi="Times New Roman"/>
          <w:b/>
          <w:sz w:val="24"/>
          <w:szCs w:val="24"/>
        </w:rPr>
        <w:t>cases, there</w:t>
      </w:r>
      <w:r w:rsidR="00CA30B1" w:rsidRPr="00445BF9">
        <w:rPr>
          <w:rFonts w:ascii="Times New Roman" w:eastAsia="Arial Unicode MS" w:hAnsi="Times New Roman"/>
          <w:b/>
          <w:sz w:val="24"/>
          <w:szCs w:val="24"/>
        </w:rPr>
        <w:t xml:space="preserve"> is </w:t>
      </w:r>
      <w:r w:rsidR="00D27255" w:rsidRPr="00445BF9">
        <w:rPr>
          <w:rFonts w:ascii="Times New Roman" w:eastAsia="Arial Unicode MS" w:hAnsi="Times New Roman"/>
          <w:b/>
          <w:sz w:val="24"/>
          <w:szCs w:val="24"/>
        </w:rPr>
        <w:t xml:space="preserve">a </w:t>
      </w:r>
      <w:r w:rsidR="00CA30B1" w:rsidRPr="00445BF9">
        <w:rPr>
          <w:rFonts w:ascii="Times New Roman" w:eastAsia="Arial Unicode MS" w:hAnsi="Times New Roman"/>
          <w:b/>
          <w:sz w:val="24"/>
          <w:szCs w:val="24"/>
        </w:rPr>
        <w:t>lack of multi-year perspective</w:t>
      </w:r>
      <w:r w:rsidR="00CA30B1" w:rsidRPr="00445BF9">
        <w:rPr>
          <w:rFonts w:ascii="Times New Roman" w:eastAsia="Arial Unicode MS" w:hAnsi="Times New Roman"/>
          <w:sz w:val="24"/>
          <w:szCs w:val="24"/>
        </w:rPr>
        <w:t>.</w:t>
      </w:r>
    </w:p>
    <w:p w14:paraId="72045EF1" w14:textId="695B6325" w:rsidR="00D27255" w:rsidRPr="00445BF9" w:rsidRDefault="00D27255"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lastRenderedPageBreak/>
        <w:t xml:space="preserve">As illustrated in </w:t>
      </w:r>
      <w:r w:rsidR="00197CA9" w:rsidRPr="00445BF9">
        <w:rPr>
          <w:rFonts w:ascii="Times New Roman" w:eastAsia="Arial Unicode MS" w:hAnsi="Times New Roman"/>
          <w:sz w:val="24"/>
          <w:szCs w:val="24"/>
        </w:rPr>
        <w:t xml:space="preserve">Figure 10, </w:t>
      </w:r>
      <w:r w:rsidRPr="00445BF9">
        <w:rPr>
          <w:rFonts w:ascii="Times New Roman" w:eastAsia="Arial Unicode MS" w:hAnsi="Times New Roman"/>
          <w:sz w:val="24"/>
          <w:szCs w:val="24"/>
        </w:rPr>
        <w:t>in Section 4.1</w:t>
      </w:r>
      <w:r w:rsidR="00FD00F8" w:rsidRPr="00445BF9">
        <w:rPr>
          <w:rFonts w:ascii="Times New Roman" w:eastAsia="Arial Unicode MS" w:hAnsi="Times New Roman"/>
          <w:sz w:val="24"/>
          <w:szCs w:val="24"/>
        </w:rPr>
        <w:t>, on average</w:t>
      </w:r>
      <w:r w:rsidR="00DA09C4" w:rsidRPr="00445BF9">
        <w:rPr>
          <w:rFonts w:ascii="Times New Roman" w:eastAsia="Arial Unicode MS" w:hAnsi="Times New Roman"/>
          <w:sz w:val="24"/>
          <w:szCs w:val="24"/>
        </w:rPr>
        <w:t xml:space="preserve"> </w:t>
      </w:r>
      <w:r w:rsidR="00FD00F8" w:rsidRPr="00445BF9">
        <w:rPr>
          <w:rFonts w:ascii="Times New Roman" w:eastAsia="Arial Unicode MS" w:hAnsi="Times New Roman"/>
          <w:sz w:val="24"/>
          <w:szCs w:val="24"/>
        </w:rPr>
        <w:t>73 percent of planned development assistance was disbursed (o</w:t>
      </w:r>
      <w:r w:rsidRPr="00445BF9">
        <w:rPr>
          <w:rFonts w:ascii="Times New Roman" w:eastAsia="Arial Unicode MS" w:hAnsi="Times New Roman"/>
          <w:sz w:val="24"/>
          <w:szCs w:val="24"/>
        </w:rPr>
        <w:t>ver the first three years of the NDP-II</w:t>
      </w:r>
      <w:r w:rsidR="00FD00F8" w:rsidRPr="00445BF9">
        <w:rPr>
          <w:rFonts w:ascii="Times New Roman" w:eastAsia="Arial Unicode MS" w:hAnsi="Times New Roman"/>
          <w:sz w:val="24"/>
          <w:szCs w:val="24"/>
        </w:rPr>
        <w:t>)</w:t>
      </w:r>
      <w:r w:rsidR="00DA09C4" w:rsidRPr="00445BF9">
        <w:rPr>
          <w:rFonts w:ascii="Times New Roman" w:eastAsia="Arial Unicode MS" w:hAnsi="Times New Roman"/>
          <w:sz w:val="24"/>
          <w:szCs w:val="24"/>
        </w:rPr>
        <w:t>.</w:t>
      </w:r>
      <w:r w:rsidRPr="00445BF9">
        <w:rPr>
          <w:rFonts w:ascii="Times New Roman" w:eastAsia="Arial Unicode MS" w:hAnsi="Times New Roman"/>
          <w:sz w:val="24"/>
          <w:szCs w:val="24"/>
        </w:rPr>
        <w:t xml:space="preserve"> </w:t>
      </w:r>
      <w:r w:rsidR="00827BDE" w:rsidRPr="00445BF9">
        <w:rPr>
          <w:rFonts w:ascii="Times New Roman" w:eastAsia="Arial Unicode MS" w:hAnsi="Times New Roman"/>
          <w:sz w:val="24"/>
          <w:szCs w:val="24"/>
        </w:rPr>
        <w:t xml:space="preserve">See Section 4.1 </w:t>
      </w:r>
      <w:r w:rsidR="00827BDE" w:rsidRPr="00445BF9">
        <w:rPr>
          <w:rFonts w:ascii="Times New Roman" w:eastAsia="Arial Unicode MS" w:hAnsi="Times New Roman"/>
          <w:b/>
          <w:sz w:val="24"/>
          <w:szCs w:val="24"/>
        </w:rPr>
        <w:t>regarding issues of slow implementation</w:t>
      </w:r>
      <w:r w:rsidR="00827BDE" w:rsidRPr="00445BF9">
        <w:rPr>
          <w:rFonts w:ascii="Times New Roman" w:eastAsia="Arial Unicode MS" w:hAnsi="Times New Roman"/>
          <w:sz w:val="24"/>
          <w:szCs w:val="24"/>
        </w:rPr>
        <w:t>.</w:t>
      </w:r>
    </w:p>
    <w:p w14:paraId="2FAFB4E9" w14:textId="7BDE82AD" w:rsidR="00994B52" w:rsidRPr="00445BF9" w:rsidRDefault="00C777DA"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Arial Unicode MS" w:hAnsi="Times New Roman"/>
          <w:sz w:val="24"/>
          <w:szCs w:val="24"/>
        </w:rPr>
        <w:t xml:space="preserve">Disaggregated by channel of financing (budget and project Support) still there are variations between actual outturn and approved budget estimates over the period under review. </w:t>
      </w:r>
      <w:r w:rsidR="00374CC1" w:rsidRPr="00445BF9">
        <w:rPr>
          <w:rFonts w:ascii="Times New Roman" w:eastAsia="Arial Unicode MS" w:hAnsi="Times New Roman"/>
          <w:sz w:val="24"/>
          <w:szCs w:val="24"/>
        </w:rPr>
        <w:fldChar w:fldCharType="begin"/>
      </w:r>
      <w:r w:rsidR="00374CC1" w:rsidRPr="00445BF9">
        <w:rPr>
          <w:rFonts w:ascii="Times New Roman" w:eastAsia="Arial Unicode MS" w:hAnsi="Times New Roman"/>
          <w:sz w:val="24"/>
          <w:szCs w:val="24"/>
        </w:rPr>
        <w:instrText xml:space="preserve"> REF _Ref533619358 \h </w:instrText>
      </w:r>
      <w:r w:rsidR="00773884" w:rsidRPr="00445BF9">
        <w:rPr>
          <w:rFonts w:ascii="Times New Roman" w:eastAsia="Arial Unicode MS" w:hAnsi="Times New Roman"/>
          <w:sz w:val="24"/>
          <w:szCs w:val="24"/>
        </w:rPr>
        <w:instrText xml:space="preserve"> \* MERGEFORMAT </w:instrText>
      </w:r>
      <w:r w:rsidR="00374CC1" w:rsidRPr="00445BF9">
        <w:rPr>
          <w:rFonts w:ascii="Times New Roman" w:eastAsia="Arial Unicode MS" w:hAnsi="Times New Roman"/>
          <w:sz w:val="24"/>
          <w:szCs w:val="24"/>
        </w:rPr>
      </w:r>
      <w:r w:rsidR="00374CC1" w:rsidRPr="00445BF9">
        <w:rPr>
          <w:rFonts w:ascii="Times New Roman" w:eastAsia="Arial Unicode MS" w:hAnsi="Times New Roman"/>
          <w:sz w:val="24"/>
          <w:szCs w:val="24"/>
        </w:rPr>
        <w:fldChar w:fldCharType="separate"/>
      </w:r>
      <w:r w:rsidR="006F31B1" w:rsidRPr="006F31B1">
        <w:rPr>
          <w:rFonts w:ascii="Times New Roman" w:hAnsi="Times New Roman"/>
          <w:b/>
          <w:sz w:val="24"/>
          <w:szCs w:val="24"/>
        </w:rPr>
        <w:t xml:space="preserve">Figure </w:t>
      </w:r>
      <w:r w:rsidR="006F31B1" w:rsidRPr="006F31B1">
        <w:rPr>
          <w:rFonts w:ascii="Times New Roman" w:hAnsi="Times New Roman"/>
          <w:b/>
          <w:noProof/>
          <w:sz w:val="24"/>
          <w:szCs w:val="24"/>
        </w:rPr>
        <w:t>11</w:t>
      </w:r>
      <w:r w:rsidR="00374CC1" w:rsidRPr="00445BF9">
        <w:rPr>
          <w:rFonts w:ascii="Times New Roman" w:eastAsia="Arial Unicode MS" w:hAnsi="Times New Roman"/>
          <w:sz w:val="24"/>
          <w:szCs w:val="24"/>
        </w:rPr>
        <w:fldChar w:fldCharType="end"/>
      </w:r>
      <w:r w:rsidRPr="00445BF9">
        <w:rPr>
          <w:rFonts w:ascii="Times New Roman" w:eastAsia="Arial Unicode MS" w:hAnsi="Times New Roman"/>
          <w:sz w:val="24"/>
          <w:szCs w:val="24"/>
        </w:rPr>
        <w:t xml:space="preserve"> below shows the variation by channel of development assistance.</w:t>
      </w:r>
      <w:r w:rsidR="00994B52" w:rsidRPr="00445BF9">
        <w:rPr>
          <w:rFonts w:ascii="Times New Roman" w:eastAsia="Arial Unicode MS" w:hAnsi="Times New Roman"/>
          <w:sz w:val="24"/>
          <w:szCs w:val="24"/>
        </w:rPr>
        <w:t xml:space="preserve"> </w:t>
      </w:r>
      <w:r w:rsidR="00344C35" w:rsidRPr="00445BF9">
        <w:rPr>
          <w:rFonts w:ascii="Times New Roman" w:hAnsi="Times New Roman"/>
          <w:sz w:val="24"/>
          <w:szCs w:val="24"/>
        </w:rPr>
        <w:t xml:space="preserve">There are major and consistent gaps between the disbursement estimates that development partners provide before the Uganda financial year commences and actual disbursements once the year gets underway.  </w:t>
      </w:r>
    </w:p>
    <w:p w14:paraId="391D5C16" w14:textId="1BDD24D4" w:rsidR="00344C35" w:rsidRPr="00445BF9" w:rsidRDefault="00344C35"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sz w:val="24"/>
          <w:szCs w:val="24"/>
        </w:rPr>
        <w:t xml:space="preserve">As </w:t>
      </w:r>
      <w:r w:rsidR="001E43CD" w:rsidRPr="00445BF9">
        <w:rPr>
          <w:rFonts w:ascii="Times New Roman" w:eastAsia="Arial Unicode MS" w:hAnsi="Times New Roman"/>
          <w:sz w:val="24"/>
          <w:szCs w:val="24"/>
        </w:rPr>
        <w:fldChar w:fldCharType="begin"/>
      </w:r>
      <w:r w:rsidR="001E43CD" w:rsidRPr="00445BF9">
        <w:rPr>
          <w:rFonts w:ascii="Times New Roman" w:eastAsia="Arial Unicode MS" w:hAnsi="Times New Roman"/>
          <w:sz w:val="24"/>
          <w:szCs w:val="24"/>
        </w:rPr>
        <w:instrText xml:space="preserve"> REF _Ref533619358 \h </w:instrText>
      </w:r>
      <w:r w:rsidR="00773884" w:rsidRPr="00445BF9">
        <w:rPr>
          <w:rFonts w:ascii="Times New Roman" w:eastAsia="Arial Unicode MS" w:hAnsi="Times New Roman"/>
          <w:sz w:val="24"/>
          <w:szCs w:val="24"/>
        </w:rPr>
        <w:instrText xml:space="preserve"> \* MERGEFORMAT </w:instrText>
      </w:r>
      <w:r w:rsidR="001E43CD" w:rsidRPr="00445BF9">
        <w:rPr>
          <w:rFonts w:ascii="Times New Roman" w:eastAsia="Arial Unicode MS" w:hAnsi="Times New Roman"/>
          <w:sz w:val="24"/>
          <w:szCs w:val="24"/>
        </w:rPr>
      </w:r>
      <w:r w:rsidR="001E43CD" w:rsidRPr="00445BF9">
        <w:rPr>
          <w:rFonts w:ascii="Times New Roman" w:eastAsia="Arial Unicode MS" w:hAnsi="Times New Roman"/>
          <w:sz w:val="24"/>
          <w:szCs w:val="24"/>
        </w:rPr>
        <w:fldChar w:fldCharType="separate"/>
      </w:r>
      <w:r w:rsidR="006F31B1" w:rsidRPr="006F31B1">
        <w:rPr>
          <w:rFonts w:ascii="Times New Roman" w:hAnsi="Times New Roman"/>
          <w:b/>
          <w:sz w:val="24"/>
          <w:szCs w:val="24"/>
        </w:rPr>
        <w:t xml:space="preserve">Figure </w:t>
      </w:r>
      <w:r w:rsidR="006F31B1" w:rsidRPr="006F31B1">
        <w:rPr>
          <w:rFonts w:ascii="Times New Roman" w:hAnsi="Times New Roman"/>
          <w:b/>
          <w:noProof/>
          <w:sz w:val="24"/>
          <w:szCs w:val="24"/>
        </w:rPr>
        <w:t>11</w:t>
      </w:r>
      <w:r w:rsidR="001E43CD" w:rsidRPr="00445BF9">
        <w:rPr>
          <w:rFonts w:ascii="Times New Roman" w:eastAsia="Arial Unicode MS" w:hAnsi="Times New Roman"/>
          <w:sz w:val="24"/>
          <w:szCs w:val="24"/>
        </w:rPr>
        <w:fldChar w:fldCharType="end"/>
      </w:r>
      <w:r w:rsidRPr="00445BF9">
        <w:rPr>
          <w:rFonts w:ascii="Times New Roman" w:hAnsi="Times New Roman"/>
          <w:sz w:val="24"/>
          <w:szCs w:val="24"/>
        </w:rPr>
        <w:t xml:space="preserve"> indicate</w:t>
      </w:r>
      <w:r w:rsidR="001E43CD" w:rsidRPr="00445BF9">
        <w:rPr>
          <w:rFonts w:ascii="Times New Roman" w:hAnsi="Times New Roman"/>
          <w:sz w:val="24"/>
          <w:szCs w:val="24"/>
        </w:rPr>
        <w:t>s</w:t>
      </w:r>
      <w:r w:rsidR="00994B52" w:rsidRPr="00445BF9">
        <w:rPr>
          <w:rFonts w:ascii="Times New Roman" w:hAnsi="Times New Roman"/>
          <w:sz w:val="24"/>
          <w:szCs w:val="24"/>
        </w:rPr>
        <w:t>,</w:t>
      </w:r>
      <w:r w:rsidRPr="00445BF9">
        <w:rPr>
          <w:rFonts w:ascii="Times New Roman" w:hAnsi="Times New Roman"/>
          <w:sz w:val="24"/>
          <w:szCs w:val="24"/>
        </w:rPr>
        <w:t xml:space="preserve"> this is a problem that affects both budget and project support. In the case of project support implementation delays, for example related to procurement are one major cause. The unpredictability of budget support is closely related to development partner’s assessment of results and performance however, the Joint Budget Support Framework has been designed in a way that is supposed to address unpredictability in disbursements</w:t>
      </w:r>
      <w:r w:rsidRPr="00445BF9">
        <w:rPr>
          <w:rFonts w:ascii="Times New Roman" w:hAnsi="Times New Roman"/>
          <w:sz w:val="24"/>
          <w:szCs w:val="24"/>
          <w:vertAlign w:val="superscript"/>
        </w:rPr>
        <w:footnoteReference w:id="11"/>
      </w:r>
      <w:r w:rsidRPr="00445BF9">
        <w:rPr>
          <w:rFonts w:ascii="Times New Roman" w:hAnsi="Times New Roman"/>
          <w:sz w:val="24"/>
          <w:szCs w:val="24"/>
        </w:rPr>
        <w:t xml:space="preserve">. This undermines the credibility of the budget and reliability (the extent to which government can rely on development partner pledges/commitments being translated into actual flows). Predictability devalues aid through its negative impact on growth and on public financial management.  As a consequence unpredictable aid </w:t>
      </w:r>
      <w:r w:rsidR="00012DD3" w:rsidRPr="00445BF9">
        <w:rPr>
          <w:rFonts w:ascii="Times New Roman" w:hAnsi="Times New Roman"/>
          <w:sz w:val="24"/>
          <w:szCs w:val="24"/>
        </w:rPr>
        <w:t>undermines donors</w:t>
      </w:r>
      <w:r w:rsidRPr="00445BF9">
        <w:rPr>
          <w:rFonts w:ascii="Times New Roman" w:hAnsi="Times New Roman"/>
          <w:sz w:val="24"/>
          <w:szCs w:val="24"/>
        </w:rPr>
        <w:t xml:space="preserve">’ </w:t>
      </w:r>
      <w:r w:rsidR="00074527" w:rsidRPr="00445BF9">
        <w:rPr>
          <w:rFonts w:ascii="Times New Roman" w:hAnsi="Times New Roman"/>
          <w:sz w:val="24"/>
          <w:szCs w:val="24"/>
        </w:rPr>
        <w:t>and partner</w:t>
      </w:r>
      <w:r w:rsidRPr="00445BF9">
        <w:rPr>
          <w:rFonts w:ascii="Times New Roman" w:hAnsi="Times New Roman"/>
          <w:sz w:val="24"/>
          <w:szCs w:val="24"/>
        </w:rPr>
        <w:t xml:space="preserve"> countries’ efforts  to  achieve  development  results,  including  the  Sustainable Development  Goals.  </w:t>
      </w:r>
    </w:p>
    <w:p w14:paraId="140D5765" w14:textId="10F0D99C" w:rsidR="002411FB" w:rsidRPr="00445BF9" w:rsidRDefault="002411FB" w:rsidP="00445BF9">
      <w:pPr>
        <w:pStyle w:val="Caption"/>
        <w:spacing w:after="120"/>
        <w:rPr>
          <w:rFonts w:ascii="Times New Roman" w:eastAsia="Arial Unicode MS" w:hAnsi="Times New Roman"/>
          <w:b/>
          <w:i w:val="0"/>
          <w:color w:val="000000" w:themeColor="text1"/>
          <w:sz w:val="24"/>
          <w:szCs w:val="24"/>
        </w:rPr>
      </w:pPr>
      <w:bookmarkStart w:id="107" w:name="_Ref533619358"/>
      <w:bookmarkStart w:id="108" w:name="_Toc4410609"/>
      <w:r w:rsidRPr="00445BF9">
        <w:rPr>
          <w:rFonts w:ascii="Times New Roman" w:hAnsi="Times New Roman"/>
          <w:b/>
          <w:i w:val="0"/>
          <w:color w:val="000000" w:themeColor="text1"/>
          <w:sz w:val="24"/>
          <w:szCs w:val="24"/>
        </w:rPr>
        <w:t xml:space="preserve">Figure </w:t>
      </w:r>
      <w:r w:rsidRPr="00445BF9">
        <w:rPr>
          <w:rFonts w:ascii="Times New Roman" w:hAnsi="Times New Roman"/>
          <w:b/>
          <w:i w:val="0"/>
          <w:color w:val="000000" w:themeColor="text1"/>
          <w:sz w:val="24"/>
          <w:szCs w:val="24"/>
        </w:rPr>
        <w:fldChar w:fldCharType="begin"/>
      </w:r>
      <w:r w:rsidRPr="00445BF9">
        <w:rPr>
          <w:rFonts w:ascii="Times New Roman" w:hAnsi="Times New Roman"/>
          <w:b/>
          <w:i w:val="0"/>
          <w:color w:val="000000" w:themeColor="text1"/>
          <w:sz w:val="24"/>
          <w:szCs w:val="24"/>
        </w:rPr>
        <w:instrText xml:space="preserve"> SEQ Figure \* ARABIC </w:instrText>
      </w:r>
      <w:r w:rsidRPr="00445BF9">
        <w:rPr>
          <w:rFonts w:ascii="Times New Roman" w:hAnsi="Times New Roman"/>
          <w:b/>
          <w:i w:val="0"/>
          <w:color w:val="000000" w:themeColor="text1"/>
          <w:sz w:val="24"/>
          <w:szCs w:val="24"/>
        </w:rPr>
        <w:fldChar w:fldCharType="separate"/>
      </w:r>
      <w:r w:rsidR="006F31B1">
        <w:rPr>
          <w:rFonts w:ascii="Times New Roman" w:hAnsi="Times New Roman"/>
          <w:b/>
          <w:i w:val="0"/>
          <w:noProof/>
          <w:color w:val="000000" w:themeColor="text1"/>
          <w:sz w:val="24"/>
          <w:szCs w:val="24"/>
        </w:rPr>
        <w:t>11</w:t>
      </w:r>
      <w:r w:rsidRPr="00445BF9">
        <w:rPr>
          <w:rFonts w:ascii="Times New Roman" w:hAnsi="Times New Roman"/>
          <w:b/>
          <w:i w:val="0"/>
          <w:color w:val="000000" w:themeColor="text1"/>
          <w:sz w:val="24"/>
          <w:szCs w:val="24"/>
        </w:rPr>
        <w:fldChar w:fldCharType="end"/>
      </w:r>
      <w:bookmarkEnd w:id="107"/>
      <w:r w:rsidRPr="00445BF9">
        <w:rPr>
          <w:rFonts w:ascii="Times New Roman" w:hAnsi="Times New Roman"/>
          <w:b/>
          <w:i w:val="0"/>
          <w:color w:val="000000" w:themeColor="text1"/>
          <w:sz w:val="24"/>
          <w:szCs w:val="24"/>
        </w:rPr>
        <w:t xml:space="preserve">: </w:t>
      </w:r>
      <w:r w:rsidRPr="00445BF9">
        <w:rPr>
          <w:rFonts w:ascii="Times New Roman" w:eastAsia="Arial Unicode MS" w:hAnsi="Times New Roman"/>
          <w:b/>
          <w:i w:val="0"/>
          <w:color w:val="000000" w:themeColor="text1"/>
          <w:sz w:val="24"/>
          <w:szCs w:val="24"/>
        </w:rPr>
        <w:t xml:space="preserve"> </w:t>
      </w:r>
      <w:r w:rsidRPr="00445BF9">
        <w:rPr>
          <w:rFonts w:ascii="Times New Roman" w:hAnsi="Times New Roman"/>
          <w:b/>
          <w:i w:val="0"/>
          <w:color w:val="000000" w:themeColor="text1"/>
          <w:sz w:val="24"/>
          <w:szCs w:val="24"/>
        </w:rPr>
        <w:t xml:space="preserve">Development Assistance over the first three years of NDP-II period: </w:t>
      </w:r>
      <w:r w:rsidR="00C0362E" w:rsidRPr="00445BF9">
        <w:rPr>
          <w:rFonts w:ascii="Times New Roman" w:hAnsi="Times New Roman"/>
          <w:b/>
          <w:i w:val="0"/>
          <w:color w:val="000000" w:themeColor="text1"/>
          <w:sz w:val="24"/>
          <w:szCs w:val="24"/>
        </w:rPr>
        <w:t>Commitment/plan vs Disbursement by Channel</w:t>
      </w:r>
      <w:bookmarkEnd w:id="108"/>
    </w:p>
    <w:tbl>
      <w:tblPr>
        <w:tblW w:w="9549" w:type="dxa"/>
        <w:tblLook w:val="04A0" w:firstRow="1" w:lastRow="0" w:firstColumn="1" w:lastColumn="0" w:noHBand="0" w:noVBand="1"/>
      </w:tblPr>
      <w:tblGrid>
        <w:gridCol w:w="4819"/>
        <w:gridCol w:w="4819"/>
      </w:tblGrid>
      <w:tr w:rsidR="00C777DA" w:rsidRPr="00445BF9" w14:paraId="517DEDE6" w14:textId="77777777" w:rsidTr="00822C41">
        <w:trPr>
          <w:trHeight w:val="3854"/>
        </w:trPr>
        <w:tc>
          <w:tcPr>
            <w:tcW w:w="4976" w:type="dxa"/>
            <w:hideMark/>
          </w:tcPr>
          <w:p w14:paraId="47FFDCC4" w14:textId="229B284E" w:rsidR="00C777DA" w:rsidRPr="00445BF9" w:rsidRDefault="00C777DA" w:rsidP="00445BF9">
            <w:pPr>
              <w:pStyle w:val="Caption"/>
              <w:spacing w:after="120" w:line="360" w:lineRule="auto"/>
              <w:rPr>
                <w:rFonts w:ascii="Times New Roman" w:hAnsi="Times New Roman"/>
                <w:sz w:val="24"/>
                <w:szCs w:val="24"/>
              </w:rPr>
            </w:pPr>
            <w:r w:rsidRPr="00445BF9">
              <w:rPr>
                <w:rFonts w:ascii="Times New Roman" w:eastAsia="Arial Unicode MS" w:hAnsi="Times New Roman"/>
                <w:noProof/>
                <w:sz w:val="24"/>
                <w:szCs w:val="24"/>
                <w:lang w:eastAsia="en-GB"/>
              </w:rPr>
              <w:drawing>
                <wp:inline distT="0" distB="0" distL="0" distR="0" wp14:anchorId="3BBA4F43" wp14:editId="757F9261">
                  <wp:extent cx="2968625" cy="231584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370C2" w:rsidRPr="00445BF9">
              <w:rPr>
                <w:rFonts w:ascii="Times New Roman" w:hAnsi="Times New Roman"/>
                <w:b/>
                <w:sz w:val="24"/>
                <w:szCs w:val="24"/>
              </w:rPr>
              <w:t xml:space="preserve"> Source:  MoFPED, 2018</w:t>
            </w:r>
          </w:p>
        </w:tc>
        <w:tc>
          <w:tcPr>
            <w:tcW w:w="4573" w:type="dxa"/>
            <w:hideMark/>
          </w:tcPr>
          <w:p w14:paraId="3DC5348E" w14:textId="77777777" w:rsidR="00C777DA" w:rsidRPr="00445BF9" w:rsidRDefault="00C777DA" w:rsidP="00445BF9">
            <w:pPr>
              <w:pStyle w:val="DeltaBodytext"/>
              <w:spacing w:after="120" w:line="360" w:lineRule="auto"/>
              <w:rPr>
                <w:rFonts w:ascii="Times New Roman" w:eastAsia="Arial Unicode MS" w:hAnsi="Times New Roman"/>
                <w:sz w:val="24"/>
                <w:szCs w:val="24"/>
              </w:rPr>
            </w:pPr>
            <w:r w:rsidRPr="00445BF9">
              <w:rPr>
                <w:rFonts w:ascii="Times New Roman" w:eastAsia="Arial Unicode MS" w:hAnsi="Times New Roman"/>
                <w:noProof/>
                <w:sz w:val="24"/>
                <w:szCs w:val="24"/>
                <w:lang w:eastAsia="en-GB"/>
              </w:rPr>
              <w:drawing>
                <wp:inline distT="0" distB="0" distL="0" distR="0" wp14:anchorId="3A1F99A9" wp14:editId="6956BD23">
                  <wp:extent cx="2968625" cy="231584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2E819135" w14:textId="0829C039" w:rsidR="009F31B1" w:rsidRPr="00445BF9" w:rsidRDefault="009F31B1"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lastRenderedPageBreak/>
        <w:t xml:space="preserve">AMP: </w:t>
      </w:r>
      <w:r w:rsidRPr="00445BF9">
        <w:rPr>
          <w:rFonts w:ascii="Times New Roman" w:eastAsia="Arial Unicode MS" w:hAnsi="Times New Roman"/>
          <w:sz w:val="24"/>
          <w:szCs w:val="24"/>
        </w:rPr>
        <w:t xml:space="preserve">To improve transparency and predictability, MoFPED, launched </w:t>
      </w:r>
      <w:r w:rsidR="00E64922" w:rsidRPr="00445BF9">
        <w:rPr>
          <w:rFonts w:ascii="Times New Roman" w:eastAsia="Arial Unicode MS" w:hAnsi="Times New Roman"/>
          <w:sz w:val="24"/>
          <w:szCs w:val="24"/>
        </w:rPr>
        <w:t xml:space="preserve">Aid </w:t>
      </w:r>
      <w:r w:rsidR="00526679" w:rsidRPr="00445BF9">
        <w:rPr>
          <w:rFonts w:ascii="Times New Roman" w:eastAsia="Arial Unicode MS" w:hAnsi="Times New Roman"/>
          <w:sz w:val="24"/>
          <w:szCs w:val="24"/>
        </w:rPr>
        <w:t>M</w:t>
      </w:r>
      <w:r w:rsidRPr="00445BF9">
        <w:rPr>
          <w:rFonts w:ascii="Times New Roman" w:eastAsia="Arial Unicode MS" w:hAnsi="Times New Roman"/>
          <w:sz w:val="24"/>
          <w:szCs w:val="24"/>
        </w:rPr>
        <w:t xml:space="preserve">anagement </w:t>
      </w:r>
      <w:r w:rsidR="00526679" w:rsidRPr="00445BF9">
        <w:rPr>
          <w:rFonts w:ascii="Times New Roman" w:eastAsia="Arial Unicode MS" w:hAnsi="Times New Roman"/>
          <w:sz w:val="24"/>
          <w:szCs w:val="24"/>
        </w:rPr>
        <w:t>P</w:t>
      </w:r>
      <w:r w:rsidRPr="00445BF9">
        <w:rPr>
          <w:rFonts w:ascii="Times New Roman" w:eastAsia="Arial Unicode MS" w:hAnsi="Times New Roman"/>
          <w:sz w:val="24"/>
          <w:szCs w:val="24"/>
        </w:rPr>
        <w:t>latform</w:t>
      </w:r>
      <w:r w:rsidR="00F202BF" w:rsidRPr="00445BF9">
        <w:rPr>
          <w:rFonts w:ascii="Times New Roman" w:eastAsia="Arial Unicode MS" w:hAnsi="Times New Roman"/>
          <w:sz w:val="24"/>
          <w:szCs w:val="24"/>
        </w:rPr>
        <w:t xml:space="preserve"> (AMP)</w:t>
      </w:r>
      <w:r w:rsidRPr="00445BF9">
        <w:rPr>
          <w:rFonts w:ascii="Times New Roman" w:eastAsia="Arial Unicode MS" w:hAnsi="Times New Roman"/>
          <w:sz w:val="24"/>
          <w:szCs w:val="24"/>
        </w:rPr>
        <w:t xml:space="preserve">, which is </w:t>
      </w:r>
      <w:hyperlink r:id="rId33" w:history="1">
        <w:r w:rsidRPr="00445BF9">
          <w:rPr>
            <w:rStyle w:val="Hyperlink"/>
            <w:rFonts w:ascii="Times New Roman" w:eastAsia="Arial Unicode MS" w:hAnsi="Times New Roman"/>
            <w:sz w:val="24"/>
            <w:szCs w:val="24"/>
          </w:rPr>
          <w:t>accessible to the public</w:t>
        </w:r>
      </w:hyperlink>
      <w:r w:rsidRPr="00445BF9">
        <w:rPr>
          <w:rFonts w:ascii="Times New Roman" w:eastAsia="Arial Unicode MS" w:hAnsi="Times New Roman"/>
          <w:sz w:val="24"/>
          <w:szCs w:val="24"/>
        </w:rPr>
        <w:t xml:space="preserve">.  Managed by the Development Assistance and Regional Cooperation Department, it is the official online database of official development finance-funded projects and programmes in Uganda. The system was envisaged to; (a) facilitate timely and comprehensive reporting; (b) enable a comprehensive view of all Aid resources within a country; (c) help to monitor progress towards national development objectives; and (d) reduce duplication of effort and transaction costs associated with data collection and processing. The partner economists group agreed with Government on standard definitions and reporting formats for the disclosure of information about official development finance. This same data is used for budget purposes for both annual and medium-term commitments. However, a handful of development partners use the system for reporting their commitments and actual disbursements. </w:t>
      </w:r>
    </w:p>
    <w:p w14:paraId="389985A4" w14:textId="709C127F" w:rsidR="00686C01" w:rsidRPr="00445BF9" w:rsidRDefault="00DE5744"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In the first </w:t>
      </w:r>
      <w:r w:rsidR="007355E3" w:rsidRPr="00445BF9">
        <w:rPr>
          <w:rFonts w:ascii="Times New Roman" w:eastAsia="Arial Unicode MS" w:hAnsi="Times New Roman"/>
          <w:sz w:val="24"/>
          <w:szCs w:val="24"/>
        </w:rPr>
        <w:t>y</w:t>
      </w:r>
      <w:r w:rsidRPr="00445BF9">
        <w:rPr>
          <w:rFonts w:ascii="Times New Roman" w:eastAsia="Arial Unicode MS" w:hAnsi="Times New Roman"/>
          <w:sz w:val="24"/>
          <w:szCs w:val="24"/>
        </w:rPr>
        <w:t xml:space="preserve">ear of the NDP-II period, </w:t>
      </w:r>
      <w:r w:rsidR="00AE7347" w:rsidRPr="00445BF9">
        <w:rPr>
          <w:rFonts w:ascii="Times New Roman" w:eastAsia="Arial Unicode MS" w:hAnsi="Times New Roman"/>
          <w:sz w:val="24"/>
          <w:szCs w:val="24"/>
        </w:rPr>
        <w:t xml:space="preserve">excel spreadsheets </w:t>
      </w:r>
      <w:r w:rsidRPr="00445BF9">
        <w:rPr>
          <w:rFonts w:ascii="Times New Roman" w:eastAsia="Arial Unicode MS" w:hAnsi="Times New Roman"/>
          <w:sz w:val="24"/>
          <w:szCs w:val="24"/>
        </w:rPr>
        <w:t xml:space="preserve">were </w:t>
      </w:r>
      <w:r w:rsidR="00AE7347" w:rsidRPr="00445BF9">
        <w:rPr>
          <w:rFonts w:ascii="Times New Roman" w:eastAsia="Arial Unicode MS" w:hAnsi="Times New Roman"/>
          <w:sz w:val="24"/>
          <w:szCs w:val="24"/>
        </w:rPr>
        <w:t>used to capture data on Development Assistance funding.</w:t>
      </w:r>
      <w:r w:rsidR="007355E3" w:rsidRPr="00445BF9">
        <w:rPr>
          <w:rFonts w:ascii="Times New Roman" w:eastAsia="Arial Unicode MS" w:hAnsi="Times New Roman"/>
          <w:sz w:val="24"/>
          <w:szCs w:val="24"/>
        </w:rPr>
        <w:t xml:space="preserve"> </w:t>
      </w:r>
      <w:r w:rsidR="00590347" w:rsidRPr="00445BF9">
        <w:rPr>
          <w:rFonts w:ascii="Times New Roman" w:eastAsia="Arial Unicode MS" w:hAnsi="Times New Roman"/>
          <w:sz w:val="24"/>
          <w:szCs w:val="24"/>
        </w:rPr>
        <w:t>In the b</w:t>
      </w:r>
      <w:r w:rsidR="007355E3" w:rsidRPr="00445BF9">
        <w:rPr>
          <w:rFonts w:ascii="Times New Roman" w:eastAsia="Arial Unicode MS" w:hAnsi="Times New Roman"/>
          <w:sz w:val="24"/>
          <w:szCs w:val="24"/>
        </w:rPr>
        <w:t xml:space="preserve">eginning </w:t>
      </w:r>
      <w:r w:rsidR="00590347" w:rsidRPr="00445BF9">
        <w:rPr>
          <w:rFonts w:ascii="Times New Roman" w:eastAsia="Arial Unicode MS" w:hAnsi="Times New Roman"/>
          <w:sz w:val="24"/>
          <w:szCs w:val="24"/>
        </w:rPr>
        <w:t xml:space="preserve">of </w:t>
      </w:r>
      <w:r w:rsidR="007355E3" w:rsidRPr="00445BF9">
        <w:rPr>
          <w:rFonts w:ascii="Times New Roman" w:eastAsia="Arial Unicode MS" w:hAnsi="Times New Roman"/>
          <w:sz w:val="24"/>
          <w:szCs w:val="24"/>
        </w:rPr>
        <w:t xml:space="preserve">FY 2017/18 </w:t>
      </w:r>
      <w:r w:rsidR="00590347" w:rsidRPr="00445BF9">
        <w:rPr>
          <w:rFonts w:ascii="Times New Roman" w:eastAsia="Arial Unicode MS" w:hAnsi="Times New Roman"/>
          <w:sz w:val="24"/>
          <w:szCs w:val="24"/>
        </w:rPr>
        <w:t xml:space="preserve">the </w:t>
      </w:r>
      <w:r w:rsidR="007355E3" w:rsidRPr="00445BF9">
        <w:rPr>
          <w:rFonts w:ascii="Times New Roman" w:eastAsia="Arial Unicode MS" w:hAnsi="Times New Roman"/>
          <w:sz w:val="24"/>
          <w:szCs w:val="24"/>
        </w:rPr>
        <w:t xml:space="preserve">government insisted on providing information through the system. </w:t>
      </w:r>
      <w:r w:rsidR="0060469C" w:rsidRPr="00445BF9">
        <w:rPr>
          <w:rFonts w:ascii="Times New Roman" w:eastAsia="Arial Unicode MS" w:hAnsi="Times New Roman"/>
          <w:sz w:val="24"/>
          <w:szCs w:val="24"/>
        </w:rPr>
        <w:t>Access has been provided to DPs</w:t>
      </w:r>
      <w:r w:rsidR="009352E9" w:rsidRPr="00445BF9">
        <w:rPr>
          <w:rFonts w:ascii="Times New Roman" w:eastAsia="Arial Unicode MS" w:hAnsi="Times New Roman"/>
          <w:sz w:val="24"/>
          <w:szCs w:val="24"/>
        </w:rPr>
        <w:t xml:space="preserve"> </w:t>
      </w:r>
      <w:r w:rsidR="0060469C" w:rsidRPr="00445BF9">
        <w:rPr>
          <w:rFonts w:ascii="Times New Roman" w:eastAsia="Arial Unicode MS" w:hAnsi="Times New Roman"/>
          <w:sz w:val="24"/>
          <w:szCs w:val="24"/>
        </w:rPr>
        <w:t xml:space="preserve">to submit </w:t>
      </w:r>
      <w:r w:rsidR="001047FD" w:rsidRPr="00445BF9">
        <w:rPr>
          <w:rFonts w:ascii="Times New Roman" w:eastAsia="Arial Unicode MS" w:hAnsi="Times New Roman"/>
          <w:sz w:val="24"/>
          <w:szCs w:val="24"/>
        </w:rPr>
        <w:t xml:space="preserve">their multiyear funding </w:t>
      </w:r>
      <w:r w:rsidR="0060469C" w:rsidRPr="00445BF9">
        <w:rPr>
          <w:rFonts w:ascii="Times New Roman" w:eastAsia="Arial Unicode MS" w:hAnsi="Times New Roman"/>
          <w:sz w:val="24"/>
          <w:szCs w:val="24"/>
        </w:rPr>
        <w:t xml:space="preserve">data </w:t>
      </w:r>
      <w:r w:rsidR="001047FD" w:rsidRPr="00445BF9">
        <w:rPr>
          <w:rFonts w:ascii="Times New Roman" w:eastAsia="Arial Unicode MS" w:hAnsi="Times New Roman"/>
          <w:sz w:val="24"/>
          <w:szCs w:val="24"/>
        </w:rPr>
        <w:t xml:space="preserve">(both on-budget and </w:t>
      </w:r>
      <w:r w:rsidR="0060469C" w:rsidRPr="00445BF9">
        <w:rPr>
          <w:rFonts w:ascii="Times New Roman" w:eastAsia="Arial Unicode MS" w:hAnsi="Times New Roman"/>
          <w:sz w:val="24"/>
          <w:szCs w:val="24"/>
        </w:rPr>
        <w:t>off-budget projects</w:t>
      </w:r>
      <w:r w:rsidR="001047FD" w:rsidRPr="00445BF9">
        <w:rPr>
          <w:rFonts w:ascii="Times New Roman" w:eastAsia="Arial Unicode MS" w:hAnsi="Times New Roman"/>
          <w:sz w:val="24"/>
          <w:szCs w:val="24"/>
        </w:rPr>
        <w:t>)</w:t>
      </w:r>
      <w:r w:rsidR="0060469C" w:rsidRPr="00445BF9">
        <w:rPr>
          <w:rFonts w:ascii="Times New Roman" w:eastAsia="Arial Unicode MS" w:hAnsi="Times New Roman"/>
          <w:sz w:val="24"/>
          <w:szCs w:val="24"/>
        </w:rPr>
        <w:t xml:space="preserve"> through AMP and no longer us</w:t>
      </w:r>
      <w:r w:rsidR="00AE5F09" w:rsidRPr="00445BF9">
        <w:rPr>
          <w:rFonts w:ascii="Times New Roman" w:eastAsia="Arial Unicode MS" w:hAnsi="Times New Roman"/>
          <w:sz w:val="24"/>
          <w:szCs w:val="24"/>
        </w:rPr>
        <w:t xml:space="preserve">e </w:t>
      </w:r>
      <w:r w:rsidR="0060469C" w:rsidRPr="00445BF9">
        <w:rPr>
          <w:rFonts w:ascii="Times New Roman" w:eastAsia="Arial Unicode MS" w:hAnsi="Times New Roman"/>
          <w:sz w:val="24"/>
          <w:szCs w:val="24"/>
        </w:rPr>
        <w:t xml:space="preserve">excel sheets. However, AMP is </w:t>
      </w:r>
      <w:r w:rsidR="008C1648" w:rsidRPr="00445BF9">
        <w:rPr>
          <w:rFonts w:ascii="Times New Roman" w:eastAsia="Arial Unicode MS" w:hAnsi="Times New Roman"/>
          <w:sz w:val="24"/>
          <w:szCs w:val="24"/>
        </w:rPr>
        <w:t>not fully</w:t>
      </w:r>
      <w:r w:rsidR="0060469C" w:rsidRPr="00445BF9">
        <w:rPr>
          <w:rFonts w:ascii="Times New Roman" w:eastAsia="Arial Unicode MS" w:hAnsi="Times New Roman"/>
          <w:sz w:val="24"/>
          <w:szCs w:val="24"/>
        </w:rPr>
        <w:t xml:space="preserve"> functional, because DPs are still not providing the required information </w:t>
      </w:r>
      <w:r w:rsidR="00AE5F09" w:rsidRPr="00445BF9">
        <w:rPr>
          <w:rFonts w:ascii="Times New Roman" w:eastAsia="Arial Unicode MS" w:hAnsi="Times New Roman"/>
          <w:sz w:val="24"/>
          <w:szCs w:val="24"/>
        </w:rPr>
        <w:t xml:space="preserve">(and not </w:t>
      </w:r>
      <w:r w:rsidR="0060469C" w:rsidRPr="00445BF9">
        <w:rPr>
          <w:rFonts w:ascii="Times New Roman" w:eastAsia="Arial Unicode MS" w:hAnsi="Times New Roman"/>
          <w:sz w:val="24"/>
          <w:szCs w:val="24"/>
        </w:rPr>
        <w:t>through the system</w:t>
      </w:r>
      <w:r w:rsidR="00AE5F09" w:rsidRPr="00445BF9">
        <w:rPr>
          <w:rFonts w:ascii="Times New Roman" w:eastAsia="Arial Unicode MS" w:hAnsi="Times New Roman"/>
          <w:sz w:val="24"/>
          <w:szCs w:val="24"/>
        </w:rPr>
        <w:t>)</w:t>
      </w:r>
      <w:r w:rsidR="0060469C" w:rsidRPr="00445BF9">
        <w:rPr>
          <w:rFonts w:ascii="Times New Roman" w:eastAsia="Arial Unicode MS" w:hAnsi="Times New Roman"/>
          <w:sz w:val="24"/>
          <w:szCs w:val="24"/>
        </w:rPr>
        <w:t>. This is not a problem of the system</w:t>
      </w:r>
      <w:r w:rsidR="008C1648" w:rsidRPr="00445BF9">
        <w:rPr>
          <w:rFonts w:ascii="Times New Roman" w:eastAsia="Arial Unicode MS" w:hAnsi="Times New Roman"/>
          <w:sz w:val="24"/>
          <w:szCs w:val="24"/>
        </w:rPr>
        <w:t>, rather lack of complete</w:t>
      </w:r>
      <w:r w:rsidR="0060469C" w:rsidRPr="00445BF9">
        <w:rPr>
          <w:rFonts w:ascii="Times New Roman" w:eastAsia="Arial Unicode MS" w:hAnsi="Times New Roman"/>
          <w:sz w:val="24"/>
          <w:szCs w:val="24"/>
        </w:rPr>
        <w:t xml:space="preserve"> data provision by the </w:t>
      </w:r>
      <w:r w:rsidR="008C1648" w:rsidRPr="00445BF9">
        <w:rPr>
          <w:rFonts w:ascii="Times New Roman" w:eastAsia="Arial Unicode MS" w:hAnsi="Times New Roman"/>
          <w:sz w:val="24"/>
          <w:szCs w:val="24"/>
        </w:rPr>
        <w:t>DP</w:t>
      </w:r>
      <w:r w:rsidR="00AE5F09" w:rsidRPr="00445BF9">
        <w:rPr>
          <w:rFonts w:ascii="Times New Roman" w:eastAsia="Arial Unicode MS" w:hAnsi="Times New Roman"/>
          <w:sz w:val="24"/>
          <w:szCs w:val="24"/>
        </w:rPr>
        <w:t>s</w:t>
      </w:r>
      <w:r w:rsidR="0060469C" w:rsidRPr="00445BF9">
        <w:rPr>
          <w:rFonts w:ascii="Times New Roman" w:eastAsia="Arial Unicode MS" w:hAnsi="Times New Roman"/>
          <w:sz w:val="24"/>
          <w:szCs w:val="24"/>
        </w:rPr>
        <w:t>.</w:t>
      </w:r>
      <w:r w:rsidR="008C1648" w:rsidRPr="00445BF9">
        <w:rPr>
          <w:rFonts w:ascii="Times New Roman" w:eastAsia="Arial Unicode MS" w:hAnsi="Times New Roman"/>
          <w:sz w:val="24"/>
          <w:szCs w:val="24"/>
        </w:rPr>
        <w:t xml:space="preserve"> MoFPED is trying to enforce data entry though AMP. </w:t>
      </w:r>
      <w:r w:rsidR="00AE7347" w:rsidRPr="00445BF9">
        <w:rPr>
          <w:rFonts w:ascii="Times New Roman" w:eastAsia="Arial Unicode MS" w:hAnsi="Times New Roman"/>
          <w:sz w:val="24"/>
          <w:szCs w:val="24"/>
        </w:rPr>
        <w:t xml:space="preserve"> </w:t>
      </w:r>
      <w:r w:rsidR="00545D99" w:rsidRPr="00445BF9">
        <w:rPr>
          <w:rFonts w:ascii="Times New Roman" w:eastAsia="Arial Unicode MS" w:hAnsi="Times New Roman"/>
          <w:sz w:val="24"/>
          <w:szCs w:val="24"/>
        </w:rPr>
        <w:t>A</w:t>
      </w:r>
      <w:r w:rsidR="003718D3" w:rsidRPr="00445BF9">
        <w:rPr>
          <w:rFonts w:ascii="Times New Roman" w:eastAsia="Arial Unicode MS" w:hAnsi="Times New Roman"/>
          <w:sz w:val="24"/>
          <w:szCs w:val="24"/>
        </w:rPr>
        <w:t>MP does not capture complete coverage</w:t>
      </w:r>
      <w:r w:rsidR="00BD614F" w:rsidRPr="00445BF9">
        <w:rPr>
          <w:rFonts w:ascii="Times New Roman" w:eastAsia="Arial Unicode MS" w:hAnsi="Times New Roman"/>
          <w:sz w:val="24"/>
          <w:szCs w:val="24"/>
        </w:rPr>
        <w:t xml:space="preserve"> o</w:t>
      </w:r>
      <w:r w:rsidR="00835A71" w:rsidRPr="00445BF9">
        <w:rPr>
          <w:rFonts w:ascii="Times New Roman" w:eastAsia="Arial Unicode MS" w:hAnsi="Times New Roman"/>
          <w:sz w:val="24"/>
          <w:szCs w:val="24"/>
        </w:rPr>
        <w:t>f m</w:t>
      </w:r>
      <w:r w:rsidR="006C1F52" w:rsidRPr="00445BF9">
        <w:rPr>
          <w:rFonts w:ascii="Times New Roman" w:eastAsia="Arial Unicode MS" w:hAnsi="Times New Roman"/>
          <w:sz w:val="24"/>
          <w:szCs w:val="24"/>
        </w:rPr>
        <w:t>ultiyear commitments</w:t>
      </w:r>
      <w:r w:rsidR="00AE7347" w:rsidRPr="00445BF9">
        <w:rPr>
          <w:rFonts w:ascii="Times New Roman" w:eastAsia="Arial Unicode MS" w:hAnsi="Times New Roman"/>
          <w:sz w:val="24"/>
          <w:szCs w:val="24"/>
        </w:rPr>
        <w:t xml:space="preserve"> or indicative funding of DPs</w:t>
      </w:r>
      <w:r w:rsidR="00835A71" w:rsidRPr="00445BF9">
        <w:rPr>
          <w:rFonts w:ascii="Times New Roman" w:eastAsia="Arial Unicode MS" w:hAnsi="Times New Roman"/>
          <w:sz w:val="24"/>
          <w:szCs w:val="24"/>
        </w:rPr>
        <w:t xml:space="preserve">. </w:t>
      </w:r>
      <w:r w:rsidR="00AE7347" w:rsidRPr="00445BF9">
        <w:rPr>
          <w:rFonts w:ascii="Times New Roman" w:eastAsia="Arial Unicode MS" w:hAnsi="Times New Roman"/>
          <w:sz w:val="24"/>
          <w:szCs w:val="24"/>
        </w:rPr>
        <w:t xml:space="preserve"> </w:t>
      </w:r>
      <w:r w:rsidR="00835A71" w:rsidRPr="00445BF9">
        <w:rPr>
          <w:rFonts w:ascii="Times New Roman" w:eastAsia="Arial Unicode MS" w:hAnsi="Times New Roman"/>
          <w:sz w:val="24"/>
          <w:szCs w:val="24"/>
        </w:rPr>
        <w:t>Most DPs don’t know what they expect to provide in the next there or four years.</w:t>
      </w:r>
    </w:p>
    <w:p w14:paraId="486F15BB" w14:textId="352FB4CF" w:rsidR="00E15CC2" w:rsidRPr="00445BF9" w:rsidRDefault="00E15CC2"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109" w:name="_Toc534926862"/>
      <w:r w:rsidRPr="00445BF9">
        <w:rPr>
          <w:rFonts w:ascii="Times New Roman" w:eastAsia="Arial Unicode MS" w:hAnsi="Times New Roman"/>
          <w:bCs w:val="0"/>
          <w:sz w:val="24"/>
          <w:szCs w:val="24"/>
          <w:lang w:val="en-GB"/>
        </w:rPr>
        <w:t xml:space="preserve">Mutual </w:t>
      </w:r>
      <w:r w:rsidR="001C0C96" w:rsidRPr="00445BF9">
        <w:rPr>
          <w:rFonts w:ascii="Times New Roman" w:eastAsia="Arial Unicode MS" w:hAnsi="Times New Roman"/>
          <w:bCs w:val="0"/>
          <w:sz w:val="24"/>
          <w:szCs w:val="24"/>
          <w:lang w:val="en-GB"/>
        </w:rPr>
        <w:t>Accountability</w:t>
      </w:r>
      <w:bookmarkEnd w:id="109"/>
    </w:p>
    <w:p w14:paraId="37BBCA07" w14:textId="751A2B7F" w:rsidR="005C3C2C" w:rsidRPr="00445BF9" w:rsidRDefault="00991881"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NDP-II remains silent for mutual assessment and accountability.</w:t>
      </w:r>
      <w:r w:rsidRPr="00445BF9">
        <w:rPr>
          <w:rFonts w:ascii="Times New Roman" w:eastAsia="Arial Unicode MS" w:hAnsi="Times New Roman"/>
          <w:sz w:val="24"/>
          <w:szCs w:val="24"/>
        </w:rPr>
        <w:t xml:space="preserve"> </w:t>
      </w:r>
      <w:r w:rsidR="005C3C2C" w:rsidRPr="00445BF9">
        <w:rPr>
          <w:rFonts w:ascii="Times New Roman" w:eastAsia="Arial Unicode MS" w:hAnsi="Times New Roman"/>
          <w:sz w:val="24"/>
          <w:szCs w:val="24"/>
        </w:rPr>
        <w:t xml:space="preserve">The </w:t>
      </w:r>
      <w:r w:rsidR="00672D3B" w:rsidRPr="00445BF9">
        <w:rPr>
          <w:rFonts w:ascii="Times New Roman" w:eastAsia="Arial Unicode MS" w:hAnsi="Times New Roman"/>
          <w:sz w:val="24"/>
          <w:szCs w:val="24"/>
        </w:rPr>
        <w:t>NDP-I</w:t>
      </w:r>
      <w:r w:rsidR="005C3C2C" w:rsidRPr="00445BF9">
        <w:rPr>
          <w:rFonts w:ascii="Times New Roman" w:eastAsia="Arial Unicode MS" w:hAnsi="Times New Roman"/>
          <w:sz w:val="24"/>
          <w:szCs w:val="24"/>
        </w:rPr>
        <w:t xml:space="preserve"> clearly articulated the establishment of mechanisms through which there will be mutual assessment by government and development partners of the implementation of their commitments on aid. These mechanisms were spelt out in the Partnership Policy.  However, the </w:t>
      </w:r>
      <w:r w:rsidR="0037500E" w:rsidRPr="00445BF9">
        <w:rPr>
          <w:rFonts w:ascii="Times New Roman" w:eastAsia="Arial Unicode MS" w:hAnsi="Times New Roman"/>
          <w:sz w:val="24"/>
          <w:szCs w:val="24"/>
        </w:rPr>
        <w:t>NDP-II</w:t>
      </w:r>
      <w:r w:rsidR="005C3C2C" w:rsidRPr="00445BF9">
        <w:rPr>
          <w:rFonts w:ascii="Times New Roman" w:eastAsia="Arial Unicode MS" w:hAnsi="Times New Roman"/>
          <w:sz w:val="24"/>
          <w:szCs w:val="24"/>
        </w:rPr>
        <w:t xml:space="preserve"> remains silent for mutual assessment. </w:t>
      </w:r>
    </w:p>
    <w:p w14:paraId="0B29D51E" w14:textId="59746080" w:rsidR="00C922E1" w:rsidRPr="00445BF9" w:rsidRDefault="00C922E1"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sz w:val="24"/>
          <w:szCs w:val="24"/>
        </w:rPr>
        <w:t xml:space="preserve">Decisions are made at DP’s headquarters. However, there is a need to agree a framework on mutual accountability. </w:t>
      </w:r>
    </w:p>
    <w:p w14:paraId="3A424B88" w14:textId="2EE4AA56" w:rsidR="005C3C2C" w:rsidRPr="00445BF9" w:rsidRDefault="003F0D7D"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t>However, the mutual accountability framework was provided through the NPF.</w:t>
      </w:r>
      <w:r w:rsidRPr="00445BF9">
        <w:rPr>
          <w:rFonts w:ascii="Times New Roman" w:eastAsia="Arial Unicode MS" w:hAnsi="Times New Roman"/>
          <w:sz w:val="24"/>
          <w:szCs w:val="24"/>
        </w:rPr>
        <w:t xml:space="preserve"> T</w:t>
      </w:r>
      <w:r w:rsidR="005C3C2C" w:rsidRPr="00445BF9">
        <w:rPr>
          <w:rFonts w:ascii="Times New Roman" w:eastAsia="Arial Unicode MS" w:hAnsi="Times New Roman"/>
          <w:sz w:val="24"/>
          <w:szCs w:val="24"/>
        </w:rPr>
        <w:t>he NPF mechanism provided a context for policy dialogue and for government accountability for the achievement of targets including in its own performance assessment framework. D</w:t>
      </w:r>
      <w:r w:rsidRPr="00445BF9">
        <w:rPr>
          <w:rFonts w:ascii="Times New Roman" w:eastAsia="Arial Unicode MS" w:hAnsi="Times New Roman"/>
          <w:sz w:val="24"/>
          <w:szCs w:val="24"/>
        </w:rPr>
        <w:t>Ps</w:t>
      </w:r>
      <w:r w:rsidR="005C3C2C" w:rsidRPr="00445BF9">
        <w:rPr>
          <w:rFonts w:ascii="Times New Roman" w:eastAsia="Arial Unicode MS" w:hAnsi="Times New Roman"/>
          <w:sz w:val="24"/>
          <w:szCs w:val="24"/>
        </w:rPr>
        <w:t xml:space="preserve"> are in turn held accountable for a set of commitments in the NPF</w:t>
      </w:r>
      <w:r w:rsidR="0082526F" w:rsidRPr="00445BF9">
        <w:rPr>
          <w:rFonts w:ascii="Times New Roman" w:eastAsia="Arial Unicode MS" w:hAnsi="Times New Roman"/>
          <w:sz w:val="24"/>
          <w:szCs w:val="24"/>
        </w:rPr>
        <w:t>.</w:t>
      </w:r>
    </w:p>
    <w:p w14:paraId="49F73975" w14:textId="263F3777" w:rsidR="005C3C2C" w:rsidRPr="00445BF9" w:rsidRDefault="00BF3E95"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b/>
          <w:sz w:val="24"/>
          <w:szCs w:val="24"/>
        </w:rPr>
        <w:lastRenderedPageBreak/>
        <w:t>N</w:t>
      </w:r>
      <w:r w:rsidR="005C3C2C" w:rsidRPr="00445BF9">
        <w:rPr>
          <w:rFonts w:ascii="Times New Roman" w:eastAsia="Arial Unicode MS" w:hAnsi="Times New Roman"/>
          <w:b/>
          <w:sz w:val="24"/>
          <w:szCs w:val="24"/>
        </w:rPr>
        <w:t xml:space="preserve">o progress has been made to explore the </w:t>
      </w:r>
      <w:r w:rsidR="00D41D7F" w:rsidRPr="00445BF9">
        <w:rPr>
          <w:rFonts w:ascii="Times New Roman" w:eastAsia="Arial Unicode MS" w:hAnsi="Times New Roman"/>
          <w:b/>
          <w:sz w:val="24"/>
          <w:szCs w:val="24"/>
        </w:rPr>
        <w:t xml:space="preserve">mutual </w:t>
      </w:r>
      <w:r w:rsidR="005C3C2C" w:rsidRPr="00445BF9">
        <w:rPr>
          <w:rFonts w:ascii="Times New Roman" w:eastAsia="Arial Unicode MS" w:hAnsi="Times New Roman"/>
          <w:b/>
          <w:sz w:val="24"/>
          <w:szCs w:val="24"/>
        </w:rPr>
        <w:t xml:space="preserve">accountability mechanisms </w:t>
      </w:r>
      <w:r w:rsidR="005C3C2C" w:rsidRPr="00445BF9">
        <w:rPr>
          <w:rFonts w:ascii="Times New Roman" w:eastAsia="Arial Unicode MS" w:hAnsi="Times New Roman"/>
          <w:sz w:val="24"/>
          <w:szCs w:val="24"/>
        </w:rPr>
        <w:t>being used in other countries</w:t>
      </w:r>
      <w:r w:rsidR="00D41D7F" w:rsidRPr="00445BF9">
        <w:rPr>
          <w:rFonts w:ascii="Times New Roman" w:eastAsia="Arial Unicode MS" w:hAnsi="Times New Roman"/>
          <w:sz w:val="24"/>
          <w:szCs w:val="24"/>
        </w:rPr>
        <w:t>,</w:t>
      </w:r>
      <w:r w:rsidR="005C3C2C" w:rsidRPr="00445BF9">
        <w:rPr>
          <w:rFonts w:ascii="Times New Roman" w:eastAsia="Arial Unicode MS" w:hAnsi="Times New Roman"/>
          <w:sz w:val="24"/>
          <w:szCs w:val="24"/>
        </w:rPr>
        <w:t xml:space="preserve"> such as independent monitoring by a local panel of experts. Government and </w:t>
      </w:r>
      <w:r w:rsidR="00D41D7F" w:rsidRPr="00445BF9">
        <w:rPr>
          <w:rFonts w:ascii="Times New Roman" w:eastAsia="Arial Unicode MS" w:hAnsi="Times New Roman"/>
          <w:sz w:val="24"/>
          <w:szCs w:val="24"/>
        </w:rPr>
        <w:t>DPs</w:t>
      </w:r>
      <w:r w:rsidR="005C3C2C" w:rsidRPr="00445BF9">
        <w:rPr>
          <w:rFonts w:ascii="Times New Roman" w:eastAsia="Arial Unicode MS" w:hAnsi="Times New Roman"/>
          <w:sz w:val="24"/>
          <w:szCs w:val="24"/>
        </w:rPr>
        <w:t xml:space="preserve"> need to come back on the table and agree on appropriate mode of collaboration and support for mutual accountability. The first call of point is to strengthen, monitor and popularise the implementation of the agreed actions arising from the NPF.</w:t>
      </w:r>
    </w:p>
    <w:p w14:paraId="2746F1F5" w14:textId="2EA8F649" w:rsidR="003A2788" w:rsidRPr="00445BF9" w:rsidRDefault="003F11BA"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eastAsia="Arial Unicode MS" w:hAnsi="Times New Roman"/>
          <w:sz w:val="24"/>
          <w:szCs w:val="24"/>
        </w:rPr>
        <w:t>DPs have mentioned that t</w:t>
      </w:r>
      <w:r w:rsidR="00494404" w:rsidRPr="00445BF9">
        <w:rPr>
          <w:rFonts w:ascii="Times New Roman" w:eastAsia="Arial Unicode MS" w:hAnsi="Times New Roman"/>
          <w:sz w:val="24"/>
          <w:szCs w:val="24"/>
        </w:rPr>
        <w:t xml:space="preserve">he Government of Uganda has a </w:t>
      </w:r>
      <w:r w:rsidR="00494404" w:rsidRPr="00445BF9">
        <w:rPr>
          <w:rFonts w:ascii="Times New Roman" w:hAnsi="Times New Roman"/>
          <w:sz w:val="24"/>
          <w:szCs w:val="24"/>
        </w:rPr>
        <w:t>quite a good reporting system</w:t>
      </w:r>
      <w:r w:rsidRPr="00445BF9">
        <w:rPr>
          <w:rFonts w:ascii="Times New Roman" w:hAnsi="Times New Roman"/>
          <w:sz w:val="24"/>
          <w:szCs w:val="24"/>
        </w:rPr>
        <w:t>. This is both</w:t>
      </w:r>
      <w:r w:rsidR="00494404" w:rsidRPr="00445BF9">
        <w:rPr>
          <w:rFonts w:ascii="Times New Roman" w:hAnsi="Times New Roman"/>
          <w:sz w:val="24"/>
          <w:szCs w:val="24"/>
        </w:rPr>
        <w:t xml:space="preserve"> for projects</w:t>
      </w:r>
      <w:r w:rsidRPr="00445BF9">
        <w:rPr>
          <w:rFonts w:ascii="Times New Roman" w:hAnsi="Times New Roman"/>
          <w:sz w:val="24"/>
          <w:szCs w:val="24"/>
        </w:rPr>
        <w:t xml:space="preserve">, as well as </w:t>
      </w:r>
      <w:r w:rsidR="00043D1B" w:rsidRPr="00445BF9">
        <w:rPr>
          <w:rFonts w:ascii="Times New Roman" w:hAnsi="Times New Roman"/>
          <w:sz w:val="24"/>
          <w:szCs w:val="24"/>
        </w:rPr>
        <w:t>for OAG’s</w:t>
      </w:r>
      <w:r w:rsidR="00494404" w:rsidRPr="00445BF9">
        <w:rPr>
          <w:rFonts w:ascii="Times New Roman" w:hAnsi="Times New Roman"/>
          <w:sz w:val="24"/>
          <w:szCs w:val="24"/>
        </w:rPr>
        <w:t xml:space="preserve"> report</w:t>
      </w:r>
      <w:r w:rsidRPr="00445BF9">
        <w:rPr>
          <w:rFonts w:ascii="Times New Roman" w:hAnsi="Times New Roman"/>
          <w:sz w:val="24"/>
          <w:szCs w:val="24"/>
        </w:rPr>
        <w:t>s</w:t>
      </w:r>
      <w:r w:rsidR="00494404" w:rsidRPr="00445BF9">
        <w:rPr>
          <w:rFonts w:ascii="Times New Roman" w:hAnsi="Times New Roman"/>
          <w:sz w:val="24"/>
          <w:szCs w:val="24"/>
        </w:rPr>
        <w:t xml:space="preserve">, which </w:t>
      </w:r>
      <w:r w:rsidRPr="00445BF9">
        <w:rPr>
          <w:rFonts w:ascii="Times New Roman" w:hAnsi="Times New Roman"/>
          <w:sz w:val="24"/>
          <w:szCs w:val="24"/>
        </w:rPr>
        <w:t>are</w:t>
      </w:r>
      <w:r w:rsidR="00494404" w:rsidRPr="00445BF9">
        <w:rPr>
          <w:rFonts w:ascii="Times New Roman" w:hAnsi="Times New Roman"/>
          <w:sz w:val="24"/>
          <w:szCs w:val="24"/>
        </w:rPr>
        <w:t xml:space="preserve"> publicly debated in the Parliament.</w:t>
      </w:r>
      <w:r w:rsidR="00400190" w:rsidRPr="00445BF9">
        <w:rPr>
          <w:rFonts w:ascii="Times New Roman" w:hAnsi="Times New Roman"/>
          <w:sz w:val="24"/>
          <w:szCs w:val="24"/>
        </w:rPr>
        <w:t xml:space="preserve"> </w:t>
      </w:r>
      <w:r w:rsidR="003A2788" w:rsidRPr="00445BF9">
        <w:rPr>
          <w:rFonts w:ascii="Times New Roman" w:hAnsi="Times New Roman"/>
          <w:sz w:val="24"/>
          <w:szCs w:val="24"/>
        </w:rPr>
        <w:t xml:space="preserve">However, the </w:t>
      </w:r>
      <w:r w:rsidR="003A2788" w:rsidRPr="00445BF9">
        <w:rPr>
          <w:rFonts w:ascii="Times New Roman" w:hAnsi="Times New Roman"/>
          <w:b/>
          <w:sz w:val="24"/>
          <w:szCs w:val="24"/>
        </w:rPr>
        <w:t>delivery is an issue</w:t>
      </w:r>
      <w:r w:rsidR="00400190" w:rsidRPr="00445BF9">
        <w:rPr>
          <w:rFonts w:ascii="Times New Roman" w:hAnsi="Times New Roman"/>
          <w:b/>
          <w:sz w:val="24"/>
          <w:szCs w:val="24"/>
        </w:rPr>
        <w:t>. T</w:t>
      </w:r>
      <w:r w:rsidR="003A2788" w:rsidRPr="00445BF9">
        <w:rPr>
          <w:rFonts w:ascii="Times New Roman" w:hAnsi="Times New Roman"/>
          <w:b/>
          <w:sz w:val="24"/>
          <w:szCs w:val="24"/>
        </w:rPr>
        <w:t>hough the budget is approved, the Government cash disbursement/financing is not on time. Reporting are often with delay.</w:t>
      </w:r>
    </w:p>
    <w:p w14:paraId="4063D5C4" w14:textId="27AF2522" w:rsidR="00841C3B" w:rsidRPr="00445BF9" w:rsidRDefault="00A05C3E"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The GoU accountability has </w:t>
      </w:r>
      <w:r w:rsidRPr="00445BF9">
        <w:rPr>
          <w:rFonts w:ascii="Times New Roman" w:hAnsi="Times New Roman"/>
          <w:sz w:val="24"/>
          <w:szCs w:val="24"/>
        </w:rPr>
        <w:t>been strengthened from 2012 onwards.</w:t>
      </w:r>
      <w:r w:rsidR="002D3223" w:rsidRPr="00445BF9">
        <w:rPr>
          <w:rFonts w:ascii="Times New Roman" w:hAnsi="Times New Roman"/>
          <w:sz w:val="24"/>
          <w:szCs w:val="24"/>
        </w:rPr>
        <w:t xml:space="preserve"> The</w:t>
      </w:r>
      <w:r w:rsidRPr="00445BF9">
        <w:rPr>
          <w:rFonts w:ascii="Times New Roman" w:hAnsi="Times New Roman"/>
          <w:sz w:val="24"/>
          <w:szCs w:val="24"/>
        </w:rPr>
        <w:t xml:space="preserve"> Gov</w:t>
      </w:r>
      <w:r w:rsidR="002D3223" w:rsidRPr="00445BF9">
        <w:rPr>
          <w:rFonts w:ascii="Times New Roman" w:hAnsi="Times New Roman"/>
          <w:sz w:val="24"/>
          <w:szCs w:val="24"/>
        </w:rPr>
        <w:t>ernment has</w:t>
      </w:r>
      <w:r w:rsidRPr="00445BF9">
        <w:rPr>
          <w:rFonts w:ascii="Times New Roman" w:hAnsi="Times New Roman"/>
          <w:sz w:val="24"/>
          <w:szCs w:val="24"/>
        </w:rPr>
        <w:t xml:space="preserve"> strengthened PFM, including 2015 PFM Act, which requires more transparency.</w:t>
      </w:r>
    </w:p>
    <w:p w14:paraId="3A8C0600" w14:textId="26EC8032" w:rsidR="00E15CC2" w:rsidRPr="00445BF9" w:rsidRDefault="00BF1C35" w:rsidP="00445BF9">
      <w:pPr>
        <w:pStyle w:val="Heading2"/>
        <w:spacing w:after="120"/>
      </w:pPr>
      <w:bookmarkStart w:id="110" w:name="_Toc361577057"/>
      <w:bookmarkStart w:id="111" w:name="_Toc534926863"/>
      <w:bookmarkStart w:id="112" w:name="_Toc3505178"/>
      <w:bookmarkStart w:id="113" w:name="_Toc354662388"/>
      <w:r w:rsidRPr="00445BF9">
        <w:t>Development Assistance from Non-Traditional Partners</w:t>
      </w:r>
      <w:bookmarkEnd w:id="110"/>
      <w:bookmarkEnd w:id="111"/>
      <w:bookmarkEnd w:id="112"/>
    </w:p>
    <w:p w14:paraId="2A38AB99" w14:textId="3B948B05" w:rsidR="00E15CC2" w:rsidRPr="00445BF9"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 xml:space="preserve">This section examines Uganda’s relationship with its non-traditional development partners. It describes the main features of the assistance that non-traditional partners provide and discusses the opportunities for using this assistance more effectively to support the NDP. </w:t>
      </w:r>
    </w:p>
    <w:p w14:paraId="521655A7" w14:textId="3893E786" w:rsidR="00E15CC2" w:rsidRPr="00445BF9" w:rsidRDefault="00E15CC2" w:rsidP="00445BF9">
      <w:pPr>
        <w:pStyle w:val="DeltaBodytext"/>
        <w:numPr>
          <w:ilvl w:val="0"/>
          <w:numId w:val="14"/>
        </w:numPr>
        <w:spacing w:after="120" w:line="360" w:lineRule="auto"/>
        <w:ind w:left="567" w:hanging="567"/>
        <w:rPr>
          <w:rFonts w:ascii="Times New Roman" w:eastAsia="Arial Unicode MS" w:hAnsi="Times New Roman"/>
          <w:sz w:val="24"/>
          <w:szCs w:val="24"/>
        </w:rPr>
      </w:pPr>
      <w:r w:rsidRPr="00445BF9">
        <w:rPr>
          <w:rFonts w:ascii="Times New Roman" w:eastAsia="Arial Unicode MS" w:hAnsi="Times New Roman"/>
          <w:sz w:val="24"/>
          <w:szCs w:val="24"/>
        </w:rPr>
        <w:t>The Section answers the following question covering the scope for more effective collaboration with non-traditional partners:</w:t>
      </w:r>
    </w:p>
    <w:p w14:paraId="618B9814" w14:textId="327DF461" w:rsidR="00E15CC2" w:rsidRPr="00445BF9" w:rsidRDefault="00842718" w:rsidP="00445BF9">
      <w:pPr>
        <w:pStyle w:val="PlainText"/>
        <w:numPr>
          <w:ilvl w:val="0"/>
          <w:numId w:val="33"/>
        </w:numPr>
        <w:spacing w:after="120" w:line="360" w:lineRule="auto"/>
        <w:ind w:left="1134" w:hanging="567"/>
        <w:jc w:val="both"/>
        <w:rPr>
          <w:rFonts w:ascii="Times New Roman" w:hAnsi="Times New Roman"/>
          <w:sz w:val="24"/>
          <w:szCs w:val="24"/>
        </w:rPr>
      </w:pPr>
      <w:r w:rsidRPr="00445BF9">
        <w:rPr>
          <w:rFonts w:ascii="Times New Roman" w:hAnsi="Times New Roman"/>
          <w:b/>
          <w:sz w:val="24"/>
          <w:szCs w:val="24"/>
        </w:rPr>
        <w:t xml:space="preserve">DP9: </w:t>
      </w:r>
      <w:r w:rsidRPr="00445BF9">
        <w:rPr>
          <w:rFonts w:ascii="Times New Roman" w:hAnsi="Times New Roman"/>
          <w:sz w:val="24"/>
          <w:szCs w:val="24"/>
        </w:rPr>
        <w:t>What was the scope of effective collaboration with non-traditional donors?</w:t>
      </w:r>
    </w:p>
    <w:p w14:paraId="5B1BCDEB" w14:textId="12B2EA5F" w:rsidR="00E15CC2" w:rsidRPr="00445BF9" w:rsidRDefault="00E15CC2"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114" w:name="_Toc534926864"/>
      <w:bookmarkStart w:id="115" w:name="_Toc361577058"/>
      <w:r w:rsidRPr="00445BF9">
        <w:rPr>
          <w:rFonts w:ascii="Times New Roman" w:eastAsia="Arial Unicode MS" w:hAnsi="Times New Roman"/>
          <w:bCs w:val="0"/>
          <w:sz w:val="24"/>
          <w:szCs w:val="24"/>
          <w:lang w:val="en-GB"/>
        </w:rPr>
        <w:t xml:space="preserve">Trends </w:t>
      </w:r>
      <w:r w:rsidR="001C0C96" w:rsidRPr="00445BF9">
        <w:rPr>
          <w:rFonts w:ascii="Times New Roman" w:eastAsia="Arial Unicode MS" w:hAnsi="Times New Roman"/>
          <w:bCs w:val="0"/>
          <w:sz w:val="24"/>
          <w:szCs w:val="24"/>
          <w:lang w:val="en-GB"/>
        </w:rPr>
        <w:t>in Support from Non-Traditional Sources</w:t>
      </w:r>
      <w:bookmarkEnd w:id="114"/>
      <w:bookmarkEnd w:id="115"/>
    </w:p>
    <w:p w14:paraId="06F3820D" w14:textId="2DCE2F01" w:rsidR="002C697D" w:rsidRPr="00445BF9" w:rsidRDefault="00297E4C"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b/>
          <w:sz w:val="24"/>
          <w:szCs w:val="24"/>
        </w:rPr>
        <w:t>The importance of aid from Uganda</w:t>
      </w:r>
      <w:r w:rsidR="00B45983" w:rsidRPr="00445BF9">
        <w:rPr>
          <w:rFonts w:ascii="Times New Roman" w:hAnsi="Times New Roman"/>
          <w:b/>
          <w:sz w:val="24"/>
          <w:szCs w:val="24"/>
        </w:rPr>
        <w:t>’</w:t>
      </w:r>
      <w:r w:rsidRPr="00445BF9">
        <w:rPr>
          <w:rFonts w:ascii="Times New Roman" w:hAnsi="Times New Roman"/>
          <w:b/>
          <w:sz w:val="24"/>
          <w:szCs w:val="24"/>
        </w:rPr>
        <w:t>s non-traditional development partners has increased steadily in recent years</w:t>
      </w:r>
      <w:r w:rsidR="0062288B" w:rsidRPr="00445BF9">
        <w:rPr>
          <w:rFonts w:ascii="Times New Roman" w:hAnsi="Times New Roman"/>
          <w:b/>
          <w:sz w:val="24"/>
          <w:szCs w:val="24"/>
        </w:rPr>
        <w:t>.</w:t>
      </w:r>
      <w:r w:rsidR="0062288B" w:rsidRPr="00445BF9">
        <w:rPr>
          <w:rFonts w:ascii="Times New Roman" w:hAnsi="Times New Roman"/>
          <w:sz w:val="24"/>
          <w:szCs w:val="24"/>
        </w:rPr>
        <w:t xml:space="preserve"> C</w:t>
      </w:r>
      <w:r w:rsidRPr="00445BF9">
        <w:rPr>
          <w:rFonts w:ascii="Times New Roman" w:hAnsi="Times New Roman"/>
          <w:sz w:val="24"/>
          <w:szCs w:val="24"/>
        </w:rPr>
        <w:t>urrently amongst the group of emerging donors collectively known as the BRICKS</w:t>
      </w:r>
      <w:r w:rsidRPr="00445BF9">
        <w:rPr>
          <w:rFonts w:ascii="Times New Roman" w:hAnsi="Times New Roman"/>
          <w:sz w:val="24"/>
          <w:szCs w:val="24"/>
          <w:vertAlign w:val="superscript"/>
        </w:rPr>
        <w:footnoteReference w:id="12"/>
      </w:r>
      <w:r w:rsidRPr="00445BF9">
        <w:rPr>
          <w:rFonts w:ascii="Times New Roman" w:hAnsi="Times New Roman"/>
          <w:sz w:val="24"/>
          <w:szCs w:val="24"/>
        </w:rPr>
        <w:t xml:space="preserve"> only China and South Korea have committed significant support. Table below provides details. In FY 2015/16, $104 million from China, compared to $31 million of aid recorded from the same source in 2008/09. South Korea</w:t>
      </w:r>
      <w:r w:rsidR="00262FFD" w:rsidRPr="00445BF9">
        <w:rPr>
          <w:rFonts w:ascii="Times New Roman" w:hAnsi="Times New Roman"/>
          <w:sz w:val="24"/>
          <w:szCs w:val="24"/>
        </w:rPr>
        <w:t>’</w:t>
      </w:r>
      <w:r w:rsidRPr="00445BF9">
        <w:rPr>
          <w:rFonts w:ascii="Times New Roman" w:hAnsi="Times New Roman"/>
          <w:sz w:val="24"/>
          <w:szCs w:val="24"/>
        </w:rPr>
        <w:t>s engagement is very new and much smaller.  Support of just over $1 million was recorded in FY 2011/12.</w:t>
      </w:r>
      <w:r w:rsidR="00EC05E2" w:rsidRPr="00445BF9">
        <w:rPr>
          <w:rFonts w:ascii="Times New Roman" w:hAnsi="Times New Roman"/>
          <w:sz w:val="24"/>
          <w:szCs w:val="24"/>
        </w:rPr>
        <w:t xml:space="preserve"> </w:t>
      </w:r>
      <w:r w:rsidR="002C697D" w:rsidRPr="00445BF9">
        <w:rPr>
          <w:rFonts w:ascii="Times New Roman" w:hAnsi="Times New Roman"/>
          <w:sz w:val="24"/>
          <w:szCs w:val="24"/>
        </w:rPr>
        <w:t>Support provided by non-traditional partners, particularly China and South Korea, is in the form of project aid and is both on budget and off-budget.</w:t>
      </w:r>
    </w:p>
    <w:p w14:paraId="59EDFD52" w14:textId="08B1D53C" w:rsidR="00EB211C" w:rsidRPr="00445BF9" w:rsidRDefault="00EB211C" w:rsidP="00445BF9">
      <w:pPr>
        <w:pStyle w:val="DeltaBodytext"/>
        <w:numPr>
          <w:ilvl w:val="0"/>
          <w:numId w:val="14"/>
        </w:numPr>
        <w:spacing w:after="120" w:line="360" w:lineRule="auto"/>
        <w:ind w:left="567" w:hanging="567"/>
        <w:rPr>
          <w:rFonts w:ascii="Times New Roman" w:hAnsi="Times New Roman"/>
          <w:sz w:val="24"/>
          <w:szCs w:val="24"/>
        </w:rPr>
      </w:pPr>
      <w:r w:rsidRPr="00445BF9">
        <w:rPr>
          <w:rFonts w:ascii="Times New Roman" w:hAnsi="Times New Roman"/>
          <w:b/>
          <w:sz w:val="24"/>
          <w:szCs w:val="24"/>
        </w:rPr>
        <w:t>Chin</w:t>
      </w:r>
      <w:r w:rsidR="002175FD" w:rsidRPr="00445BF9">
        <w:rPr>
          <w:rFonts w:ascii="Times New Roman" w:hAnsi="Times New Roman"/>
          <w:b/>
          <w:sz w:val="24"/>
          <w:szCs w:val="24"/>
        </w:rPr>
        <w:t>a</w:t>
      </w:r>
      <w:r w:rsidRPr="00445BF9">
        <w:rPr>
          <w:rFonts w:ascii="Times New Roman" w:hAnsi="Times New Roman"/>
          <w:b/>
          <w:sz w:val="24"/>
          <w:szCs w:val="24"/>
        </w:rPr>
        <w:t xml:space="preserve"> financing has increased because of infrastructure projects: </w:t>
      </w:r>
      <w:r w:rsidRPr="00445BF9">
        <w:rPr>
          <w:rFonts w:ascii="Times New Roman" w:hAnsi="Times New Roman"/>
          <w:sz w:val="24"/>
          <w:szCs w:val="24"/>
        </w:rPr>
        <w:t xml:space="preserve">big hydro projects, oil roads and highways projects. </w:t>
      </w:r>
      <w:r w:rsidR="002175FD" w:rsidRPr="00445BF9">
        <w:rPr>
          <w:rFonts w:ascii="Times New Roman" w:hAnsi="Times New Roman"/>
          <w:sz w:val="24"/>
          <w:szCs w:val="24"/>
        </w:rPr>
        <w:t>Compared to the</w:t>
      </w:r>
      <w:r w:rsidRPr="00445BF9">
        <w:rPr>
          <w:rFonts w:ascii="Times New Roman" w:hAnsi="Times New Roman"/>
          <w:sz w:val="24"/>
          <w:szCs w:val="24"/>
        </w:rPr>
        <w:t xml:space="preserve"> WB and AfDB</w:t>
      </w:r>
      <w:r w:rsidR="002175FD" w:rsidRPr="00445BF9">
        <w:rPr>
          <w:rFonts w:ascii="Times New Roman" w:hAnsi="Times New Roman"/>
          <w:sz w:val="24"/>
          <w:szCs w:val="24"/>
        </w:rPr>
        <w:t>, the</w:t>
      </w:r>
      <w:r w:rsidRPr="00445BF9">
        <w:rPr>
          <w:rFonts w:ascii="Times New Roman" w:hAnsi="Times New Roman"/>
          <w:sz w:val="24"/>
          <w:szCs w:val="24"/>
        </w:rPr>
        <w:t xml:space="preserve"> </w:t>
      </w:r>
      <w:r w:rsidR="002175FD" w:rsidRPr="00445BF9">
        <w:rPr>
          <w:rFonts w:ascii="Times New Roman" w:hAnsi="Times New Roman"/>
          <w:sz w:val="24"/>
          <w:szCs w:val="24"/>
        </w:rPr>
        <w:t>funding access is</w:t>
      </w:r>
      <w:r w:rsidRPr="00445BF9">
        <w:rPr>
          <w:rFonts w:ascii="Times New Roman" w:hAnsi="Times New Roman"/>
          <w:sz w:val="24"/>
          <w:szCs w:val="24"/>
        </w:rPr>
        <w:t xml:space="preserve"> easi</w:t>
      </w:r>
      <w:r w:rsidR="002175FD" w:rsidRPr="00445BF9">
        <w:rPr>
          <w:rFonts w:ascii="Times New Roman" w:hAnsi="Times New Roman"/>
          <w:sz w:val="24"/>
          <w:szCs w:val="24"/>
        </w:rPr>
        <w:t xml:space="preserve">er </w:t>
      </w:r>
      <w:r w:rsidRPr="00445BF9">
        <w:rPr>
          <w:rFonts w:ascii="Times New Roman" w:hAnsi="Times New Roman"/>
          <w:sz w:val="24"/>
          <w:szCs w:val="24"/>
        </w:rPr>
        <w:t xml:space="preserve">from </w:t>
      </w:r>
      <w:r w:rsidR="002175FD" w:rsidRPr="00445BF9">
        <w:rPr>
          <w:rFonts w:ascii="Times New Roman" w:hAnsi="Times New Roman"/>
          <w:sz w:val="24"/>
          <w:szCs w:val="24"/>
        </w:rPr>
        <w:t>China</w:t>
      </w:r>
      <w:r w:rsidRPr="00445BF9">
        <w:rPr>
          <w:rFonts w:ascii="Times New Roman" w:hAnsi="Times New Roman"/>
          <w:sz w:val="24"/>
          <w:szCs w:val="24"/>
        </w:rPr>
        <w:t xml:space="preserve">, due to the </w:t>
      </w:r>
      <w:r w:rsidR="002764D0" w:rsidRPr="00445BF9">
        <w:rPr>
          <w:rFonts w:ascii="Times New Roman" w:hAnsi="Times New Roman"/>
          <w:sz w:val="24"/>
          <w:szCs w:val="24"/>
        </w:rPr>
        <w:t>shorter period of negotiation</w:t>
      </w:r>
      <w:r w:rsidR="00BD67EF" w:rsidRPr="00445BF9">
        <w:rPr>
          <w:rFonts w:ascii="Times New Roman" w:hAnsi="Times New Roman"/>
          <w:sz w:val="24"/>
          <w:szCs w:val="24"/>
        </w:rPr>
        <w:t>, contracting and procurement processes</w:t>
      </w:r>
      <w:r w:rsidR="008C5FBE" w:rsidRPr="00445BF9">
        <w:rPr>
          <w:rFonts w:ascii="Times New Roman" w:hAnsi="Times New Roman"/>
          <w:sz w:val="24"/>
          <w:szCs w:val="24"/>
        </w:rPr>
        <w:t>,</w:t>
      </w:r>
      <w:r w:rsidR="002764D0" w:rsidRPr="00445BF9">
        <w:rPr>
          <w:rFonts w:ascii="Times New Roman" w:hAnsi="Times New Roman"/>
          <w:sz w:val="24"/>
          <w:szCs w:val="24"/>
        </w:rPr>
        <w:t xml:space="preserve"> and </w:t>
      </w:r>
      <w:r w:rsidR="008C5FBE" w:rsidRPr="00445BF9">
        <w:rPr>
          <w:rFonts w:ascii="Times New Roman" w:hAnsi="Times New Roman"/>
          <w:sz w:val="24"/>
          <w:szCs w:val="24"/>
        </w:rPr>
        <w:lastRenderedPageBreak/>
        <w:t xml:space="preserve">eventually much </w:t>
      </w:r>
      <w:r w:rsidR="002764D0" w:rsidRPr="00445BF9">
        <w:rPr>
          <w:rFonts w:ascii="Times New Roman" w:hAnsi="Times New Roman"/>
          <w:sz w:val="24"/>
          <w:szCs w:val="24"/>
        </w:rPr>
        <w:t xml:space="preserve">quicker access </w:t>
      </w:r>
      <w:r w:rsidR="008C5FBE" w:rsidRPr="00445BF9">
        <w:rPr>
          <w:rFonts w:ascii="Times New Roman" w:hAnsi="Times New Roman"/>
          <w:sz w:val="24"/>
          <w:szCs w:val="24"/>
        </w:rPr>
        <w:t xml:space="preserve">to funding </w:t>
      </w:r>
      <w:r w:rsidR="002764D0" w:rsidRPr="00445BF9">
        <w:rPr>
          <w:rFonts w:ascii="Times New Roman" w:hAnsi="Times New Roman"/>
          <w:sz w:val="24"/>
          <w:szCs w:val="24"/>
        </w:rPr>
        <w:t>(e.g. with the</w:t>
      </w:r>
      <w:r w:rsidRPr="00445BF9">
        <w:rPr>
          <w:rFonts w:ascii="Times New Roman" w:hAnsi="Times New Roman"/>
          <w:sz w:val="24"/>
          <w:szCs w:val="24"/>
        </w:rPr>
        <w:t xml:space="preserve"> WB </w:t>
      </w:r>
      <w:r w:rsidR="002764D0" w:rsidRPr="00445BF9">
        <w:rPr>
          <w:rFonts w:ascii="Times New Roman" w:hAnsi="Times New Roman"/>
          <w:sz w:val="24"/>
          <w:szCs w:val="24"/>
        </w:rPr>
        <w:t xml:space="preserve">it </w:t>
      </w:r>
      <w:r w:rsidR="00D746C0" w:rsidRPr="00445BF9">
        <w:rPr>
          <w:rFonts w:ascii="Times New Roman" w:hAnsi="Times New Roman"/>
          <w:sz w:val="24"/>
          <w:szCs w:val="24"/>
        </w:rPr>
        <w:t xml:space="preserve">can </w:t>
      </w:r>
      <w:r w:rsidRPr="00445BF9">
        <w:rPr>
          <w:rFonts w:ascii="Times New Roman" w:hAnsi="Times New Roman"/>
          <w:sz w:val="24"/>
          <w:szCs w:val="24"/>
        </w:rPr>
        <w:t>take</w:t>
      </w:r>
      <w:r w:rsidR="00D746C0" w:rsidRPr="00445BF9">
        <w:rPr>
          <w:rFonts w:ascii="Times New Roman" w:hAnsi="Times New Roman"/>
          <w:sz w:val="24"/>
          <w:szCs w:val="24"/>
        </w:rPr>
        <w:t xml:space="preserve"> up to </w:t>
      </w:r>
      <w:r w:rsidRPr="00445BF9">
        <w:rPr>
          <w:rFonts w:ascii="Times New Roman" w:hAnsi="Times New Roman"/>
          <w:sz w:val="24"/>
          <w:szCs w:val="24"/>
        </w:rPr>
        <w:t xml:space="preserve">2 years, whereas </w:t>
      </w:r>
      <w:r w:rsidR="002764D0" w:rsidRPr="00445BF9">
        <w:rPr>
          <w:rFonts w:ascii="Times New Roman" w:hAnsi="Times New Roman"/>
          <w:sz w:val="24"/>
          <w:szCs w:val="24"/>
        </w:rPr>
        <w:t>with</w:t>
      </w:r>
      <w:r w:rsidRPr="00445BF9">
        <w:rPr>
          <w:rFonts w:ascii="Times New Roman" w:hAnsi="Times New Roman"/>
          <w:sz w:val="24"/>
          <w:szCs w:val="24"/>
        </w:rPr>
        <w:t xml:space="preserve"> China it take</w:t>
      </w:r>
      <w:r w:rsidR="002764D0" w:rsidRPr="00445BF9">
        <w:rPr>
          <w:rFonts w:ascii="Times New Roman" w:hAnsi="Times New Roman"/>
          <w:sz w:val="24"/>
          <w:szCs w:val="24"/>
        </w:rPr>
        <w:t>s</w:t>
      </w:r>
      <w:r w:rsidRPr="00445BF9">
        <w:rPr>
          <w:rFonts w:ascii="Times New Roman" w:hAnsi="Times New Roman"/>
          <w:sz w:val="24"/>
          <w:szCs w:val="24"/>
        </w:rPr>
        <w:t xml:space="preserve"> max 1 year</w:t>
      </w:r>
      <w:r w:rsidR="00D746C0" w:rsidRPr="00445BF9">
        <w:rPr>
          <w:rFonts w:ascii="Times New Roman" w:hAnsi="Times New Roman"/>
          <w:sz w:val="24"/>
          <w:szCs w:val="24"/>
        </w:rPr>
        <w:t xml:space="preserve">). </w:t>
      </w:r>
      <w:r w:rsidR="00D746C0" w:rsidRPr="00445BF9">
        <w:rPr>
          <w:rFonts w:ascii="Times New Roman" w:hAnsi="Times New Roman"/>
          <w:b/>
          <w:sz w:val="24"/>
          <w:szCs w:val="24"/>
        </w:rPr>
        <w:t xml:space="preserve">However, </w:t>
      </w:r>
      <w:r w:rsidR="008C5FBE" w:rsidRPr="00445BF9">
        <w:rPr>
          <w:rFonts w:ascii="Times New Roman" w:hAnsi="Times New Roman"/>
          <w:b/>
          <w:sz w:val="24"/>
          <w:szCs w:val="24"/>
        </w:rPr>
        <w:t xml:space="preserve">the </w:t>
      </w:r>
      <w:r w:rsidR="007355E3" w:rsidRPr="00445BF9">
        <w:rPr>
          <w:rFonts w:ascii="Times New Roman" w:hAnsi="Times New Roman"/>
          <w:b/>
          <w:sz w:val="24"/>
          <w:szCs w:val="24"/>
        </w:rPr>
        <w:t xml:space="preserve">support </w:t>
      </w:r>
      <w:r w:rsidR="008C5FBE" w:rsidRPr="00445BF9">
        <w:rPr>
          <w:rFonts w:ascii="Times New Roman" w:hAnsi="Times New Roman"/>
          <w:b/>
          <w:sz w:val="24"/>
          <w:szCs w:val="24"/>
        </w:rPr>
        <w:t>is ‘</w:t>
      </w:r>
      <w:r w:rsidRPr="00445BF9">
        <w:rPr>
          <w:rFonts w:ascii="Times New Roman" w:hAnsi="Times New Roman"/>
          <w:b/>
          <w:sz w:val="24"/>
          <w:szCs w:val="24"/>
        </w:rPr>
        <w:t>tied</w:t>
      </w:r>
      <w:r w:rsidR="008C5FBE" w:rsidRPr="00445BF9">
        <w:rPr>
          <w:rFonts w:ascii="Times New Roman" w:hAnsi="Times New Roman"/>
          <w:b/>
          <w:sz w:val="24"/>
          <w:szCs w:val="24"/>
        </w:rPr>
        <w:t>’,</w:t>
      </w:r>
      <w:r w:rsidR="007355E3" w:rsidRPr="00445BF9">
        <w:rPr>
          <w:rFonts w:ascii="Times New Roman" w:hAnsi="Times New Roman"/>
          <w:b/>
          <w:sz w:val="24"/>
          <w:szCs w:val="24"/>
        </w:rPr>
        <w:t xml:space="preserve"> i.e. execution is tied to Chinese contractors to implement the projects</w:t>
      </w:r>
      <w:r w:rsidR="0048035F" w:rsidRPr="00445BF9">
        <w:rPr>
          <w:rFonts w:ascii="Times New Roman" w:hAnsi="Times New Roman"/>
          <w:b/>
          <w:sz w:val="24"/>
          <w:szCs w:val="24"/>
        </w:rPr>
        <w:t xml:space="preserve">, and </w:t>
      </w:r>
      <w:r w:rsidR="00E56657" w:rsidRPr="00445BF9">
        <w:rPr>
          <w:rFonts w:ascii="Times New Roman" w:hAnsi="Times New Roman"/>
          <w:b/>
          <w:sz w:val="24"/>
          <w:szCs w:val="24"/>
        </w:rPr>
        <w:t>which is not necessarily include c</w:t>
      </w:r>
      <w:r w:rsidR="008C5FBE" w:rsidRPr="00445BF9">
        <w:rPr>
          <w:rFonts w:ascii="Times New Roman" w:hAnsi="Times New Roman"/>
          <w:b/>
          <w:sz w:val="24"/>
          <w:szCs w:val="24"/>
        </w:rPr>
        <w:t>apacity development</w:t>
      </w:r>
      <w:r w:rsidR="0048035F" w:rsidRPr="00445BF9">
        <w:rPr>
          <w:rFonts w:ascii="Times New Roman" w:hAnsi="Times New Roman"/>
          <w:b/>
          <w:sz w:val="24"/>
          <w:szCs w:val="24"/>
        </w:rPr>
        <w:t xml:space="preserve"> or </w:t>
      </w:r>
      <w:r w:rsidR="008C5FBE" w:rsidRPr="00445BF9">
        <w:rPr>
          <w:rFonts w:ascii="Times New Roman" w:hAnsi="Times New Roman"/>
          <w:b/>
          <w:sz w:val="24"/>
          <w:szCs w:val="24"/>
        </w:rPr>
        <w:t xml:space="preserve">strengthening </w:t>
      </w:r>
      <w:r w:rsidR="004503AC" w:rsidRPr="00445BF9">
        <w:rPr>
          <w:rFonts w:ascii="Times New Roman" w:hAnsi="Times New Roman"/>
          <w:b/>
          <w:sz w:val="24"/>
          <w:szCs w:val="24"/>
        </w:rPr>
        <w:t>country</w:t>
      </w:r>
      <w:r w:rsidR="0048035F" w:rsidRPr="00445BF9">
        <w:rPr>
          <w:rFonts w:ascii="Times New Roman" w:hAnsi="Times New Roman"/>
          <w:b/>
          <w:sz w:val="24"/>
          <w:szCs w:val="24"/>
        </w:rPr>
        <w:t>’s</w:t>
      </w:r>
      <w:r w:rsidR="004503AC" w:rsidRPr="00445BF9">
        <w:rPr>
          <w:rFonts w:ascii="Times New Roman" w:hAnsi="Times New Roman"/>
          <w:b/>
          <w:sz w:val="24"/>
          <w:szCs w:val="24"/>
        </w:rPr>
        <w:t xml:space="preserve"> systems.</w:t>
      </w:r>
    </w:p>
    <w:p w14:paraId="227CF16D" w14:textId="1711560C" w:rsidR="00E15CC2" w:rsidRPr="001C0C96" w:rsidRDefault="00E960A8" w:rsidP="000938F3">
      <w:pPr>
        <w:pStyle w:val="Caption"/>
        <w:spacing w:after="120" w:line="360" w:lineRule="auto"/>
        <w:rPr>
          <w:rFonts w:ascii="Times New Roman" w:hAnsi="Times New Roman"/>
          <w:b/>
          <w:i w:val="0"/>
          <w:color w:val="000000" w:themeColor="text1"/>
          <w:sz w:val="24"/>
          <w:szCs w:val="24"/>
        </w:rPr>
      </w:pPr>
      <w:bookmarkStart w:id="116" w:name="_Toc3505099"/>
      <w:r w:rsidRPr="001C0C96">
        <w:rPr>
          <w:rFonts w:ascii="Times New Roman" w:hAnsi="Times New Roman"/>
          <w:b/>
          <w:i w:val="0"/>
          <w:color w:val="000000" w:themeColor="text1"/>
          <w:sz w:val="24"/>
          <w:szCs w:val="24"/>
        </w:rPr>
        <w:t xml:space="preserve">Table </w:t>
      </w:r>
      <w:r w:rsidR="005D22A1" w:rsidRPr="001C0C96">
        <w:rPr>
          <w:rFonts w:ascii="Times New Roman" w:hAnsi="Times New Roman"/>
          <w:b/>
          <w:i w:val="0"/>
          <w:noProof/>
          <w:color w:val="000000" w:themeColor="text1"/>
          <w:sz w:val="24"/>
          <w:szCs w:val="24"/>
        </w:rPr>
        <w:fldChar w:fldCharType="begin"/>
      </w:r>
      <w:r w:rsidR="005D22A1" w:rsidRPr="001C0C96">
        <w:rPr>
          <w:rFonts w:ascii="Times New Roman" w:hAnsi="Times New Roman"/>
          <w:b/>
          <w:i w:val="0"/>
          <w:noProof/>
          <w:color w:val="000000" w:themeColor="text1"/>
          <w:sz w:val="24"/>
          <w:szCs w:val="24"/>
        </w:rPr>
        <w:instrText xml:space="preserve"> SEQ Table \* ARABIC </w:instrText>
      </w:r>
      <w:r w:rsidR="005D22A1" w:rsidRPr="001C0C96">
        <w:rPr>
          <w:rFonts w:ascii="Times New Roman" w:hAnsi="Times New Roman"/>
          <w:b/>
          <w:i w:val="0"/>
          <w:noProof/>
          <w:color w:val="000000" w:themeColor="text1"/>
          <w:sz w:val="24"/>
          <w:szCs w:val="24"/>
        </w:rPr>
        <w:fldChar w:fldCharType="separate"/>
      </w:r>
      <w:r w:rsidR="006F31B1">
        <w:rPr>
          <w:rFonts w:ascii="Times New Roman" w:hAnsi="Times New Roman"/>
          <w:b/>
          <w:i w:val="0"/>
          <w:noProof/>
          <w:color w:val="000000" w:themeColor="text1"/>
          <w:sz w:val="24"/>
          <w:szCs w:val="24"/>
        </w:rPr>
        <w:t>2</w:t>
      </w:r>
      <w:r w:rsidR="005D22A1" w:rsidRPr="001C0C96">
        <w:rPr>
          <w:rFonts w:ascii="Times New Roman" w:hAnsi="Times New Roman"/>
          <w:b/>
          <w:i w:val="0"/>
          <w:noProof/>
          <w:color w:val="000000" w:themeColor="text1"/>
          <w:sz w:val="24"/>
          <w:szCs w:val="24"/>
        </w:rPr>
        <w:fldChar w:fldCharType="end"/>
      </w:r>
      <w:r w:rsidRPr="001C0C96">
        <w:rPr>
          <w:rFonts w:ascii="Times New Roman" w:hAnsi="Times New Roman"/>
          <w:b/>
          <w:i w:val="0"/>
          <w:color w:val="000000" w:themeColor="text1"/>
          <w:sz w:val="24"/>
          <w:szCs w:val="24"/>
        </w:rPr>
        <w:t xml:space="preserve">: </w:t>
      </w:r>
      <w:r w:rsidR="00E15CC2" w:rsidRPr="001C0C96">
        <w:rPr>
          <w:rFonts w:ascii="Times New Roman" w:hAnsi="Times New Roman"/>
          <w:b/>
          <w:i w:val="0"/>
          <w:color w:val="000000" w:themeColor="text1"/>
          <w:sz w:val="24"/>
          <w:szCs w:val="24"/>
        </w:rPr>
        <w:t>Table A: Trends in Development Assistance from Non-Traditional Partners ($m.)</w:t>
      </w:r>
      <w:bookmarkEnd w:id="116"/>
    </w:p>
    <w:tbl>
      <w:tblPr>
        <w:tblW w:w="7575" w:type="dxa"/>
        <w:tblInd w:w="93" w:type="dxa"/>
        <w:tblLook w:val="04A0" w:firstRow="1" w:lastRow="0" w:firstColumn="1" w:lastColumn="0" w:noHBand="0" w:noVBand="1"/>
      </w:tblPr>
      <w:tblGrid>
        <w:gridCol w:w="1988"/>
        <w:gridCol w:w="1357"/>
        <w:gridCol w:w="1350"/>
        <w:gridCol w:w="1440"/>
        <w:gridCol w:w="1440"/>
      </w:tblGrid>
      <w:tr w:rsidR="0048035F" w:rsidRPr="001C0C96" w14:paraId="316FC7F4" w14:textId="4713DF97" w:rsidTr="0048035F">
        <w:trPr>
          <w:trHeight w:val="399"/>
        </w:trPr>
        <w:tc>
          <w:tcPr>
            <w:tcW w:w="1988" w:type="dxa"/>
            <w:tcBorders>
              <w:top w:val="single" w:sz="4" w:space="0" w:color="auto"/>
              <w:left w:val="single" w:sz="4" w:space="0" w:color="auto"/>
              <w:bottom w:val="single" w:sz="8" w:space="0" w:color="000000"/>
              <w:right w:val="single" w:sz="4" w:space="0" w:color="auto"/>
            </w:tcBorders>
            <w:shd w:val="clear" w:color="auto" w:fill="F7CAAC"/>
            <w:vAlign w:val="center"/>
            <w:hideMark/>
          </w:tcPr>
          <w:p w14:paraId="2E46A968" w14:textId="68A5D77E"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Dev. Partner</w:t>
            </w:r>
          </w:p>
        </w:tc>
        <w:tc>
          <w:tcPr>
            <w:tcW w:w="1357" w:type="dxa"/>
            <w:tcBorders>
              <w:top w:val="single" w:sz="4" w:space="0" w:color="auto"/>
              <w:left w:val="nil"/>
              <w:bottom w:val="nil"/>
              <w:right w:val="nil"/>
            </w:tcBorders>
            <w:shd w:val="clear" w:color="auto" w:fill="F7CAAC"/>
            <w:noWrap/>
            <w:vAlign w:val="center"/>
          </w:tcPr>
          <w:p w14:paraId="67DDC735" w14:textId="3CA73AE0"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FY 2015/16</w:t>
            </w:r>
          </w:p>
        </w:tc>
        <w:tc>
          <w:tcPr>
            <w:tcW w:w="1350" w:type="dxa"/>
            <w:tcBorders>
              <w:top w:val="single" w:sz="4" w:space="0" w:color="auto"/>
              <w:left w:val="single" w:sz="4" w:space="0" w:color="auto"/>
              <w:bottom w:val="nil"/>
              <w:right w:val="single" w:sz="4" w:space="0" w:color="auto"/>
            </w:tcBorders>
            <w:shd w:val="clear" w:color="auto" w:fill="F7CAAC"/>
            <w:noWrap/>
            <w:vAlign w:val="center"/>
          </w:tcPr>
          <w:p w14:paraId="42302095" w14:textId="768A66E2"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FY 2016/17</w:t>
            </w:r>
          </w:p>
        </w:tc>
        <w:tc>
          <w:tcPr>
            <w:tcW w:w="1440" w:type="dxa"/>
            <w:tcBorders>
              <w:top w:val="single" w:sz="4" w:space="0" w:color="auto"/>
              <w:left w:val="nil"/>
              <w:bottom w:val="nil"/>
              <w:right w:val="nil"/>
            </w:tcBorders>
            <w:shd w:val="clear" w:color="auto" w:fill="F7CAAC"/>
            <w:noWrap/>
            <w:vAlign w:val="center"/>
          </w:tcPr>
          <w:p w14:paraId="4B5ED649" w14:textId="3699DF31"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FY 2017/18</w:t>
            </w:r>
          </w:p>
        </w:tc>
        <w:tc>
          <w:tcPr>
            <w:tcW w:w="1440" w:type="dxa"/>
            <w:tcBorders>
              <w:top w:val="single" w:sz="4" w:space="0" w:color="auto"/>
              <w:left w:val="nil"/>
              <w:bottom w:val="nil"/>
              <w:right w:val="nil"/>
            </w:tcBorders>
            <w:shd w:val="clear" w:color="auto" w:fill="F7CAAC"/>
          </w:tcPr>
          <w:p w14:paraId="6075894F" w14:textId="77777777" w:rsidR="0048035F" w:rsidRPr="001C0C96" w:rsidRDefault="0048035F" w:rsidP="001C0C96">
            <w:pPr>
              <w:spacing w:after="0" w:line="240" w:lineRule="auto"/>
              <w:rPr>
                <w:rFonts w:ascii="Times New Roman" w:eastAsia="Arial Unicode MS" w:hAnsi="Times New Roman"/>
                <w:b/>
                <w:bCs/>
                <w:sz w:val="20"/>
                <w:szCs w:val="20"/>
              </w:rPr>
            </w:pPr>
          </w:p>
        </w:tc>
      </w:tr>
      <w:tr w:rsidR="0048035F" w:rsidRPr="001C0C96" w14:paraId="568BC53C" w14:textId="73964F81" w:rsidTr="0048035F">
        <w:trPr>
          <w:trHeight w:val="302"/>
        </w:trPr>
        <w:tc>
          <w:tcPr>
            <w:tcW w:w="1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6A020" w14:textId="77777777" w:rsidR="0048035F" w:rsidRPr="001C0C96" w:rsidRDefault="0048035F" w:rsidP="001C0C96">
            <w:pPr>
              <w:spacing w:after="0" w:line="240" w:lineRule="auto"/>
              <w:rPr>
                <w:rFonts w:ascii="Times New Roman" w:eastAsia="Arial Unicode MS" w:hAnsi="Times New Roman"/>
                <w:sz w:val="20"/>
                <w:szCs w:val="20"/>
              </w:rPr>
            </w:pPr>
            <w:r w:rsidRPr="001C0C96">
              <w:rPr>
                <w:rFonts w:ascii="Times New Roman" w:eastAsia="Arial Unicode MS" w:hAnsi="Times New Roman"/>
                <w:sz w:val="20"/>
                <w:szCs w:val="20"/>
              </w:rPr>
              <w:t>China</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14:paraId="1E49C637" w14:textId="49168876"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547.32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0F45F69D" w14:textId="7C9909A0"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344.17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A129538" w14:textId="7CB9080E"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420.30</w:t>
            </w:r>
          </w:p>
        </w:tc>
        <w:tc>
          <w:tcPr>
            <w:tcW w:w="1440" w:type="dxa"/>
            <w:tcBorders>
              <w:top w:val="single" w:sz="4" w:space="0" w:color="auto"/>
              <w:left w:val="nil"/>
              <w:bottom w:val="single" w:sz="4" w:space="0" w:color="auto"/>
              <w:right w:val="single" w:sz="4" w:space="0" w:color="auto"/>
            </w:tcBorders>
          </w:tcPr>
          <w:p w14:paraId="6874F136" w14:textId="77777777" w:rsidR="0048035F" w:rsidRPr="001C0C96" w:rsidRDefault="0048035F" w:rsidP="001C0C96">
            <w:pPr>
              <w:spacing w:after="0" w:line="240" w:lineRule="auto"/>
              <w:rPr>
                <w:rFonts w:ascii="Times New Roman" w:eastAsia="Arial Unicode MS" w:hAnsi="Times New Roman"/>
                <w:bCs/>
                <w:sz w:val="20"/>
                <w:szCs w:val="20"/>
              </w:rPr>
            </w:pPr>
          </w:p>
        </w:tc>
      </w:tr>
      <w:tr w:rsidR="0048035F" w:rsidRPr="001C0C96" w14:paraId="11240B83" w14:textId="2F67F1DF" w:rsidTr="0048035F">
        <w:trPr>
          <w:trHeight w:val="302"/>
        </w:trPr>
        <w:tc>
          <w:tcPr>
            <w:tcW w:w="1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EC530" w14:textId="50C04E2E" w:rsidR="0048035F" w:rsidRPr="001C0C96" w:rsidRDefault="0048035F" w:rsidP="001C0C96">
            <w:pPr>
              <w:spacing w:after="0" w:line="240" w:lineRule="auto"/>
              <w:rPr>
                <w:rFonts w:ascii="Times New Roman" w:eastAsia="Arial Unicode MS" w:hAnsi="Times New Roman"/>
                <w:sz w:val="20"/>
                <w:szCs w:val="20"/>
              </w:rPr>
            </w:pPr>
            <w:r w:rsidRPr="001C0C96">
              <w:rPr>
                <w:rFonts w:ascii="Times New Roman" w:eastAsia="Arial Unicode MS" w:hAnsi="Times New Roman"/>
                <w:sz w:val="20"/>
                <w:szCs w:val="20"/>
              </w:rPr>
              <w:t>- % of Total DA</w:t>
            </w:r>
          </w:p>
        </w:tc>
        <w:tc>
          <w:tcPr>
            <w:tcW w:w="1357" w:type="dxa"/>
            <w:tcBorders>
              <w:top w:val="single" w:sz="4" w:space="0" w:color="auto"/>
              <w:left w:val="nil"/>
              <w:bottom w:val="single" w:sz="4" w:space="0" w:color="auto"/>
              <w:right w:val="single" w:sz="4" w:space="0" w:color="auto"/>
            </w:tcBorders>
            <w:shd w:val="clear" w:color="auto" w:fill="auto"/>
            <w:noWrap/>
            <w:vAlign w:val="bottom"/>
          </w:tcPr>
          <w:p w14:paraId="5CAF679A" w14:textId="362240D0"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35.5%</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0265C61" w14:textId="78450FF1"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23.4%</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6AB2E27B" w14:textId="0C818F68"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25.2%</w:t>
            </w:r>
          </w:p>
        </w:tc>
        <w:tc>
          <w:tcPr>
            <w:tcW w:w="1440" w:type="dxa"/>
            <w:tcBorders>
              <w:top w:val="single" w:sz="4" w:space="0" w:color="auto"/>
              <w:left w:val="nil"/>
              <w:bottom w:val="single" w:sz="4" w:space="0" w:color="auto"/>
              <w:right w:val="single" w:sz="4" w:space="0" w:color="auto"/>
            </w:tcBorders>
          </w:tcPr>
          <w:p w14:paraId="41B6C470" w14:textId="77777777" w:rsidR="0048035F" w:rsidRPr="001C0C96" w:rsidRDefault="0048035F" w:rsidP="001C0C96">
            <w:pPr>
              <w:spacing w:after="0" w:line="240" w:lineRule="auto"/>
              <w:rPr>
                <w:rFonts w:ascii="Times New Roman" w:eastAsia="Arial Unicode MS" w:hAnsi="Times New Roman"/>
                <w:bCs/>
                <w:sz w:val="20"/>
                <w:szCs w:val="20"/>
              </w:rPr>
            </w:pPr>
          </w:p>
        </w:tc>
      </w:tr>
      <w:tr w:rsidR="0048035F" w:rsidRPr="001C0C96" w14:paraId="1AFCE54D" w14:textId="53039090" w:rsidTr="0048035F">
        <w:trPr>
          <w:trHeight w:val="302"/>
        </w:trPr>
        <w:tc>
          <w:tcPr>
            <w:tcW w:w="1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A8269" w14:textId="77777777" w:rsidR="0048035F" w:rsidRPr="001C0C96" w:rsidRDefault="0048035F" w:rsidP="001C0C96">
            <w:pPr>
              <w:spacing w:after="0" w:line="240" w:lineRule="auto"/>
              <w:rPr>
                <w:rFonts w:ascii="Times New Roman" w:eastAsia="Arial Unicode MS" w:hAnsi="Times New Roman"/>
                <w:sz w:val="20"/>
                <w:szCs w:val="20"/>
              </w:rPr>
            </w:pPr>
            <w:r w:rsidRPr="001C0C96">
              <w:rPr>
                <w:rFonts w:ascii="Times New Roman" w:eastAsia="Arial Unicode MS" w:hAnsi="Times New Roman"/>
                <w:sz w:val="20"/>
                <w:szCs w:val="20"/>
              </w:rPr>
              <w:t>South Korea</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14:paraId="5309DA66" w14:textId="570A712C"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9.17</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C0C563E" w14:textId="312EE47A"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4.51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0556489" w14:textId="6D84C9B3"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5.63</w:t>
            </w:r>
          </w:p>
        </w:tc>
        <w:tc>
          <w:tcPr>
            <w:tcW w:w="1440" w:type="dxa"/>
            <w:tcBorders>
              <w:top w:val="single" w:sz="4" w:space="0" w:color="auto"/>
              <w:left w:val="nil"/>
              <w:bottom w:val="single" w:sz="4" w:space="0" w:color="auto"/>
              <w:right w:val="single" w:sz="4" w:space="0" w:color="auto"/>
            </w:tcBorders>
          </w:tcPr>
          <w:p w14:paraId="4ACDC0A0" w14:textId="77777777" w:rsidR="0048035F" w:rsidRPr="001C0C96" w:rsidRDefault="0048035F" w:rsidP="001C0C96">
            <w:pPr>
              <w:spacing w:after="0" w:line="240" w:lineRule="auto"/>
              <w:rPr>
                <w:rFonts w:ascii="Times New Roman" w:eastAsia="Arial Unicode MS" w:hAnsi="Times New Roman"/>
                <w:bCs/>
                <w:sz w:val="20"/>
                <w:szCs w:val="20"/>
              </w:rPr>
            </w:pPr>
          </w:p>
        </w:tc>
      </w:tr>
      <w:tr w:rsidR="0048035F" w:rsidRPr="001C0C96" w14:paraId="6570D2BA" w14:textId="03BBC10F" w:rsidTr="0048035F">
        <w:trPr>
          <w:trHeight w:val="302"/>
        </w:trPr>
        <w:tc>
          <w:tcPr>
            <w:tcW w:w="1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A2BED" w14:textId="7C840AF5" w:rsidR="0048035F" w:rsidRPr="001C0C96" w:rsidRDefault="0048035F" w:rsidP="001C0C96">
            <w:pPr>
              <w:spacing w:after="0" w:line="240" w:lineRule="auto"/>
              <w:rPr>
                <w:rFonts w:ascii="Times New Roman" w:eastAsia="Arial Unicode MS" w:hAnsi="Times New Roman"/>
                <w:sz w:val="20"/>
                <w:szCs w:val="20"/>
              </w:rPr>
            </w:pPr>
            <w:r w:rsidRPr="001C0C96">
              <w:rPr>
                <w:rFonts w:ascii="Times New Roman" w:eastAsia="Arial Unicode MS" w:hAnsi="Times New Roman"/>
                <w:sz w:val="20"/>
                <w:szCs w:val="20"/>
              </w:rPr>
              <w:t>- % of Total DA</w:t>
            </w:r>
          </w:p>
        </w:tc>
        <w:tc>
          <w:tcPr>
            <w:tcW w:w="1357" w:type="dxa"/>
            <w:tcBorders>
              <w:top w:val="single" w:sz="4" w:space="0" w:color="auto"/>
              <w:left w:val="nil"/>
              <w:bottom w:val="single" w:sz="4" w:space="0" w:color="auto"/>
              <w:right w:val="single" w:sz="4" w:space="0" w:color="auto"/>
            </w:tcBorders>
            <w:shd w:val="clear" w:color="auto" w:fill="auto"/>
            <w:noWrap/>
            <w:vAlign w:val="bottom"/>
          </w:tcPr>
          <w:p w14:paraId="6AE3CD94" w14:textId="61675030"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0.6%</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052A698" w14:textId="537C1F3F"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0.3%</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DCDEA90" w14:textId="45C70DCF" w:rsidR="0048035F" w:rsidRPr="001C0C96" w:rsidRDefault="0048035F" w:rsidP="001C0C96">
            <w:pPr>
              <w:spacing w:after="0" w:line="240" w:lineRule="auto"/>
              <w:rPr>
                <w:rFonts w:ascii="Times New Roman" w:eastAsia="Arial Unicode MS" w:hAnsi="Times New Roman"/>
                <w:bCs/>
                <w:sz w:val="20"/>
                <w:szCs w:val="20"/>
              </w:rPr>
            </w:pPr>
            <w:r w:rsidRPr="001C0C96">
              <w:rPr>
                <w:rFonts w:ascii="Times New Roman" w:eastAsia="Arial Unicode MS" w:hAnsi="Times New Roman"/>
                <w:bCs/>
                <w:sz w:val="20"/>
                <w:szCs w:val="20"/>
              </w:rPr>
              <w:t>0.3%</w:t>
            </w:r>
          </w:p>
        </w:tc>
        <w:tc>
          <w:tcPr>
            <w:tcW w:w="1440" w:type="dxa"/>
            <w:tcBorders>
              <w:top w:val="single" w:sz="4" w:space="0" w:color="auto"/>
              <w:left w:val="nil"/>
              <w:bottom w:val="single" w:sz="4" w:space="0" w:color="auto"/>
              <w:right w:val="single" w:sz="4" w:space="0" w:color="auto"/>
            </w:tcBorders>
          </w:tcPr>
          <w:p w14:paraId="54EA00B7" w14:textId="77777777" w:rsidR="0048035F" w:rsidRPr="001C0C96" w:rsidRDefault="0048035F" w:rsidP="001C0C96">
            <w:pPr>
              <w:spacing w:after="0" w:line="240" w:lineRule="auto"/>
              <w:rPr>
                <w:rFonts w:ascii="Times New Roman" w:eastAsia="Arial Unicode MS" w:hAnsi="Times New Roman"/>
                <w:bCs/>
                <w:sz w:val="20"/>
                <w:szCs w:val="20"/>
              </w:rPr>
            </w:pPr>
          </w:p>
        </w:tc>
      </w:tr>
      <w:tr w:rsidR="0048035F" w:rsidRPr="001C0C96" w14:paraId="023DAA50" w14:textId="7A041A10" w:rsidTr="0048035F">
        <w:trPr>
          <w:trHeight w:val="317"/>
        </w:trPr>
        <w:tc>
          <w:tcPr>
            <w:tcW w:w="1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56D52" w14:textId="77777777"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Total</w:t>
            </w:r>
          </w:p>
        </w:tc>
        <w:tc>
          <w:tcPr>
            <w:tcW w:w="1357" w:type="dxa"/>
            <w:tcBorders>
              <w:top w:val="single" w:sz="4" w:space="0" w:color="auto"/>
              <w:left w:val="nil"/>
              <w:bottom w:val="single" w:sz="4" w:space="0" w:color="auto"/>
              <w:right w:val="nil"/>
            </w:tcBorders>
            <w:shd w:val="clear" w:color="auto" w:fill="auto"/>
            <w:noWrap/>
            <w:vAlign w:val="bottom"/>
            <w:hideMark/>
          </w:tcPr>
          <w:p w14:paraId="4C6FE563" w14:textId="5BBCD66D"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556.49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FF7E1" w14:textId="645B5A36"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348.68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E9568AE" w14:textId="7499A3E9"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425.93</w:t>
            </w:r>
          </w:p>
        </w:tc>
        <w:tc>
          <w:tcPr>
            <w:tcW w:w="1440" w:type="dxa"/>
            <w:tcBorders>
              <w:top w:val="single" w:sz="4" w:space="0" w:color="auto"/>
              <w:left w:val="nil"/>
              <w:bottom w:val="single" w:sz="4" w:space="0" w:color="auto"/>
              <w:right w:val="single" w:sz="4" w:space="0" w:color="auto"/>
            </w:tcBorders>
          </w:tcPr>
          <w:p w14:paraId="0A68E249" w14:textId="77777777" w:rsidR="0048035F" w:rsidRPr="001C0C96" w:rsidRDefault="0048035F" w:rsidP="001C0C96">
            <w:pPr>
              <w:spacing w:after="0" w:line="240" w:lineRule="auto"/>
              <w:rPr>
                <w:rFonts w:ascii="Times New Roman" w:eastAsia="Arial Unicode MS" w:hAnsi="Times New Roman"/>
                <w:b/>
                <w:bCs/>
                <w:sz w:val="20"/>
                <w:szCs w:val="20"/>
              </w:rPr>
            </w:pPr>
          </w:p>
        </w:tc>
      </w:tr>
      <w:tr w:rsidR="0048035F" w:rsidRPr="001C0C96" w14:paraId="2A01D0AA" w14:textId="721F7F9B" w:rsidTr="0048035F">
        <w:trPr>
          <w:trHeight w:val="317"/>
        </w:trPr>
        <w:tc>
          <w:tcPr>
            <w:tcW w:w="1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7D92C" w14:textId="70A54772"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sz w:val="20"/>
                <w:szCs w:val="20"/>
              </w:rPr>
              <w:t>- % of Total DA</w:t>
            </w:r>
          </w:p>
        </w:tc>
        <w:tc>
          <w:tcPr>
            <w:tcW w:w="1357" w:type="dxa"/>
            <w:tcBorders>
              <w:top w:val="single" w:sz="4" w:space="0" w:color="auto"/>
              <w:left w:val="nil"/>
              <w:bottom w:val="single" w:sz="4" w:space="0" w:color="auto"/>
              <w:right w:val="nil"/>
            </w:tcBorders>
            <w:shd w:val="clear" w:color="auto" w:fill="auto"/>
            <w:noWrap/>
            <w:vAlign w:val="bottom"/>
          </w:tcPr>
          <w:p w14:paraId="53E3647E" w14:textId="0069A83A"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36.1%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32B2F" w14:textId="70676D5E"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23.7%</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9EC9C1E" w14:textId="4ADBA71C" w:rsidR="0048035F" w:rsidRPr="001C0C96" w:rsidRDefault="0048035F" w:rsidP="001C0C96">
            <w:pPr>
              <w:spacing w:after="0" w:line="240" w:lineRule="auto"/>
              <w:rPr>
                <w:rFonts w:ascii="Times New Roman" w:eastAsia="Arial Unicode MS" w:hAnsi="Times New Roman"/>
                <w:b/>
                <w:bCs/>
                <w:sz w:val="20"/>
                <w:szCs w:val="20"/>
              </w:rPr>
            </w:pPr>
            <w:r w:rsidRPr="001C0C96">
              <w:rPr>
                <w:rFonts w:ascii="Times New Roman" w:eastAsia="Arial Unicode MS" w:hAnsi="Times New Roman"/>
                <w:b/>
                <w:bCs/>
                <w:sz w:val="20"/>
                <w:szCs w:val="20"/>
              </w:rPr>
              <w:t>25.5%</w:t>
            </w:r>
          </w:p>
        </w:tc>
        <w:tc>
          <w:tcPr>
            <w:tcW w:w="1440" w:type="dxa"/>
            <w:tcBorders>
              <w:top w:val="single" w:sz="4" w:space="0" w:color="auto"/>
              <w:left w:val="nil"/>
              <w:bottom w:val="single" w:sz="4" w:space="0" w:color="auto"/>
              <w:right w:val="single" w:sz="4" w:space="0" w:color="auto"/>
            </w:tcBorders>
          </w:tcPr>
          <w:p w14:paraId="3D6F4742" w14:textId="77777777" w:rsidR="0048035F" w:rsidRPr="001C0C96" w:rsidRDefault="0048035F" w:rsidP="001C0C96">
            <w:pPr>
              <w:spacing w:after="0" w:line="240" w:lineRule="auto"/>
              <w:rPr>
                <w:rFonts w:ascii="Times New Roman" w:eastAsia="Arial Unicode MS" w:hAnsi="Times New Roman"/>
                <w:b/>
                <w:bCs/>
                <w:sz w:val="20"/>
                <w:szCs w:val="20"/>
              </w:rPr>
            </w:pPr>
          </w:p>
        </w:tc>
      </w:tr>
    </w:tbl>
    <w:p w14:paraId="3D763AAD" w14:textId="61EB1EDE" w:rsidR="00E15CC2" w:rsidRPr="000938F3" w:rsidRDefault="00A86225" w:rsidP="000938F3">
      <w:pPr>
        <w:pStyle w:val="Caption"/>
        <w:spacing w:after="120" w:line="360" w:lineRule="auto"/>
        <w:rPr>
          <w:rFonts w:ascii="Times New Roman" w:hAnsi="Times New Roman"/>
          <w:sz w:val="24"/>
          <w:szCs w:val="24"/>
        </w:rPr>
      </w:pPr>
      <w:r w:rsidRPr="000938F3">
        <w:rPr>
          <w:rFonts w:ascii="Times New Roman" w:hAnsi="Times New Roman"/>
          <w:b/>
          <w:sz w:val="24"/>
          <w:szCs w:val="24"/>
        </w:rPr>
        <w:t>Source:</w:t>
      </w:r>
      <w:r w:rsidRPr="000938F3">
        <w:rPr>
          <w:rFonts w:ascii="Times New Roman" w:hAnsi="Times New Roman"/>
          <w:sz w:val="24"/>
          <w:szCs w:val="24"/>
        </w:rPr>
        <w:t xml:space="preserve">  MoFPED, 2018</w:t>
      </w:r>
    </w:p>
    <w:p w14:paraId="7BB5D96F" w14:textId="31355CF2" w:rsidR="00E15CC2" w:rsidRPr="001C0C96" w:rsidRDefault="00315750" w:rsidP="003D56D1">
      <w:pPr>
        <w:pStyle w:val="Heading3"/>
        <w:numPr>
          <w:ilvl w:val="2"/>
          <w:numId w:val="13"/>
        </w:numPr>
        <w:spacing w:line="360" w:lineRule="auto"/>
        <w:ind w:left="851" w:hanging="851"/>
        <w:rPr>
          <w:rFonts w:ascii="Times New Roman" w:eastAsia="Arial Unicode MS" w:hAnsi="Times New Roman"/>
          <w:bCs w:val="0"/>
          <w:sz w:val="24"/>
          <w:szCs w:val="24"/>
          <w:lang w:val="en-GB"/>
        </w:rPr>
      </w:pPr>
      <w:bookmarkStart w:id="117" w:name="_Toc361577059"/>
      <w:bookmarkStart w:id="118" w:name="_Toc534926865"/>
      <w:r w:rsidRPr="001C0C96">
        <w:rPr>
          <w:rFonts w:ascii="Times New Roman" w:eastAsia="Arial Unicode MS" w:hAnsi="Times New Roman"/>
          <w:bCs w:val="0"/>
          <w:sz w:val="24"/>
          <w:szCs w:val="24"/>
          <w:lang w:val="en-GB"/>
        </w:rPr>
        <w:t xml:space="preserve">Assistance </w:t>
      </w:r>
      <w:r w:rsidR="00E15CC2" w:rsidRPr="001C0C96">
        <w:rPr>
          <w:rFonts w:ascii="Times New Roman" w:eastAsia="Arial Unicode MS" w:hAnsi="Times New Roman"/>
          <w:bCs w:val="0"/>
          <w:sz w:val="24"/>
          <w:szCs w:val="24"/>
          <w:lang w:val="en-GB"/>
        </w:rPr>
        <w:t>from non-traditional partners and alignment with the NDP</w:t>
      </w:r>
      <w:bookmarkEnd w:id="117"/>
      <w:bookmarkEnd w:id="118"/>
    </w:p>
    <w:p w14:paraId="0292DF4E" w14:textId="4602942B" w:rsidR="00315750" w:rsidRPr="000938F3" w:rsidRDefault="00315750" w:rsidP="00445BF9">
      <w:pPr>
        <w:pStyle w:val="DeltaBodytext"/>
        <w:numPr>
          <w:ilvl w:val="0"/>
          <w:numId w:val="14"/>
        </w:numPr>
        <w:spacing w:after="120" w:line="360" w:lineRule="auto"/>
        <w:ind w:left="567" w:hanging="567"/>
        <w:rPr>
          <w:rFonts w:ascii="Times New Roman" w:hAnsi="Times New Roman"/>
          <w:sz w:val="24"/>
          <w:szCs w:val="24"/>
        </w:rPr>
      </w:pPr>
      <w:r w:rsidRPr="000938F3">
        <w:rPr>
          <w:rFonts w:ascii="Times New Roman" w:hAnsi="Times New Roman"/>
          <w:b/>
          <w:sz w:val="24"/>
          <w:szCs w:val="24"/>
        </w:rPr>
        <w:t xml:space="preserve">The support received from non-traditional partners is aligned to the </w:t>
      </w:r>
      <w:r w:rsidR="0037500E" w:rsidRPr="000938F3">
        <w:rPr>
          <w:rFonts w:ascii="Times New Roman" w:hAnsi="Times New Roman"/>
          <w:b/>
          <w:sz w:val="24"/>
          <w:szCs w:val="24"/>
        </w:rPr>
        <w:t>NDP-II</w:t>
      </w:r>
      <w:r w:rsidRPr="000938F3">
        <w:rPr>
          <w:rFonts w:ascii="Times New Roman" w:hAnsi="Times New Roman"/>
          <w:b/>
          <w:sz w:val="24"/>
          <w:szCs w:val="24"/>
        </w:rPr>
        <w:t xml:space="preserve"> priorities. The loans form these partners support important infrastructure development,</w:t>
      </w:r>
      <w:r w:rsidRPr="000938F3">
        <w:rPr>
          <w:rFonts w:ascii="Times New Roman" w:hAnsi="Times New Roman"/>
          <w:sz w:val="24"/>
          <w:szCs w:val="24"/>
        </w:rPr>
        <w:t xml:space="preserve"> namely; the construction of the Kampala-Entebbe Express and the construction of the national IT backbone, Karuma hydro power project, Isimba hydro power project and associated power substations are </w:t>
      </w:r>
      <w:r w:rsidRPr="000938F3">
        <w:rPr>
          <w:rFonts w:ascii="Times New Roman" w:hAnsi="Times New Roman"/>
          <w:b/>
          <w:sz w:val="24"/>
          <w:szCs w:val="24"/>
        </w:rPr>
        <w:t xml:space="preserve">part of the core projects specifically identified in the </w:t>
      </w:r>
      <w:r w:rsidR="0037500E" w:rsidRPr="000938F3">
        <w:rPr>
          <w:rFonts w:ascii="Times New Roman" w:hAnsi="Times New Roman"/>
          <w:b/>
          <w:sz w:val="24"/>
          <w:szCs w:val="24"/>
        </w:rPr>
        <w:t>NDP-II</w:t>
      </w:r>
      <w:r w:rsidRPr="000938F3">
        <w:rPr>
          <w:rFonts w:ascii="Times New Roman" w:hAnsi="Times New Roman"/>
          <w:b/>
          <w:sz w:val="24"/>
          <w:szCs w:val="24"/>
        </w:rPr>
        <w:t xml:space="preserve"> as central to the achievement of its objectives. </w:t>
      </w:r>
      <w:r w:rsidRPr="000938F3">
        <w:rPr>
          <w:rFonts w:ascii="Times New Roman" w:hAnsi="Times New Roman"/>
          <w:sz w:val="24"/>
          <w:szCs w:val="24"/>
        </w:rPr>
        <w:t xml:space="preserve">There are also prospects of financing the oil roads, critical for delivery of first oil, rural electrification and science incubations centres. Therefore, the cooperation from </w:t>
      </w:r>
      <w:r w:rsidR="00BB25C2" w:rsidRPr="000938F3">
        <w:rPr>
          <w:rFonts w:ascii="Times New Roman" w:hAnsi="Times New Roman"/>
          <w:sz w:val="24"/>
          <w:szCs w:val="24"/>
        </w:rPr>
        <w:t>C</w:t>
      </w:r>
      <w:r w:rsidRPr="000938F3">
        <w:rPr>
          <w:rFonts w:ascii="Times New Roman" w:hAnsi="Times New Roman"/>
          <w:sz w:val="24"/>
          <w:szCs w:val="24"/>
        </w:rPr>
        <w:t xml:space="preserve">hina is likely to increase beyond the levels so far exhibited in the first three years of </w:t>
      </w:r>
      <w:r w:rsidR="0037500E" w:rsidRPr="000938F3">
        <w:rPr>
          <w:rFonts w:ascii="Times New Roman" w:hAnsi="Times New Roman"/>
          <w:sz w:val="24"/>
          <w:szCs w:val="24"/>
        </w:rPr>
        <w:t>NDP-II</w:t>
      </w:r>
      <w:r w:rsidRPr="000938F3">
        <w:rPr>
          <w:rFonts w:ascii="Times New Roman" w:hAnsi="Times New Roman"/>
          <w:sz w:val="24"/>
          <w:szCs w:val="24"/>
        </w:rPr>
        <w:t xml:space="preserve">.  In the same breadth, the loan form South Korea is financing enhancement of vocational training in Uganda, which is also part of the core projects under the </w:t>
      </w:r>
      <w:r w:rsidR="0037500E" w:rsidRPr="000938F3">
        <w:rPr>
          <w:rFonts w:ascii="Times New Roman" w:hAnsi="Times New Roman"/>
          <w:sz w:val="24"/>
          <w:szCs w:val="24"/>
        </w:rPr>
        <w:t>NDP-II</w:t>
      </w:r>
      <w:r w:rsidRPr="000938F3">
        <w:rPr>
          <w:rFonts w:ascii="Times New Roman" w:hAnsi="Times New Roman"/>
          <w:sz w:val="24"/>
          <w:szCs w:val="24"/>
        </w:rPr>
        <w:t xml:space="preserve">. There </w:t>
      </w:r>
      <w:r w:rsidR="004C5649" w:rsidRPr="000938F3">
        <w:rPr>
          <w:rFonts w:ascii="Times New Roman" w:hAnsi="Times New Roman"/>
          <w:sz w:val="24"/>
          <w:szCs w:val="24"/>
        </w:rPr>
        <w:t>are</w:t>
      </w:r>
      <w:r w:rsidRPr="000938F3">
        <w:rPr>
          <w:rFonts w:ascii="Times New Roman" w:hAnsi="Times New Roman"/>
          <w:sz w:val="24"/>
          <w:szCs w:val="24"/>
        </w:rPr>
        <w:t xml:space="preserve"> also prospects of South Korea financing the modernisation of agriculture during the </w:t>
      </w:r>
      <w:r w:rsidR="0037500E" w:rsidRPr="000938F3">
        <w:rPr>
          <w:rFonts w:ascii="Times New Roman" w:hAnsi="Times New Roman"/>
          <w:sz w:val="24"/>
          <w:szCs w:val="24"/>
        </w:rPr>
        <w:t>NDP-II</w:t>
      </w:r>
      <w:r w:rsidRPr="000938F3">
        <w:rPr>
          <w:rFonts w:ascii="Times New Roman" w:hAnsi="Times New Roman"/>
          <w:sz w:val="24"/>
          <w:szCs w:val="24"/>
        </w:rPr>
        <w:t xml:space="preserve"> period.</w:t>
      </w:r>
    </w:p>
    <w:p w14:paraId="578D6948" w14:textId="7CE45237" w:rsidR="00315750" w:rsidRPr="000938F3" w:rsidRDefault="00315750" w:rsidP="00445BF9">
      <w:pPr>
        <w:pStyle w:val="DeltaBodytext"/>
        <w:numPr>
          <w:ilvl w:val="0"/>
          <w:numId w:val="14"/>
        </w:numPr>
        <w:spacing w:after="120" w:line="360" w:lineRule="auto"/>
        <w:ind w:left="567" w:hanging="567"/>
        <w:rPr>
          <w:rFonts w:ascii="Times New Roman" w:hAnsi="Times New Roman"/>
          <w:sz w:val="24"/>
          <w:szCs w:val="24"/>
        </w:rPr>
      </w:pPr>
      <w:r w:rsidRPr="000938F3">
        <w:rPr>
          <w:rFonts w:ascii="Times New Roman" w:hAnsi="Times New Roman"/>
          <w:sz w:val="24"/>
          <w:szCs w:val="24"/>
        </w:rPr>
        <w:t xml:space="preserve">Although project grants are normally managed outside Government systems (off-budget), they contribute to the implementation of </w:t>
      </w:r>
      <w:r w:rsidR="0037500E" w:rsidRPr="000938F3">
        <w:rPr>
          <w:rFonts w:ascii="Times New Roman" w:hAnsi="Times New Roman"/>
          <w:sz w:val="24"/>
          <w:szCs w:val="24"/>
        </w:rPr>
        <w:t>NDP-II</w:t>
      </w:r>
      <w:r w:rsidRPr="000938F3">
        <w:rPr>
          <w:rFonts w:ascii="Times New Roman" w:hAnsi="Times New Roman"/>
          <w:sz w:val="24"/>
          <w:szCs w:val="24"/>
        </w:rPr>
        <w:t xml:space="preserve"> priorities. Uganda receives grant aid from China which is provided as resources in kind, either through technical assistance or </w:t>
      </w:r>
      <w:r w:rsidR="004C5649" w:rsidRPr="000938F3">
        <w:rPr>
          <w:rFonts w:ascii="Times New Roman" w:hAnsi="Times New Roman"/>
          <w:sz w:val="24"/>
          <w:szCs w:val="24"/>
        </w:rPr>
        <w:t>‘’</w:t>
      </w:r>
      <w:r w:rsidRPr="000938F3">
        <w:rPr>
          <w:rFonts w:ascii="Times New Roman" w:hAnsi="Times New Roman"/>
          <w:sz w:val="24"/>
          <w:szCs w:val="24"/>
        </w:rPr>
        <w:t>turnkey</w:t>
      </w:r>
      <w:r w:rsidR="004C5649" w:rsidRPr="000938F3">
        <w:rPr>
          <w:rFonts w:ascii="Times New Roman" w:hAnsi="Times New Roman"/>
          <w:sz w:val="24"/>
          <w:szCs w:val="24"/>
        </w:rPr>
        <w:t>’’</w:t>
      </w:r>
      <w:r w:rsidRPr="000938F3">
        <w:rPr>
          <w:rFonts w:ascii="Times New Roman" w:hAnsi="Times New Roman"/>
          <w:sz w:val="24"/>
          <w:szCs w:val="24"/>
        </w:rPr>
        <w:t xml:space="preserve"> construction of infrastructure like new office buildings and the Nelson Mandela sports stadium. The provision of health teams linked to the China-Uganda Friendship hospital in Kampala is an example of technical assistance extended to Uganda. </w:t>
      </w:r>
    </w:p>
    <w:p w14:paraId="55F3BC7D" w14:textId="02316D72" w:rsidR="00315750" w:rsidRPr="000938F3" w:rsidRDefault="00315750" w:rsidP="00445BF9">
      <w:pPr>
        <w:pStyle w:val="DeltaBodytext"/>
        <w:numPr>
          <w:ilvl w:val="0"/>
          <w:numId w:val="14"/>
        </w:numPr>
        <w:spacing w:after="120" w:line="360" w:lineRule="auto"/>
        <w:ind w:left="567" w:hanging="567"/>
        <w:rPr>
          <w:rFonts w:ascii="Times New Roman" w:hAnsi="Times New Roman"/>
          <w:b/>
          <w:sz w:val="24"/>
          <w:szCs w:val="24"/>
        </w:rPr>
      </w:pPr>
      <w:r w:rsidRPr="000938F3">
        <w:rPr>
          <w:rFonts w:ascii="Times New Roman" w:hAnsi="Times New Roman"/>
          <w:b/>
          <w:sz w:val="24"/>
          <w:szCs w:val="24"/>
        </w:rPr>
        <w:t>Across its programme the two active non-traditional partner</w:t>
      </w:r>
      <w:r w:rsidR="004C5649" w:rsidRPr="000938F3">
        <w:rPr>
          <w:rFonts w:ascii="Times New Roman" w:hAnsi="Times New Roman"/>
          <w:b/>
          <w:sz w:val="24"/>
          <w:szCs w:val="24"/>
        </w:rPr>
        <w:t>’</w:t>
      </w:r>
      <w:r w:rsidRPr="000938F3">
        <w:rPr>
          <w:rFonts w:ascii="Times New Roman" w:hAnsi="Times New Roman"/>
          <w:b/>
          <w:sz w:val="24"/>
          <w:szCs w:val="24"/>
        </w:rPr>
        <w:t xml:space="preserve">s exhibits significant alignment with the priorities set out in the </w:t>
      </w:r>
      <w:r w:rsidR="0037500E" w:rsidRPr="000938F3">
        <w:rPr>
          <w:rFonts w:ascii="Times New Roman" w:hAnsi="Times New Roman"/>
          <w:b/>
          <w:sz w:val="24"/>
          <w:szCs w:val="24"/>
        </w:rPr>
        <w:t>NDP-II</w:t>
      </w:r>
      <w:r w:rsidRPr="000938F3">
        <w:rPr>
          <w:rFonts w:ascii="Times New Roman" w:hAnsi="Times New Roman"/>
          <w:b/>
          <w:sz w:val="24"/>
          <w:szCs w:val="24"/>
        </w:rPr>
        <w:t>.</w:t>
      </w:r>
    </w:p>
    <w:p w14:paraId="4C0F1911" w14:textId="00398434" w:rsidR="00E15CC2" w:rsidRPr="001C0C96" w:rsidRDefault="00E15CC2" w:rsidP="00445BF9">
      <w:pPr>
        <w:pStyle w:val="Heading3"/>
        <w:numPr>
          <w:ilvl w:val="2"/>
          <w:numId w:val="13"/>
        </w:numPr>
        <w:spacing w:before="0" w:after="120" w:line="360" w:lineRule="auto"/>
        <w:ind w:left="851" w:hanging="851"/>
        <w:rPr>
          <w:rFonts w:ascii="Times New Roman" w:eastAsia="Arial Unicode MS" w:hAnsi="Times New Roman"/>
          <w:bCs w:val="0"/>
          <w:sz w:val="24"/>
          <w:szCs w:val="24"/>
          <w:lang w:val="en-GB"/>
        </w:rPr>
      </w:pPr>
      <w:bookmarkStart w:id="119" w:name="_Toc361577060"/>
      <w:bookmarkStart w:id="120" w:name="_Toc534926866"/>
      <w:r w:rsidRPr="001C0C96">
        <w:rPr>
          <w:rFonts w:ascii="Times New Roman" w:eastAsia="Arial Unicode MS" w:hAnsi="Times New Roman"/>
          <w:bCs w:val="0"/>
          <w:sz w:val="24"/>
          <w:szCs w:val="24"/>
          <w:lang w:val="en-GB"/>
        </w:rPr>
        <w:lastRenderedPageBreak/>
        <w:t>Key aspects of the future development partnership with non-traditional partners</w:t>
      </w:r>
      <w:bookmarkEnd w:id="119"/>
      <w:bookmarkEnd w:id="120"/>
    </w:p>
    <w:p w14:paraId="3A74538D" w14:textId="00A0E0CE" w:rsidR="0031558C" w:rsidRPr="000938F3" w:rsidRDefault="0031558C" w:rsidP="00445BF9">
      <w:pPr>
        <w:pStyle w:val="DeltaBodytext"/>
        <w:numPr>
          <w:ilvl w:val="0"/>
          <w:numId w:val="14"/>
        </w:numPr>
        <w:spacing w:after="120" w:line="360" w:lineRule="auto"/>
        <w:ind w:left="567" w:hanging="567"/>
        <w:rPr>
          <w:rFonts w:ascii="Times New Roman" w:hAnsi="Times New Roman"/>
          <w:sz w:val="24"/>
          <w:szCs w:val="24"/>
        </w:rPr>
      </w:pPr>
      <w:r w:rsidRPr="000938F3">
        <w:rPr>
          <w:rFonts w:ascii="Times New Roman" w:hAnsi="Times New Roman"/>
          <w:b/>
          <w:sz w:val="24"/>
          <w:szCs w:val="24"/>
        </w:rPr>
        <w:t>Support form Uganda</w:t>
      </w:r>
      <w:r w:rsidR="00E643B9" w:rsidRPr="000938F3">
        <w:rPr>
          <w:rFonts w:ascii="Times New Roman" w:hAnsi="Times New Roman"/>
          <w:b/>
          <w:sz w:val="24"/>
          <w:szCs w:val="24"/>
        </w:rPr>
        <w:t>’</w:t>
      </w:r>
      <w:r w:rsidRPr="000938F3">
        <w:rPr>
          <w:rFonts w:ascii="Times New Roman" w:hAnsi="Times New Roman"/>
          <w:b/>
          <w:sz w:val="24"/>
          <w:szCs w:val="24"/>
        </w:rPr>
        <w:t>s non-traditional partners is expected to continue to grow in significance.</w:t>
      </w:r>
      <w:r w:rsidRPr="000938F3">
        <w:rPr>
          <w:rFonts w:ascii="Times New Roman" w:hAnsi="Times New Roman"/>
          <w:sz w:val="24"/>
          <w:szCs w:val="24"/>
        </w:rPr>
        <w:t xml:space="preserve"> Assistance from China is predicted to increase above current levels. Although South Korea</w:t>
      </w:r>
      <w:r w:rsidR="00E643B9" w:rsidRPr="000938F3">
        <w:rPr>
          <w:rFonts w:ascii="Times New Roman" w:hAnsi="Times New Roman"/>
          <w:sz w:val="24"/>
          <w:szCs w:val="24"/>
        </w:rPr>
        <w:t>'</w:t>
      </w:r>
      <w:r w:rsidRPr="000938F3">
        <w:rPr>
          <w:rFonts w:ascii="Times New Roman" w:hAnsi="Times New Roman"/>
          <w:sz w:val="24"/>
          <w:szCs w:val="24"/>
        </w:rPr>
        <w:t>s programme is likely to remain relatively modest, there are indications that other emerging development partners such as India may offer support in the future, for example for investment in energy</w:t>
      </w:r>
      <w:r w:rsidR="00E643B9" w:rsidRPr="000938F3">
        <w:rPr>
          <w:rFonts w:ascii="Times New Roman" w:hAnsi="Times New Roman"/>
          <w:sz w:val="24"/>
          <w:szCs w:val="24"/>
          <w:vertAlign w:val="superscript"/>
        </w:rPr>
        <w:footnoteReference w:id="13"/>
      </w:r>
      <w:r w:rsidRPr="000938F3">
        <w:rPr>
          <w:rFonts w:ascii="Times New Roman" w:hAnsi="Times New Roman"/>
          <w:sz w:val="24"/>
          <w:szCs w:val="24"/>
        </w:rPr>
        <w:t xml:space="preserve">. </w:t>
      </w:r>
    </w:p>
    <w:p w14:paraId="1BB6249D" w14:textId="4D151086" w:rsidR="0031558C" w:rsidRPr="000938F3" w:rsidRDefault="0031558C" w:rsidP="00445BF9">
      <w:pPr>
        <w:pStyle w:val="DeltaBodytext"/>
        <w:numPr>
          <w:ilvl w:val="0"/>
          <w:numId w:val="14"/>
        </w:numPr>
        <w:spacing w:after="120" w:line="360" w:lineRule="auto"/>
        <w:ind w:left="567" w:hanging="567"/>
        <w:rPr>
          <w:rFonts w:ascii="Times New Roman" w:hAnsi="Times New Roman"/>
          <w:sz w:val="24"/>
          <w:szCs w:val="24"/>
        </w:rPr>
      </w:pPr>
      <w:r w:rsidRPr="000938F3">
        <w:rPr>
          <w:rFonts w:ascii="Times New Roman" w:hAnsi="Times New Roman"/>
          <w:sz w:val="24"/>
          <w:szCs w:val="24"/>
        </w:rPr>
        <w:t xml:space="preserve">There are aspects of the </w:t>
      </w:r>
      <w:r w:rsidRPr="000938F3">
        <w:rPr>
          <w:rFonts w:ascii="Times New Roman" w:hAnsi="Times New Roman"/>
          <w:b/>
          <w:sz w:val="24"/>
          <w:szCs w:val="24"/>
        </w:rPr>
        <w:t>support received from non-traditional partners that make it particularly attractive</w:t>
      </w:r>
      <w:r w:rsidRPr="000938F3">
        <w:rPr>
          <w:rFonts w:ascii="Times New Roman" w:hAnsi="Times New Roman"/>
          <w:sz w:val="24"/>
          <w:szCs w:val="24"/>
        </w:rPr>
        <w:t xml:space="preserve"> to Uganda</w:t>
      </w:r>
      <w:r w:rsidR="00E643B9" w:rsidRPr="000938F3">
        <w:rPr>
          <w:rFonts w:ascii="Times New Roman" w:hAnsi="Times New Roman"/>
          <w:sz w:val="24"/>
          <w:szCs w:val="24"/>
        </w:rPr>
        <w:t>’</w:t>
      </w:r>
      <w:r w:rsidRPr="000938F3">
        <w:rPr>
          <w:rFonts w:ascii="Times New Roman" w:hAnsi="Times New Roman"/>
          <w:sz w:val="24"/>
          <w:szCs w:val="24"/>
        </w:rPr>
        <w:t>s government. Support from non</w:t>
      </w:r>
      <w:r w:rsidR="006B760A" w:rsidRPr="000938F3">
        <w:rPr>
          <w:rFonts w:ascii="Times New Roman" w:hAnsi="Times New Roman"/>
          <w:sz w:val="24"/>
          <w:szCs w:val="24"/>
        </w:rPr>
        <w:t>-</w:t>
      </w:r>
      <w:r w:rsidRPr="000938F3">
        <w:rPr>
          <w:rFonts w:ascii="Times New Roman" w:hAnsi="Times New Roman"/>
          <w:sz w:val="24"/>
          <w:szCs w:val="24"/>
        </w:rPr>
        <w:t xml:space="preserve">traditional partners, for example is </w:t>
      </w:r>
      <w:r w:rsidRPr="000938F3">
        <w:rPr>
          <w:rFonts w:ascii="Times New Roman" w:hAnsi="Times New Roman"/>
          <w:b/>
          <w:sz w:val="24"/>
          <w:szCs w:val="24"/>
        </w:rPr>
        <w:t>less likely to be subject to conditions related to governance and human rights.</w:t>
      </w:r>
      <w:r w:rsidRPr="000938F3">
        <w:rPr>
          <w:rFonts w:ascii="Times New Roman" w:hAnsi="Times New Roman"/>
          <w:sz w:val="24"/>
          <w:szCs w:val="24"/>
        </w:rPr>
        <w:t xml:space="preserve"> There is also substantial scope to use non</w:t>
      </w:r>
      <w:r w:rsidR="006B760A" w:rsidRPr="000938F3">
        <w:rPr>
          <w:rFonts w:ascii="Times New Roman" w:hAnsi="Times New Roman"/>
          <w:sz w:val="24"/>
          <w:szCs w:val="24"/>
        </w:rPr>
        <w:t>-</w:t>
      </w:r>
      <w:r w:rsidRPr="000938F3">
        <w:rPr>
          <w:rFonts w:ascii="Times New Roman" w:hAnsi="Times New Roman"/>
          <w:sz w:val="24"/>
          <w:szCs w:val="24"/>
        </w:rPr>
        <w:t xml:space="preserve">traditional assistance to contribute very directly to </w:t>
      </w:r>
      <w:r w:rsidR="0037500E" w:rsidRPr="000938F3">
        <w:rPr>
          <w:rFonts w:ascii="Times New Roman" w:hAnsi="Times New Roman"/>
          <w:sz w:val="24"/>
          <w:szCs w:val="24"/>
        </w:rPr>
        <w:t>NDP-II</w:t>
      </w:r>
      <w:r w:rsidRPr="000938F3">
        <w:rPr>
          <w:rFonts w:ascii="Times New Roman" w:hAnsi="Times New Roman"/>
          <w:sz w:val="24"/>
          <w:szCs w:val="24"/>
        </w:rPr>
        <w:t xml:space="preserve"> goals, for example as a consequence of a </w:t>
      </w:r>
      <w:r w:rsidRPr="000938F3">
        <w:rPr>
          <w:rFonts w:ascii="Times New Roman" w:hAnsi="Times New Roman"/>
          <w:b/>
          <w:sz w:val="24"/>
          <w:szCs w:val="24"/>
        </w:rPr>
        <w:t>preference for financing infrastructure investments</w:t>
      </w:r>
      <w:r w:rsidRPr="000938F3">
        <w:rPr>
          <w:rFonts w:ascii="Times New Roman" w:hAnsi="Times New Roman"/>
          <w:sz w:val="24"/>
          <w:szCs w:val="24"/>
        </w:rPr>
        <w:t xml:space="preserve"> that may exploit non</w:t>
      </w:r>
      <w:r w:rsidR="008F0D52" w:rsidRPr="000938F3">
        <w:rPr>
          <w:rFonts w:ascii="Times New Roman" w:hAnsi="Times New Roman"/>
          <w:sz w:val="24"/>
          <w:szCs w:val="24"/>
        </w:rPr>
        <w:t>-</w:t>
      </w:r>
      <w:r w:rsidRPr="000938F3">
        <w:rPr>
          <w:rFonts w:ascii="Times New Roman" w:hAnsi="Times New Roman"/>
          <w:sz w:val="24"/>
          <w:szCs w:val="24"/>
        </w:rPr>
        <w:t xml:space="preserve">traditional partners’ comparative advantages. </w:t>
      </w:r>
    </w:p>
    <w:p w14:paraId="35A7588D" w14:textId="7AA9E417" w:rsidR="0031558C" w:rsidRPr="000938F3" w:rsidRDefault="0031558C" w:rsidP="00445BF9">
      <w:pPr>
        <w:pStyle w:val="DeltaBodytext"/>
        <w:numPr>
          <w:ilvl w:val="0"/>
          <w:numId w:val="14"/>
        </w:numPr>
        <w:spacing w:after="120" w:line="360" w:lineRule="auto"/>
        <w:ind w:left="567" w:hanging="567"/>
        <w:rPr>
          <w:rFonts w:ascii="Times New Roman" w:hAnsi="Times New Roman"/>
          <w:sz w:val="24"/>
          <w:szCs w:val="24"/>
        </w:rPr>
      </w:pPr>
      <w:r w:rsidRPr="000938F3">
        <w:rPr>
          <w:rFonts w:ascii="Times New Roman" w:hAnsi="Times New Roman"/>
          <w:sz w:val="24"/>
          <w:szCs w:val="24"/>
        </w:rPr>
        <w:t xml:space="preserve">However, there are </w:t>
      </w:r>
      <w:r w:rsidR="00E643B9" w:rsidRPr="000938F3">
        <w:rPr>
          <w:rFonts w:ascii="Times New Roman" w:hAnsi="Times New Roman"/>
          <w:sz w:val="24"/>
          <w:szCs w:val="24"/>
        </w:rPr>
        <w:t xml:space="preserve">a </w:t>
      </w:r>
      <w:r w:rsidR="00E643B9" w:rsidRPr="000938F3">
        <w:rPr>
          <w:rFonts w:ascii="Times New Roman" w:hAnsi="Times New Roman"/>
          <w:b/>
          <w:sz w:val="24"/>
          <w:szCs w:val="24"/>
        </w:rPr>
        <w:t>few</w:t>
      </w:r>
      <w:r w:rsidRPr="000938F3">
        <w:rPr>
          <w:rFonts w:ascii="Times New Roman" w:hAnsi="Times New Roman"/>
          <w:b/>
          <w:sz w:val="24"/>
          <w:szCs w:val="24"/>
        </w:rPr>
        <w:t xml:space="preserve"> aspects of support from non-traditional sources that require careful management</w:t>
      </w:r>
      <w:r w:rsidRPr="000938F3">
        <w:rPr>
          <w:rFonts w:ascii="Times New Roman" w:hAnsi="Times New Roman"/>
          <w:sz w:val="24"/>
          <w:szCs w:val="24"/>
        </w:rPr>
        <w:t xml:space="preserve"> to secure its full advantages. The key points to note are:</w:t>
      </w:r>
    </w:p>
    <w:p w14:paraId="6FFCF7EE" w14:textId="618FAF68" w:rsidR="0031558C" w:rsidRPr="000938F3" w:rsidRDefault="0031558C" w:rsidP="00445BF9">
      <w:pPr>
        <w:pStyle w:val="DeltaBodytext"/>
        <w:numPr>
          <w:ilvl w:val="0"/>
          <w:numId w:val="11"/>
        </w:numPr>
        <w:spacing w:after="120" w:line="360" w:lineRule="auto"/>
        <w:ind w:left="1276" w:hanging="850"/>
        <w:rPr>
          <w:rFonts w:ascii="Times New Roman" w:hAnsi="Times New Roman"/>
          <w:sz w:val="24"/>
          <w:szCs w:val="24"/>
        </w:rPr>
      </w:pPr>
      <w:r w:rsidRPr="000938F3">
        <w:rPr>
          <w:rFonts w:ascii="Times New Roman" w:hAnsi="Times New Roman"/>
          <w:b/>
          <w:sz w:val="24"/>
          <w:szCs w:val="24"/>
        </w:rPr>
        <w:t>A high proportion of support from non-traditional sources is provided as loans rather than grants.</w:t>
      </w:r>
      <w:r w:rsidRPr="000938F3">
        <w:rPr>
          <w:rFonts w:ascii="Times New Roman" w:hAnsi="Times New Roman"/>
          <w:sz w:val="24"/>
          <w:szCs w:val="24"/>
        </w:rPr>
        <w:t xml:space="preserve"> Although these are </w:t>
      </w:r>
      <w:r w:rsidR="004C5649" w:rsidRPr="000938F3">
        <w:rPr>
          <w:rFonts w:ascii="Times New Roman" w:hAnsi="Times New Roman"/>
          <w:sz w:val="24"/>
          <w:szCs w:val="24"/>
        </w:rPr>
        <w:t>concessional,</w:t>
      </w:r>
      <w:r w:rsidRPr="000938F3">
        <w:rPr>
          <w:rFonts w:ascii="Times New Roman" w:hAnsi="Times New Roman"/>
          <w:sz w:val="24"/>
          <w:szCs w:val="24"/>
        </w:rPr>
        <w:t xml:space="preserve"> they may offer less </w:t>
      </w:r>
      <w:r w:rsidR="0048035F" w:rsidRPr="000938F3">
        <w:rPr>
          <w:rFonts w:ascii="Times New Roman" w:hAnsi="Times New Roman"/>
          <w:sz w:val="24"/>
          <w:szCs w:val="24"/>
        </w:rPr>
        <w:t>concessionally</w:t>
      </w:r>
      <w:r w:rsidRPr="000938F3">
        <w:rPr>
          <w:rFonts w:ascii="Times New Roman" w:hAnsi="Times New Roman"/>
          <w:sz w:val="24"/>
          <w:szCs w:val="24"/>
        </w:rPr>
        <w:t xml:space="preserve"> than loans from other sources such as the World Bank and Africa Development Bank. They may not, for example, qualify under OECD rules as official development assistance</w:t>
      </w:r>
      <w:r w:rsidR="0055761F" w:rsidRPr="000938F3">
        <w:rPr>
          <w:rFonts w:ascii="Times New Roman" w:hAnsi="Times New Roman"/>
          <w:sz w:val="24"/>
          <w:szCs w:val="24"/>
          <w:vertAlign w:val="superscript"/>
        </w:rPr>
        <w:footnoteReference w:id="14"/>
      </w:r>
      <w:r w:rsidRPr="000938F3">
        <w:rPr>
          <w:rFonts w:ascii="Times New Roman" w:hAnsi="Times New Roman"/>
          <w:sz w:val="24"/>
          <w:szCs w:val="24"/>
        </w:rPr>
        <w:t xml:space="preserve">. </w:t>
      </w:r>
    </w:p>
    <w:p w14:paraId="56C05614" w14:textId="77777777" w:rsidR="0031558C" w:rsidRPr="000938F3" w:rsidRDefault="0031558C" w:rsidP="00445BF9">
      <w:pPr>
        <w:pStyle w:val="DeltaBodytext"/>
        <w:numPr>
          <w:ilvl w:val="0"/>
          <w:numId w:val="11"/>
        </w:numPr>
        <w:spacing w:after="120" w:line="360" w:lineRule="auto"/>
        <w:ind w:left="1276" w:hanging="850"/>
        <w:rPr>
          <w:rFonts w:ascii="Times New Roman" w:hAnsi="Times New Roman"/>
          <w:sz w:val="24"/>
          <w:szCs w:val="24"/>
        </w:rPr>
      </w:pPr>
      <w:r w:rsidRPr="000938F3">
        <w:rPr>
          <w:rFonts w:ascii="Times New Roman" w:hAnsi="Times New Roman"/>
          <w:b/>
          <w:sz w:val="24"/>
          <w:szCs w:val="24"/>
        </w:rPr>
        <w:t>A high proportion of assistance from non-traditional sources continues to be tied</w:t>
      </w:r>
      <w:r w:rsidRPr="000938F3">
        <w:rPr>
          <w:rFonts w:ascii="Times New Roman" w:hAnsi="Times New Roman"/>
          <w:sz w:val="24"/>
          <w:szCs w:val="24"/>
        </w:rPr>
        <w:t xml:space="preserve"> reducing its flexibility.</w:t>
      </w:r>
    </w:p>
    <w:p w14:paraId="2BB31768" w14:textId="1E576549" w:rsidR="0031558C" w:rsidRPr="000938F3" w:rsidRDefault="0031558C" w:rsidP="00445BF9">
      <w:pPr>
        <w:pStyle w:val="DeltaBodytext"/>
        <w:numPr>
          <w:ilvl w:val="0"/>
          <w:numId w:val="11"/>
        </w:numPr>
        <w:spacing w:after="120" w:line="360" w:lineRule="auto"/>
        <w:ind w:left="1276" w:hanging="850"/>
        <w:rPr>
          <w:rFonts w:ascii="Times New Roman" w:hAnsi="Times New Roman"/>
          <w:sz w:val="24"/>
          <w:szCs w:val="24"/>
        </w:rPr>
      </w:pPr>
      <w:r w:rsidRPr="000938F3">
        <w:rPr>
          <w:rFonts w:ascii="Times New Roman" w:hAnsi="Times New Roman"/>
          <w:sz w:val="24"/>
          <w:szCs w:val="24"/>
        </w:rPr>
        <w:t>Although the non-traditional partners attend the partnership fora</w:t>
      </w:r>
      <w:r w:rsidR="00E643B9" w:rsidRPr="000938F3">
        <w:rPr>
          <w:rFonts w:ascii="Times New Roman" w:hAnsi="Times New Roman"/>
          <w:sz w:val="24"/>
          <w:szCs w:val="24"/>
        </w:rPr>
        <w:t>'</w:t>
      </w:r>
      <w:r w:rsidRPr="000938F3">
        <w:rPr>
          <w:rFonts w:ascii="Times New Roman" w:hAnsi="Times New Roman"/>
          <w:sz w:val="24"/>
          <w:szCs w:val="24"/>
        </w:rPr>
        <w:t xml:space="preserve">s, </w:t>
      </w:r>
      <w:r w:rsidRPr="000938F3">
        <w:rPr>
          <w:rFonts w:ascii="Times New Roman" w:hAnsi="Times New Roman"/>
          <w:b/>
          <w:sz w:val="24"/>
          <w:szCs w:val="24"/>
        </w:rPr>
        <w:t>they are not bound by the outcome of such fora</w:t>
      </w:r>
      <w:r w:rsidR="00E643B9" w:rsidRPr="000938F3">
        <w:rPr>
          <w:rFonts w:ascii="Times New Roman" w:hAnsi="Times New Roman"/>
          <w:b/>
          <w:sz w:val="24"/>
          <w:szCs w:val="24"/>
        </w:rPr>
        <w:t>’</w:t>
      </w:r>
      <w:r w:rsidRPr="000938F3">
        <w:rPr>
          <w:rFonts w:ascii="Times New Roman" w:hAnsi="Times New Roman"/>
          <w:b/>
          <w:sz w:val="24"/>
          <w:szCs w:val="24"/>
        </w:rPr>
        <w:t>s.</w:t>
      </w:r>
      <w:r w:rsidRPr="000938F3">
        <w:rPr>
          <w:rFonts w:ascii="Times New Roman" w:hAnsi="Times New Roman"/>
          <w:sz w:val="24"/>
          <w:szCs w:val="24"/>
        </w:rPr>
        <w:t xml:space="preserve"> It has so far proved difficult to engage non-traditional partners in the structures that have been established for co-ordinating donor assistance in the context of the government</w:t>
      </w:r>
      <w:r w:rsidR="00FD5B36" w:rsidRPr="000938F3">
        <w:rPr>
          <w:rFonts w:ascii="Times New Roman" w:hAnsi="Times New Roman"/>
          <w:sz w:val="24"/>
          <w:szCs w:val="24"/>
        </w:rPr>
        <w:t>’</w:t>
      </w:r>
      <w:r w:rsidRPr="000938F3">
        <w:rPr>
          <w:rFonts w:ascii="Times New Roman" w:hAnsi="Times New Roman"/>
          <w:sz w:val="24"/>
          <w:szCs w:val="24"/>
        </w:rPr>
        <w:t xml:space="preserve">s development objectives. Need for government to craft mechanisms to engage non- traditional partners in joint </w:t>
      </w:r>
      <w:r w:rsidR="004C5649" w:rsidRPr="000938F3">
        <w:rPr>
          <w:rFonts w:ascii="Times New Roman" w:hAnsi="Times New Roman"/>
          <w:sz w:val="24"/>
          <w:szCs w:val="24"/>
        </w:rPr>
        <w:t>high-level</w:t>
      </w:r>
      <w:r w:rsidRPr="000938F3">
        <w:rPr>
          <w:rFonts w:ascii="Times New Roman" w:hAnsi="Times New Roman"/>
          <w:sz w:val="24"/>
          <w:szCs w:val="24"/>
        </w:rPr>
        <w:t xml:space="preserve"> arrangements for policy dialogue and involvement in sector working group processes. </w:t>
      </w:r>
    </w:p>
    <w:p w14:paraId="1095B7F7" w14:textId="7404531B" w:rsidR="0031558C" w:rsidRPr="000938F3" w:rsidRDefault="0031558C" w:rsidP="00445BF9">
      <w:pPr>
        <w:pStyle w:val="DeltaBodytext"/>
        <w:numPr>
          <w:ilvl w:val="0"/>
          <w:numId w:val="14"/>
        </w:numPr>
        <w:spacing w:after="120" w:line="360" w:lineRule="auto"/>
        <w:ind w:left="567" w:hanging="567"/>
        <w:rPr>
          <w:rFonts w:ascii="Times New Roman" w:hAnsi="Times New Roman"/>
          <w:sz w:val="24"/>
          <w:szCs w:val="24"/>
        </w:rPr>
      </w:pPr>
      <w:r w:rsidRPr="000938F3">
        <w:rPr>
          <w:rFonts w:ascii="Times New Roman" w:hAnsi="Times New Roman"/>
          <w:sz w:val="24"/>
          <w:szCs w:val="24"/>
        </w:rPr>
        <w:t xml:space="preserve">There is significant scope to </w:t>
      </w:r>
      <w:r w:rsidRPr="000938F3">
        <w:rPr>
          <w:rFonts w:ascii="Times New Roman" w:hAnsi="Times New Roman"/>
          <w:b/>
          <w:sz w:val="24"/>
          <w:szCs w:val="24"/>
        </w:rPr>
        <w:t>improve the transparency of assistance from non-traditional partners</w:t>
      </w:r>
      <w:r w:rsidRPr="000938F3">
        <w:rPr>
          <w:rFonts w:ascii="Times New Roman" w:hAnsi="Times New Roman"/>
          <w:sz w:val="24"/>
          <w:szCs w:val="24"/>
        </w:rPr>
        <w:t xml:space="preserve"> in a way that can improve its integration with other sources of development finance. </w:t>
      </w:r>
    </w:p>
    <w:p w14:paraId="22E3B2FB" w14:textId="203669DD" w:rsidR="00E15CC2" w:rsidRPr="001C0C96" w:rsidRDefault="00E15CC2" w:rsidP="003D56D1">
      <w:pPr>
        <w:pStyle w:val="Heading1"/>
        <w:numPr>
          <w:ilvl w:val="0"/>
          <w:numId w:val="13"/>
        </w:numPr>
        <w:spacing w:before="0" w:after="240"/>
        <w:ind w:left="567" w:hanging="567"/>
      </w:pPr>
      <w:bookmarkStart w:id="121" w:name="_Toc534926867"/>
      <w:bookmarkStart w:id="122" w:name="_Toc3505179"/>
      <w:bookmarkStart w:id="123" w:name="_Toc361577061"/>
      <w:bookmarkEnd w:id="113"/>
      <w:r w:rsidRPr="001C0C96">
        <w:lastRenderedPageBreak/>
        <w:t>RECOMMENDATIONS</w:t>
      </w:r>
      <w:bookmarkEnd w:id="121"/>
      <w:bookmarkEnd w:id="122"/>
    </w:p>
    <w:bookmarkEnd w:id="123"/>
    <w:p w14:paraId="2D7B53FE" w14:textId="72600C2B" w:rsidR="00115F38" w:rsidRPr="000938F3" w:rsidRDefault="00B37464" w:rsidP="00445BF9">
      <w:pPr>
        <w:pStyle w:val="DeltaBodytext"/>
        <w:numPr>
          <w:ilvl w:val="0"/>
          <w:numId w:val="14"/>
        </w:numPr>
        <w:spacing w:after="120" w:line="360" w:lineRule="auto"/>
        <w:ind w:left="567" w:hanging="567"/>
        <w:rPr>
          <w:rFonts w:ascii="Times New Roman" w:hAnsi="Times New Roman"/>
          <w:sz w:val="24"/>
          <w:szCs w:val="24"/>
        </w:rPr>
      </w:pPr>
      <w:r w:rsidRPr="000938F3">
        <w:rPr>
          <w:rFonts w:ascii="Times New Roman" w:hAnsi="Times New Roman"/>
          <w:sz w:val="24"/>
          <w:szCs w:val="24"/>
        </w:rPr>
        <w:t>This section makes recommendations that</w:t>
      </w:r>
      <w:r w:rsidR="002E198D" w:rsidRPr="000938F3">
        <w:rPr>
          <w:rFonts w:ascii="Times New Roman" w:hAnsi="Times New Roman"/>
          <w:sz w:val="24"/>
          <w:szCs w:val="24"/>
        </w:rPr>
        <w:t xml:space="preserve"> address the findings of development partnership theme of NDP-II</w:t>
      </w:r>
      <w:r w:rsidR="00031EC9" w:rsidRPr="000938F3">
        <w:rPr>
          <w:rFonts w:ascii="Times New Roman" w:hAnsi="Times New Roman"/>
          <w:sz w:val="24"/>
          <w:szCs w:val="24"/>
        </w:rPr>
        <w:t xml:space="preserve"> and covers the ways in which </w:t>
      </w:r>
      <w:r w:rsidR="00115F38" w:rsidRPr="000938F3">
        <w:rPr>
          <w:rFonts w:ascii="Times New Roman" w:hAnsi="Times New Roman"/>
          <w:sz w:val="24"/>
          <w:szCs w:val="24"/>
        </w:rPr>
        <w:t>development partnership can be strengthened so that efficient and effective implementation of the NDP is enhanced.</w:t>
      </w:r>
    </w:p>
    <w:p w14:paraId="6B270EC8" w14:textId="3F45BCDC" w:rsidR="00084150" w:rsidRPr="000938F3" w:rsidRDefault="00084150" w:rsidP="00445BF9">
      <w:pPr>
        <w:pStyle w:val="Heading2"/>
        <w:spacing w:after="120"/>
      </w:pPr>
      <w:bookmarkStart w:id="124" w:name="_Toc534926868"/>
      <w:bookmarkStart w:id="125" w:name="_Toc3505180"/>
      <w:r w:rsidRPr="000938F3">
        <w:t>Uganda’s Development Partnership</w:t>
      </w:r>
      <w:bookmarkEnd w:id="124"/>
      <w:bookmarkEnd w:id="125"/>
    </w:p>
    <w:p w14:paraId="467A4150" w14:textId="53C1F5D0" w:rsidR="00924A43" w:rsidRPr="00B721EB" w:rsidRDefault="00F76B2F" w:rsidP="00445BF9">
      <w:pPr>
        <w:pStyle w:val="ListParagraph"/>
        <w:numPr>
          <w:ilvl w:val="0"/>
          <w:numId w:val="26"/>
        </w:numPr>
        <w:spacing w:after="120" w:line="360" w:lineRule="auto"/>
        <w:ind w:hanging="513"/>
        <w:rPr>
          <w:rFonts w:ascii="Times New Roman" w:hAnsi="Times New Roman"/>
          <w:sz w:val="24"/>
          <w:szCs w:val="24"/>
        </w:rPr>
      </w:pPr>
      <w:r w:rsidRPr="00B721EB">
        <w:rPr>
          <w:rFonts w:ascii="Times New Roman" w:hAnsi="Times New Roman"/>
          <w:sz w:val="24"/>
          <w:szCs w:val="24"/>
        </w:rPr>
        <w:t xml:space="preserve">The Government of Uganda to demonstrate </w:t>
      </w:r>
      <w:r w:rsidR="00217C55" w:rsidRPr="00B721EB">
        <w:rPr>
          <w:rFonts w:ascii="Times New Roman" w:hAnsi="Times New Roman"/>
          <w:b/>
          <w:sz w:val="24"/>
          <w:szCs w:val="24"/>
        </w:rPr>
        <w:t xml:space="preserve">stronger </w:t>
      </w:r>
      <w:r w:rsidRPr="00B721EB">
        <w:rPr>
          <w:rFonts w:ascii="Times New Roman" w:hAnsi="Times New Roman"/>
          <w:b/>
          <w:sz w:val="24"/>
          <w:szCs w:val="24"/>
        </w:rPr>
        <w:t xml:space="preserve">leadership </w:t>
      </w:r>
      <w:r w:rsidR="004F37BF" w:rsidRPr="00B721EB">
        <w:rPr>
          <w:rFonts w:ascii="Times New Roman" w:hAnsi="Times New Roman"/>
          <w:b/>
          <w:sz w:val="24"/>
          <w:szCs w:val="24"/>
        </w:rPr>
        <w:t>(one entity)</w:t>
      </w:r>
      <w:r w:rsidR="004F37BF" w:rsidRPr="00B721EB">
        <w:rPr>
          <w:rFonts w:ascii="Times New Roman" w:hAnsi="Times New Roman"/>
          <w:sz w:val="24"/>
          <w:szCs w:val="24"/>
        </w:rPr>
        <w:t xml:space="preserve"> </w:t>
      </w:r>
      <w:r w:rsidRPr="00B721EB">
        <w:rPr>
          <w:rFonts w:ascii="Times New Roman" w:hAnsi="Times New Roman"/>
          <w:sz w:val="24"/>
          <w:szCs w:val="24"/>
        </w:rPr>
        <w:t>in managing the development cooperation</w:t>
      </w:r>
      <w:r w:rsidR="005D154C" w:rsidRPr="00B721EB">
        <w:rPr>
          <w:rFonts w:ascii="Times New Roman" w:hAnsi="Times New Roman"/>
          <w:sz w:val="24"/>
          <w:szCs w:val="24"/>
        </w:rPr>
        <w:t xml:space="preserve"> and </w:t>
      </w:r>
      <w:r w:rsidR="00434542" w:rsidRPr="00B721EB">
        <w:rPr>
          <w:rFonts w:ascii="Times New Roman" w:hAnsi="Times New Roman"/>
          <w:sz w:val="24"/>
          <w:szCs w:val="24"/>
        </w:rPr>
        <w:t xml:space="preserve">ensuring </w:t>
      </w:r>
      <w:r w:rsidR="00B06986" w:rsidRPr="00B721EB">
        <w:rPr>
          <w:rFonts w:ascii="Times New Roman" w:hAnsi="Times New Roman"/>
          <w:sz w:val="24"/>
          <w:szCs w:val="24"/>
        </w:rPr>
        <w:t xml:space="preserve">enhanced </w:t>
      </w:r>
      <w:r w:rsidR="005D154C" w:rsidRPr="00B721EB">
        <w:rPr>
          <w:rFonts w:ascii="Times New Roman" w:hAnsi="Times New Roman"/>
          <w:sz w:val="24"/>
          <w:szCs w:val="24"/>
        </w:rPr>
        <w:t>engag</w:t>
      </w:r>
      <w:r w:rsidR="007B090D" w:rsidRPr="00B721EB">
        <w:rPr>
          <w:rFonts w:ascii="Times New Roman" w:hAnsi="Times New Roman"/>
          <w:sz w:val="24"/>
          <w:szCs w:val="24"/>
        </w:rPr>
        <w:t>ement of</w:t>
      </w:r>
      <w:r w:rsidR="005D154C" w:rsidRPr="00B721EB">
        <w:rPr>
          <w:rFonts w:ascii="Times New Roman" w:hAnsi="Times New Roman"/>
          <w:sz w:val="24"/>
          <w:szCs w:val="24"/>
        </w:rPr>
        <w:t xml:space="preserve"> DPs </w:t>
      </w:r>
      <w:r w:rsidR="009715A9" w:rsidRPr="00B721EB">
        <w:rPr>
          <w:rFonts w:ascii="Times New Roman" w:hAnsi="Times New Roman"/>
          <w:sz w:val="24"/>
          <w:szCs w:val="24"/>
        </w:rPr>
        <w:t>in NDP-II and beyond</w:t>
      </w:r>
      <w:r w:rsidRPr="00B721EB">
        <w:rPr>
          <w:rFonts w:ascii="Times New Roman" w:hAnsi="Times New Roman"/>
          <w:sz w:val="24"/>
          <w:szCs w:val="24"/>
        </w:rPr>
        <w:t>.</w:t>
      </w:r>
      <w:r w:rsidR="00924A43" w:rsidRPr="00B721EB">
        <w:rPr>
          <w:rFonts w:ascii="Times New Roman" w:hAnsi="Times New Roman"/>
          <w:sz w:val="24"/>
          <w:szCs w:val="24"/>
        </w:rPr>
        <w:t xml:space="preserve"> </w:t>
      </w:r>
      <w:r w:rsidR="00AC2DC5" w:rsidRPr="00B721EB">
        <w:rPr>
          <w:rFonts w:ascii="Times New Roman" w:hAnsi="Times New Roman"/>
          <w:sz w:val="24"/>
          <w:szCs w:val="24"/>
        </w:rPr>
        <w:t xml:space="preserve">To have more clarity on roles and expectations from DPs. </w:t>
      </w:r>
      <w:r w:rsidR="00924A43" w:rsidRPr="00B721EB">
        <w:rPr>
          <w:rFonts w:ascii="Times New Roman" w:hAnsi="Times New Roman"/>
          <w:sz w:val="24"/>
          <w:szCs w:val="24"/>
        </w:rPr>
        <w:t>The Government of Uganda to work out roles and responsibilities (particularly for OPM and MoFPED) and show commitment to strengthen internal cooperation.</w:t>
      </w:r>
    </w:p>
    <w:p w14:paraId="47ADEE30" w14:textId="63D11150" w:rsidR="00E63813" w:rsidRPr="000938F3" w:rsidRDefault="00924A43" w:rsidP="00445BF9">
      <w:pPr>
        <w:pStyle w:val="ListParagraph"/>
        <w:numPr>
          <w:ilvl w:val="0"/>
          <w:numId w:val="26"/>
        </w:numPr>
        <w:spacing w:after="120" w:line="360" w:lineRule="auto"/>
        <w:ind w:hanging="513"/>
        <w:rPr>
          <w:rFonts w:ascii="Times New Roman" w:hAnsi="Times New Roman"/>
          <w:sz w:val="24"/>
          <w:szCs w:val="24"/>
        </w:rPr>
      </w:pPr>
      <w:r w:rsidRPr="000938F3">
        <w:rPr>
          <w:rFonts w:ascii="Times New Roman" w:hAnsi="Times New Roman"/>
          <w:b/>
          <w:sz w:val="24"/>
          <w:szCs w:val="24"/>
        </w:rPr>
        <w:t>Better coordination among the DPs is needed.</w:t>
      </w:r>
      <w:r w:rsidRPr="000938F3">
        <w:rPr>
          <w:rFonts w:ascii="Times New Roman" w:hAnsi="Times New Roman"/>
          <w:sz w:val="24"/>
          <w:szCs w:val="24"/>
        </w:rPr>
        <w:t xml:space="preserve"> The </w:t>
      </w:r>
      <w:r w:rsidR="00F76B2F" w:rsidRPr="000938F3">
        <w:rPr>
          <w:rFonts w:ascii="Times New Roman" w:hAnsi="Times New Roman"/>
          <w:sz w:val="24"/>
          <w:szCs w:val="24"/>
        </w:rPr>
        <w:t xml:space="preserve">NDP-III is an opportunity for agreeing on process for moving towards more pronounced </w:t>
      </w:r>
      <w:r w:rsidR="00F76B2F" w:rsidRPr="000938F3">
        <w:rPr>
          <w:rFonts w:ascii="Times New Roman" w:hAnsi="Times New Roman"/>
          <w:b/>
          <w:sz w:val="24"/>
          <w:szCs w:val="24"/>
        </w:rPr>
        <w:t>division of labour.</w:t>
      </w:r>
      <w:r w:rsidR="00E63813" w:rsidRPr="000938F3">
        <w:rPr>
          <w:rFonts w:ascii="Times New Roman" w:hAnsi="Times New Roman"/>
          <w:sz w:val="24"/>
          <w:szCs w:val="24"/>
        </w:rPr>
        <w:t xml:space="preserve"> To implement a division of labour exercise to address an inefficient spread of effort and resources.</w:t>
      </w:r>
    </w:p>
    <w:p w14:paraId="3CFA4A61" w14:textId="615810A6" w:rsidR="00E82874" w:rsidRPr="000938F3" w:rsidRDefault="007E4DCF" w:rsidP="00445BF9">
      <w:pPr>
        <w:pStyle w:val="ListParagraph"/>
        <w:numPr>
          <w:ilvl w:val="0"/>
          <w:numId w:val="26"/>
        </w:numPr>
        <w:spacing w:after="120" w:line="360" w:lineRule="auto"/>
        <w:ind w:hanging="513"/>
        <w:rPr>
          <w:rFonts w:ascii="Times New Roman" w:hAnsi="Times New Roman"/>
          <w:sz w:val="24"/>
          <w:szCs w:val="24"/>
        </w:rPr>
      </w:pPr>
      <w:r w:rsidRPr="000938F3">
        <w:rPr>
          <w:rFonts w:ascii="Times New Roman" w:hAnsi="Times New Roman"/>
          <w:b/>
          <w:sz w:val="24"/>
          <w:szCs w:val="24"/>
        </w:rPr>
        <w:t xml:space="preserve">Enhance </w:t>
      </w:r>
      <w:r w:rsidR="0064066E" w:rsidRPr="000938F3">
        <w:rPr>
          <w:rFonts w:ascii="Times New Roman" w:hAnsi="Times New Roman"/>
          <w:b/>
          <w:sz w:val="24"/>
          <w:szCs w:val="24"/>
        </w:rPr>
        <w:t>involvement of DPs in the preparation of the NDP-III</w:t>
      </w:r>
      <w:r w:rsidR="0064066E" w:rsidRPr="000938F3">
        <w:rPr>
          <w:rFonts w:ascii="Times New Roman" w:hAnsi="Times New Roman"/>
          <w:sz w:val="24"/>
          <w:szCs w:val="24"/>
        </w:rPr>
        <w:t xml:space="preserve"> to ensure a strong understanding of government priorities and alignment of their resources.</w:t>
      </w:r>
      <w:r w:rsidR="00561296" w:rsidRPr="000938F3">
        <w:rPr>
          <w:rFonts w:ascii="Times New Roman" w:hAnsi="Times New Roman"/>
          <w:sz w:val="24"/>
          <w:szCs w:val="24"/>
        </w:rPr>
        <w:t xml:space="preserve"> </w:t>
      </w:r>
      <w:r w:rsidR="005E6F14" w:rsidRPr="000938F3">
        <w:rPr>
          <w:rFonts w:ascii="Times New Roman" w:hAnsi="Times New Roman"/>
          <w:sz w:val="24"/>
          <w:szCs w:val="24"/>
        </w:rPr>
        <w:t xml:space="preserve">Closer consultation with </w:t>
      </w:r>
      <w:r w:rsidRPr="000938F3">
        <w:rPr>
          <w:rFonts w:ascii="Times New Roman" w:hAnsi="Times New Roman"/>
          <w:sz w:val="24"/>
          <w:szCs w:val="24"/>
        </w:rPr>
        <w:t xml:space="preserve">development partners </w:t>
      </w:r>
      <w:r w:rsidR="005E6F14" w:rsidRPr="000938F3">
        <w:rPr>
          <w:rFonts w:ascii="Times New Roman" w:hAnsi="Times New Roman"/>
          <w:sz w:val="24"/>
          <w:szCs w:val="24"/>
        </w:rPr>
        <w:t xml:space="preserve">will provide a basis for detailed discussions over government expectations about the way in which </w:t>
      </w:r>
      <w:r w:rsidRPr="000938F3">
        <w:rPr>
          <w:rFonts w:ascii="Times New Roman" w:hAnsi="Times New Roman"/>
          <w:sz w:val="24"/>
          <w:szCs w:val="24"/>
        </w:rPr>
        <w:t xml:space="preserve">development assistance </w:t>
      </w:r>
      <w:r w:rsidR="005E6F14" w:rsidRPr="000938F3">
        <w:rPr>
          <w:rFonts w:ascii="Times New Roman" w:hAnsi="Times New Roman"/>
          <w:sz w:val="24"/>
          <w:szCs w:val="24"/>
        </w:rPr>
        <w:t>should be aligned behind NDP objectives including both the modalities for deliver</w:t>
      </w:r>
      <w:r w:rsidRPr="000938F3">
        <w:rPr>
          <w:rFonts w:ascii="Times New Roman" w:hAnsi="Times New Roman"/>
          <w:sz w:val="24"/>
          <w:szCs w:val="24"/>
        </w:rPr>
        <w:t xml:space="preserve">y </w:t>
      </w:r>
      <w:r w:rsidR="005E6F14" w:rsidRPr="000938F3">
        <w:rPr>
          <w:rFonts w:ascii="Times New Roman" w:hAnsi="Times New Roman"/>
          <w:sz w:val="24"/>
          <w:szCs w:val="24"/>
        </w:rPr>
        <w:t xml:space="preserve">and sector focus. Development partners will have the opportunity to be clear about likely levels of </w:t>
      </w:r>
      <w:r w:rsidRPr="000938F3">
        <w:rPr>
          <w:rFonts w:ascii="Times New Roman" w:hAnsi="Times New Roman"/>
          <w:sz w:val="24"/>
          <w:szCs w:val="24"/>
        </w:rPr>
        <w:t xml:space="preserve">development assistance </w:t>
      </w:r>
      <w:r w:rsidR="005E6F14" w:rsidRPr="000938F3">
        <w:rPr>
          <w:rFonts w:ascii="Times New Roman" w:hAnsi="Times New Roman"/>
          <w:sz w:val="24"/>
          <w:szCs w:val="24"/>
        </w:rPr>
        <w:t xml:space="preserve">as the next NDP is implemented. </w:t>
      </w:r>
      <w:r w:rsidR="002B18E2" w:rsidRPr="000938F3">
        <w:rPr>
          <w:rFonts w:ascii="Times New Roman" w:hAnsi="Times New Roman"/>
          <w:sz w:val="24"/>
          <w:szCs w:val="24"/>
        </w:rPr>
        <w:t>And in general, in order to help take forward its “Vision 2040” the Government should commence a dialogue with development partners on how they might support the longer-term agenda which this document sets out including its plan of social transformation.</w:t>
      </w:r>
      <w:r w:rsidR="00E82874" w:rsidRPr="000938F3">
        <w:rPr>
          <w:rFonts w:ascii="Times New Roman" w:hAnsi="Times New Roman"/>
          <w:sz w:val="24"/>
          <w:szCs w:val="24"/>
        </w:rPr>
        <w:t xml:space="preserve"> Development partners should provide more and better information on what they are funding, how much and what are the conditions. This will create a better environment for government to use such information for proper programming and budgeting.</w:t>
      </w:r>
    </w:p>
    <w:p w14:paraId="0A1841B6" w14:textId="58075A9C" w:rsidR="00CA7485" w:rsidRPr="000938F3" w:rsidRDefault="00561296" w:rsidP="00445BF9">
      <w:pPr>
        <w:pStyle w:val="ListParagraph"/>
        <w:numPr>
          <w:ilvl w:val="0"/>
          <w:numId w:val="26"/>
        </w:numPr>
        <w:spacing w:after="120" w:line="360" w:lineRule="auto"/>
        <w:ind w:hanging="513"/>
        <w:rPr>
          <w:rFonts w:ascii="Times New Roman" w:hAnsi="Times New Roman"/>
          <w:sz w:val="24"/>
          <w:szCs w:val="24"/>
        </w:rPr>
      </w:pPr>
      <w:r w:rsidRPr="000938F3">
        <w:rPr>
          <w:rFonts w:ascii="Times New Roman" w:hAnsi="Times New Roman"/>
          <w:sz w:val="24"/>
          <w:szCs w:val="24"/>
        </w:rPr>
        <w:t xml:space="preserve">The GoU to engage DPs to identify together </w:t>
      </w:r>
      <w:r w:rsidRPr="000938F3">
        <w:rPr>
          <w:rFonts w:ascii="Times New Roman" w:hAnsi="Times New Roman"/>
          <w:b/>
          <w:sz w:val="24"/>
          <w:szCs w:val="24"/>
        </w:rPr>
        <w:t>alternative sources of development financing</w:t>
      </w:r>
      <w:r w:rsidRPr="000938F3">
        <w:rPr>
          <w:rFonts w:ascii="Times New Roman" w:hAnsi="Times New Roman"/>
          <w:sz w:val="24"/>
          <w:szCs w:val="24"/>
        </w:rPr>
        <w:t xml:space="preserve"> to address global declining ODA, and how best to align with county systems and processes (more on-budget, on-treasury, on-procurement and on-audit).</w:t>
      </w:r>
      <w:r w:rsidR="00B97113" w:rsidRPr="000938F3">
        <w:rPr>
          <w:rFonts w:ascii="Times New Roman" w:hAnsi="Times New Roman"/>
          <w:sz w:val="24"/>
          <w:szCs w:val="24"/>
        </w:rPr>
        <w:t xml:space="preserve"> </w:t>
      </w:r>
      <w:r w:rsidR="00F37FB7" w:rsidRPr="000938F3">
        <w:rPr>
          <w:rFonts w:ascii="Times New Roman" w:hAnsi="Times New Roman"/>
          <w:sz w:val="24"/>
          <w:szCs w:val="24"/>
        </w:rPr>
        <w:t xml:space="preserve">There are joint donor funding arrangements that have been used in the past in several sectors that might be revived and adapted. </w:t>
      </w:r>
      <w:r w:rsidR="00CA7485" w:rsidRPr="000938F3">
        <w:rPr>
          <w:rFonts w:ascii="Times New Roman" w:hAnsi="Times New Roman"/>
          <w:sz w:val="24"/>
          <w:szCs w:val="24"/>
        </w:rPr>
        <w:t xml:space="preserve">Joint funding arrangements may be especially valuable for the funding of large transformational investments e.g. in transport and energy that will help </w:t>
      </w:r>
      <w:r w:rsidR="00CA7485" w:rsidRPr="000938F3">
        <w:rPr>
          <w:rFonts w:ascii="Times New Roman" w:hAnsi="Times New Roman"/>
          <w:sz w:val="24"/>
          <w:szCs w:val="24"/>
        </w:rPr>
        <w:lastRenderedPageBreak/>
        <w:t>both large and small donors invest in these areas and guard against the risk that project funding becomes fragmented and scattered.</w:t>
      </w:r>
    </w:p>
    <w:p w14:paraId="588C7792" w14:textId="608228AB" w:rsidR="0064712B" w:rsidRPr="000938F3" w:rsidRDefault="00A343EA" w:rsidP="00445BF9">
      <w:pPr>
        <w:pStyle w:val="ListParagraph"/>
        <w:numPr>
          <w:ilvl w:val="0"/>
          <w:numId w:val="26"/>
        </w:numPr>
        <w:spacing w:after="120" w:line="360" w:lineRule="auto"/>
        <w:ind w:hanging="513"/>
        <w:rPr>
          <w:rFonts w:ascii="Times New Roman" w:hAnsi="Times New Roman"/>
          <w:sz w:val="24"/>
          <w:szCs w:val="24"/>
        </w:rPr>
      </w:pPr>
      <w:r w:rsidRPr="000938F3">
        <w:rPr>
          <w:rFonts w:ascii="Times New Roman" w:hAnsi="Times New Roman"/>
          <w:b/>
          <w:sz w:val="24"/>
          <w:szCs w:val="24"/>
        </w:rPr>
        <w:t>Harmonise Development Partnership and Development Cooperation policies</w:t>
      </w:r>
      <w:r w:rsidRPr="000938F3">
        <w:rPr>
          <w:rFonts w:ascii="Times New Roman" w:hAnsi="Times New Roman"/>
          <w:sz w:val="24"/>
          <w:szCs w:val="24"/>
        </w:rPr>
        <w:t xml:space="preserve"> in order to have an integrated policy and strategies of achieving the desired outcomes. </w:t>
      </w:r>
      <w:r w:rsidR="003F7B85" w:rsidRPr="000938F3">
        <w:rPr>
          <w:rFonts w:ascii="Times New Roman" w:hAnsi="Times New Roman"/>
          <w:sz w:val="24"/>
          <w:szCs w:val="24"/>
        </w:rPr>
        <w:t>S</w:t>
      </w:r>
      <w:r w:rsidR="00ED3530" w:rsidRPr="000938F3">
        <w:rPr>
          <w:rFonts w:ascii="Times New Roman" w:hAnsi="Times New Roman"/>
          <w:sz w:val="24"/>
          <w:szCs w:val="24"/>
        </w:rPr>
        <w:t xml:space="preserve">trong government leadership to </w:t>
      </w:r>
      <w:r w:rsidR="009B273B" w:rsidRPr="000938F3">
        <w:rPr>
          <w:rFonts w:ascii="Times New Roman" w:hAnsi="Times New Roman"/>
          <w:sz w:val="24"/>
          <w:szCs w:val="24"/>
        </w:rPr>
        <w:t>steer</w:t>
      </w:r>
      <w:r w:rsidR="00ED3530" w:rsidRPr="000938F3">
        <w:rPr>
          <w:rFonts w:ascii="Times New Roman" w:hAnsi="Times New Roman"/>
          <w:sz w:val="24"/>
          <w:szCs w:val="24"/>
        </w:rPr>
        <w:t xml:space="preserve"> a robust framework for the management of </w:t>
      </w:r>
      <w:r w:rsidR="009B273B" w:rsidRPr="000938F3">
        <w:rPr>
          <w:rFonts w:ascii="Times New Roman" w:hAnsi="Times New Roman"/>
          <w:sz w:val="24"/>
          <w:szCs w:val="24"/>
        </w:rPr>
        <w:t xml:space="preserve">development assistance </w:t>
      </w:r>
      <w:r w:rsidR="00ED3530" w:rsidRPr="000938F3">
        <w:rPr>
          <w:rFonts w:ascii="Times New Roman" w:hAnsi="Times New Roman"/>
          <w:sz w:val="24"/>
          <w:szCs w:val="24"/>
        </w:rPr>
        <w:t xml:space="preserve">in support of NDP implementation set in the context of international agreements on </w:t>
      </w:r>
      <w:r w:rsidR="009B273B" w:rsidRPr="000938F3">
        <w:rPr>
          <w:rFonts w:ascii="Times New Roman" w:hAnsi="Times New Roman"/>
          <w:sz w:val="24"/>
          <w:szCs w:val="24"/>
        </w:rPr>
        <w:t xml:space="preserve">development </w:t>
      </w:r>
      <w:r w:rsidR="00ED3530" w:rsidRPr="000938F3">
        <w:rPr>
          <w:rFonts w:ascii="Times New Roman" w:hAnsi="Times New Roman"/>
          <w:sz w:val="24"/>
          <w:szCs w:val="24"/>
        </w:rPr>
        <w:t>effectiveness</w:t>
      </w:r>
      <w:r w:rsidR="0064712B" w:rsidRPr="000938F3">
        <w:rPr>
          <w:rFonts w:ascii="Times New Roman" w:hAnsi="Times New Roman"/>
          <w:sz w:val="24"/>
          <w:szCs w:val="24"/>
        </w:rPr>
        <w:t xml:space="preserve"> and to improve the impact of </w:t>
      </w:r>
      <w:r w:rsidR="009B273B" w:rsidRPr="000938F3">
        <w:rPr>
          <w:rFonts w:ascii="Times New Roman" w:hAnsi="Times New Roman"/>
          <w:sz w:val="24"/>
          <w:szCs w:val="24"/>
        </w:rPr>
        <w:t>development assistance</w:t>
      </w:r>
      <w:r w:rsidR="0064712B" w:rsidRPr="000938F3">
        <w:rPr>
          <w:rFonts w:ascii="Times New Roman" w:hAnsi="Times New Roman"/>
          <w:sz w:val="24"/>
          <w:szCs w:val="24"/>
        </w:rPr>
        <w:t>.</w:t>
      </w:r>
    </w:p>
    <w:p w14:paraId="310A180F" w14:textId="0ADD766D" w:rsidR="00167F39" w:rsidRPr="000938F3" w:rsidRDefault="002E2E9C" w:rsidP="00445BF9">
      <w:pPr>
        <w:pStyle w:val="ListParagraph"/>
        <w:numPr>
          <w:ilvl w:val="0"/>
          <w:numId w:val="26"/>
        </w:numPr>
        <w:spacing w:after="120" w:line="360" w:lineRule="auto"/>
        <w:ind w:hanging="513"/>
        <w:rPr>
          <w:rFonts w:ascii="Times New Roman" w:hAnsi="Times New Roman"/>
          <w:sz w:val="24"/>
          <w:szCs w:val="24"/>
        </w:rPr>
      </w:pPr>
      <w:r w:rsidRPr="000938F3">
        <w:rPr>
          <w:rFonts w:ascii="Times New Roman" w:hAnsi="Times New Roman"/>
          <w:b/>
          <w:sz w:val="24"/>
          <w:szCs w:val="24"/>
        </w:rPr>
        <w:t>Partnership Policy would benefit exploring further on South to South Cooperation.</w:t>
      </w:r>
      <w:r w:rsidRPr="000938F3">
        <w:rPr>
          <w:rFonts w:ascii="Times New Roman" w:hAnsi="Times New Roman"/>
          <w:sz w:val="24"/>
          <w:szCs w:val="24"/>
        </w:rPr>
        <w:t xml:space="preserve"> </w:t>
      </w:r>
      <w:r w:rsidR="00787C84" w:rsidRPr="000938F3">
        <w:rPr>
          <w:rFonts w:ascii="Times New Roman" w:hAnsi="Times New Roman"/>
          <w:sz w:val="24"/>
          <w:szCs w:val="24"/>
        </w:rPr>
        <w:t xml:space="preserve">Regional development (through East African Union projects) to be incorporated into NDP-III. </w:t>
      </w:r>
      <w:r w:rsidR="00FD7FBE" w:rsidRPr="000938F3">
        <w:rPr>
          <w:rFonts w:ascii="Times New Roman" w:hAnsi="Times New Roman"/>
          <w:sz w:val="24"/>
          <w:szCs w:val="24"/>
        </w:rPr>
        <w:t>Policies would benefit having local level considerations</w:t>
      </w:r>
      <w:r w:rsidR="006134B6" w:rsidRPr="000938F3">
        <w:rPr>
          <w:rFonts w:ascii="Times New Roman" w:hAnsi="Times New Roman"/>
          <w:sz w:val="24"/>
          <w:szCs w:val="24"/>
        </w:rPr>
        <w:t xml:space="preserve"> (</w:t>
      </w:r>
      <w:r w:rsidR="00C85210" w:rsidRPr="000938F3">
        <w:rPr>
          <w:rFonts w:ascii="Times New Roman" w:hAnsi="Times New Roman"/>
          <w:sz w:val="24"/>
          <w:szCs w:val="24"/>
        </w:rPr>
        <w:t xml:space="preserve">e.g. </w:t>
      </w:r>
      <w:r w:rsidR="00C35C47" w:rsidRPr="000938F3">
        <w:rPr>
          <w:rFonts w:ascii="Times New Roman" w:hAnsi="Times New Roman"/>
          <w:sz w:val="24"/>
          <w:szCs w:val="24"/>
        </w:rPr>
        <w:t xml:space="preserve">local </w:t>
      </w:r>
      <w:r w:rsidR="00C85210" w:rsidRPr="000938F3">
        <w:rPr>
          <w:rFonts w:ascii="Times New Roman" w:hAnsi="Times New Roman"/>
          <w:sz w:val="24"/>
          <w:szCs w:val="24"/>
        </w:rPr>
        <w:t>infrastructure</w:t>
      </w:r>
      <w:r w:rsidR="00C35C47" w:rsidRPr="000938F3">
        <w:rPr>
          <w:rFonts w:ascii="Times New Roman" w:hAnsi="Times New Roman"/>
          <w:sz w:val="24"/>
          <w:szCs w:val="24"/>
        </w:rPr>
        <w:t xml:space="preserve">, </w:t>
      </w:r>
      <w:r w:rsidR="00C85210" w:rsidRPr="000938F3">
        <w:rPr>
          <w:rFonts w:ascii="Times New Roman" w:hAnsi="Times New Roman"/>
          <w:sz w:val="24"/>
          <w:szCs w:val="24"/>
        </w:rPr>
        <w:t>refugee hosting districts</w:t>
      </w:r>
      <w:r w:rsidR="00C35C47" w:rsidRPr="000938F3">
        <w:rPr>
          <w:rFonts w:ascii="Times New Roman" w:hAnsi="Times New Roman"/>
          <w:sz w:val="24"/>
          <w:szCs w:val="24"/>
        </w:rPr>
        <w:t>)</w:t>
      </w:r>
      <w:r w:rsidR="0025322A" w:rsidRPr="000938F3">
        <w:rPr>
          <w:rFonts w:ascii="Times New Roman" w:hAnsi="Times New Roman"/>
          <w:sz w:val="24"/>
          <w:szCs w:val="24"/>
        </w:rPr>
        <w:t xml:space="preserve">, as well as </w:t>
      </w:r>
      <w:r w:rsidR="00167F39" w:rsidRPr="000938F3">
        <w:rPr>
          <w:rFonts w:ascii="Times New Roman" w:hAnsi="Times New Roman"/>
          <w:sz w:val="24"/>
          <w:szCs w:val="24"/>
        </w:rPr>
        <w:t>guidelines for private sector engagement.</w:t>
      </w:r>
      <w:r w:rsidR="004C6CE0" w:rsidRPr="000938F3">
        <w:rPr>
          <w:rFonts w:ascii="Times New Roman" w:hAnsi="Times New Roman"/>
          <w:sz w:val="24"/>
          <w:szCs w:val="24"/>
        </w:rPr>
        <w:t xml:space="preserve"> The Compulsory Refugee Response Framework (CRRF) to be folded into NDP-III</w:t>
      </w:r>
      <w:r w:rsidR="00CA3782" w:rsidRPr="000938F3">
        <w:rPr>
          <w:rFonts w:ascii="Times New Roman" w:hAnsi="Times New Roman"/>
          <w:sz w:val="24"/>
          <w:szCs w:val="24"/>
        </w:rPr>
        <w:t xml:space="preserve"> </w:t>
      </w:r>
      <w:r w:rsidR="00AA15A1" w:rsidRPr="000938F3">
        <w:rPr>
          <w:rFonts w:ascii="Times New Roman" w:hAnsi="Times New Roman"/>
          <w:sz w:val="24"/>
          <w:szCs w:val="24"/>
        </w:rPr>
        <w:t>by c</w:t>
      </w:r>
      <w:r w:rsidR="00DE2601" w:rsidRPr="000938F3">
        <w:rPr>
          <w:rFonts w:ascii="Times New Roman" w:hAnsi="Times New Roman"/>
          <w:sz w:val="24"/>
          <w:szCs w:val="24"/>
        </w:rPr>
        <w:t>losing humanitarian-development divide (complementary programme)</w:t>
      </w:r>
      <w:r w:rsidR="00AA15A1" w:rsidRPr="000938F3">
        <w:rPr>
          <w:rFonts w:ascii="Times New Roman" w:hAnsi="Times New Roman"/>
          <w:sz w:val="24"/>
          <w:szCs w:val="24"/>
        </w:rPr>
        <w:t xml:space="preserve"> and </w:t>
      </w:r>
      <w:r w:rsidR="00CA3782" w:rsidRPr="000938F3">
        <w:rPr>
          <w:rFonts w:ascii="Times New Roman" w:hAnsi="Times New Roman"/>
          <w:sz w:val="24"/>
          <w:szCs w:val="24"/>
        </w:rPr>
        <w:t>with further consideration of an IDA window on development response on refugee situation.</w:t>
      </w:r>
    </w:p>
    <w:p w14:paraId="2C778E1A" w14:textId="77777777" w:rsidR="00484535" w:rsidRPr="000938F3" w:rsidRDefault="00484535" w:rsidP="00445BF9">
      <w:pPr>
        <w:pStyle w:val="ListParagraph"/>
        <w:numPr>
          <w:ilvl w:val="0"/>
          <w:numId w:val="26"/>
        </w:numPr>
        <w:spacing w:after="120" w:line="360" w:lineRule="auto"/>
        <w:ind w:hanging="513"/>
        <w:rPr>
          <w:rFonts w:ascii="Times New Roman" w:hAnsi="Times New Roman"/>
          <w:sz w:val="24"/>
          <w:szCs w:val="24"/>
        </w:rPr>
      </w:pPr>
      <w:r w:rsidRPr="000938F3">
        <w:rPr>
          <w:rFonts w:ascii="Times New Roman" w:hAnsi="Times New Roman"/>
          <w:b/>
          <w:sz w:val="24"/>
          <w:szCs w:val="24"/>
        </w:rPr>
        <w:t>The Partnership dialogue within National Partnership Forum (NPF)</w:t>
      </w:r>
      <w:r w:rsidRPr="000938F3">
        <w:rPr>
          <w:rFonts w:ascii="Times New Roman" w:hAnsi="Times New Roman"/>
          <w:sz w:val="24"/>
          <w:szCs w:val="24"/>
        </w:rPr>
        <w:t xml:space="preserve"> to be more inclusive and effective throughout the entire cycle, as well as to make it more result oriented.</w:t>
      </w:r>
    </w:p>
    <w:p w14:paraId="362E69F1" w14:textId="4BFE3CE1" w:rsidR="00AB2385" w:rsidRPr="000938F3" w:rsidRDefault="001175C4" w:rsidP="00445BF9">
      <w:pPr>
        <w:pStyle w:val="ListParagraph"/>
        <w:numPr>
          <w:ilvl w:val="0"/>
          <w:numId w:val="26"/>
        </w:numPr>
        <w:spacing w:after="120" w:line="360" w:lineRule="auto"/>
        <w:ind w:hanging="513"/>
        <w:rPr>
          <w:rFonts w:ascii="Times New Roman" w:hAnsi="Times New Roman"/>
          <w:sz w:val="24"/>
          <w:szCs w:val="24"/>
        </w:rPr>
      </w:pPr>
      <w:r w:rsidRPr="000938F3">
        <w:rPr>
          <w:rFonts w:ascii="Times New Roman" w:hAnsi="Times New Roman"/>
          <w:b/>
          <w:sz w:val="24"/>
          <w:szCs w:val="24"/>
        </w:rPr>
        <w:t>S</w:t>
      </w:r>
      <w:r w:rsidR="00AB2385" w:rsidRPr="000938F3">
        <w:rPr>
          <w:rFonts w:ascii="Times New Roman" w:hAnsi="Times New Roman"/>
          <w:b/>
          <w:sz w:val="24"/>
          <w:szCs w:val="24"/>
        </w:rPr>
        <w:t xml:space="preserve">treamline </w:t>
      </w:r>
      <w:r w:rsidRPr="000938F3">
        <w:rPr>
          <w:rFonts w:ascii="Times New Roman" w:hAnsi="Times New Roman"/>
          <w:b/>
          <w:sz w:val="24"/>
          <w:szCs w:val="24"/>
        </w:rPr>
        <w:t xml:space="preserve">Joint sector working groups </w:t>
      </w:r>
      <w:r w:rsidR="00AC2AF5" w:rsidRPr="000938F3">
        <w:rPr>
          <w:rFonts w:ascii="Times New Roman" w:hAnsi="Times New Roman"/>
          <w:b/>
          <w:sz w:val="24"/>
          <w:szCs w:val="24"/>
        </w:rPr>
        <w:t>(</w:t>
      </w:r>
      <w:r w:rsidR="00AB2385" w:rsidRPr="000938F3">
        <w:rPr>
          <w:rFonts w:ascii="Times New Roman" w:hAnsi="Times New Roman"/>
          <w:b/>
          <w:sz w:val="24"/>
          <w:szCs w:val="24"/>
        </w:rPr>
        <w:t>SWGs</w:t>
      </w:r>
      <w:r w:rsidR="00AC2AF5" w:rsidRPr="000938F3">
        <w:rPr>
          <w:rFonts w:ascii="Times New Roman" w:hAnsi="Times New Roman"/>
          <w:b/>
          <w:sz w:val="24"/>
          <w:szCs w:val="24"/>
        </w:rPr>
        <w:t>)</w:t>
      </w:r>
      <w:r w:rsidR="00AB2385" w:rsidRPr="000938F3">
        <w:rPr>
          <w:rFonts w:ascii="Times New Roman" w:hAnsi="Times New Roman"/>
          <w:sz w:val="24"/>
          <w:szCs w:val="24"/>
        </w:rPr>
        <w:t xml:space="preserve"> in line with NDP</w:t>
      </w:r>
      <w:r w:rsidR="00BD31F7" w:rsidRPr="000938F3">
        <w:rPr>
          <w:rFonts w:ascii="Times New Roman" w:hAnsi="Times New Roman"/>
          <w:sz w:val="24"/>
          <w:szCs w:val="24"/>
        </w:rPr>
        <w:t xml:space="preserve"> </w:t>
      </w:r>
      <w:r w:rsidR="00AB2385" w:rsidRPr="000938F3">
        <w:rPr>
          <w:rFonts w:ascii="Times New Roman" w:hAnsi="Times New Roman"/>
          <w:sz w:val="24"/>
          <w:szCs w:val="24"/>
        </w:rPr>
        <w:t>priority areas</w:t>
      </w:r>
      <w:r w:rsidR="000F6DE1" w:rsidRPr="000938F3">
        <w:rPr>
          <w:rFonts w:ascii="Times New Roman" w:hAnsi="Times New Roman"/>
          <w:sz w:val="24"/>
          <w:szCs w:val="24"/>
        </w:rPr>
        <w:t xml:space="preserve"> </w:t>
      </w:r>
      <w:r w:rsidR="00AC2AF5" w:rsidRPr="000938F3">
        <w:rPr>
          <w:rFonts w:ascii="Times New Roman" w:hAnsi="Times New Roman"/>
          <w:sz w:val="24"/>
          <w:szCs w:val="24"/>
        </w:rPr>
        <w:t xml:space="preserve">for SWGs </w:t>
      </w:r>
      <w:r w:rsidR="000F6DE1" w:rsidRPr="000938F3">
        <w:rPr>
          <w:rFonts w:ascii="Times New Roman" w:hAnsi="Times New Roman"/>
          <w:sz w:val="24"/>
          <w:szCs w:val="24"/>
        </w:rPr>
        <w:t>to become a forum on strategic discussion on sector issues</w:t>
      </w:r>
      <w:r w:rsidR="00AB2385" w:rsidRPr="000938F3">
        <w:rPr>
          <w:rFonts w:ascii="Times New Roman" w:hAnsi="Times New Roman"/>
          <w:sz w:val="24"/>
          <w:szCs w:val="24"/>
        </w:rPr>
        <w:t>.</w:t>
      </w:r>
      <w:r w:rsidRPr="000938F3">
        <w:rPr>
          <w:rFonts w:ascii="Times New Roman" w:hAnsi="Times New Roman"/>
          <w:sz w:val="24"/>
          <w:szCs w:val="24"/>
        </w:rPr>
        <w:t xml:space="preserve"> SWGs to be reinvigorated as key vehicles for strengthening dialogue on planning, prioritisation, budgeting, performance monitoring, and policy reforms.</w:t>
      </w:r>
      <w:r w:rsidR="00484535" w:rsidRPr="000938F3">
        <w:rPr>
          <w:rFonts w:ascii="Times New Roman" w:hAnsi="Times New Roman"/>
          <w:sz w:val="24"/>
          <w:szCs w:val="24"/>
        </w:rPr>
        <w:t xml:space="preserve"> Partnership dialogue to become more results-oriented, e.g. all SWGs to identify 1-2 key results where both government and DPs are committed to make progress to which they can be held accountable</w:t>
      </w:r>
      <w:r w:rsidR="0067565F" w:rsidRPr="000938F3">
        <w:rPr>
          <w:rFonts w:ascii="Times New Roman" w:hAnsi="Times New Roman"/>
          <w:sz w:val="24"/>
          <w:szCs w:val="24"/>
        </w:rPr>
        <w:t>. OPM, MoFPED, MoPS, NPA to provide more harmonised guidance and oversight of SWGs – need to ensure accountability in coordination.</w:t>
      </w:r>
      <w:r w:rsidR="00554F6A" w:rsidRPr="000938F3">
        <w:rPr>
          <w:rFonts w:ascii="Times New Roman" w:hAnsi="Times New Roman"/>
          <w:sz w:val="24"/>
          <w:szCs w:val="24"/>
        </w:rPr>
        <w:t xml:space="preserve"> Ensuring SWG processes work effectively to align “on budget” and “off budget” development assistance behind the NDP.  Improving the alignment of sector strategic investment plans may need to be a starting point.</w:t>
      </w:r>
    </w:p>
    <w:p w14:paraId="597BB625" w14:textId="13B35AC9" w:rsidR="00084150" w:rsidRPr="000938F3" w:rsidRDefault="00084150" w:rsidP="00445BF9">
      <w:pPr>
        <w:pStyle w:val="Heading2"/>
        <w:spacing w:after="120"/>
      </w:pPr>
      <w:bookmarkStart w:id="126" w:name="_Toc534926869"/>
      <w:bookmarkStart w:id="127" w:name="_Toc3505181"/>
      <w:r w:rsidRPr="000938F3">
        <w:t>Development Partner Alignment</w:t>
      </w:r>
      <w:bookmarkEnd w:id="126"/>
      <w:bookmarkEnd w:id="127"/>
    </w:p>
    <w:p w14:paraId="450CEA2C" w14:textId="5F705574" w:rsidR="00E24679" w:rsidRPr="00B721EB" w:rsidRDefault="00822716" w:rsidP="00445BF9">
      <w:pPr>
        <w:pStyle w:val="ListParagraph"/>
        <w:numPr>
          <w:ilvl w:val="0"/>
          <w:numId w:val="27"/>
        </w:numPr>
        <w:spacing w:after="120" w:line="360" w:lineRule="auto"/>
        <w:ind w:hanging="513"/>
        <w:rPr>
          <w:rFonts w:ascii="Times New Roman" w:hAnsi="Times New Roman"/>
          <w:sz w:val="24"/>
          <w:szCs w:val="24"/>
        </w:rPr>
      </w:pPr>
      <w:r w:rsidRPr="00B721EB">
        <w:rPr>
          <w:rFonts w:ascii="Times New Roman" w:hAnsi="Times New Roman"/>
          <w:b/>
          <w:sz w:val="24"/>
          <w:szCs w:val="24"/>
        </w:rPr>
        <w:t xml:space="preserve">The development assistance </w:t>
      </w:r>
      <w:r w:rsidR="003C01C7" w:rsidRPr="00B721EB">
        <w:rPr>
          <w:rFonts w:ascii="Times New Roman" w:hAnsi="Times New Roman"/>
          <w:b/>
          <w:sz w:val="24"/>
          <w:szCs w:val="24"/>
        </w:rPr>
        <w:t>to be stronger</w:t>
      </w:r>
      <w:r w:rsidRPr="00B721EB">
        <w:rPr>
          <w:rFonts w:ascii="Times New Roman" w:hAnsi="Times New Roman"/>
          <w:b/>
          <w:sz w:val="24"/>
          <w:szCs w:val="24"/>
        </w:rPr>
        <w:t xml:space="preserve"> aligned with </w:t>
      </w:r>
      <w:r w:rsidR="00981C5C" w:rsidRPr="00B721EB">
        <w:rPr>
          <w:rFonts w:ascii="Times New Roman" w:hAnsi="Times New Roman"/>
          <w:b/>
          <w:sz w:val="24"/>
          <w:szCs w:val="24"/>
        </w:rPr>
        <w:t>national</w:t>
      </w:r>
      <w:r w:rsidR="008A4C21" w:rsidRPr="00B721EB">
        <w:rPr>
          <w:rFonts w:ascii="Times New Roman" w:hAnsi="Times New Roman"/>
          <w:b/>
          <w:sz w:val="24"/>
          <w:szCs w:val="24"/>
        </w:rPr>
        <w:t xml:space="preserve"> </w:t>
      </w:r>
      <w:r w:rsidRPr="00B721EB">
        <w:rPr>
          <w:rFonts w:ascii="Times New Roman" w:hAnsi="Times New Roman"/>
          <w:b/>
          <w:sz w:val="24"/>
          <w:szCs w:val="24"/>
        </w:rPr>
        <w:t>priorities.</w:t>
      </w:r>
      <w:r w:rsidR="00ED5B68" w:rsidRPr="00B721EB">
        <w:rPr>
          <w:rFonts w:ascii="Times New Roman" w:hAnsi="Times New Roman"/>
          <w:sz w:val="24"/>
          <w:szCs w:val="24"/>
        </w:rPr>
        <w:t xml:space="preserve"> </w:t>
      </w:r>
      <w:r w:rsidR="008A4C21" w:rsidRPr="00B721EB">
        <w:rPr>
          <w:rFonts w:ascii="Times New Roman" w:hAnsi="Times New Roman"/>
          <w:sz w:val="24"/>
          <w:szCs w:val="24"/>
        </w:rPr>
        <w:t xml:space="preserve">The alignment should also consider local government priorities and budgets. </w:t>
      </w:r>
      <w:r w:rsidR="00277DFB" w:rsidRPr="00B721EB">
        <w:rPr>
          <w:rFonts w:ascii="Times New Roman" w:hAnsi="Times New Roman"/>
          <w:sz w:val="24"/>
          <w:szCs w:val="24"/>
        </w:rPr>
        <w:t xml:space="preserve">The alignment </w:t>
      </w:r>
      <w:r w:rsidR="006D5F7E" w:rsidRPr="00B721EB">
        <w:rPr>
          <w:rFonts w:ascii="Times New Roman" w:hAnsi="Times New Roman"/>
          <w:sz w:val="24"/>
          <w:szCs w:val="24"/>
        </w:rPr>
        <w:t xml:space="preserve">to consider </w:t>
      </w:r>
      <w:r w:rsidR="00277DFB" w:rsidRPr="00B721EB">
        <w:rPr>
          <w:rFonts w:ascii="Times New Roman" w:hAnsi="Times New Roman"/>
          <w:sz w:val="24"/>
          <w:szCs w:val="24"/>
        </w:rPr>
        <w:t>“off budget” resources</w:t>
      </w:r>
      <w:r w:rsidR="006D5F7E" w:rsidRPr="00B721EB">
        <w:rPr>
          <w:rFonts w:ascii="Times New Roman" w:hAnsi="Times New Roman"/>
          <w:sz w:val="24"/>
          <w:szCs w:val="24"/>
        </w:rPr>
        <w:t xml:space="preserve"> as well.</w:t>
      </w:r>
      <w:r w:rsidR="00277DFB" w:rsidRPr="00B721EB">
        <w:rPr>
          <w:rFonts w:ascii="Times New Roman" w:hAnsi="Times New Roman"/>
          <w:sz w:val="24"/>
          <w:szCs w:val="24"/>
        </w:rPr>
        <w:t xml:space="preserve"> </w:t>
      </w:r>
      <w:r w:rsidR="00E24679" w:rsidRPr="00B721EB">
        <w:rPr>
          <w:rFonts w:ascii="Times New Roman" w:hAnsi="Times New Roman"/>
          <w:sz w:val="24"/>
          <w:szCs w:val="24"/>
        </w:rPr>
        <w:t>Better prioritisation of projects (approach and presentation – easy to understand by various stakeholders)</w:t>
      </w:r>
    </w:p>
    <w:p w14:paraId="0D1F200B" w14:textId="77777777" w:rsidR="00B550CC" w:rsidRPr="000938F3" w:rsidRDefault="00981C5C" w:rsidP="00445BF9">
      <w:pPr>
        <w:pStyle w:val="ListParagraph"/>
        <w:numPr>
          <w:ilvl w:val="0"/>
          <w:numId w:val="27"/>
        </w:numPr>
        <w:spacing w:after="120" w:line="360" w:lineRule="auto"/>
        <w:ind w:hanging="513"/>
        <w:rPr>
          <w:rFonts w:ascii="Times New Roman" w:eastAsia="Arial Unicode MS" w:hAnsi="Times New Roman"/>
          <w:b/>
          <w:sz w:val="24"/>
          <w:szCs w:val="24"/>
        </w:rPr>
      </w:pPr>
      <w:r w:rsidRPr="000938F3">
        <w:rPr>
          <w:rFonts w:ascii="Times New Roman" w:hAnsi="Times New Roman"/>
          <w:sz w:val="24"/>
          <w:szCs w:val="24"/>
        </w:rPr>
        <w:lastRenderedPageBreak/>
        <w:t>To have a common framework for alignment of DPs’ priorities to GoU/NDP priorities. Increased Development Partners’ budget support (or other modality aligned to country), reduced off-budget support.</w:t>
      </w:r>
      <w:r w:rsidR="00277DFB" w:rsidRPr="000938F3">
        <w:rPr>
          <w:rFonts w:ascii="Times New Roman" w:hAnsi="Times New Roman"/>
          <w:sz w:val="24"/>
          <w:szCs w:val="24"/>
        </w:rPr>
        <w:t xml:space="preserve"> </w:t>
      </w:r>
      <w:r w:rsidR="00ED5B68" w:rsidRPr="000938F3">
        <w:rPr>
          <w:rFonts w:ascii="Times New Roman" w:hAnsi="Times New Roman"/>
          <w:sz w:val="24"/>
          <w:szCs w:val="24"/>
        </w:rPr>
        <w:t xml:space="preserve">There is a need for </w:t>
      </w:r>
      <w:r w:rsidR="00ED5B68" w:rsidRPr="000938F3">
        <w:rPr>
          <w:rFonts w:ascii="Times New Roman" w:hAnsi="Times New Roman"/>
          <w:b/>
          <w:sz w:val="24"/>
          <w:szCs w:val="24"/>
        </w:rPr>
        <w:t>structured consultation with DPs on priorities, aligned to the country’s budget calendar.</w:t>
      </w:r>
      <w:r w:rsidR="00737670" w:rsidRPr="000938F3">
        <w:rPr>
          <w:rFonts w:ascii="Times New Roman" w:hAnsi="Times New Roman"/>
          <w:sz w:val="24"/>
          <w:szCs w:val="24"/>
        </w:rPr>
        <w:t xml:space="preserve"> </w:t>
      </w:r>
      <w:r w:rsidR="00277DFB" w:rsidRPr="000938F3">
        <w:rPr>
          <w:rFonts w:ascii="Times New Roman" w:hAnsi="Times New Roman"/>
          <w:sz w:val="24"/>
          <w:szCs w:val="24"/>
        </w:rPr>
        <w:t xml:space="preserve">DPs’ planning cycle </w:t>
      </w:r>
      <w:r w:rsidR="00CD0978" w:rsidRPr="000938F3">
        <w:rPr>
          <w:rFonts w:ascii="Times New Roman" w:hAnsi="Times New Roman"/>
          <w:sz w:val="24"/>
          <w:szCs w:val="24"/>
        </w:rPr>
        <w:t xml:space="preserve">to be </w:t>
      </w:r>
      <w:r w:rsidR="00277DFB" w:rsidRPr="000938F3">
        <w:rPr>
          <w:rFonts w:ascii="Times New Roman" w:hAnsi="Times New Roman"/>
          <w:sz w:val="24"/>
          <w:szCs w:val="24"/>
        </w:rPr>
        <w:t xml:space="preserve">aligned with the </w:t>
      </w:r>
      <w:r w:rsidR="00CD0978" w:rsidRPr="000938F3">
        <w:rPr>
          <w:rFonts w:ascii="Times New Roman" w:hAnsi="Times New Roman"/>
          <w:sz w:val="24"/>
          <w:szCs w:val="24"/>
        </w:rPr>
        <w:t>GoU budget calendar.</w:t>
      </w:r>
      <w:r w:rsidR="00B550CC" w:rsidRPr="000938F3">
        <w:rPr>
          <w:rFonts w:ascii="Times New Roman" w:hAnsi="Times New Roman"/>
          <w:sz w:val="24"/>
          <w:szCs w:val="24"/>
        </w:rPr>
        <w:t xml:space="preserve"> </w:t>
      </w:r>
      <w:r w:rsidR="00B550CC" w:rsidRPr="000938F3">
        <w:rPr>
          <w:rFonts w:ascii="Times New Roman" w:eastAsia="Arial Unicode MS" w:hAnsi="Times New Roman"/>
          <w:b/>
          <w:sz w:val="24"/>
          <w:szCs w:val="24"/>
        </w:rPr>
        <w:t xml:space="preserve">The DPs to indicate a long-term financial envelope </w:t>
      </w:r>
      <w:r w:rsidR="00B550CC" w:rsidRPr="000938F3">
        <w:rPr>
          <w:rFonts w:ascii="Times New Roman" w:eastAsia="Arial Unicode MS" w:hAnsi="Times New Roman"/>
          <w:sz w:val="24"/>
          <w:szCs w:val="24"/>
        </w:rPr>
        <w:t>that better facilitate NDP-II programming.</w:t>
      </w:r>
    </w:p>
    <w:p w14:paraId="405B738F" w14:textId="18790DAB" w:rsidR="0036762A" w:rsidRPr="000938F3" w:rsidRDefault="0036762A" w:rsidP="00445BF9">
      <w:pPr>
        <w:pStyle w:val="ListParagraph"/>
        <w:numPr>
          <w:ilvl w:val="0"/>
          <w:numId w:val="27"/>
        </w:numPr>
        <w:spacing w:after="120" w:line="360" w:lineRule="auto"/>
        <w:ind w:hanging="513"/>
        <w:rPr>
          <w:rFonts w:ascii="Times New Roman" w:hAnsi="Times New Roman"/>
          <w:sz w:val="24"/>
          <w:szCs w:val="24"/>
        </w:rPr>
      </w:pPr>
      <w:r w:rsidRPr="000938F3">
        <w:rPr>
          <w:rFonts w:ascii="Times New Roman" w:hAnsi="Times New Roman"/>
          <w:sz w:val="24"/>
          <w:szCs w:val="24"/>
        </w:rPr>
        <w:t>The Government Annual Performance Review (</w:t>
      </w:r>
      <w:r w:rsidRPr="000938F3">
        <w:rPr>
          <w:rFonts w:ascii="Times New Roman" w:hAnsi="Times New Roman"/>
          <w:b/>
          <w:sz w:val="24"/>
          <w:szCs w:val="24"/>
        </w:rPr>
        <w:t xml:space="preserve">GAPR) </w:t>
      </w:r>
      <w:r w:rsidR="00202E92" w:rsidRPr="000938F3">
        <w:rPr>
          <w:rFonts w:ascii="Times New Roman" w:hAnsi="Times New Roman"/>
          <w:b/>
          <w:sz w:val="24"/>
          <w:szCs w:val="24"/>
        </w:rPr>
        <w:t>to</w:t>
      </w:r>
      <w:r w:rsidRPr="000938F3">
        <w:rPr>
          <w:rFonts w:ascii="Times New Roman" w:hAnsi="Times New Roman"/>
          <w:b/>
          <w:sz w:val="24"/>
          <w:szCs w:val="24"/>
        </w:rPr>
        <w:t xml:space="preserve"> be more systematic</w:t>
      </w:r>
      <w:r w:rsidRPr="000938F3">
        <w:rPr>
          <w:rFonts w:ascii="Times New Roman" w:hAnsi="Times New Roman"/>
          <w:sz w:val="24"/>
          <w:szCs w:val="24"/>
        </w:rPr>
        <w:t xml:space="preserve"> and potentially guide the NPF dialogue to make it more results-oriented and driven by national processes</w:t>
      </w:r>
      <w:r w:rsidR="00AB5FFA" w:rsidRPr="000938F3">
        <w:rPr>
          <w:rFonts w:ascii="Times New Roman" w:hAnsi="Times New Roman"/>
          <w:sz w:val="24"/>
          <w:szCs w:val="24"/>
        </w:rPr>
        <w:t>.</w:t>
      </w:r>
    </w:p>
    <w:p w14:paraId="5D237866" w14:textId="0264CC2E" w:rsidR="00E95108" w:rsidRPr="000938F3" w:rsidRDefault="00ED491C" w:rsidP="00445BF9">
      <w:pPr>
        <w:pStyle w:val="ListParagraph"/>
        <w:numPr>
          <w:ilvl w:val="0"/>
          <w:numId w:val="27"/>
        </w:numPr>
        <w:spacing w:after="120" w:line="360" w:lineRule="auto"/>
        <w:ind w:hanging="513"/>
        <w:rPr>
          <w:rFonts w:ascii="Times New Roman" w:hAnsi="Times New Roman"/>
          <w:sz w:val="24"/>
          <w:szCs w:val="24"/>
        </w:rPr>
      </w:pPr>
      <w:r w:rsidRPr="000938F3">
        <w:rPr>
          <w:rFonts w:ascii="Times New Roman" w:hAnsi="Times New Roman"/>
          <w:sz w:val="24"/>
          <w:szCs w:val="24"/>
        </w:rPr>
        <w:t>To improve t</w:t>
      </w:r>
      <w:r w:rsidR="0036762A" w:rsidRPr="000938F3">
        <w:rPr>
          <w:rFonts w:ascii="Times New Roman" w:hAnsi="Times New Roman"/>
          <w:sz w:val="24"/>
          <w:szCs w:val="24"/>
        </w:rPr>
        <w:t xml:space="preserve">he </w:t>
      </w:r>
      <w:r w:rsidR="0036762A" w:rsidRPr="000938F3">
        <w:rPr>
          <w:rFonts w:ascii="Times New Roman" w:hAnsi="Times New Roman"/>
          <w:b/>
          <w:sz w:val="24"/>
          <w:szCs w:val="24"/>
        </w:rPr>
        <w:t>quality of budget consultations</w:t>
      </w:r>
      <w:r w:rsidR="0036762A" w:rsidRPr="000938F3">
        <w:rPr>
          <w:rFonts w:ascii="Times New Roman" w:hAnsi="Times New Roman"/>
          <w:sz w:val="24"/>
          <w:szCs w:val="24"/>
        </w:rPr>
        <w:t xml:space="preserve"> (including on policy and prioritization of projects) at national and sector</w:t>
      </w:r>
      <w:r w:rsidR="00D22AC4" w:rsidRPr="000938F3">
        <w:rPr>
          <w:rFonts w:ascii="Times New Roman" w:hAnsi="Times New Roman"/>
          <w:sz w:val="24"/>
          <w:szCs w:val="24"/>
        </w:rPr>
        <w:t>al and local</w:t>
      </w:r>
      <w:r w:rsidR="0036762A" w:rsidRPr="000938F3">
        <w:rPr>
          <w:rFonts w:ascii="Times New Roman" w:hAnsi="Times New Roman"/>
          <w:sz w:val="24"/>
          <w:szCs w:val="24"/>
        </w:rPr>
        <w:t xml:space="preserve"> level</w:t>
      </w:r>
      <w:r w:rsidR="00D22AC4" w:rsidRPr="000938F3">
        <w:rPr>
          <w:rFonts w:ascii="Times New Roman" w:hAnsi="Times New Roman"/>
          <w:sz w:val="24"/>
          <w:szCs w:val="24"/>
        </w:rPr>
        <w:t>s</w:t>
      </w:r>
      <w:r w:rsidRPr="000938F3">
        <w:rPr>
          <w:rFonts w:ascii="Times New Roman" w:hAnsi="Times New Roman"/>
          <w:sz w:val="24"/>
          <w:szCs w:val="24"/>
        </w:rPr>
        <w:t xml:space="preserve"> </w:t>
      </w:r>
      <w:r w:rsidR="00202E92" w:rsidRPr="000938F3">
        <w:rPr>
          <w:rFonts w:ascii="Times New Roman" w:hAnsi="Times New Roman"/>
          <w:sz w:val="24"/>
          <w:szCs w:val="24"/>
        </w:rPr>
        <w:t xml:space="preserve">(this </w:t>
      </w:r>
      <w:r w:rsidR="0036762A" w:rsidRPr="000938F3">
        <w:rPr>
          <w:rFonts w:ascii="Times New Roman" w:hAnsi="Times New Roman"/>
          <w:sz w:val="24"/>
          <w:szCs w:val="24"/>
        </w:rPr>
        <w:t>would also be way of strengthening mutual accountability</w:t>
      </w:r>
      <w:r w:rsidR="00202E92" w:rsidRPr="000938F3">
        <w:rPr>
          <w:rFonts w:ascii="Times New Roman" w:hAnsi="Times New Roman"/>
          <w:sz w:val="24"/>
          <w:szCs w:val="24"/>
        </w:rPr>
        <w:t>)</w:t>
      </w:r>
      <w:r w:rsidR="00AD244A" w:rsidRPr="000938F3">
        <w:rPr>
          <w:rFonts w:ascii="Times New Roman" w:hAnsi="Times New Roman"/>
          <w:sz w:val="24"/>
          <w:szCs w:val="24"/>
        </w:rPr>
        <w:t>.</w:t>
      </w:r>
      <w:r w:rsidR="00E95108" w:rsidRPr="000938F3">
        <w:rPr>
          <w:rFonts w:ascii="Times New Roman" w:hAnsi="Times New Roman"/>
          <w:b/>
          <w:sz w:val="24"/>
          <w:szCs w:val="24"/>
        </w:rPr>
        <w:t xml:space="preserve"> </w:t>
      </w:r>
      <w:r w:rsidR="00E95108" w:rsidRPr="000938F3">
        <w:rPr>
          <w:rFonts w:ascii="Times New Roman" w:hAnsi="Times New Roman"/>
          <w:sz w:val="24"/>
          <w:szCs w:val="24"/>
        </w:rPr>
        <w:t xml:space="preserve">The sector strategic planning and </w:t>
      </w:r>
      <w:r w:rsidR="00202E92" w:rsidRPr="000938F3">
        <w:rPr>
          <w:rFonts w:ascii="Times New Roman" w:hAnsi="Times New Roman"/>
          <w:sz w:val="24"/>
          <w:szCs w:val="24"/>
        </w:rPr>
        <w:t xml:space="preserve">the </w:t>
      </w:r>
      <w:r w:rsidR="00E95108" w:rsidRPr="000938F3">
        <w:rPr>
          <w:rFonts w:ascii="Times New Roman" w:hAnsi="Times New Roman"/>
          <w:sz w:val="24"/>
          <w:szCs w:val="24"/>
        </w:rPr>
        <w:t xml:space="preserve">plans to be stronger linked to NDP priorities and need strengthening.  </w:t>
      </w:r>
    </w:p>
    <w:p w14:paraId="0279B7AD" w14:textId="511F47E7" w:rsidR="00737670" w:rsidRPr="000938F3" w:rsidRDefault="00665E63" w:rsidP="00445BF9">
      <w:pPr>
        <w:pStyle w:val="ListParagraph"/>
        <w:numPr>
          <w:ilvl w:val="0"/>
          <w:numId w:val="27"/>
        </w:numPr>
        <w:spacing w:after="120" w:line="360" w:lineRule="auto"/>
        <w:ind w:hanging="513"/>
        <w:rPr>
          <w:rFonts w:ascii="Times New Roman" w:hAnsi="Times New Roman"/>
          <w:sz w:val="24"/>
          <w:szCs w:val="24"/>
        </w:rPr>
      </w:pPr>
      <w:r w:rsidRPr="000938F3">
        <w:rPr>
          <w:rFonts w:ascii="Times New Roman" w:hAnsi="Times New Roman"/>
          <w:b/>
          <w:sz w:val="24"/>
          <w:szCs w:val="24"/>
        </w:rPr>
        <w:t xml:space="preserve">To strengthen Public Investment management (PIM), </w:t>
      </w:r>
      <w:r w:rsidRPr="000938F3">
        <w:rPr>
          <w:rFonts w:ascii="Times New Roman" w:hAnsi="Times New Roman"/>
          <w:sz w:val="24"/>
          <w:szCs w:val="24"/>
        </w:rPr>
        <w:t xml:space="preserve">and </w:t>
      </w:r>
      <w:r w:rsidR="00615CDF" w:rsidRPr="000938F3">
        <w:rPr>
          <w:rFonts w:ascii="Times New Roman" w:hAnsi="Times New Roman"/>
          <w:sz w:val="24"/>
          <w:szCs w:val="24"/>
        </w:rPr>
        <w:t xml:space="preserve">to ensure that </w:t>
      </w:r>
      <w:r w:rsidRPr="000938F3">
        <w:rPr>
          <w:rFonts w:ascii="Times New Roman" w:hAnsi="Times New Roman"/>
          <w:sz w:val="24"/>
          <w:szCs w:val="24"/>
        </w:rPr>
        <w:t xml:space="preserve">all </w:t>
      </w:r>
      <w:r w:rsidR="00615CDF" w:rsidRPr="000938F3">
        <w:rPr>
          <w:rFonts w:ascii="Times New Roman" w:hAnsi="Times New Roman"/>
          <w:sz w:val="24"/>
          <w:szCs w:val="24"/>
        </w:rPr>
        <w:t>DPs</w:t>
      </w:r>
      <w:r w:rsidRPr="000938F3">
        <w:rPr>
          <w:rFonts w:ascii="Times New Roman" w:hAnsi="Times New Roman"/>
          <w:sz w:val="24"/>
          <w:szCs w:val="24"/>
        </w:rPr>
        <w:t xml:space="preserve"> </w:t>
      </w:r>
      <w:r w:rsidR="000B0B9D" w:rsidRPr="000938F3">
        <w:rPr>
          <w:rFonts w:ascii="Times New Roman" w:hAnsi="Times New Roman"/>
          <w:sz w:val="24"/>
          <w:szCs w:val="24"/>
        </w:rPr>
        <w:t xml:space="preserve">(traditional and specifically non-traditional) </w:t>
      </w:r>
      <w:r w:rsidR="00615CDF" w:rsidRPr="000938F3">
        <w:rPr>
          <w:rFonts w:ascii="Times New Roman" w:hAnsi="Times New Roman"/>
          <w:sz w:val="24"/>
          <w:szCs w:val="24"/>
        </w:rPr>
        <w:t xml:space="preserve">are </w:t>
      </w:r>
      <w:r w:rsidRPr="000938F3">
        <w:rPr>
          <w:rFonts w:ascii="Times New Roman" w:hAnsi="Times New Roman"/>
          <w:sz w:val="24"/>
          <w:szCs w:val="24"/>
        </w:rPr>
        <w:t>using</w:t>
      </w:r>
      <w:r w:rsidRPr="000938F3">
        <w:rPr>
          <w:rFonts w:ascii="Times New Roman" w:hAnsi="Times New Roman"/>
          <w:b/>
          <w:sz w:val="24"/>
          <w:szCs w:val="24"/>
        </w:rPr>
        <w:t xml:space="preserve"> robust standards for project appraisals</w:t>
      </w:r>
      <w:r w:rsidR="0050088E" w:rsidRPr="000938F3">
        <w:rPr>
          <w:rFonts w:ascii="Times New Roman" w:hAnsi="Times New Roman"/>
          <w:b/>
          <w:sz w:val="24"/>
          <w:szCs w:val="24"/>
        </w:rPr>
        <w:t xml:space="preserve">. </w:t>
      </w:r>
      <w:r w:rsidR="00293F47" w:rsidRPr="000938F3">
        <w:rPr>
          <w:rFonts w:ascii="Times New Roman" w:hAnsi="Times New Roman"/>
          <w:sz w:val="24"/>
          <w:szCs w:val="24"/>
        </w:rPr>
        <w:t>Reliable and comprehensive project appraisals</w:t>
      </w:r>
      <w:r w:rsidR="000B0B9D" w:rsidRPr="000938F3">
        <w:rPr>
          <w:rFonts w:ascii="Times New Roman" w:hAnsi="Times New Roman"/>
          <w:sz w:val="24"/>
          <w:szCs w:val="24"/>
        </w:rPr>
        <w:t xml:space="preserve"> are needed</w:t>
      </w:r>
      <w:r w:rsidR="00293F47" w:rsidRPr="000938F3">
        <w:rPr>
          <w:rFonts w:ascii="Times New Roman" w:hAnsi="Times New Roman"/>
          <w:sz w:val="24"/>
          <w:szCs w:val="24"/>
        </w:rPr>
        <w:t>, including Social and Environmental Impact Assessments (SEIA).</w:t>
      </w:r>
    </w:p>
    <w:p w14:paraId="10460ACF" w14:textId="77777777" w:rsidR="00BB50FE" w:rsidRPr="000938F3" w:rsidRDefault="00BB50FE" w:rsidP="00445BF9">
      <w:pPr>
        <w:pStyle w:val="Heading2"/>
        <w:spacing w:after="120"/>
      </w:pPr>
      <w:bookmarkStart w:id="128" w:name="_Toc534926870"/>
      <w:bookmarkStart w:id="129" w:name="_Toc3505182"/>
      <w:r w:rsidRPr="000938F3">
        <w:t>Harmonisation, Transaction Costs and Mutual Accountability</w:t>
      </w:r>
      <w:bookmarkEnd w:id="128"/>
      <w:bookmarkEnd w:id="129"/>
    </w:p>
    <w:p w14:paraId="25D14ED8" w14:textId="05258B7F" w:rsidR="006E266D" w:rsidRPr="00B721EB" w:rsidRDefault="00724C89" w:rsidP="00445BF9">
      <w:pPr>
        <w:pStyle w:val="ListParagraph"/>
        <w:numPr>
          <w:ilvl w:val="0"/>
          <w:numId w:val="28"/>
        </w:numPr>
        <w:spacing w:after="120" w:line="360" w:lineRule="auto"/>
        <w:ind w:hanging="513"/>
        <w:rPr>
          <w:rFonts w:ascii="Times New Roman" w:hAnsi="Times New Roman"/>
          <w:sz w:val="24"/>
          <w:szCs w:val="24"/>
        </w:rPr>
      </w:pPr>
      <w:r w:rsidRPr="00B721EB">
        <w:rPr>
          <w:rFonts w:ascii="Times New Roman" w:hAnsi="Times New Roman"/>
          <w:b/>
          <w:sz w:val="24"/>
          <w:szCs w:val="24"/>
        </w:rPr>
        <w:t>Stronger collaboration framework</w:t>
      </w:r>
      <w:r w:rsidRPr="00B721EB">
        <w:rPr>
          <w:rFonts w:ascii="Times New Roman" w:hAnsi="Times New Roman"/>
          <w:sz w:val="24"/>
          <w:szCs w:val="24"/>
        </w:rPr>
        <w:t xml:space="preserve"> between the Government and DPs to be in place. The Government and DPs to agree on the appropriate mode of collaboration and support. </w:t>
      </w:r>
      <w:r w:rsidR="00920444" w:rsidRPr="00B721EB">
        <w:rPr>
          <w:rFonts w:ascii="Times New Roman" w:hAnsi="Times New Roman"/>
          <w:sz w:val="24"/>
          <w:szCs w:val="24"/>
        </w:rPr>
        <w:t xml:space="preserve">Strengthen the coordination function of the Government and DPs. </w:t>
      </w:r>
      <w:r w:rsidR="004E6C88" w:rsidRPr="00B721EB">
        <w:rPr>
          <w:rFonts w:ascii="Times New Roman" w:hAnsi="Times New Roman"/>
          <w:sz w:val="24"/>
          <w:szCs w:val="24"/>
        </w:rPr>
        <w:t>Strengthen and monitor the implementation of the agreed actions of the National Partnerships Forum.</w:t>
      </w:r>
      <w:r w:rsidR="0006032B" w:rsidRPr="00B721EB">
        <w:rPr>
          <w:rFonts w:ascii="Times New Roman" w:hAnsi="Times New Roman"/>
          <w:sz w:val="24"/>
          <w:szCs w:val="24"/>
        </w:rPr>
        <w:t xml:space="preserve"> To e</w:t>
      </w:r>
      <w:r w:rsidR="0000182E" w:rsidRPr="00B721EB">
        <w:rPr>
          <w:rFonts w:ascii="Times New Roman" w:hAnsi="Times New Roman"/>
          <w:sz w:val="24"/>
          <w:szCs w:val="24"/>
        </w:rPr>
        <w:t>nsur</w:t>
      </w:r>
      <w:r w:rsidR="0006032B" w:rsidRPr="00B721EB">
        <w:rPr>
          <w:rFonts w:ascii="Times New Roman" w:hAnsi="Times New Roman"/>
          <w:sz w:val="24"/>
          <w:szCs w:val="24"/>
        </w:rPr>
        <w:t xml:space="preserve">e </w:t>
      </w:r>
      <w:r w:rsidR="0000182E" w:rsidRPr="00B721EB">
        <w:rPr>
          <w:rFonts w:ascii="Times New Roman" w:hAnsi="Times New Roman"/>
          <w:sz w:val="24"/>
          <w:szCs w:val="24"/>
        </w:rPr>
        <w:t>effective arrangements for high level policy dialogue and mutual accountability are in place</w:t>
      </w:r>
      <w:r w:rsidR="0006032B" w:rsidRPr="00B721EB">
        <w:rPr>
          <w:rFonts w:ascii="Times New Roman" w:hAnsi="Times New Roman"/>
          <w:sz w:val="24"/>
          <w:szCs w:val="24"/>
        </w:rPr>
        <w:t>.</w:t>
      </w:r>
      <w:r w:rsidR="006E266D" w:rsidRPr="00B721EB">
        <w:rPr>
          <w:rFonts w:ascii="Times New Roman" w:hAnsi="Times New Roman"/>
          <w:sz w:val="24"/>
          <w:szCs w:val="24"/>
        </w:rPr>
        <w:t xml:space="preserve"> To have stronger ownership and sustainability for all interventions, as well as to ensure cost sharing mechanism between DPs. To strengthen the platform where new DPs can join, as well as to build synergies among DPs to avoid duplication of services. </w:t>
      </w:r>
    </w:p>
    <w:p w14:paraId="5007DBBC" w14:textId="3240A734" w:rsidR="00201E16" w:rsidRPr="000938F3" w:rsidRDefault="000E03FE" w:rsidP="00445BF9">
      <w:pPr>
        <w:pStyle w:val="ListParagraph"/>
        <w:numPr>
          <w:ilvl w:val="0"/>
          <w:numId w:val="28"/>
        </w:numPr>
        <w:spacing w:after="120" w:line="360" w:lineRule="auto"/>
        <w:ind w:hanging="513"/>
        <w:rPr>
          <w:rFonts w:ascii="Times New Roman" w:hAnsi="Times New Roman"/>
          <w:sz w:val="24"/>
          <w:szCs w:val="24"/>
        </w:rPr>
      </w:pPr>
      <w:r w:rsidRPr="000938F3">
        <w:rPr>
          <w:rFonts w:ascii="Times New Roman" w:hAnsi="Times New Roman"/>
          <w:b/>
          <w:sz w:val="24"/>
          <w:szCs w:val="24"/>
        </w:rPr>
        <w:t>T</w:t>
      </w:r>
      <w:r w:rsidR="00741106" w:rsidRPr="000938F3">
        <w:rPr>
          <w:rFonts w:ascii="Times New Roman" w:hAnsi="Times New Roman"/>
          <w:b/>
          <w:sz w:val="24"/>
          <w:szCs w:val="24"/>
        </w:rPr>
        <w:t>o strengthen mutual accountability</w:t>
      </w:r>
      <w:r w:rsidR="0081420F" w:rsidRPr="000938F3">
        <w:rPr>
          <w:rFonts w:ascii="Times New Roman" w:hAnsi="Times New Roman"/>
          <w:b/>
          <w:sz w:val="24"/>
          <w:szCs w:val="24"/>
        </w:rPr>
        <w:t xml:space="preserve"> </w:t>
      </w:r>
      <w:r w:rsidR="00047703" w:rsidRPr="000938F3">
        <w:rPr>
          <w:rFonts w:ascii="Times New Roman" w:hAnsi="Times New Roman"/>
          <w:b/>
          <w:sz w:val="24"/>
          <w:szCs w:val="24"/>
        </w:rPr>
        <w:t xml:space="preserve">though </w:t>
      </w:r>
      <w:r w:rsidR="00EF6809" w:rsidRPr="000938F3">
        <w:rPr>
          <w:rFonts w:ascii="Times New Roman" w:hAnsi="Times New Roman"/>
          <w:b/>
          <w:sz w:val="24"/>
          <w:szCs w:val="24"/>
        </w:rPr>
        <w:t>improve</w:t>
      </w:r>
      <w:r w:rsidR="002E37BE" w:rsidRPr="000938F3">
        <w:rPr>
          <w:rFonts w:ascii="Times New Roman" w:hAnsi="Times New Roman"/>
          <w:b/>
          <w:sz w:val="24"/>
          <w:szCs w:val="24"/>
        </w:rPr>
        <w:t>d</w:t>
      </w:r>
      <w:r w:rsidR="00047703" w:rsidRPr="000938F3">
        <w:rPr>
          <w:rFonts w:ascii="Times New Roman" w:hAnsi="Times New Roman"/>
          <w:b/>
          <w:sz w:val="24"/>
          <w:szCs w:val="24"/>
        </w:rPr>
        <w:t xml:space="preserve"> </w:t>
      </w:r>
      <w:r w:rsidR="003D74E7" w:rsidRPr="000938F3">
        <w:rPr>
          <w:rFonts w:ascii="Times New Roman" w:hAnsi="Times New Roman"/>
          <w:b/>
          <w:sz w:val="24"/>
          <w:szCs w:val="24"/>
        </w:rPr>
        <w:t>monitoring</w:t>
      </w:r>
      <w:r w:rsidR="008C3C34" w:rsidRPr="000938F3">
        <w:rPr>
          <w:rFonts w:ascii="Times New Roman" w:hAnsi="Times New Roman"/>
          <w:b/>
          <w:sz w:val="24"/>
          <w:szCs w:val="24"/>
        </w:rPr>
        <w:t>, joint programme reviews</w:t>
      </w:r>
      <w:r w:rsidR="003D74E7" w:rsidRPr="000938F3">
        <w:rPr>
          <w:rFonts w:ascii="Times New Roman" w:hAnsi="Times New Roman"/>
          <w:b/>
          <w:sz w:val="24"/>
          <w:szCs w:val="24"/>
        </w:rPr>
        <w:t xml:space="preserve"> and reporting,</w:t>
      </w:r>
      <w:r w:rsidR="003D74E7" w:rsidRPr="000938F3">
        <w:rPr>
          <w:rFonts w:ascii="Times New Roman" w:hAnsi="Times New Roman"/>
          <w:sz w:val="24"/>
          <w:szCs w:val="24"/>
        </w:rPr>
        <w:t xml:space="preserve"> </w:t>
      </w:r>
      <w:r w:rsidR="0081420F" w:rsidRPr="000938F3">
        <w:rPr>
          <w:rFonts w:ascii="Times New Roman" w:hAnsi="Times New Roman"/>
          <w:sz w:val="24"/>
          <w:szCs w:val="24"/>
        </w:rPr>
        <w:t>including</w:t>
      </w:r>
      <w:r w:rsidR="0046201E" w:rsidRPr="000938F3">
        <w:rPr>
          <w:rFonts w:ascii="Times New Roman" w:hAnsi="Times New Roman"/>
          <w:sz w:val="24"/>
          <w:szCs w:val="24"/>
        </w:rPr>
        <w:t xml:space="preserve"> for off-budget projects.</w:t>
      </w:r>
      <w:r w:rsidR="00D75E1B" w:rsidRPr="000938F3">
        <w:rPr>
          <w:rFonts w:ascii="Times New Roman" w:hAnsi="Times New Roman"/>
          <w:sz w:val="24"/>
          <w:szCs w:val="24"/>
        </w:rPr>
        <w:t xml:space="preserve"> </w:t>
      </w:r>
      <w:r w:rsidR="00201E16" w:rsidRPr="000938F3">
        <w:rPr>
          <w:rFonts w:ascii="Times New Roman" w:hAnsi="Times New Roman"/>
          <w:sz w:val="24"/>
          <w:szCs w:val="24"/>
        </w:rPr>
        <w:t xml:space="preserve">The Budget Support (or blended modality) to be encouraged. </w:t>
      </w:r>
      <w:r w:rsidR="00D75E1B" w:rsidRPr="000938F3">
        <w:rPr>
          <w:rFonts w:ascii="Times New Roman" w:hAnsi="Times New Roman"/>
          <w:sz w:val="24"/>
          <w:szCs w:val="24"/>
        </w:rPr>
        <w:t>Better division of labour between DPs is needed, as well as harmonisation of DPs reporting.</w:t>
      </w:r>
      <w:r w:rsidR="00E15724" w:rsidRPr="000938F3">
        <w:rPr>
          <w:rFonts w:ascii="Times New Roman" w:hAnsi="Times New Roman"/>
          <w:sz w:val="24"/>
          <w:szCs w:val="24"/>
        </w:rPr>
        <w:t xml:space="preserve"> Increased demand from the GoU for accountability on NDP performance.</w:t>
      </w:r>
      <w:r w:rsidR="00201E16" w:rsidRPr="000938F3">
        <w:rPr>
          <w:rFonts w:ascii="Times New Roman" w:hAnsi="Times New Roman"/>
          <w:sz w:val="24"/>
          <w:szCs w:val="24"/>
        </w:rPr>
        <w:t xml:space="preserve"> Strengthen monitoring and reporting capacity of the government relating to development cooperation. The M&amp;E capacity needs to be strengthened, </w:t>
      </w:r>
      <w:r w:rsidR="00201E16" w:rsidRPr="000938F3">
        <w:rPr>
          <w:rFonts w:ascii="Times New Roman" w:hAnsi="Times New Roman"/>
          <w:sz w:val="24"/>
          <w:szCs w:val="24"/>
        </w:rPr>
        <w:lastRenderedPageBreak/>
        <w:t>including the capacity of executing agencies. Meanwhile, M&amp;E is currently focused on outputs, rather on outcomes, which needs an improvement.</w:t>
      </w:r>
    </w:p>
    <w:p w14:paraId="70186D1C" w14:textId="0E8CD0F1" w:rsidR="00882D9D" w:rsidRPr="000938F3" w:rsidRDefault="00724C89" w:rsidP="00445BF9">
      <w:pPr>
        <w:pStyle w:val="ListParagraph"/>
        <w:numPr>
          <w:ilvl w:val="0"/>
          <w:numId w:val="28"/>
        </w:numPr>
        <w:spacing w:after="120" w:line="360" w:lineRule="auto"/>
        <w:ind w:hanging="513"/>
        <w:rPr>
          <w:rFonts w:ascii="Times New Roman" w:hAnsi="Times New Roman"/>
          <w:b/>
          <w:sz w:val="24"/>
          <w:szCs w:val="24"/>
        </w:rPr>
      </w:pPr>
      <w:r w:rsidRPr="000938F3">
        <w:rPr>
          <w:rFonts w:ascii="Times New Roman" w:hAnsi="Times New Roman"/>
          <w:sz w:val="24"/>
          <w:szCs w:val="24"/>
        </w:rPr>
        <w:t xml:space="preserve">More commitment from DPs to work towards </w:t>
      </w:r>
      <w:r w:rsidRPr="000938F3">
        <w:rPr>
          <w:rFonts w:ascii="Times New Roman" w:hAnsi="Times New Roman"/>
          <w:b/>
          <w:sz w:val="24"/>
          <w:szCs w:val="24"/>
        </w:rPr>
        <w:t>strengthening country systems</w:t>
      </w:r>
      <w:r w:rsidRPr="000938F3">
        <w:rPr>
          <w:rFonts w:ascii="Times New Roman" w:hAnsi="Times New Roman"/>
          <w:sz w:val="24"/>
          <w:szCs w:val="24"/>
        </w:rPr>
        <w:t xml:space="preserve"> and to </w:t>
      </w:r>
      <w:r w:rsidRPr="000938F3">
        <w:rPr>
          <w:rFonts w:ascii="Times New Roman" w:hAnsi="Times New Roman"/>
          <w:b/>
          <w:sz w:val="24"/>
          <w:szCs w:val="24"/>
        </w:rPr>
        <w:t>increase use of country systems.</w:t>
      </w:r>
      <w:r w:rsidRPr="000938F3">
        <w:rPr>
          <w:rFonts w:ascii="Times New Roman" w:hAnsi="Times New Roman"/>
          <w:sz w:val="24"/>
          <w:szCs w:val="24"/>
        </w:rPr>
        <w:t xml:space="preserve"> </w:t>
      </w:r>
      <w:r w:rsidR="00CA4406" w:rsidRPr="000938F3">
        <w:rPr>
          <w:rFonts w:ascii="Times New Roman" w:hAnsi="Times New Roman"/>
          <w:sz w:val="24"/>
          <w:szCs w:val="24"/>
        </w:rPr>
        <w:t xml:space="preserve">Strong enforcement of </w:t>
      </w:r>
      <w:r w:rsidRPr="000938F3">
        <w:rPr>
          <w:rFonts w:ascii="Times New Roman" w:hAnsi="Times New Roman"/>
          <w:b/>
          <w:sz w:val="24"/>
          <w:szCs w:val="24"/>
        </w:rPr>
        <w:t xml:space="preserve">Budget Calendar </w:t>
      </w:r>
      <w:r w:rsidR="00CA4406" w:rsidRPr="000938F3">
        <w:rPr>
          <w:rFonts w:ascii="Times New Roman" w:hAnsi="Times New Roman"/>
          <w:b/>
          <w:sz w:val="24"/>
          <w:szCs w:val="24"/>
        </w:rPr>
        <w:t>is needed</w:t>
      </w:r>
      <w:r w:rsidR="002518C6" w:rsidRPr="000938F3">
        <w:rPr>
          <w:rFonts w:ascii="Times New Roman" w:hAnsi="Times New Roman"/>
          <w:b/>
          <w:sz w:val="24"/>
          <w:szCs w:val="24"/>
        </w:rPr>
        <w:t>, particularly regard</w:t>
      </w:r>
      <w:r w:rsidR="00A97C1E" w:rsidRPr="000938F3">
        <w:rPr>
          <w:rFonts w:ascii="Times New Roman" w:hAnsi="Times New Roman"/>
          <w:b/>
          <w:sz w:val="24"/>
          <w:szCs w:val="24"/>
        </w:rPr>
        <w:t>ing</w:t>
      </w:r>
      <w:r w:rsidR="002518C6" w:rsidRPr="000938F3">
        <w:rPr>
          <w:rFonts w:ascii="Times New Roman" w:hAnsi="Times New Roman"/>
          <w:b/>
          <w:sz w:val="24"/>
          <w:szCs w:val="24"/>
        </w:rPr>
        <w:t xml:space="preserve"> actions related to </w:t>
      </w:r>
      <w:r w:rsidRPr="000938F3">
        <w:rPr>
          <w:rFonts w:ascii="Times New Roman" w:hAnsi="Times New Roman"/>
          <w:b/>
          <w:sz w:val="24"/>
          <w:szCs w:val="24"/>
        </w:rPr>
        <w:t>key NDP processes</w:t>
      </w:r>
      <w:r w:rsidR="002518C6" w:rsidRPr="000938F3">
        <w:rPr>
          <w:rFonts w:ascii="Times New Roman" w:hAnsi="Times New Roman"/>
          <w:b/>
          <w:sz w:val="24"/>
          <w:szCs w:val="24"/>
        </w:rPr>
        <w:t xml:space="preserve">, </w:t>
      </w:r>
      <w:r w:rsidRPr="000938F3">
        <w:rPr>
          <w:rFonts w:ascii="Times New Roman" w:hAnsi="Times New Roman"/>
          <w:sz w:val="24"/>
          <w:szCs w:val="24"/>
        </w:rPr>
        <w:t>consultations with DPs (on programme reviews, prioritisation, planning and medium-term commitments).</w:t>
      </w:r>
      <w:r w:rsidR="00DF11B7" w:rsidRPr="000938F3">
        <w:rPr>
          <w:rFonts w:ascii="Times New Roman" w:hAnsi="Times New Roman"/>
          <w:b/>
          <w:sz w:val="24"/>
          <w:szCs w:val="24"/>
        </w:rPr>
        <w:t xml:space="preserve"> </w:t>
      </w:r>
      <w:r w:rsidR="0029072D" w:rsidRPr="000938F3">
        <w:rPr>
          <w:rFonts w:ascii="Times New Roman" w:hAnsi="Times New Roman"/>
          <w:b/>
          <w:sz w:val="24"/>
          <w:szCs w:val="24"/>
        </w:rPr>
        <w:t xml:space="preserve">Multiyear commitments from DPs to be available at the beginning of the FY. </w:t>
      </w:r>
      <w:r w:rsidR="00DF11B7" w:rsidRPr="000938F3">
        <w:rPr>
          <w:rFonts w:ascii="Times New Roman" w:hAnsi="Times New Roman"/>
          <w:sz w:val="24"/>
          <w:szCs w:val="24"/>
        </w:rPr>
        <w:t>Strengthen NDP prioritisation processes of the G</w:t>
      </w:r>
      <w:r w:rsidR="008272B5" w:rsidRPr="000938F3">
        <w:rPr>
          <w:rFonts w:ascii="Times New Roman" w:hAnsi="Times New Roman"/>
          <w:sz w:val="24"/>
          <w:szCs w:val="24"/>
        </w:rPr>
        <w:t>o</w:t>
      </w:r>
      <w:r w:rsidR="00DF11B7" w:rsidRPr="000938F3">
        <w:rPr>
          <w:rFonts w:ascii="Times New Roman" w:hAnsi="Times New Roman"/>
          <w:sz w:val="24"/>
          <w:szCs w:val="24"/>
        </w:rPr>
        <w:t>U (including Human Capacity Development theme of NDP), and harmonisation between NPA and MoFPED.</w:t>
      </w:r>
      <w:r w:rsidR="004E6C88" w:rsidRPr="000938F3">
        <w:rPr>
          <w:rFonts w:ascii="Times New Roman" w:hAnsi="Times New Roman"/>
          <w:sz w:val="24"/>
          <w:szCs w:val="24"/>
        </w:rPr>
        <w:t xml:space="preserve"> This will include strengthening the role of NPA in designing developments plans for regions.</w:t>
      </w:r>
      <w:r w:rsidR="007635AF" w:rsidRPr="000938F3">
        <w:rPr>
          <w:rFonts w:ascii="Times New Roman" w:hAnsi="Times New Roman"/>
          <w:sz w:val="24"/>
          <w:szCs w:val="24"/>
        </w:rPr>
        <w:t xml:space="preserve"> </w:t>
      </w:r>
    </w:p>
    <w:p w14:paraId="6AE9623F" w14:textId="12EA5DDA" w:rsidR="007635AF" w:rsidRPr="000938F3" w:rsidRDefault="007635AF" w:rsidP="00445BF9">
      <w:pPr>
        <w:pStyle w:val="ListParagraph"/>
        <w:numPr>
          <w:ilvl w:val="0"/>
          <w:numId w:val="28"/>
        </w:numPr>
        <w:spacing w:after="120" w:line="360" w:lineRule="auto"/>
        <w:ind w:hanging="513"/>
        <w:rPr>
          <w:rFonts w:ascii="Times New Roman" w:hAnsi="Times New Roman"/>
          <w:sz w:val="24"/>
          <w:szCs w:val="24"/>
        </w:rPr>
      </w:pPr>
      <w:r w:rsidRPr="000938F3">
        <w:rPr>
          <w:rFonts w:ascii="Times New Roman" w:hAnsi="Times New Roman"/>
          <w:sz w:val="24"/>
          <w:szCs w:val="24"/>
        </w:rPr>
        <w:t xml:space="preserve">The Government to improve the reliability of public financial management, procurement systems and audit systems to firmly address </w:t>
      </w:r>
      <w:r w:rsidR="00B17844" w:rsidRPr="000938F3">
        <w:rPr>
          <w:rFonts w:ascii="Times New Roman" w:hAnsi="Times New Roman"/>
          <w:sz w:val="24"/>
          <w:szCs w:val="24"/>
        </w:rPr>
        <w:t xml:space="preserve">development partner </w:t>
      </w:r>
      <w:r w:rsidRPr="000938F3">
        <w:rPr>
          <w:rFonts w:ascii="Times New Roman" w:hAnsi="Times New Roman"/>
          <w:sz w:val="24"/>
          <w:szCs w:val="24"/>
        </w:rPr>
        <w:t>concerns about putting resources through government channels, that includes on-budget, on treasury modalities.</w:t>
      </w:r>
      <w:r w:rsidR="001365D4" w:rsidRPr="000938F3">
        <w:rPr>
          <w:rFonts w:ascii="Times New Roman" w:hAnsi="Times New Roman"/>
          <w:sz w:val="24"/>
          <w:szCs w:val="24"/>
        </w:rPr>
        <w:t xml:space="preserve"> Existing reform efforts need to be accelerated and expanded to quickly close gaps.</w:t>
      </w:r>
    </w:p>
    <w:p w14:paraId="243DA560" w14:textId="77777777" w:rsidR="009D7650" w:rsidRPr="000938F3" w:rsidRDefault="0053153F" w:rsidP="00445BF9">
      <w:pPr>
        <w:pStyle w:val="ListParagraph"/>
        <w:numPr>
          <w:ilvl w:val="0"/>
          <w:numId w:val="28"/>
        </w:numPr>
        <w:spacing w:after="120" w:line="360" w:lineRule="auto"/>
        <w:ind w:hanging="513"/>
        <w:rPr>
          <w:rFonts w:ascii="Times New Roman" w:hAnsi="Times New Roman"/>
          <w:sz w:val="24"/>
          <w:szCs w:val="24"/>
        </w:rPr>
      </w:pPr>
      <w:r w:rsidRPr="000938F3">
        <w:rPr>
          <w:rFonts w:ascii="Times New Roman" w:hAnsi="Times New Roman"/>
          <w:b/>
          <w:sz w:val="24"/>
          <w:szCs w:val="24"/>
        </w:rPr>
        <w:t>E</w:t>
      </w:r>
      <w:r w:rsidR="00D54DBC" w:rsidRPr="000938F3">
        <w:rPr>
          <w:rFonts w:ascii="Times New Roman" w:hAnsi="Times New Roman"/>
          <w:b/>
          <w:sz w:val="24"/>
          <w:szCs w:val="24"/>
        </w:rPr>
        <w:t xml:space="preserve">ngage private sector </w:t>
      </w:r>
      <w:r w:rsidR="002F1EAE" w:rsidRPr="000938F3">
        <w:rPr>
          <w:rFonts w:ascii="Times New Roman" w:hAnsi="Times New Roman"/>
          <w:b/>
          <w:sz w:val="24"/>
          <w:szCs w:val="24"/>
        </w:rPr>
        <w:t xml:space="preserve">in </w:t>
      </w:r>
      <w:r w:rsidRPr="000938F3">
        <w:rPr>
          <w:rFonts w:ascii="Times New Roman" w:hAnsi="Times New Roman"/>
          <w:b/>
          <w:sz w:val="24"/>
          <w:szCs w:val="24"/>
        </w:rPr>
        <w:t xml:space="preserve">development </w:t>
      </w:r>
      <w:r w:rsidR="002F1EAE" w:rsidRPr="000938F3">
        <w:rPr>
          <w:rFonts w:ascii="Times New Roman" w:hAnsi="Times New Roman"/>
          <w:b/>
          <w:sz w:val="24"/>
          <w:szCs w:val="24"/>
        </w:rPr>
        <w:t>funding,</w:t>
      </w:r>
      <w:r w:rsidR="002F1EAE" w:rsidRPr="000938F3">
        <w:rPr>
          <w:rFonts w:ascii="Times New Roman" w:hAnsi="Times New Roman"/>
          <w:sz w:val="24"/>
          <w:szCs w:val="24"/>
        </w:rPr>
        <w:t xml:space="preserve"> </w:t>
      </w:r>
      <w:r w:rsidRPr="000938F3">
        <w:rPr>
          <w:rFonts w:ascii="Times New Roman" w:hAnsi="Times New Roman"/>
          <w:sz w:val="24"/>
          <w:szCs w:val="24"/>
        </w:rPr>
        <w:t xml:space="preserve">as well as </w:t>
      </w:r>
      <w:r w:rsidR="002F1EAE" w:rsidRPr="000938F3">
        <w:rPr>
          <w:rFonts w:ascii="Times New Roman" w:hAnsi="Times New Roman"/>
          <w:sz w:val="24"/>
          <w:szCs w:val="24"/>
        </w:rPr>
        <w:t>explore</w:t>
      </w:r>
      <w:r w:rsidR="00D54DBC" w:rsidRPr="000938F3">
        <w:rPr>
          <w:rFonts w:ascii="Times New Roman" w:hAnsi="Times New Roman"/>
          <w:sz w:val="24"/>
          <w:szCs w:val="24"/>
        </w:rPr>
        <w:t xml:space="preserve"> programme</w:t>
      </w:r>
      <w:r w:rsidR="002F1EAE" w:rsidRPr="000938F3">
        <w:rPr>
          <w:rFonts w:ascii="Times New Roman" w:hAnsi="Times New Roman"/>
          <w:sz w:val="24"/>
          <w:szCs w:val="24"/>
        </w:rPr>
        <w:t>s</w:t>
      </w:r>
      <w:r w:rsidR="00D54DBC" w:rsidRPr="000938F3">
        <w:rPr>
          <w:rFonts w:ascii="Times New Roman" w:hAnsi="Times New Roman"/>
          <w:sz w:val="24"/>
          <w:szCs w:val="24"/>
        </w:rPr>
        <w:t xml:space="preserve"> support</w:t>
      </w:r>
      <w:r w:rsidR="002F1EAE" w:rsidRPr="000938F3">
        <w:rPr>
          <w:rFonts w:ascii="Times New Roman" w:hAnsi="Times New Roman"/>
          <w:sz w:val="24"/>
          <w:szCs w:val="24"/>
        </w:rPr>
        <w:t>ing</w:t>
      </w:r>
      <w:r w:rsidR="00D54DBC" w:rsidRPr="000938F3">
        <w:rPr>
          <w:rFonts w:ascii="Times New Roman" w:hAnsi="Times New Roman"/>
          <w:sz w:val="24"/>
          <w:szCs w:val="24"/>
        </w:rPr>
        <w:t xml:space="preserve"> PPP.</w:t>
      </w:r>
      <w:r w:rsidR="00E8100B" w:rsidRPr="000938F3">
        <w:rPr>
          <w:rFonts w:ascii="Times New Roman" w:hAnsi="Times New Roman"/>
          <w:sz w:val="24"/>
          <w:szCs w:val="24"/>
        </w:rPr>
        <w:t xml:space="preserve"> The identification of alternative aid modalities which, on the assumption that budget support will continue to decline. Joint funding arrangements used in the past might be another option.</w:t>
      </w:r>
      <w:r w:rsidR="00003AEE" w:rsidRPr="000938F3">
        <w:rPr>
          <w:rFonts w:ascii="Times New Roman" w:hAnsi="Times New Roman"/>
          <w:sz w:val="24"/>
          <w:szCs w:val="24"/>
        </w:rPr>
        <w:t xml:space="preserve"> </w:t>
      </w:r>
      <w:r w:rsidR="0000351A" w:rsidRPr="000938F3">
        <w:rPr>
          <w:rFonts w:ascii="Times New Roman" w:hAnsi="Times New Roman"/>
          <w:b/>
          <w:sz w:val="24"/>
          <w:szCs w:val="24"/>
        </w:rPr>
        <w:t xml:space="preserve">DPs should play catalytic role, investing/contributing to formulate PPP funds. </w:t>
      </w:r>
    </w:p>
    <w:p w14:paraId="67173F43" w14:textId="371B0FE5" w:rsidR="00741106" w:rsidRPr="000938F3" w:rsidRDefault="00741106" w:rsidP="00445BF9">
      <w:pPr>
        <w:pStyle w:val="ListParagraph"/>
        <w:numPr>
          <w:ilvl w:val="0"/>
          <w:numId w:val="28"/>
        </w:numPr>
        <w:spacing w:after="120" w:line="360" w:lineRule="auto"/>
        <w:ind w:hanging="513"/>
        <w:rPr>
          <w:rFonts w:ascii="Times New Roman" w:hAnsi="Times New Roman"/>
          <w:sz w:val="24"/>
          <w:szCs w:val="24"/>
        </w:rPr>
      </w:pPr>
      <w:r w:rsidRPr="000938F3">
        <w:rPr>
          <w:rFonts w:ascii="Times New Roman" w:hAnsi="Times New Roman"/>
          <w:sz w:val="24"/>
          <w:szCs w:val="24"/>
        </w:rPr>
        <w:t>Government to follow on investigations</w:t>
      </w:r>
      <w:r w:rsidR="00874C7B" w:rsidRPr="000938F3">
        <w:rPr>
          <w:rFonts w:ascii="Times New Roman" w:hAnsi="Times New Roman"/>
          <w:sz w:val="24"/>
          <w:szCs w:val="24"/>
        </w:rPr>
        <w:t xml:space="preserve"> and </w:t>
      </w:r>
      <w:r w:rsidRPr="000938F3">
        <w:rPr>
          <w:rFonts w:ascii="Times New Roman" w:hAnsi="Times New Roman"/>
          <w:sz w:val="24"/>
          <w:szCs w:val="24"/>
        </w:rPr>
        <w:t>allegations of fraud and corruption</w:t>
      </w:r>
      <w:r w:rsidR="00874C7B" w:rsidRPr="000938F3">
        <w:rPr>
          <w:rFonts w:ascii="Times New Roman" w:hAnsi="Times New Roman"/>
          <w:sz w:val="24"/>
          <w:szCs w:val="24"/>
        </w:rPr>
        <w:t>.</w:t>
      </w:r>
      <w:r w:rsidRPr="000938F3">
        <w:rPr>
          <w:rFonts w:ascii="Times New Roman" w:hAnsi="Times New Roman"/>
          <w:sz w:val="24"/>
          <w:szCs w:val="24"/>
        </w:rPr>
        <w:t xml:space="preserve"> </w:t>
      </w:r>
    </w:p>
    <w:p w14:paraId="666D8F28" w14:textId="1AFE3F13" w:rsidR="00AA15A1" w:rsidRPr="000938F3" w:rsidRDefault="003204F2" w:rsidP="00445BF9">
      <w:pPr>
        <w:pStyle w:val="ListParagraph"/>
        <w:numPr>
          <w:ilvl w:val="0"/>
          <w:numId w:val="28"/>
        </w:numPr>
        <w:spacing w:after="120" w:line="360" w:lineRule="auto"/>
        <w:ind w:hanging="513"/>
        <w:rPr>
          <w:rFonts w:ascii="Times New Roman" w:hAnsi="Times New Roman"/>
          <w:sz w:val="24"/>
          <w:szCs w:val="24"/>
        </w:rPr>
      </w:pPr>
      <w:r w:rsidRPr="000938F3">
        <w:rPr>
          <w:rFonts w:ascii="Times New Roman" w:hAnsi="Times New Roman"/>
          <w:b/>
          <w:sz w:val="24"/>
          <w:szCs w:val="24"/>
        </w:rPr>
        <w:t xml:space="preserve">To accelerate the </w:t>
      </w:r>
      <w:r w:rsidR="00A23912" w:rsidRPr="000938F3">
        <w:rPr>
          <w:rFonts w:ascii="Times New Roman" w:hAnsi="Times New Roman"/>
          <w:b/>
          <w:sz w:val="24"/>
          <w:szCs w:val="24"/>
        </w:rPr>
        <w:t xml:space="preserve">use of </w:t>
      </w:r>
      <w:r w:rsidR="00E661AF" w:rsidRPr="000938F3">
        <w:rPr>
          <w:rFonts w:ascii="Times New Roman" w:hAnsi="Times New Roman"/>
          <w:b/>
          <w:sz w:val="24"/>
          <w:szCs w:val="24"/>
        </w:rPr>
        <w:t>aid management platform (</w:t>
      </w:r>
      <w:r w:rsidR="00A23912" w:rsidRPr="000938F3">
        <w:rPr>
          <w:rFonts w:ascii="Times New Roman" w:hAnsi="Times New Roman"/>
          <w:b/>
          <w:sz w:val="24"/>
          <w:szCs w:val="24"/>
        </w:rPr>
        <w:t>AMP</w:t>
      </w:r>
      <w:r w:rsidR="00E661AF" w:rsidRPr="000938F3">
        <w:rPr>
          <w:rFonts w:ascii="Times New Roman" w:hAnsi="Times New Roman"/>
          <w:b/>
          <w:sz w:val="24"/>
          <w:szCs w:val="24"/>
        </w:rPr>
        <w:t>)</w:t>
      </w:r>
      <w:r w:rsidR="00A23912" w:rsidRPr="000938F3">
        <w:rPr>
          <w:rFonts w:ascii="Times New Roman" w:hAnsi="Times New Roman"/>
          <w:sz w:val="24"/>
          <w:szCs w:val="24"/>
        </w:rPr>
        <w:t xml:space="preserve"> </w:t>
      </w:r>
      <w:r w:rsidR="009F105E" w:rsidRPr="000938F3">
        <w:rPr>
          <w:rFonts w:ascii="Times New Roman" w:hAnsi="Times New Roman"/>
          <w:sz w:val="24"/>
          <w:szCs w:val="24"/>
        </w:rPr>
        <w:t>to improve aid transparency and the government’s ability to manage development assistance in support of the NDP. A</w:t>
      </w:r>
      <w:r w:rsidR="00A23912" w:rsidRPr="000938F3">
        <w:rPr>
          <w:rFonts w:ascii="Times New Roman" w:hAnsi="Times New Roman"/>
          <w:sz w:val="24"/>
          <w:szCs w:val="24"/>
        </w:rPr>
        <w:t>ll DPs</w:t>
      </w:r>
      <w:r w:rsidRPr="000938F3">
        <w:rPr>
          <w:rFonts w:ascii="Times New Roman" w:hAnsi="Times New Roman"/>
          <w:sz w:val="24"/>
          <w:szCs w:val="24"/>
        </w:rPr>
        <w:t xml:space="preserve"> to </w:t>
      </w:r>
      <w:r w:rsidR="00D22643" w:rsidRPr="000938F3">
        <w:rPr>
          <w:rFonts w:ascii="Times New Roman" w:hAnsi="Times New Roman"/>
          <w:sz w:val="24"/>
          <w:szCs w:val="24"/>
        </w:rPr>
        <w:t>provide</w:t>
      </w:r>
      <w:r w:rsidR="00E661AF" w:rsidRPr="000938F3">
        <w:rPr>
          <w:rFonts w:ascii="Times New Roman" w:hAnsi="Times New Roman"/>
          <w:sz w:val="24"/>
          <w:szCs w:val="24"/>
        </w:rPr>
        <w:t xml:space="preserve"> comprehensive data</w:t>
      </w:r>
      <w:r w:rsidR="00D22643" w:rsidRPr="000938F3">
        <w:rPr>
          <w:rFonts w:ascii="Times New Roman" w:hAnsi="Times New Roman"/>
          <w:sz w:val="24"/>
          <w:szCs w:val="24"/>
        </w:rPr>
        <w:t xml:space="preserve"> in AMP</w:t>
      </w:r>
      <w:r w:rsidR="00E661AF" w:rsidRPr="000938F3">
        <w:rPr>
          <w:rFonts w:ascii="Times New Roman" w:hAnsi="Times New Roman"/>
          <w:sz w:val="24"/>
          <w:szCs w:val="24"/>
        </w:rPr>
        <w:t xml:space="preserve">, including </w:t>
      </w:r>
      <w:r w:rsidR="00D22643" w:rsidRPr="000938F3">
        <w:rPr>
          <w:rFonts w:ascii="Times New Roman" w:hAnsi="Times New Roman"/>
          <w:sz w:val="24"/>
          <w:szCs w:val="24"/>
        </w:rPr>
        <w:t>their</w:t>
      </w:r>
      <w:r w:rsidR="00E661AF" w:rsidRPr="000938F3">
        <w:rPr>
          <w:rFonts w:ascii="Times New Roman" w:hAnsi="Times New Roman"/>
          <w:sz w:val="24"/>
          <w:szCs w:val="24"/>
        </w:rPr>
        <w:t xml:space="preserve"> medium-term funding commitments</w:t>
      </w:r>
      <w:r w:rsidRPr="000938F3">
        <w:rPr>
          <w:rFonts w:ascii="Times New Roman" w:hAnsi="Times New Roman"/>
          <w:sz w:val="24"/>
          <w:szCs w:val="24"/>
        </w:rPr>
        <w:t>.</w:t>
      </w:r>
      <w:r w:rsidR="006F1BE1" w:rsidRPr="000938F3">
        <w:rPr>
          <w:rFonts w:ascii="Times New Roman" w:hAnsi="Times New Roman"/>
          <w:sz w:val="24"/>
          <w:szCs w:val="24"/>
        </w:rPr>
        <w:t xml:space="preserve"> DPs to address concerns about their aid reporting and management, especially by providing more comprehensive and timely information, including about their “off budget” support, and by keeping this information up to date in AMP.</w:t>
      </w:r>
    </w:p>
    <w:p w14:paraId="4777C0B3" w14:textId="77777777" w:rsidR="0079052D" w:rsidRPr="000938F3" w:rsidRDefault="0079052D" w:rsidP="00445BF9">
      <w:pPr>
        <w:pStyle w:val="Heading2"/>
        <w:spacing w:after="120"/>
      </w:pPr>
      <w:bookmarkStart w:id="130" w:name="_Toc534926871"/>
      <w:bookmarkStart w:id="131" w:name="_Toc3505183"/>
      <w:r w:rsidRPr="000938F3">
        <w:t>Development Assistance from Non-Traditional Partners</w:t>
      </w:r>
      <w:bookmarkEnd w:id="130"/>
      <w:bookmarkEnd w:id="131"/>
    </w:p>
    <w:p w14:paraId="19E09363" w14:textId="4E2BF99D" w:rsidR="00B961BA" w:rsidRPr="00B721EB" w:rsidRDefault="00EE4476" w:rsidP="00445BF9">
      <w:pPr>
        <w:pStyle w:val="ListParagraph"/>
        <w:numPr>
          <w:ilvl w:val="0"/>
          <w:numId w:val="29"/>
        </w:numPr>
        <w:spacing w:after="120" w:line="360" w:lineRule="auto"/>
        <w:ind w:hanging="513"/>
        <w:rPr>
          <w:rFonts w:ascii="Times New Roman" w:hAnsi="Times New Roman"/>
          <w:sz w:val="24"/>
          <w:szCs w:val="24"/>
        </w:rPr>
      </w:pPr>
      <w:r w:rsidRPr="00B721EB">
        <w:rPr>
          <w:rFonts w:ascii="Times New Roman" w:hAnsi="Times New Roman"/>
          <w:b/>
          <w:sz w:val="24"/>
          <w:szCs w:val="24"/>
        </w:rPr>
        <w:t>Stronger i</w:t>
      </w:r>
      <w:r w:rsidR="00B961BA" w:rsidRPr="00B721EB">
        <w:rPr>
          <w:rFonts w:ascii="Times New Roman" w:hAnsi="Times New Roman"/>
          <w:b/>
          <w:sz w:val="24"/>
          <w:szCs w:val="24"/>
        </w:rPr>
        <w:t>n</w:t>
      </w:r>
      <w:r w:rsidR="00E35423" w:rsidRPr="00B721EB">
        <w:rPr>
          <w:rFonts w:ascii="Times New Roman" w:hAnsi="Times New Roman"/>
          <w:b/>
          <w:sz w:val="24"/>
          <w:szCs w:val="24"/>
        </w:rPr>
        <w:t>volve</w:t>
      </w:r>
      <w:r w:rsidRPr="00B721EB">
        <w:rPr>
          <w:rFonts w:ascii="Times New Roman" w:hAnsi="Times New Roman"/>
          <w:b/>
          <w:sz w:val="24"/>
          <w:szCs w:val="24"/>
        </w:rPr>
        <w:t>ment of</w:t>
      </w:r>
      <w:r w:rsidR="00E35423" w:rsidRPr="00B721EB">
        <w:rPr>
          <w:rFonts w:ascii="Times New Roman" w:hAnsi="Times New Roman"/>
          <w:b/>
          <w:sz w:val="24"/>
          <w:szCs w:val="24"/>
        </w:rPr>
        <w:t xml:space="preserve"> existing</w:t>
      </w:r>
      <w:r w:rsidR="00B961BA" w:rsidRPr="00B721EB">
        <w:rPr>
          <w:rFonts w:ascii="Times New Roman" w:hAnsi="Times New Roman"/>
          <w:b/>
          <w:sz w:val="24"/>
          <w:szCs w:val="24"/>
        </w:rPr>
        <w:t> non-traditional partners</w:t>
      </w:r>
      <w:r w:rsidRPr="00B721EB">
        <w:rPr>
          <w:rFonts w:ascii="Times New Roman" w:hAnsi="Times New Roman"/>
          <w:b/>
          <w:sz w:val="24"/>
          <w:szCs w:val="24"/>
        </w:rPr>
        <w:t xml:space="preserve"> in partnership forum and partnership platforms</w:t>
      </w:r>
      <w:r w:rsidR="004A4934" w:rsidRPr="00B721EB">
        <w:rPr>
          <w:rFonts w:ascii="Times New Roman" w:hAnsi="Times New Roman"/>
          <w:b/>
          <w:sz w:val="24"/>
          <w:szCs w:val="24"/>
        </w:rPr>
        <w:t>.</w:t>
      </w:r>
      <w:r w:rsidR="004A4934" w:rsidRPr="00B721EB">
        <w:rPr>
          <w:rFonts w:ascii="Times New Roman" w:hAnsi="Times New Roman"/>
          <w:sz w:val="24"/>
          <w:szCs w:val="24"/>
        </w:rPr>
        <w:t xml:space="preserve"> </w:t>
      </w:r>
      <w:r w:rsidR="002722CD" w:rsidRPr="00B721EB">
        <w:rPr>
          <w:rFonts w:ascii="Times New Roman" w:hAnsi="Times New Roman"/>
          <w:sz w:val="24"/>
          <w:szCs w:val="24"/>
        </w:rPr>
        <w:t xml:space="preserve">The </w:t>
      </w:r>
      <w:r w:rsidR="00352A93" w:rsidRPr="00B721EB">
        <w:rPr>
          <w:rFonts w:ascii="Times New Roman" w:hAnsi="Times New Roman"/>
          <w:sz w:val="24"/>
          <w:szCs w:val="24"/>
        </w:rPr>
        <w:t>Government and Uganda</w:t>
      </w:r>
      <w:r w:rsidR="002722CD" w:rsidRPr="00B721EB">
        <w:rPr>
          <w:rFonts w:ascii="Times New Roman" w:hAnsi="Times New Roman"/>
          <w:sz w:val="24"/>
          <w:szCs w:val="24"/>
        </w:rPr>
        <w:t xml:space="preserve"> and DPs</w:t>
      </w:r>
      <w:r w:rsidR="00352A93" w:rsidRPr="00B721EB">
        <w:rPr>
          <w:rFonts w:ascii="Times New Roman" w:hAnsi="Times New Roman"/>
          <w:sz w:val="24"/>
          <w:szCs w:val="24"/>
        </w:rPr>
        <w:t xml:space="preserve"> to work together to engage non-traditional development partners more effectively in sector working group processes to help co-ordinate their support within the NDP framework.  There is scope for traditional and non-traditional patterns to work much more closely together than at present (perhaps </w:t>
      </w:r>
      <w:r w:rsidR="00352A93" w:rsidRPr="00B721EB">
        <w:rPr>
          <w:rFonts w:ascii="Times New Roman" w:hAnsi="Times New Roman"/>
          <w:sz w:val="24"/>
          <w:szCs w:val="24"/>
        </w:rPr>
        <w:lastRenderedPageBreak/>
        <w:t>in arrangements where grant finance is blended with loan finance).</w:t>
      </w:r>
      <w:r w:rsidR="002722CD" w:rsidRPr="00B721EB">
        <w:rPr>
          <w:rFonts w:ascii="Times New Roman" w:hAnsi="Times New Roman"/>
          <w:sz w:val="24"/>
          <w:szCs w:val="24"/>
        </w:rPr>
        <w:t xml:space="preserve"> </w:t>
      </w:r>
      <w:r w:rsidR="004A4934" w:rsidRPr="00B721EB">
        <w:rPr>
          <w:rFonts w:ascii="Times New Roman" w:hAnsi="Times New Roman"/>
          <w:sz w:val="24"/>
          <w:szCs w:val="24"/>
        </w:rPr>
        <w:t>To</w:t>
      </w:r>
      <w:r w:rsidR="00B961BA" w:rsidRPr="00B721EB">
        <w:rPr>
          <w:rFonts w:ascii="Times New Roman" w:hAnsi="Times New Roman"/>
          <w:sz w:val="24"/>
          <w:szCs w:val="24"/>
        </w:rPr>
        <w:t xml:space="preserve"> identify and strengthen outreach to the emerging ones.</w:t>
      </w:r>
    </w:p>
    <w:p w14:paraId="5F7CAA18" w14:textId="04C37369" w:rsidR="00AA15A1" w:rsidRPr="000938F3" w:rsidRDefault="00B961BA" w:rsidP="00445BF9">
      <w:pPr>
        <w:pStyle w:val="ListParagraph"/>
        <w:numPr>
          <w:ilvl w:val="0"/>
          <w:numId w:val="29"/>
        </w:numPr>
        <w:spacing w:after="120" w:line="360" w:lineRule="auto"/>
        <w:ind w:hanging="513"/>
        <w:rPr>
          <w:rFonts w:ascii="Times New Roman" w:hAnsi="Times New Roman"/>
          <w:sz w:val="24"/>
          <w:szCs w:val="24"/>
        </w:rPr>
      </w:pPr>
      <w:r w:rsidRPr="000938F3">
        <w:rPr>
          <w:rFonts w:ascii="Times New Roman" w:hAnsi="Times New Roman"/>
          <w:sz w:val="24"/>
          <w:szCs w:val="24"/>
        </w:rPr>
        <w:t>Scrutinise the appetite for non-concessional loans.</w:t>
      </w:r>
    </w:p>
    <w:p w14:paraId="46EC1011" w14:textId="77777777" w:rsidR="008075CB" w:rsidRPr="000938F3" w:rsidRDefault="00797B65" w:rsidP="00445BF9">
      <w:pPr>
        <w:pStyle w:val="ListParagraph"/>
        <w:numPr>
          <w:ilvl w:val="0"/>
          <w:numId w:val="29"/>
        </w:numPr>
        <w:spacing w:after="120" w:line="360" w:lineRule="auto"/>
        <w:ind w:hanging="513"/>
        <w:rPr>
          <w:rFonts w:ascii="Times New Roman" w:hAnsi="Times New Roman"/>
          <w:sz w:val="24"/>
          <w:szCs w:val="24"/>
        </w:rPr>
      </w:pPr>
      <w:r w:rsidRPr="000938F3">
        <w:rPr>
          <w:rFonts w:ascii="Times New Roman" w:hAnsi="Times New Roman"/>
          <w:sz w:val="24"/>
          <w:szCs w:val="24"/>
        </w:rPr>
        <w:t>To encourage mutual accountability and using country systems by non-traditional partners</w:t>
      </w:r>
      <w:r w:rsidR="00075481" w:rsidRPr="000938F3">
        <w:rPr>
          <w:rFonts w:ascii="Times New Roman" w:hAnsi="Times New Roman"/>
          <w:sz w:val="24"/>
          <w:szCs w:val="24"/>
        </w:rPr>
        <w:t xml:space="preserve">, i.e. less </w:t>
      </w:r>
      <w:r w:rsidR="003C4694" w:rsidRPr="000938F3">
        <w:rPr>
          <w:rFonts w:ascii="Times New Roman" w:hAnsi="Times New Roman"/>
          <w:sz w:val="24"/>
          <w:szCs w:val="24"/>
        </w:rPr>
        <w:t>‘tied’</w:t>
      </w:r>
      <w:r w:rsidR="00075481" w:rsidRPr="000938F3">
        <w:rPr>
          <w:rFonts w:ascii="Times New Roman" w:hAnsi="Times New Roman"/>
          <w:sz w:val="24"/>
          <w:szCs w:val="24"/>
        </w:rPr>
        <w:t xml:space="preserve"> aid</w:t>
      </w:r>
      <w:r w:rsidR="003C4694" w:rsidRPr="000938F3">
        <w:rPr>
          <w:rFonts w:ascii="Times New Roman" w:hAnsi="Times New Roman"/>
          <w:sz w:val="24"/>
          <w:szCs w:val="24"/>
        </w:rPr>
        <w:t xml:space="preserve">, </w:t>
      </w:r>
      <w:r w:rsidR="00075481" w:rsidRPr="000938F3">
        <w:rPr>
          <w:rFonts w:ascii="Times New Roman" w:hAnsi="Times New Roman"/>
          <w:sz w:val="24"/>
          <w:szCs w:val="24"/>
        </w:rPr>
        <w:t xml:space="preserve">more </w:t>
      </w:r>
      <w:r w:rsidR="003C4694" w:rsidRPr="000938F3">
        <w:rPr>
          <w:rFonts w:ascii="Times New Roman" w:hAnsi="Times New Roman"/>
          <w:sz w:val="24"/>
          <w:szCs w:val="24"/>
        </w:rPr>
        <w:t xml:space="preserve">development </w:t>
      </w:r>
      <w:r w:rsidR="00075481" w:rsidRPr="000938F3">
        <w:rPr>
          <w:rFonts w:ascii="Times New Roman" w:hAnsi="Times New Roman"/>
          <w:sz w:val="24"/>
          <w:szCs w:val="24"/>
        </w:rPr>
        <w:t xml:space="preserve">focus, rather than private (profit) gain, </w:t>
      </w:r>
      <w:r w:rsidR="009E70A1" w:rsidRPr="000938F3">
        <w:rPr>
          <w:rFonts w:ascii="Times New Roman" w:hAnsi="Times New Roman"/>
          <w:sz w:val="24"/>
          <w:szCs w:val="24"/>
        </w:rPr>
        <w:t xml:space="preserve">including </w:t>
      </w:r>
      <w:r w:rsidR="001B1E91" w:rsidRPr="000938F3">
        <w:rPr>
          <w:rFonts w:ascii="Times New Roman" w:hAnsi="Times New Roman"/>
          <w:sz w:val="24"/>
          <w:szCs w:val="24"/>
        </w:rPr>
        <w:t xml:space="preserve">contributing to the </w:t>
      </w:r>
      <w:r w:rsidR="003C4694" w:rsidRPr="000938F3">
        <w:rPr>
          <w:rFonts w:ascii="Times New Roman" w:hAnsi="Times New Roman"/>
          <w:sz w:val="24"/>
          <w:szCs w:val="24"/>
        </w:rPr>
        <w:t>objectives of the country</w:t>
      </w:r>
      <w:r w:rsidR="009E70A1" w:rsidRPr="000938F3">
        <w:rPr>
          <w:rFonts w:ascii="Times New Roman" w:hAnsi="Times New Roman"/>
          <w:sz w:val="24"/>
          <w:szCs w:val="24"/>
        </w:rPr>
        <w:t xml:space="preserve"> </w:t>
      </w:r>
      <w:r w:rsidR="003C4694" w:rsidRPr="000938F3">
        <w:rPr>
          <w:rFonts w:ascii="Times New Roman" w:hAnsi="Times New Roman"/>
          <w:sz w:val="24"/>
          <w:szCs w:val="24"/>
        </w:rPr>
        <w:t>sustainability</w:t>
      </w:r>
      <w:r w:rsidR="009E70A1" w:rsidRPr="000938F3">
        <w:rPr>
          <w:rFonts w:ascii="Times New Roman" w:hAnsi="Times New Roman"/>
          <w:sz w:val="24"/>
          <w:szCs w:val="24"/>
        </w:rPr>
        <w:t>,</w:t>
      </w:r>
      <w:r w:rsidR="003C4694" w:rsidRPr="000938F3">
        <w:rPr>
          <w:rFonts w:ascii="Times New Roman" w:hAnsi="Times New Roman"/>
          <w:sz w:val="24"/>
          <w:szCs w:val="24"/>
        </w:rPr>
        <w:t xml:space="preserve"> capacity development, a</w:t>
      </w:r>
      <w:r w:rsidR="009E70A1" w:rsidRPr="000938F3">
        <w:rPr>
          <w:rFonts w:ascii="Times New Roman" w:hAnsi="Times New Roman"/>
          <w:sz w:val="24"/>
          <w:szCs w:val="24"/>
        </w:rPr>
        <w:t xml:space="preserve">nd </w:t>
      </w:r>
      <w:r w:rsidR="003C4694" w:rsidRPr="000938F3">
        <w:rPr>
          <w:rFonts w:ascii="Times New Roman" w:hAnsi="Times New Roman"/>
          <w:sz w:val="24"/>
          <w:szCs w:val="24"/>
        </w:rPr>
        <w:t>strengthening country systems.</w:t>
      </w:r>
    </w:p>
    <w:p w14:paraId="6531852A" w14:textId="77777777" w:rsidR="00B721EB" w:rsidRDefault="00B721EB" w:rsidP="00445BF9">
      <w:pPr>
        <w:spacing w:after="120" w:line="360" w:lineRule="auto"/>
        <w:jc w:val="left"/>
        <w:rPr>
          <w:rFonts w:ascii="Times New Roman" w:hAnsi="Times New Roman"/>
          <w:b/>
          <w:bCs/>
          <w:color w:val="000000" w:themeColor="text1"/>
          <w:kern w:val="32"/>
          <w:sz w:val="28"/>
          <w:szCs w:val="24"/>
        </w:rPr>
      </w:pPr>
      <w:bookmarkStart w:id="132" w:name="_Toc534926872"/>
      <w:bookmarkStart w:id="133" w:name="_Toc3505184"/>
      <w:r>
        <w:br w:type="page"/>
      </w:r>
    </w:p>
    <w:p w14:paraId="7542D8E8" w14:textId="38C47E64" w:rsidR="001945AD" w:rsidRPr="000938F3" w:rsidRDefault="001945AD" w:rsidP="00445BF9">
      <w:pPr>
        <w:pStyle w:val="Heading1"/>
        <w:spacing w:before="0"/>
      </w:pPr>
      <w:r w:rsidRPr="000938F3">
        <w:lastRenderedPageBreak/>
        <w:t>Annexes</w:t>
      </w:r>
      <w:bookmarkEnd w:id="132"/>
      <w:bookmarkEnd w:id="133"/>
    </w:p>
    <w:p w14:paraId="568A2BE1" w14:textId="087DAE82" w:rsidR="00FD56C0" w:rsidRPr="000938F3" w:rsidRDefault="00FD56C0" w:rsidP="00445BF9">
      <w:pPr>
        <w:pStyle w:val="Heading2"/>
        <w:numPr>
          <w:ilvl w:val="0"/>
          <w:numId w:val="0"/>
        </w:numPr>
        <w:spacing w:after="120"/>
      </w:pPr>
      <w:bookmarkStart w:id="134" w:name="_Toc534926873"/>
      <w:bookmarkStart w:id="135" w:name="_Toc3505185"/>
      <w:r w:rsidRPr="000938F3">
        <w:t>Annex 1: References</w:t>
      </w:r>
      <w:bookmarkEnd w:id="134"/>
      <w:bookmarkEnd w:id="135"/>
    </w:p>
    <w:p w14:paraId="47FB793E" w14:textId="738DA04F" w:rsidR="004D276E" w:rsidRPr="000938F3" w:rsidRDefault="004D276E" w:rsidP="00445BF9">
      <w:pPr>
        <w:pStyle w:val="PlainText"/>
        <w:spacing w:after="120" w:line="360" w:lineRule="auto"/>
        <w:ind w:left="720" w:hanging="720"/>
        <w:jc w:val="both"/>
        <w:rPr>
          <w:rFonts w:ascii="Times New Roman" w:eastAsiaTheme="minorHAnsi" w:hAnsi="Times New Roman"/>
          <w:sz w:val="24"/>
          <w:szCs w:val="24"/>
        </w:rPr>
      </w:pPr>
      <w:r w:rsidRPr="000938F3">
        <w:rPr>
          <w:rFonts w:ascii="Times New Roman" w:hAnsi="Times New Roman"/>
          <w:sz w:val="24"/>
          <w:szCs w:val="24"/>
        </w:rPr>
        <w:t xml:space="preserve">African Development Bank, Uganda; Bank Group Country Strategy Paper 2011 – 2016 Completion Report </w:t>
      </w:r>
      <w:r w:rsidR="00BD1F30" w:rsidRPr="000938F3">
        <w:rPr>
          <w:rFonts w:ascii="Times New Roman" w:hAnsi="Times New Roman"/>
          <w:sz w:val="24"/>
          <w:szCs w:val="24"/>
        </w:rPr>
        <w:t>and</w:t>
      </w:r>
      <w:r w:rsidRPr="000938F3">
        <w:rPr>
          <w:rFonts w:ascii="Times New Roman" w:hAnsi="Times New Roman"/>
          <w:sz w:val="24"/>
          <w:szCs w:val="24"/>
        </w:rPr>
        <w:t xml:space="preserve"> Country Portfolio Performance Review (CPPR)</w:t>
      </w:r>
    </w:p>
    <w:p w14:paraId="1567129F" w14:textId="77777777" w:rsidR="004D276E" w:rsidRPr="000938F3" w:rsidRDefault="004D276E" w:rsidP="00445BF9">
      <w:pPr>
        <w:pStyle w:val="PlainText"/>
        <w:spacing w:after="120" w:line="360" w:lineRule="auto"/>
        <w:ind w:left="720" w:hanging="720"/>
        <w:jc w:val="both"/>
        <w:rPr>
          <w:rFonts w:ascii="Times New Roman" w:hAnsi="Times New Roman"/>
          <w:sz w:val="24"/>
          <w:szCs w:val="24"/>
        </w:rPr>
      </w:pPr>
      <w:r w:rsidRPr="000938F3">
        <w:rPr>
          <w:rFonts w:ascii="Times New Roman" w:hAnsi="Times New Roman"/>
          <w:sz w:val="24"/>
          <w:szCs w:val="24"/>
        </w:rPr>
        <w:t>German Institute for Development Evaluation (DEval), Uganda, Country Sheet, 3/2018.</w:t>
      </w:r>
    </w:p>
    <w:p w14:paraId="2E422219" w14:textId="317240F4" w:rsidR="004D276E" w:rsidRPr="001C0C96" w:rsidRDefault="004D276E" w:rsidP="00445BF9">
      <w:pPr>
        <w:spacing w:after="120" w:line="360" w:lineRule="auto"/>
        <w:ind w:left="720" w:hanging="720"/>
        <w:rPr>
          <w:rFonts w:ascii="Times New Roman" w:eastAsiaTheme="minorHAnsi" w:hAnsi="Times New Roman"/>
          <w:sz w:val="24"/>
          <w:szCs w:val="24"/>
        </w:rPr>
      </w:pPr>
      <w:r w:rsidRPr="001C0C96">
        <w:rPr>
          <w:rFonts w:ascii="Times New Roman" w:hAnsi="Times New Roman"/>
          <w:sz w:val="24"/>
          <w:szCs w:val="24"/>
        </w:rPr>
        <w:t xml:space="preserve">IMF, Uganda 2017 Article IV Consultation and Eighth Review Under </w:t>
      </w:r>
      <w:r w:rsidR="00BD1F30" w:rsidRPr="001C0C96">
        <w:rPr>
          <w:rFonts w:ascii="Times New Roman" w:hAnsi="Times New Roman"/>
          <w:sz w:val="24"/>
          <w:szCs w:val="24"/>
        </w:rPr>
        <w:t>the</w:t>
      </w:r>
      <w:r w:rsidRPr="001C0C96">
        <w:rPr>
          <w:rFonts w:ascii="Times New Roman" w:hAnsi="Times New Roman"/>
          <w:sz w:val="24"/>
          <w:szCs w:val="24"/>
        </w:rPr>
        <w:t xml:space="preserve"> Policy Support Instrument; July 2017</w:t>
      </w:r>
    </w:p>
    <w:p w14:paraId="3A22E5BC"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Ministry of Finance Planning and Economic Development, “Approved Estimates of Revenue and Expenditure (Recurrent and Development) FY 2012/13, FY 2013/14, FY 2014/15, FY 2015/16, FY 20116/17”, Kampala, Uganda.</w:t>
      </w:r>
    </w:p>
    <w:p w14:paraId="67D4302A"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Ministry of Finance Planning and Economic Development, June 2011, “The Background to the Budget 2011/12 Fiscal Year”, Kampala, Uganda.</w:t>
      </w:r>
    </w:p>
    <w:p w14:paraId="5248B76A"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Ministry of Finance Planning and Economic Development, March 2011, “National Budget Framework Paper FY 2011/12 – 2015/16”, Kampala, Uganda.</w:t>
      </w:r>
    </w:p>
    <w:p w14:paraId="4AB13686"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National Planning Authority, 2010, First National Development Plan (NDPI) 2010/11-2014/15, Kampala, Uganda</w:t>
      </w:r>
    </w:p>
    <w:p w14:paraId="0B85846E"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National Planning Authority, 2013, Mid-Term Review of the National Development Plan Report, Kampala, Uganda.</w:t>
      </w:r>
    </w:p>
    <w:p w14:paraId="1C3629F5"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National Planning Authority, June 2015, Second National Development Plan (NDPII) 2015/16-2019/20, Kampala, Uganda.</w:t>
      </w:r>
    </w:p>
    <w:p w14:paraId="64F4661B"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National Planning Authority, Vision 2040, Kampala, Uganda.</w:t>
      </w:r>
    </w:p>
    <w:p w14:paraId="0EFE0C4D"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OAG Uganda, Annual Performance Report, 2017</w:t>
      </w:r>
    </w:p>
    <w:p w14:paraId="432AAE6E" w14:textId="77777777" w:rsidR="004D276E" w:rsidRPr="000938F3" w:rsidRDefault="004D276E" w:rsidP="00445BF9">
      <w:pPr>
        <w:pStyle w:val="PlainText"/>
        <w:spacing w:after="120" w:line="360" w:lineRule="auto"/>
        <w:ind w:left="720" w:hanging="720"/>
        <w:jc w:val="both"/>
        <w:rPr>
          <w:rFonts w:ascii="Times New Roman" w:eastAsiaTheme="minorHAnsi" w:hAnsi="Times New Roman"/>
          <w:sz w:val="24"/>
          <w:szCs w:val="24"/>
        </w:rPr>
      </w:pPr>
      <w:r w:rsidRPr="000938F3">
        <w:rPr>
          <w:rFonts w:ascii="Times New Roman" w:hAnsi="Times New Roman"/>
          <w:sz w:val="24"/>
          <w:szCs w:val="24"/>
        </w:rPr>
        <w:t>Office of the Prime Minister, Government of Uganda, 2017, ''Strengthening the Coordination Function at the Office of The Prime Minister and Sector Working Groups''.</w:t>
      </w:r>
    </w:p>
    <w:p w14:paraId="57727E3D"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Office of the Prime Minister, November 2011, Government Annual Performance Reports, 2010/11, 2011/12, 2012/13, 2013/14, 2014/15, 1015/16, 2016/17 2017/18, Volumes 1and II, Kampala, Uganda</w:t>
      </w:r>
    </w:p>
    <w:p w14:paraId="5E61C08D" w14:textId="77777777" w:rsidR="004D276E" w:rsidRPr="001C0C96" w:rsidRDefault="004D276E" w:rsidP="00445BF9">
      <w:pPr>
        <w:spacing w:after="120" w:line="360" w:lineRule="auto"/>
        <w:ind w:left="717" w:hanging="720"/>
        <w:rPr>
          <w:rFonts w:ascii="Times New Roman" w:hAnsi="Times New Roman"/>
          <w:sz w:val="24"/>
          <w:szCs w:val="24"/>
        </w:rPr>
      </w:pPr>
      <w:r w:rsidRPr="001C0C96">
        <w:rPr>
          <w:rFonts w:ascii="Times New Roman" w:hAnsi="Times New Roman"/>
          <w:sz w:val="24"/>
          <w:szCs w:val="24"/>
        </w:rPr>
        <w:t>Republic of Uganda, June 2012, “Uganda Partnership Policy”, Kampala, Uganda.</w:t>
      </w:r>
    </w:p>
    <w:p w14:paraId="6724CB9E" w14:textId="05CEF91B" w:rsidR="004D276E" w:rsidRPr="000938F3" w:rsidRDefault="004D276E" w:rsidP="00445BF9">
      <w:pPr>
        <w:pStyle w:val="PlainText"/>
        <w:spacing w:after="120" w:line="360" w:lineRule="auto"/>
        <w:ind w:left="720" w:hanging="720"/>
        <w:jc w:val="both"/>
        <w:rPr>
          <w:rFonts w:ascii="Times New Roman" w:eastAsiaTheme="minorHAnsi" w:hAnsi="Times New Roman"/>
          <w:sz w:val="24"/>
          <w:szCs w:val="24"/>
        </w:rPr>
      </w:pPr>
      <w:r w:rsidRPr="000938F3">
        <w:rPr>
          <w:rFonts w:ascii="Times New Roman" w:hAnsi="Times New Roman"/>
          <w:sz w:val="24"/>
          <w:szCs w:val="24"/>
        </w:rPr>
        <w:t xml:space="preserve">The World Bank Group; Country Partnership Framework </w:t>
      </w:r>
      <w:r w:rsidR="00BD1F30" w:rsidRPr="000938F3">
        <w:rPr>
          <w:rFonts w:ascii="Times New Roman" w:hAnsi="Times New Roman"/>
          <w:sz w:val="24"/>
          <w:szCs w:val="24"/>
        </w:rPr>
        <w:t>for</w:t>
      </w:r>
      <w:r w:rsidRPr="000938F3">
        <w:rPr>
          <w:rFonts w:ascii="Times New Roman" w:hAnsi="Times New Roman"/>
          <w:sz w:val="24"/>
          <w:szCs w:val="24"/>
        </w:rPr>
        <w:t xml:space="preserve"> The Republic Of Uganda For The Period FFY 2016-21  </w:t>
      </w:r>
    </w:p>
    <w:p w14:paraId="09A469E8" w14:textId="1230D6EF" w:rsidR="004D276E" w:rsidRPr="000938F3" w:rsidRDefault="004D276E" w:rsidP="00445BF9">
      <w:pPr>
        <w:pStyle w:val="PlainText"/>
        <w:spacing w:after="120" w:line="360" w:lineRule="auto"/>
        <w:ind w:left="720" w:hanging="720"/>
        <w:jc w:val="both"/>
        <w:rPr>
          <w:rFonts w:ascii="Times New Roman" w:eastAsiaTheme="minorHAnsi" w:hAnsi="Times New Roman"/>
          <w:sz w:val="24"/>
          <w:szCs w:val="24"/>
        </w:rPr>
      </w:pPr>
      <w:r w:rsidRPr="000938F3">
        <w:rPr>
          <w:rFonts w:ascii="Times New Roman" w:hAnsi="Times New Roman"/>
          <w:sz w:val="24"/>
          <w:szCs w:val="24"/>
        </w:rPr>
        <w:lastRenderedPageBreak/>
        <w:t xml:space="preserve">Uganda Public Expenditure </w:t>
      </w:r>
      <w:r w:rsidR="00BD1F30" w:rsidRPr="000938F3">
        <w:rPr>
          <w:rFonts w:ascii="Times New Roman" w:hAnsi="Times New Roman"/>
          <w:sz w:val="24"/>
          <w:szCs w:val="24"/>
        </w:rPr>
        <w:t>and</w:t>
      </w:r>
      <w:r w:rsidRPr="000938F3">
        <w:rPr>
          <w:rFonts w:ascii="Times New Roman" w:hAnsi="Times New Roman"/>
          <w:sz w:val="24"/>
          <w:szCs w:val="24"/>
        </w:rPr>
        <w:t xml:space="preserve"> Financial Accountability (PEFA) Assessment 2016; 30th December 2017.</w:t>
      </w:r>
    </w:p>
    <w:p w14:paraId="30B44203" w14:textId="75A030A1" w:rsidR="00634EEF" w:rsidRPr="00773884" w:rsidRDefault="00634EEF" w:rsidP="003666C5">
      <w:pPr>
        <w:spacing w:before="120" w:after="120" w:line="240" w:lineRule="auto"/>
        <w:rPr>
          <w:rFonts w:ascii="Times New Roman" w:hAnsi="Times New Roman"/>
        </w:rPr>
      </w:pPr>
    </w:p>
    <w:p w14:paraId="1D76927E" w14:textId="68DEA4F1" w:rsidR="00634EEF" w:rsidRPr="00773884" w:rsidRDefault="00634EEF">
      <w:pPr>
        <w:spacing w:after="0" w:line="240" w:lineRule="auto"/>
        <w:jc w:val="left"/>
        <w:rPr>
          <w:rFonts w:ascii="Times New Roman" w:hAnsi="Times New Roman"/>
        </w:rPr>
      </w:pPr>
      <w:r w:rsidRPr="00773884">
        <w:rPr>
          <w:rFonts w:ascii="Times New Roman" w:hAnsi="Times New Roman"/>
        </w:rPr>
        <w:br w:type="page"/>
      </w:r>
    </w:p>
    <w:p w14:paraId="19FA1B26" w14:textId="1C79C86B" w:rsidR="00760874" w:rsidRPr="001C0C96" w:rsidRDefault="001945AD" w:rsidP="00445BF9">
      <w:pPr>
        <w:pStyle w:val="Heading2"/>
        <w:numPr>
          <w:ilvl w:val="0"/>
          <w:numId w:val="0"/>
        </w:numPr>
      </w:pPr>
      <w:bookmarkStart w:id="136" w:name="_Toc534926874"/>
      <w:bookmarkStart w:id="137" w:name="_Toc3505186"/>
      <w:r w:rsidRPr="001C0C96">
        <w:lastRenderedPageBreak/>
        <w:t xml:space="preserve">Annex </w:t>
      </w:r>
      <w:r w:rsidR="00FD56C0" w:rsidRPr="001C0C96">
        <w:t>2</w:t>
      </w:r>
      <w:r w:rsidRPr="001C0C96">
        <w:t xml:space="preserve">: </w:t>
      </w:r>
      <w:r w:rsidR="006842EA" w:rsidRPr="001C0C96">
        <w:t>D</w:t>
      </w:r>
      <w:r w:rsidRPr="001C0C96">
        <w:t>ata</w:t>
      </w:r>
      <w:bookmarkEnd w:id="136"/>
      <w:bookmarkEnd w:id="137"/>
      <w:r w:rsidRPr="001C0C96">
        <w:t xml:space="preserve"> </w:t>
      </w:r>
    </w:p>
    <w:p w14:paraId="0ED48014" w14:textId="5610CC88" w:rsidR="006403CC" w:rsidRPr="001C0C96" w:rsidRDefault="006403CC" w:rsidP="003666C5">
      <w:pPr>
        <w:spacing w:before="120" w:after="120" w:line="240" w:lineRule="auto"/>
        <w:rPr>
          <w:rFonts w:ascii="Times New Roman" w:eastAsia="Arial Unicode MS" w:hAnsi="Times New Roman"/>
          <w:b/>
          <w:color w:val="000000" w:themeColor="text1"/>
        </w:rPr>
      </w:pPr>
      <w:bookmarkStart w:id="138" w:name="_Toc3505100"/>
      <w:r w:rsidRPr="001C0C96">
        <w:rPr>
          <w:rFonts w:ascii="Times New Roman" w:hAnsi="Times New Roman"/>
          <w:b/>
          <w:color w:val="000000" w:themeColor="text1"/>
        </w:rPr>
        <w:t xml:space="preserve">Table </w:t>
      </w:r>
      <w:r w:rsidRPr="001C0C96">
        <w:rPr>
          <w:rFonts w:ascii="Times New Roman" w:hAnsi="Times New Roman"/>
          <w:b/>
          <w:color w:val="000000" w:themeColor="text1"/>
        </w:rPr>
        <w:fldChar w:fldCharType="begin"/>
      </w:r>
      <w:r w:rsidRPr="001C0C96">
        <w:rPr>
          <w:rFonts w:ascii="Times New Roman" w:hAnsi="Times New Roman"/>
          <w:b/>
          <w:color w:val="000000" w:themeColor="text1"/>
        </w:rPr>
        <w:instrText xml:space="preserve"> SEQ Table \* ARABIC </w:instrText>
      </w:r>
      <w:r w:rsidRPr="001C0C96">
        <w:rPr>
          <w:rFonts w:ascii="Times New Roman" w:hAnsi="Times New Roman"/>
          <w:b/>
          <w:color w:val="000000" w:themeColor="text1"/>
        </w:rPr>
        <w:fldChar w:fldCharType="separate"/>
      </w:r>
      <w:r w:rsidR="006F31B1">
        <w:rPr>
          <w:rFonts w:ascii="Times New Roman" w:hAnsi="Times New Roman"/>
          <w:b/>
          <w:noProof/>
          <w:color w:val="000000" w:themeColor="text1"/>
        </w:rPr>
        <w:t>3</w:t>
      </w:r>
      <w:r w:rsidRPr="001C0C96">
        <w:rPr>
          <w:rFonts w:ascii="Times New Roman" w:hAnsi="Times New Roman"/>
          <w:b/>
          <w:color w:val="000000" w:themeColor="text1"/>
        </w:rPr>
        <w:fldChar w:fldCharType="end"/>
      </w:r>
      <w:r w:rsidRPr="001C0C96">
        <w:rPr>
          <w:rFonts w:ascii="Times New Roman" w:hAnsi="Times New Roman"/>
          <w:b/>
          <w:color w:val="000000" w:themeColor="text1"/>
        </w:rPr>
        <w:t>:</w:t>
      </w:r>
      <w:r w:rsidRPr="001C0C96">
        <w:rPr>
          <w:rFonts w:ascii="Times New Roman" w:eastAsia="Arial Unicode MS" w:hAnsi="Times New Roman"/>
          <w:b/>
          <w:color w:val="000000" w:themeColor="text1"/>
        </w:rPr>
        <w:t xml:space="preserve"> Total Development Assistance by Type (USD m)</w:t>
      </w:r>
      <w:bookmarkEnd w:id="138"/>
    </w:p>
    <w:tbl>
      <w:tblPr>
        <w:tblW w:w="8877" w:type="dxa"/>
        <w:tblInd w:w="-5" w:type="dxa"/>
        <w:tblLook w:val="04A0" w:firstRow="1" w:lastRow="0" w:firstColumn="1" w:lastColumn="0" w:noHBand="0" w:noVBand="1"/>
      </w:tblPr>
      <w:tblGrid>
        <w:gridCol w:w="4398"/>
        <w:gridCol w:w="1493"/>
        <w:gridCol w:w="1493"/>
        <w:gridCol w:w="1493"/>
      </w:tblGrid>
      <w:tr w:rsidR="006403CC" w:rsidRPr="001C0C96" w14:paraId="3684623E" w14:textId="77777777" w:rsidTr="00773884">
        <w:trPr>
          <w:trHeight w:val="197"/>
        </w:trPr>
        <w:tc>
          <w:tcPr>
            <w:tcW w:w="4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229AE"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Type</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14:paraId="4A45A458"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FY 2015/16</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14:paraId="6CBE9D48"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FY 2016/17</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14:paraId="67A4C0C6"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FY 2017/18</w:t>
            </w:r>
          </w:p>
        </w:tc>
      </w:tr>
      <w:tr w:rsidR="006403CC" w:rsidRPr="001C0C96" w14:paraId="61BE88D4" w14:textId="77777777" w:rsidTr="00773884">
        <w:trPr>
          <w:trHeight w:val="197"/>
        </w:trPr>
        <w:tc>
          <w:tcPr>
            <w:tcW w:w="4398" w:type="dxa"/>
            <w:tcBorders>
              <w:top w:val="nil"/>
              <w:left w:val="single" w:sz="4" w:space="0" w:color="auto"/>
              <w:bottom w:val="single" w:sz="4" w:space="0" w:color="auto"/>
              <w:right w:val="single" w:sz="4" w:space="0" w:color="auto"/>
            </w:tcBorders>
            <w:shd w:val="clear" w:color="auto" w:fill="auto"/>
            <w:noWrap/>
            <w:vAlign w:val="bottom"/>
            <w:hideMark/>
          </w:tcPr>
          <w:p w14:paraId="0FB9B719"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MTEF Budget Support Grant</w:t>
            </w:r>
          </w:p>
        </w:tc>
        <w:tc>
          <w:tcPr>
            <w:tcW w:w="1493" w:type="dxa"/>
            <w:tcBorders>
              <w:top w:val="nil"/>
              <w:left w:val="nil"/>
              <w:bottom w:val="single" w:sz="4" w:space="0" w:color="auto"/>
              <w:right w:val="single" w:sz="4" w:space="0" w:color="auto"/>
            </w:tcBorders>
            <w:shd w:val="clear" w:color="auto" w:fill="auto"/>
            <w:noWrap/>
            <w:vAlign w:val="bottom"/>
            <w:hideMark/>
          </w:tcPr>
          <w:p w14:paraId="62B1F400"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34.52 </w:t>
            </w:r>
          </w:p>
        </w:tc>
        <w:tc>
          <w:tcPr>
            <w:tcW w:w="1493" w:type="dxa"/>
            <w:tcBorders>
              <w:top w:val="nil"/>
              <w:left w:val="nil"/>
              <w:bottom w:val="single" w:sz="4" w:space="0" w:color="auto"/>
              <w:right w:val="single" w:sz="4" w:space="0" w:color="auto"/>
            </w:tcBorders>
            <w:shd w:val="clear" w:color="auto" w:fill="auto"/>
            <w:noWrap/>
            <w:vAlign w:val="bottom"/>
            <w:hideMark/>
          </w:tcPr>
          <w:p w14:paraId="5FEA8D7F"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6.65 </w:t>
            </w:r>
          </w:p>
        </w:tc>
        <w:tc>
          <w:tcPr>
            <w:tcW w:w="1493" w:type="dxa"/>
            <w:tcBorders>
              <w:top w:val="nil"/>
              <w:left w:val="nil"/>
              <w:bottom w:val="single" w:sz="4" w:space="0" w:color="auto"/>
              <w:right w:val="single" w:sz="4" w:space="0" w:color="auto"/>
            </w:tcBorders>
            <w:shd w:val="clear" w:color="auto" w:fill="auto"/>
            <w:noWrap/>
            <w:vAlign w:val="bottom"/>
            <w:hideMark/>
          </w:tcPr>
          <w:p w14:paraId="444337C0"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8.77 </w:t>
            </w:r>
          </w:p>
        </w:tc>
      </w:tr>
      <w:tr w:rsidR="006403CC" w:rsidRPr="001C0C96" w14:paraId="3750E5D8" w14:textId="77777777" w:rsidTr="00773884">
        <w:trPr>
          <w:trHeight w:val="197"/>
        </w:trPr>
        <w:tc>
          <w:tcPr>
            <w:tcW w:w="4398" w:type="dxa"/>
            <w:tcBorders>
              <w:top w:val="nil"/>
              <w:left w:val="single" w:sz="4" w:space="0" w:color="auto"/>
              <w:bottom w:val="single" w:sz="4" w:space="0" w:color="auto"/>
              <w:right w:val="single" w:sz="4" w:space="0" w:color="auto"/>
            </w:tcBorders>
            <w:shd w:val="clear" w:color="auto" w:fill="auto"/>
            <w:noWrap/>
            <w:vAlign w:val="bottom"/>
            <w:hideMark/>
          </w:tcPr>
          <w:p w14:paraId="6594232D"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MTEF Project Support Grant</w:t>
            </w:r>
          </w:p>
        </w:tc>
        <w:tc>
          <w:tcPr>
            <w:tcW w:w="1493" w:type="dxa"/>
            <w:tcBorders>
              <w:top w:val="nil"/>
              <w:left w:val="nil"/>
              <w:bottom w:val="single" w:sz="4" w:space="0" w:color="auto"/>
              <w:right w:val="single" w:sz="4" w:space="0" w:color="auto"/>
            </w:tcBorders>
            <w:shd w:val="clear" w:color="auto" w:fill="auto"/>
            <w:noWrap/>
            <w:vAlign w:val="bottom"/>
            <w:hideMark/>
          </w:tcPr>
          <w:p w14:paraId="7F166057"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237.50 </w:t>
            </w:r>
          </w:p>
        </w:tc>
        <w:tc>
          <w:tcPr>
            <w:tcW w:w="1493" w:type="dxa"/>
            <w:tcBorders>
              <w:top w:val="nil"/>
              <w:left w:val="nil"/>
              <w:bottom w:val="single" w:sz="4" w:space="0" w:color="auto"/>
              <w:right w:val="single" w:sz="4" w:space="0" w:color="auto"/>
            </w:tcBorders>
            <w:shd w:val="clear" w:color="auto" w:fill="auto"/>
            <w:noWrap/>
            <w:vAlign w:val="bottom"/>
            <w:hideMark/>
          </w:tcPr>
          <w:p w14:paraId="187AF87F"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194.64 </w:t>
            </w:r>
          </w:p>
        </w:tc>
        <w:tc>
          <w:tcPr>
            <w:tcW w:w="1493" w:type="dxa"/>
            <w:tcBorders>
              <w:top w:val="nil"/>
              <w:left w:val="nil"/>
              <w:bottom w:val="single" w:sz="4" w:space="0" w:color="auto"/>
              <w:right w:val="single" w:sz="4" w:space="0" w:color="auto"/>
            </w:tcBorders>
            <w:shd w:val="clear" w:color="auto" w:fill="auto"/>
            <w:noWrap/>
            <w:vAlign w:val="bottom"/>
            <w:hideMark/>
          </w:tcPr>
          <w:p w14:paraId="409BE299"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186.20 </w:t>
            </w:r>
          </w:p>
        </w:tc>
      </w:tr>
      <w:tr w:rsidR="006403CC" w:rsidRPr="001C0C96" w14:paraId="4BC16178" w14:textId="77777777" w:rsidTr="00773884">
        <w:trPr>
          <w:trHeight w:val="197"/>
        </w:trPr>
        <w:tc>
          <w:tcPr>
            <w:tcW w:w="4398" w:type="dxa"/>
            <w:tcBorders>
              <w:top w:val="nil"/>
              <w:left w:val="single" w:sz="4" w:space="0" w:color="auto"/>
              <w:bottom w:val="single" w:sz="4" w:space="0" w:color="auto"/>
              <w:right w:val="single" w:sz="4" w:space="0" w:color="auto"/>
            </w:tcBorders>
            <w:shd w:val="clear" w:color="auto" w:fill="auto"/>
            <w:noWrap/>
            <w:vAlign w:val="bottom"/>
            <w:hideMark/>
          </w:tcPr>
          <w:p w14:paraId="358E5647"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NON-MTEF Project Support Grant</w:t>
            </w:r>
          </w:p>
        </w:tc>
        <w:tc>
          <w:tcPr>
            <w:tcW w:w="1493" w:type="dxa"/>
            <w:tcBorders>
              <w:top w:val="nil"/>
              <w:left w:val="nil"/>
              <w:bottom w:val="single" w:sz="4" w:space="0" w:color="auto"/>
              <w:right w:val="single" w:sz="4" w:space="0" w:color="auto"/>
            </w:tcBorders>
            <w:shd w:val="clear" w:color="auto" w:fill="auto"/>
            <w:noWrap/>
            <w:vAlign w:val="bottom"/>
            <w:hideMark/>
          </w:tcPr>
          <w:p w14:paraId="3090AE39"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265.58 </w:t>
            </w:r>
          </w:p>
        </w:tc>
        <w:tc>
          <w:tcPr>
            <w:tcW w:w="1493" w:type="dxa"/>
            <w:tcBorders>
              <w:top w:val="nil"/>
              <w:left w:val="nil"/>
              <w:bottom w:val="single" w:sz="4" w:space="0" w:color="auto"/>
              <w:right w:val="single" w:sz="4" w:space="0" w:color="auto"/>
            </w:tcBorders>
            <w:shd w:val="clear" w:color="auto" w:fill="auto"/>
            <w:noWrap/>
            <w:vAlign w:val="bottom"/>
            <w:hideMark/>
          </w:tcPr>
          <w:p w14:paraId="39787EAC"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266.84 </w:t>
            </w:r>
          </w:p>
        </w:tc>
        <w:tc>
          <w:tcPr>
            <w:tcW w:w="1493" w:type="dxa"/>
            <w:tcBorders>
              <w:top w:val="nil"/>
              <w:left w:val="nil"/>
              <w:bottom w:val="single" w:sz="4" w:space="0" w:color="auto"/>
              <w:right w:val="single" w:sz="4" w:space="0" w:color="auto"/>
            </w:tcBorders>
            <w:shd w:val="clear" w:color="auto" w:fill="auto"/>
            <w:noWrap/>
            <w:vAlign w:val="bottom"/>
            <w:hideMark/>
          </w:tcPr>
          <w:p w14:paraId="5EA06EA4"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265.13 </w:t>
            </w:r>
          </w:p>
        </w:tc>
      </w:tr>
      <w:tr w:rsidR="006403CC" w:rsidRPr="001C0C96" w14:paraId="67BEC77E" w14:textId="77777777" w:rsidTr="00773884">
        <w:trPr>
          <w:trHeight w:val="197"/>
        </w:trPr>
        <w:tc>
          <w:tcPr>
            <w:tcW w:w="4398"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4C514E8"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GRANTS</w:t>
            </w:r>
          </w:p>
        </w:tc>
        <w:tc>
          <w:tcPr>
            <w:tcW w:w="1493" w:type="dxa"/>
            <w:tcBorders>
              <w:top w:val="nil"/>
              <w:left w:val="nil"/>
              <w:bottom w:val="single" w:sz="4" w:space="0" w:color="auto"/>
              <w:right w:val="single" w:sz="4" w:space="0" w:color="auto"/>
            </w:tcBorders>
            <w:shd w:val="clear" w:color="000000" w:fill="C6E0B4"/>
            <w:noWrap/>
            <w:vAlign w:val="bottom"/>
            <w:hideMark/>
          </w:tcPr>
          <w:p w14:paraId="27BFD9BB"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537.60 </w:t>
            </w:r>
          </w:p>
        </w:tc>
        <w:tc>
          <w:tcPr>
            <w:tcW w:w="1493" w:type="dxa"/>
            <w:tcBorders>
              <w:top w:val="nil"/>
              <w:left w:val="nil"/>
              <w:bottom w:val="single" w:sz="4" w:space="0" w:color="auto"/>
              <w:right w:val="single" w:sz="4" w:space="0" w:color="auto"/>
            </w:tcBorders>
            <w:shd w:val="clear" w:color="000000" w:fill="C6E0B4"/>
            <w:noWrap/>
            <w:vAlign w:val="bottom"/>
            <w:hideMark/>
          </w:tcPr>
          <w:p w14:paraId="06109F6C"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468.13 </w:t>
            </w:r>
          </w:p>
        </w:tc>
        <w:tc>
          <w:tcPr>
            <w:tcW w:w="1493" w:type="dxa"/>
            <w:tcBorders>
              <w:top w:val="nil"/>
              <w:left w:val="nil"/>
              <w:bottom w:val="single" w:sz="4" w:space="0" w:color="auto"/>
              <w:right w:val="single" w:sz="4" w:space="0" w:color="auto"/>
            </w:tcBorders>
            <w:shd w:val="clear" w:color="000000" w:fill="C6E0B4"/>
            <w:noWrap/>
            <w:vAlign w:val="bottom"/>
            <w:hideMark/>
          </w:tcPr>
          <w:p w14:paraId="46C0A676"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460.10 </w:t>
            </w:r>
          </w:p>
        </w:tc>
      </w:tr>
      <w:tr w:rsidR="006403CC" w:rsidRPr="001C0C96" w14:paraId="09A77870" w14:textId="77777777" w:rsidTr="00773884">
        <w:trPr>
          <w:trHeight w:val="197"/>
        </w:trPr>
        <w:tc>
          <w:tcPr>
            <w:tcW w:w="4398" w:type="dxa"/>
            <w:tcBorders>
              <w:top w:val="nil"/>
              <w:left w:val="single" w:sz="4" w:space="0" w:color="auto"/>
              <w:bottom w:val="single" w:sz="4" w:space="0" w:color="auto"/>
              <w:right w:val="single" w:sz="4" w:space="0" w:color="auto"/>
            </w:tcBorders>
            <w:shd w:val="clear" w:color="auto" w:fill="auto"/>
            <w:noWrap/>
            <w:vAlign w:val="bottom"/>
            <w:hideMark/>
          </w:tcPr>
          <w:p w14:paraId="1CF829AE"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MTEF Budget Support loans</w:t>
            </w:r>
          </w:p>
        </w:tc>
        <w:tc>
          <w:tcPr>
            <w:tcW w:w="1493" w:type="dxa"/>
            <w:tcBorders>
              <w:top w:val="nil"/>
              <w:left w:val="nil"/>
              <w:bottom w:val="single" w:sz="4" w:space="0" w:color="auto"/>
              <w:right w:val="single" w:sz="4" w:space="0" w:color="auto"/>
            </w:tcBorders>
            <w:shd w:val="clear" w:color="auto" w:fill="auto"/>
            <w:noWrap/>
            <w:vAlign w:val="bottom"/>
            <w:hideMark/>
          </w:tcPr>
          <w:p w14:paraId="7763CA2E"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493" w:type="dxa"/>
            <w:tcBorders>
              <w:top w:val="nil"/>
              <w:left w:val="nil"/>
              <w:bottom w:val="single" w:sz="4" w:space="0" w:color="auto"/>
              <w:right w:val="single" w:sz="4" w:space="0" w:color="auto"/>
            </w:tcBorders>
            <w:shd w:val="clear" w:color="auto" w:fill="auto"/>
            <w:noWrap/>
            <w:vAlign w:val="bottom"/>
            <w:hideMark/>
          </w:tcPr>
          <w:p w14:paraId="4A503BF9"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160.82 </w:t>
            </w:r>
          </w:p>
        </w:tc>
        <w:tc>
          <w:tcPr>
            <w:tcW w:w="1493" w:type="dxa"/>
            <w:tcBorders>
              <w:top w:val="nil"/>
              <w:left w:val="nil"/>
              <w:bottom w:val="single" w:sz="4" w:space="0" w:color="auto"/>
              <w:right w:val="single" w:sz="4" w:space="0" w:color="auto"/>
            </w:tcBorders>
            <w:shd w:val="clear" w:color="auto" w:fill="auto"/>
            <w:noWrap/>
            <w:vAlign w:val="bottom"/>
            <w:hideMark/>
          </w:tcPr>
          <w:p w14:paraId="0319A3A4"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39.18 </w:t>
            </w:r>
          </w:p>
        </w:tc>
      </w:tr>
      <w:tr w:rsidR="006403CC" w:rsidRPr="001C0C96" w14:paraId="3C92FC63" w14:textId="77777777" w:rsidTr="00773884">
        <w:trPr>
          <w:trHeight w:val="197"/>
        </w:trPr>
        <w:tc>
          <w:tcPr>
            <w:tcW w:w="4398" w:type="dxa"/>
            <w:tcBorders>
              <w:top w:val="nil"/>
              <w:left w:val="single" w:sz="4" w:space="0" w:color="auto"/>
              <w:bottom w:val="single" w:sz="4" w:space="0" w:color="auto"/>
              <w:right w:val="single" w:sz="4" w:space="0" w:color="auto"/>
            </w:tcBorders>
            <w:shd w:val="clear" w:color="auto" w:fill="auto"/>
            <w:noWrap/>
            <w:vAlign w:val="bottom"/>
            <w:hideMark/>
          </w:tcPr>
          <w:p w14:paraId="78C41A75"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MTEF Project Support Loans</w:t>
            </w:r>
          </w:p>
        </w:tc>
        <w:tc>
          <w:tcPr>
            <w:tcW w:w="1493" w:type="dxa"/>
            <w:tcBorders>
              <w:top w:val="nil"/>
              <w:left w:val="nil"/>
              <w:bottom w:val="single" w:sz="4" w:space="0" w:color="auto"/>
              <w:right w:val="single" w:sz="4" w:space="0" w:color="auto"/>
            </w:tcBorders>
            <w:shd w:val="clear" w:color="auto" w:fill="auto"/>
            <w:noWrap/>
            <w:vAlign w:val="bottom"/>
            <w:hideMark/>
          </w:tcPr>
          <w:p w14:paraId="1637ED10"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1,003.77 </w:t>
            </w:r>
          </w:p>
        </w:tc>
        <w:tc>
          <w:tcPr>
            <w:tcW w:w="1493" w:type="dxa"/>
            <w:tcBorders>
              <w:top w:val="nil"/>
              <w:left w:val="nil"/>
              <w:bottom w:val="single" w:sz="4" w:space="0" w:color="auto"/>
              <w:right w:val="single" w:sz="4" w:space="0" w:color="auto"/>
            </w:tcBorders>
            <w:shd w:val="clear" w:color="auto" w:fill="auto"/>
            <w:noWrap/>
            <w:vAlign w:val="bottom"/>
            <w:hideMark/>
          </w:tcPr>
          <w:p w14:paraId="7A8E3F06"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841.97 </w:t>
            </w:r>
          </w:p>
        </w:tc>
        <w:tc>
          <w:tcPr>
            <w:tcW w:w="1493" w:type="dxa"/>
            <w:tcBorders>
              <w:top w:val="nil"/>
              <w:left w:val="nil"/>
              <w:bottom w:val="single" w:sz="4" w:space="0" w:color="auto"/>
              <w:right w:val="single" w:sz="4" w:space="0" w:color="auto"/>
            </w:tcBorders>
            <w:shd w:val="clear" w:color="auto" w:fill="auto"/>
            <w:noWrap/>
            <w:vAlign w:val="bottom"/>
            <w:hideMark/>
          </w:tcPr>
          <w:p w14:paraId="3E14BC92"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1,169.01 </w:t>
            </w:r>
          </w:p>
        </w:tc>
      </w:tr>
      <w:tr w:rsidR="006403CC" w:rsidRPr="001C0C96" w14:paraId="0ECE624C" w14:textId="77777777" w:rsidTr="00773884">
        <w:trPr>
          <w:trHeight w:val="207"/>
        </w:trPr>
        <w:tc>
          <w:tcPr>
            <w:tcW w:w="4398" w:type="dxa"/>
            <w:tcBorders>
              <w:top w:val="nil"/>
              <w:left w:val="single" w:sz="4" w:space="0" w:color="auto"/>
              <w:bottom w:val="nil"/>
              <w:right w:val="single" w:sz="4" w:space="0" w:color="auto"/>
            </w:tcBorders>
            <w:shd w:val="clear" w:color="auto" w:fill="C5E0B3" w:themeFill="accent6" w:themeFillTint="66"/>
            <w:noWrap/>
            <w:vAlign w:val="bottom"/>
            <w:hideMark/>
          </w:tcPr>
          <w:p w14:paraId="6DE94983"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LOANS</w:t>
            </w:r>
          </w:p>
        </w:tc>
        <w:tc>
          <w:tcPr>
            <w:tcW w:w="1493" w:type="dxa"/>
            <w:tcBorders>
              <w:top w:val="nil"/>
              <w:left w:val="nil"/>
              <w:bottom w:val="double" w:sz="6" w:space="0" w:color="auto"/>
              <w:right w:val="single" w:sz="4" w:space="0" w:color="auto"/>
            </w:tcBorders>
            <w:shd w:val="clear" w:color="000000" w:fill="C6E0B4"/>
            <w:noWrap/>
            <w:vAlign w:val="bottom"/>
            <w:hideMark/>
          </w:tcPr>
          <w:p w14:paraId="29B627D8"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1,003.77 </w:t>
            </w:r>
          </w:p>
        </w:tc>
        <w:tc>
          <w:tcPr>
            <w:tcW w:w="1493" w:type="dxa"/>
            <w:tcBorders>
              <w:top w:val="nil"/>
              <w:left w:val="nil"/>
              <w:bottom w:val="double" w:sz="6" w:space="0" w:color="auto"/>
              <w:right w:val="single" w:sz="4" w:space="0" w:color="auto"/>
            </w:tcBorders>
            <w:shd w:val="clear" w:color="000000" w:fill="C6E0B4"/>
            <w:noWrap/>
            <w:vAlign w:val="bottom"/>
            <w:hideMark/>
          </w:tcPr>
          <w:p w14:paraId="4C2349AF"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1,002.80 </w:t>
            </w:r>
          </w:p>
        </w:tc>
        <w:tc>
          <w:tcPr>
            <w:tcW w:w="1493" w:type="dxa"/>
            <w:tcBorders>
              <w:top w:val="nil"/>
              <w:left w:val="nil"/>
              <w:bottom w:val="double" w:sz="6" w:space="0" w:color="auto"/>
              <w:right w:val="single" w:sz="4" w:space="0" w:color="auto"/>
            </w:tcBorders>
            <w:shd w:val="clear" w:color="000000" w:fill="C6E0B4"/>
            <w:noWrap/>
            <w:vAlign w:val="bottom"/>
            <w:hideMark/>
          </w:tcPr>
          <w:p w14:paraId="00CE8B9B"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1,208.19 </w:t>
            </w:r>
          </w:p>
        </w:tc>
      </w:tr>
      <w:tr w:rsidR="006403CC" w:rsidRPr="001C0C96" w14:paraId="464DC74F" w14:textId="77777777" w:rsidTr="00773884">
        <w:trPr>
          <w:trHeight w:val="217"/>
        </w:trPr>
        <w:tc>
          <w:tcPr>
            <w:tcW w:w="4398"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14:paraId="1E9DBECD"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TOTAL Development Assistance</w:t>
            </w:r>
          </w:p>
        </w:tc>
        <w:tc>
          <w:tcPr>
            <w:tcW w:w="1493" w:type="dxa"/>
            <w:tcBorders>
              <w:top w:val="nil"/>
              <w:left w:val="nil"/>
              <w:bottom w:val="double" w:sz="6" w:space="0" w:color="auto"/>
              <w:right w:val="nil"/>
            </w:tcBorders>
            <w:shd w:val="clear" w:color="auto" w:fill="auto"/>
            <w:noWrap/>
            <w:vAlign w:val="bottom"/>
            <w:hideMark/>
          </w:tcPr>
          <w:p w14:paraId="24AD7E80"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 xml:space="preserve">     1,541.37 </w:t>
            </w:r>
          </w:p>
        </w:tc>
        <w:tc>
          <w:tcPr>
            <w:tcW w:w="1493" w:type="dxa"/>
            <w:tcBorders>
              <w:top w:val="nil"/>
              <w:left w:val="single" w:sz="4" w:space="0" w:color="auto"/>
              <w:bottom w:val="double" w:sz="6" w:space="0" w:color="auto"/>
              <w:right w:val="single" w:sz="4" w:space="0" w:color="auto"/>
            </w:tcBorders>
            <w:shd w:val="clear" w:color="auto" w:fill="auto"/>
            <w:noWrap/>
            <w:vAlign w:val="bottom"/>
            <w:hideMark/>
          </w:tcPr>
          <w:p w14:paraId="2EDAC34A"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 xml:space="preserve">     1,470.92 </w:t>
            </w:r>
          </w:p>
        </w:tc>
        <w:tc>
          <w:tcPr>
            <w:tcW w:w="1493" w:type="dxa"/>
            <w:tcBorders>
              <w:top w:val="nil"/>
              <w:left w:val="nil"/>
              <w:bottom w:val="double" w:sz="6" w:space="0" w:color="auto"/>
              <w:right w:val="single" w:sz="4" w:space="0" w:color="auto"/>
            </w:tcBorders>
            <w:shd w:val="clear" w:color="auto" w:fill="auto"/>
            <w:noWrap/>
            <w:vAlign w:val="bottom"/>
            <w:hideMark/>
          </w:tcPr>
          <w:p w14:paraId="1982B45B"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 xml:space="preserve">     1,668.29 </w:t>
            </w:r>
          </w:p>
        </w:tc>
      </w:tr>
    </w:tbl>
    <w:p w14:paraId="1098146A"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0CACC2C9" w14:textId="49559FC2" w:rsidR="006403CC" w:rsidRPr="001C0C96" w:rsidRDefault="003666C5" w:rsidP="003666C5">
      <w:pPr>
        <w:spacing w:before="120" w:after="120" w:line="240" w:lineRule="auto"/>
        <w:rPr>
          <w:rFonts w:ascii="Times New Roman" w:hAnsi="Times New Roman"/>
          <w:b/>
          <w:color w:val="000000" w:themeColor="text1"/>
        </w:rPr>
      </w:pPr>
      <w:bookmarkStart w:id="139" w:name="_Toc3505101"/>
      <w:r w:rsidRPr="001C0C96">
        <w:rPr>
          <w:rFonts w:ascii="Times New Roman" w:hAnsi="Times New Roman"/>
          <w:b/>
          <w:color w:val="000000" w:themeColor="text1"/>
        </w:rPr>
        <w:t xml:space="preserve">Table </w:t>
      </w:r>
      <w:r w:rsidRPr="001C0C96">
        <w:rPr>
          <w:rFonts w:ascii="Times New Roman" w:hAnsi="Times New Roman"/>
          <w:b/>
          <w:color w:val="000000" w:themeColor="text1"/>
        </w:rPr>
        <w:fldChar w:fldCharType="begin"/>
      </w:r>
      <w:r w:rsidRPr="001C0C96">
        <w:rPr>
          <w:rFonts w:ascii="Times New Roman" w:hAnsi="Times New Roman"/>
          <w:b/>
          <w:color w:val="000000" w:themeColor="text1"/>
        </w:rPr>
        <w:instrText xml:space="preserve"> SEQ Table \* ARABIC </w:instrText>
      </w:r>
      <w:r w:rsidRPr="001C0C96">
        <w:rPr>
          <w:rFonts w:ascii="Times New Roman" w:hAnsi="Times New Roman"/>
          <w:b/>
          <w:color w:val="000000" w:themeColor="text1"/>
        </w:rPr>
        <w:fldChar w:fldCharType="separate"/>
      </w:r>
      <w:r w:rsidR="006F31B1">
        <w:rPr>
          <w:rFonts w:ascii="Times New Roman" w:hAnsi="Times New Roman"/>
          <w:b/>
          <w:noProof/>
          <w:color w:val="000000" w:themeColor="text1"/>
        </w:rPr>
        <w:t>4</w:t>
      </w:r>
      <w:r w:rsidRPr="001C0C96">
        <w:rPr>
          <w:rFonts w:ascii="Times New Roman" w:hAnsi="Times New Roman"/>
          <w:b/>
          <w:color w:val="000000" w:themeColor="text1"/>
        </w:rPr>
        <w:fldChar w:fldCharType="end"/>
      </w:r>
      <w:r w:rsidRPr="001C0C96">
        <w:rPr>
          <w:rFonts w:ascii="Times New Roman" w:hAnsi="Times New Roman"/>
          <w:b/>
          <w:color w:val="000000" w:themeColor="text1"/>
        </w:rPr>
        <w:t>:</w:t>
      </w:r>
      <w:r w:rsidR="006403CC" w:rsidRPr="001C0C96">
        <w:rPr>
          <w:rFonts w:ascii="Times New Roman" w:hAnsi="Times New Roman"/>
          <w:b/>
          <w:color w:val="000000" w:themeColor="text1"/>
        </w:rPr>
        <w:t xml:space="preserve"> Total Development Assistance (DA) by Development Partner (Budget Support</w:t>
      </w:r>
      <w:r w:rsidRPr="001C0C96">
        <w:rPr>
          <w:rFonts w:ascii="Times New Roman" w:hAnsi="Times New Roman"/>
          <w:b/>
          <w:color w:val="000000" w:themeColor="text1"/>
        </w:rPr>
        <w:t xml:space="preserve">, </w:t>
      </w:r>
      <w:r w:rsidR="006403CC" w:rsidRPr="001C0C96">
        <w:rPr>
          <w:rFonts w:ascii="Times New Roman" w:hAnsi="Times New Roman"/>
          <w:b/>
          <w:color w:val="000000" w:themeColor="text1"/>
        </w:rPr>
        <w:t>MTEF and NON-MTEF Project)</w:t>
      </w:r>
      <w:bookmarkEnd w:id="139"/>
    </w:p>
    <w:tbl>
      <w:tblPr>
        <w:tblW w:w="9347" w:type="dxa"/>
        <w:tblInd w:w="-5" w:type="dxa"/>
        <w:tblLook w:val="04A0" w:firstRow="1" w:lastRow="0" w:firstColumn="1" w:lastColumn="0" w:noHBand="0" w:noVBand="1"/>
      </w:tblPr>
      <w:tblGrid>
        <w:gridCol w:w="4718"/>
        <w:gridCol w:w="1543"/>
        <w:gridCol w:w="1543"/>
        <w:gridCol w:w="1543"/>
      </w:tblGrid>
      <w:tr w:rsidR="006403CC" w:rsidRPr="001C0C96" w14:paraId="225B1932" w14:textId="77777777" w:rsidTr="00773884">
        <w:trPr>
          <w:trHeight w:val="290"/>
          <w:tblHeader/>
        </w:trPr>
        <w:tc>
          <w:tcPr>
            <w:tcW w:w="4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95CE7"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Source- Development Partner</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14:paraId="142DF97D"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FY 2015/16</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14:paraId="42C8F5A5"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FY 2016/17</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14:paraId="32848E7D"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FY 2017/18</w:t>
            </w:r>
          </w:p>
        </w:tc>
      </w:tr>
      <w:tr w:rsidR="006403CC" w:rsidRPr="001C0C96" w14:paraId="1CC102CE"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1BE24718"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AfDB </w:t>
            </w:r>
          </w:p>
        </w:tc>
        <w:tc>
          <w:tcPr>
            <w:tcW w:w="1543" w:type="dxa"/>
            <w:tcBorders>
              <w:top w:val="nil"/>
              <w:left w:val="nil"/>
              <w:bottom w:val="single" w:sz="4" w:space="0" w:color="auto"/>
              <w:right w:val="single" w:sz="4" w:space="0" w:color="auto"/>
            </w:tcBorders>
            <w:shd w:val="clear" w:color="auto" w:fill="auto"/>
            <w:noWrap/>
            <w:vAlign w:val="bottom"/>
            <w:hideMark/>
          </w:tcPr>
          <w:p w14:paraId="52CE1279"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5.91 </w:t>
            </w:r>
          </w:p>
        </w:tc>
        <w:tc>
          <w:tcPr>
            <w:tcW w:w="1543" w:type="dxa"/>
            <w:tcBorders>
              <w:top w:val="nil"/>
              <w:left w:val="nil"/>
              <w:bottom w:val="single" w:sz="4" w:space="0" w:color="auto"/>
              <w:right w:val="single" w:sz="4" w:space="0" w:color="auto"/>
            </w:tcBorders>
            <w:shd w:val="clear" w:color="auto" w:fill="auto"/>
            <w:noWrap/>
            <w:vAlign w:val="bottom"/>
            <w:hideMark/>
          </w:tcPr>
          <w:p w14:paraId="46A792F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2.30 </w:t>
            </w:r>
          </w:p>
        </w:tc>
        <w:tc>
          <w:tcPr>
            <w:tcW w:w="1543" w:type="dxa"/>
            <w:tcBorders>
              <w:top w:val="nil"/>
              <w:left w:val="nil"/>
              <w:bottom w:val="single" w:sz="4" w:space="0" w:color="auto"/>
              <w:right w:val="single" w:sz="4" w:space="0" w:color="auto"/>
            </w:tcBorders>
            <w:shd w:val="clear" w:color="auto" w:fill="auto"/>
            <w:noWrap/>
            <w:vAlign w:val="bottom"/>
            <w:hideMark/>
          </w:tcPr>
          <w:p w14:paraId="25BE9E06"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18.80 </w:t>
            </w:r>
          </w:p>
        </w:tc>
      </w:tr>
      <w:tr w:rsidR="006403CC" w:rsidRPr="001C0C96" w14:paraId="04BEFD9C"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33955C46"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AfDF</w:t>
            </w:r>
          </w:p>
        </w:tc>
        <w:tc>
          <w:tcPr>
            <w:tcW w:w="1543" w:type="dxa"/>
            <w:tcBorders>
              <w:top w:val="nil"/>
              <w:left w:val="nil"/>
              <w:bottom w:val="single" w:sz="4" w:space="0" w:color="auto"/>
              <w:right w:val="single" w:sz="4" w:space="0" w:color="auto"/>
            </w:tcBorders>
            <w:shd w:val="clear" w:color="auto" w:fill="auto"/>
            <w:noWrap/>
            <w:vAlign w:val="bottom"/>
            <w:hideMark/>
          </w:tcPr>
          <w:p w14:paraId="0401AF31"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118.61 </w:t>
            </w:r>
          </w:p>
        </w:tc>
        <w:tc>
          <w:tcPr>
            <w:tcW w:w="1543" w:type="dxa"/>
            <w:tcBorders>
              <w:top w:val="nil"/>
              <w:left w:val="nil"/>
              <w:bottom w:val="single" w:sz="4" w:space="0" w:color="auto"/>
              <w:right w:val="single" w:sz="4" w:space="0" w:color="auto"/>
            </w:tcBorders>
            <w:shd w:val="clear" w:color="auto" w:fill="auto"/>
            <w:noWrap/>
            <w:vAlign w:val="bottom"/>
            <w:hideMark/>
          </w:tcPr>
          <w:p w14:paraId="4FAAA266"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90.06 </w:t>
            </w:r>
          </w:p>
        </w:tc>
        <w:tc>
          <w:tcPr>
            <w:tcW w:w="1543" w:type="dxa"/>
            <w:tcBorders>
              <w:top w:val="nil"/>
              <w:left w:val="nil"/>
              <w:bottom w:val="single" w:sz="4" w:space="0" w:color="auto"/>
              <w:right w:val="single" w:sz="4" w:space="0" w:color="auto"/>
            </w:tcBorders>
            <w:shd w:val="clear" w:color="auto" w:fill="auto"/>
            <w:noWrap/>
            <w:vAlign w:val="bottom"/>
            <w:hideMark/>
          </w:tcPr>
          <w:p w14:paraId="6024F45A"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75.13 </w:t>
            </w:r>
          </w:p>
        </w:tc>
      </w:tr>
      <w:tr w:rsidR="006403CC" w:rsidRPr="001C0C96" w14:paraId="2CA53901"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2E140624"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African Union</w:t>
            </w:r>
          </w:p>
        </w:tc>
        <w:tc>
          <w:tcPr>
            <w:tcW w:w="1543" w:type="dxa"/>
            <w:tcBorders>
              <w:top w:val="nil"/>
              <w:left w:val="nil"/>
              <w:bottom w:val="single" w:sz="4" w:space="0" w:color="auto"/>
              <w:right w:val="single" w:sz="4" w:space="0" w:color="auto"/>
            </w:tcBorders>
            <w:shd w:val="clear" w:color="auto" w:fill="auto"/>
            <w:noWrap/>
            <w:vAlign w:val="bottom"/>
            <w:hideMark/>
          </w:tcPr>
          <w:p w14:paraId="513C5CF5"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70.13 </w:t>
            </w:r>
          </w:p>
        </w:tc>
        <w:tc>
          <w:tcPr>
            <w:tcW w:w="1543" w:type="dxa"/>
            <w:tcBorders>
              <w:top w:val="nil"/>
              <w:left w:val="nil"/>
              <w:bottom w:val="single" w:sz="4" w:space="0" w:color="auto"/>
              <w:right w:val="single" w:sz="4" w:space="0" w:color="auto"/>
            </w:tcBorders>
            <w:shd w:val="clear" w:color="auto" w:fill="auto"/>
            <w:noWrap/>
            <w:vAlign w:val="bottom"/>
            <w:hideMark/>
          </w:tcPr>
          <w:p w14:paraId="13C70098"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74.76 </w:t>
            </w:r>
          </w:p>
        </w:tc>
        <w:tc>
          <w:tcPr>
            <w:tcW w:w="1543" w:type="dxa"/>
            <w:tcBorders>
              <w:top w:val="nil"/>
              <w:left w:val="nil"/>
              <w:bottom w:val="single" w:sz="4" w:space="0" w:color="auto"/>
              <w:right w:val="single" w:sz="4" w:space="0" w:color="auto"/>
            </w:tcBorders>
            <w:shd w:val="clear" w:color="auto" w:fill="auto"/>
            <w:noWrap/>
            <w:vAlign w:val="bottom"/>
            <w:hideMark/>
          </w:tcPr>
          <w:p w14:paraId="546E75A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58.60 </w:t>
            </w:r>
          </w:p>
        </w:tc>
      </w:tr>
      <w:tr w:rsidR="006403CC" w:rsidRPr="001C0C96" w14:paraId="0E595948"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598895F5"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AKA Ausfuhrkredit-Gesellschat</w:t>
            </w:r>
          </w:p>
        </w:tc>
        <w:tc>
          <w:tcPr>
            <w:tcW w:w="1543" w:type="dxa"/>
            <w:tcBorders>
              <w:top w:val="nil"/>
              <w:left w:val="nil"/>
              <w:bottom w:val="single" w:sz="4" w:space="0" w:color="auto"/>
              <w:right w:val="single" w:sz="4" w:space="0" w:color="auto"/>
            </w:tcBorders>
            <w:shd w:val="clear" w:color="auto" w:fill="auto"/>
            <w:noWrap/>
            <w:vAlign w:val="bottom"/>
            <w:hideMark/>
          </w:tcPr>
          <w:p w14:paraId="67EDB37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250BBA4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4.30 </w:t>
            </w:r>
          </w:p>
        </w:tc>
        <w:tc>
          <w:tcPr>
            <w:tcW w:w="1543" w:type="dxa"/>
            <w:tcBorders>
              <w:top w:val="nil"/>
              <w:left w:val="nil"/>
              <w:bottom w:val="single" w:sz="4" w:space="0" w:color="auto"/>
              <w:right w:val="single" w:sz="4" w:space="0" w:color="auto"/>
            </w:tcBorders>
            <w:shd w:val="clear" w:color="auto" w:fill="auto"/>
            <w:noWrap/>
            <w:vAlign w:val="bottom"/>
            <w:hideMark/>
          </w:tcPr>
          <w:p w14:paraId="4DF6C110"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1.99 </w:t>
            </w:r>
          </w:p>
        </w:tc>
      </w:tr>
      <w:tr w:rsidR="006403CC" w:rsidRPr="001C0C96" w14:paraId="6CA99CD1"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14C2EA2A"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Austria</w:t>
            </w:r>
          </w:p>
        </w:tc>
        <w:tc>
          <w:tcPr>
            <w:tcW w:w="1543" w:type="dxa"/>
            <w:tcBorders>
              <w:top w:val="nil"/>
              <w:left w:val="nil"/>
              <w:bottom w:val="single" w:sz="4" w:space="0" w:color="auto"/>
              <w:right w:val="single" w:sz="4" w:space="0" w:color="auto"/>
            </w:tcBorders>
            <w:shd w:val="clear" w:color="auto" w:fill="auto"/>
            <w:noWrap/>
            <w:vAlign w:val="bottom"/>
            <w:hideMark/>
          </w:tcPr>
          <w:p w14:paraId="149DF9EB"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11.12 </w:t>
            </w:r>
          </w:p>
        </w:tc>
        <w:tc>
          <w:tcPr>
            <w:tcW w:w="1543" w:type="dxa"/>
            <w:tcBorders>
              <w:top w:val="nil"/>
              <w:left w:val="nil"/>
              <w:bottom w:val="single" w:sz="4" w:space="0" w:color="auto"/>
              <w:right w:val="single" w:sz="4" w:space="0" w:color="auto"/>
            </w:tcBorders>
            <w:shd w:val="clear" w:color="auto" w:fill="auto"/>
            <w:noWrap/>
            <w:vAlign w:val="bottom"/>
            <w:hideMark/>
          </w:tcPr>
          <w:p w14:paraId="0B8969B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11.42 </w:t>
            </w:r>
          </w:p>
        </w:tc>
        <w:tc>
          <w:tcPr>
            <w:tcW w:w="1543" w:type="dxa"/>
            <w:tcBorders>
              <w:top w:val="nil"/>
              <w:left w:val="nil"/>
              <w:bottom w:val="single" w:sz="4" w:space="0" w:color="auto"/>
              <w:right w:val="single" w:sz="4" w:space="0" w:color="auto"/>
            </w:tcBorders>
            <w:shd w:val="clear" w:color="auto" w:fill="auto"/>
            <w:noWrap/>
            <w:vAlign w:val="bottom"/>
            <w:hideMark/>
          </w:tcPr>
          <w:p w14:paraId="31AA486F"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12.78 </w:t>
            </w:r>
          </w:p>
        </w:tc>
      </w:tr>
      <w:tr w:rsidR="006403CC" w:rsidRPr="001C0C96" w14:paraId="1263EACD"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41F1FD9B"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BADEA</w:t>
            </w:r>
          </w:p>
        </w:tc>
        <w:tc>
          <w:tcPr>
            <w:tcW w:w="1543" w:type="dxa"/>
            <w:tcBorders>
              <w:top w:val="nil"/>
              <w:left w:val="nil"/>
              <w:bottom w:val="single" w:sz="4" w:space="0" w:color="auto"/>
              <w:right w:val="single" w:sz="4" w:space="0" w:color="auto"/>
            </w:tcBorders>
            <w:shd w:val="clear" w:color="auto" w:fill="auto"/>
            <w:noWrap/>
            <w:vAlign w:val="bottom"/>
            <w:hideMark/>
          </w:tcPr>
          <w:p w14:paraId="7B9AEA90"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11.35 </w:t>
            </w:r>
          </w:p>
        </w:tc>
        <w:tc>
          <w:tcPr>
            <w:tcW w:w="1543" w:type="dxa"/>
            <w:tcBorders>
              <w:top w:val="nil"/>
              <w:left w:val="nil"/>
              <w:bottom w:val="single" w:sz="4" w:space="0" w:color="auto"/>
              <w:right w:val="single" w:sz="4" w:space="0" w:color="auto"/>
            </w:tcBorders>
            <w:shd w:val="clear" w:color="auto" w:fill="auto"/>
            <w:noWrap/>
            <w:vAlign w:val="bottom"/>
            <w:hideMark/>
          </w:tcPr>
          <w:p w14:paraId="01258C8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10.04 </w:t>
            </w:r>
          </w:p>
        </w:tc>
        <w:tc>
          <w:tcPr>
            <w:tcW w:w="1543" w:type="dxa"/>
            <w:tcBorders>
              <w:top w:val="nil"/>
              <w:left w:val="nil"/>
              <w:bottom w:val="single" w:sz="4" w:space="0" w:color="auto"/>
              <w:right w:val="single" w:sz="4" w:space="0" w:color="auto"/>
            </w:tcBorders>
            <w:shd w:val="clear" w:color="auto" w:fill="auto"/>
            <w:noWrap/>
            <w:vAlign w:val="bottom"/>
            <w:hideMark/>
          </w:tcPr>
          <w:p w14:paraId="188DC8FA"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3.60 </w:t>
            </w:r>
          </w:p>
        </w:tc>
      </w:tr>
      <w:tr w:rsidR="006403CC" w:rsidRPr="001C0C96" w14:paraId="61EF7ED8"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1E33807F"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Belgium</w:t>
            </w:r>
          </w:p>
        </w:tc>
        <w:tc>
          <w:tcPr>
            <w:tcW w:w="1543" w:type="dxa"/>
            <w:tcBorders>
              <w:top w:val="nil"/>
              <w:left w:val="nil"/>
              <w:bottom w:val="single" w:sz="4" w:space="0" w:color="auto"/>
              <w:right w:val="single" w:sz="4" w:space="0" w:color="auto"/>
            </w:tcBorders>
            <w:shd w:val="clear" w:color="auto" w:fill="auto"/>
            <w:noWrap/>
            <w:vAlign w:val="bottom"/>
            <w:hideMark/>
          </w:tcPr>
          <w:p w14:paraId="38D544F1"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9.48 </w:t>
            </w:r>
          </w:p>
        </w:tc>
        <w:tc>
          <w:tcPr>
            <w:tcW w:w="1543" w:type="dxa"/>
            <w:tcBorders>
              <w:top w:val="nil"/>
              <w:left w:val="nil"/>
              <w:bottom w:val="single" w:sz="4" w:space="0" w:color="auto"/>
              <w:right w:val="single" w:sz="4" w:space="0" w:color="auto"/>
            </w:tcBorders>
            <w:shd w:val="clear" w:color="auto" w:fill="auto"/>
            <w:noWrap/>
            <w:vAlign w:val="bottom"/>
            <w:hideMark/>
          </w:tcPr>
          <w:p w14:paraId="68C2A79B"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3.81 </w:t>
            </w:r>
          </w:p>
        </w:tc>
        <w:tc>
          <w:tcPr>
            <w:tcW w:w="1543" w:type="dxa"/>
            <w:tcBorders>
              <w:top w:val="nil"/>
              <w:left w:val="nil"/>
              <w:bottom w:val="single" w:sz="4" w:space="0" w:color="auto"/>
              <w:right w:val="single" w:sz="4" w:space="0" w:color="auto"/>
            </w:tcBorders>
            <w:shd w:val="clear" w:color="auto" w:fill="auto"/>
            <w:noWrap/>
            <w:vAlign w:val="bottom"/>
            <w:hideMark/>
          </w:tcPr>
          <w:p w14:paraId="0EA4C392"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0.35 </w:t>
            </w:r>
          </w:p>
        </w:tc>
      </w:tr>
      <w:tr w:rsidR="006403CC" w:rsidRPr="001C0C96" w14:paraId="69C49BE2"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3BE21742"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China</w:t>
            </w:r>
          </w:p>
        </w:tc>
        <w:tc>
          <w:tcPr>
            <w:tcW w:w="1543" w:type="dxa"/>
            <w:tcBorders>
              <w:top w:val="nil"/>
              <w:left w:val="nil"/>
              <w:bottom w:val="single" w:sz="4" w:space="0" w:color="auto"/>
              <w:right w:val="single" w:sz="4" w:space="0" w:color="auto"/>
            </w:tcBorders>
            <w:shd w:val="clear" w:color="auto" w:fill="auto"/>
            <w:noWrap/>
            <w:vAlign w:val="bottom"/>
            <w:hideMark/>
          </w:tcPr>
          <w:p w14:paraId="6BA3234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547.32 </w:t>
            </w:r>
          </w:p>
        </w:tc>
        <w:tc>
          <w:tcPr>
            <w:tcW w:w="1543" w:type="dxa"/>
            <w:tcBorders>
              <w:top w:val="nil"/>
              <w:left w:val="nil"/>
              <w:bottom w:val="single" w:sz="4" w:space="0" w:color="auto"/>
              <w:right w:val="single" w:sz="4" w:space="0" w:color="auto"/>
            </w:tcBorders>
            <w:shd w:val="clear" w:color="auto" w:fill="auto"/>
            <w:noWrap/>
            <w:vAlign w:val="bottom"/>
            <w:hideMark/>
          </w:tcPr>
          <w:p w14:paraId="6C8E497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344.17 </w:t>
            </w:r>
          </w:p>
        </w:tc>
        <w:tc>
          <w:tcPr>
            <w:tcW w:w="1543" w:type="dxa"/>
            <w:tcBorders>
              <w:top w:val="nil"/>
              <w:left w:val="nil"/>
              <w:bottom w:val="single" w:sz="4" w:space="0" w:color="auto"/>
              <w:right w:val="single" w:sz="4" w:space="0" w:color="auto"/>
            </w:tcBorders>
            <w:shd w:val="clear" w:color="auto" w:fill="auto"/>
            <w:noWrap/>
            <w:vAlign w:val="bottom"/>
            <w:hideMark/>
          </w:tcPr>
          <w:p w14:paraId="29A63ED1"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420.30 </w:t>
            </w:r>
          </w:p>
        </w:tc>
      </w:tr>
      <w:tr w:rsidR="006403CC" w:rsidRPr="001C0C96" w14:paraId="3D9426C7"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369D23A4"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COMESA</w:t>
            </w:r>
          </w:p>
        </w:tc>
        <w:tc>
          <w:tcPr>
            <w:tcW w:w="1543" w:type="dxa"/>
            <w:tcBorders>
              <w:top w:val="nil"/>
              <w:left w:val="nil"/>
              <w:bottom w:val="single" w:sz="4" w:space="0" w:color="auto"/>
              <w:right w:val="single" w:sz="4" w:space="0" w:color="auto"/>
            </w:tcBorders>
            <w:shd w:val="clear" w:color="auto" w:fill="auto"/>
            <w:noWrap/>
            <w:vAlign w:val="bottom"/>
            <w:hideMark/>
          </w:tcPr>
          <w:p w14:paraId="456D0BB1"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0.63 </w:t>
            </w:r>
          </w:p>
        </w:tc>
        <w:tc>
          <w:tcPr>
            <w:tcW w:w="1543" w:type="dxa"/>
            <w:tcBorders>
              <w:top w:val="nil"/>
              <w:left w:val="nil"/>
              <w:bottom w:val="single" w:sz="4" w:space="0" w:color="auto"/>
              <w:right w:val="single" w:sz="4" w:space="0" w:color="auto"/>
            </w:tcBorders>
            <w:shd w:val="clear" w:color="auto" w:fill="auto"/>
            <w:noWrap/>
            <w:vAlign w:val="bottom"/>
            <w:hideMark/>
          </w:tcPr>
          <w:p w14:paraId="03665939"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1.01 </w:t>
            </w:r>
          </w:p>
        </w:tc>
        <w:tc>
          <w:tcPr>
            <w:tcW w:w="1543" w:type="dxa"/>
            <w:tcBorders>
              <w:top w:val="nil"/>
              <w:left w:val="nil"/>
              <w:bottom w:val="single" w:sz="4" w:space="0" w:color="auto"/>
              <w:right w:val="single" w:sz="4" w:space="0" w:color="auto"/>
            </w:tcBorders>
            <w:shd w:val="clear" w:color="auto" w:fill="auto"/>
            <w:noWrap/>
            <w:vAlign w:val="bottom"/>
            <w:hideMark/>
          </w:tcPr>
          <w:p w14:paraId="0879A3F8"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0.42 </w:t>
            </w:r>
          </w:p>
        </w:tc>
      </w:tr>
      <w:tr w:rsidR="006403CC" w:rsidRPr="001C0C96" w14:paraId="64DBBA6F"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77A07748"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Commerzbank AG</w:t>
            </w:r>
          </w:p>
        </w:tc>
        <w:tc>
          <w:tcPr>
            <w:tcW w:w="1543" w:type="dxa"/>
            <w:tcBorders>
              <w:top w:val="nil"/>
              <w:left w:val="nil"/>
              <w:bottom w:val="single" w:sz="4" w:space="0" w:color="auto"/>
              <w:right w:val="single" w:sz="4" w:space="0" w:color="auto"/>
            </w:tcBorders>
            <w:shd w:val="clear" w:color="auto" w:fill="auto"/>
            <w:noWrap/>
            <w:vAlign w:val="bottom"/>
            <w:hideMark/>
          </w:tcPr>
          <w:p w14:paraId="620D00F0"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27E9D3BA"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0.58 </w:t>
            </w:r>
          </w:p>
        </w:tc>
        <w:tc>
          <w:tcPr>
            <w:tcW w:w="1543" w:type="dxa"/>
            <w:tcBorders>
              <w:top w:val="nil"/>
              <w:left w:val="nil"/>
              <w:bottom w:val="single" w:sz="4" w:space="0" w:color="auto"/>
              <w:right w:val="single" w:sz="4" w:space="0" w:color="auto"/>
            </w:tcBorders>
            <w:shd w:val="clear" w:color="auto" w:fill="auto"/>
            <w:noWrap/>
            <w:vAlign w:val="bottom"/>
            <w:hideMark/>
          </w:tcPr>
          <w:p w14:paraId="506C468F"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0.20 </w:t>
            </w:r>
          </w:p>
        </w:tc>
      </w:tr>
      <w:tr w:rsidR="006403CC" w:rsidRPr="001C0C96" w14:paraId="7853CD35"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5C8C1009"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Denmark/DANIDA</w:t>
            </w:r>
          </w:p>
        </w:tc>
        <w:tc>
          <w:tcPr>
            <w:tcW w:w="1543" w:type="dxa"/>
            <w:tcBorders>
              <w:top w:val="nil"/>
              <w:left w:val="nil"/>
              <w:bottom w:val="single" w:sz="4" w:space="0" w:color="auto"/>
              <w:right w:val="single" w:sz="4" w:space="0" w:color="auto"/>
            </w:tcBorders>
            <w:shd w:val="clear" w:color="auto" w:fill="auto"/>
            <w:noWrap/>
            <w:vAlign w:val="bottom"/>
            <w:hideMark/>
          </w:tcPr>
          <w:p w14:paraId="04500FB3"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14.09 </w:t>
            </w:r>
          </w:p>
        </w:tc>
        <w:tc>
          <w:tcPr>
            <w:tcW w:w="1543" w:type="dxa"/>
            <w:tcBorders>
              <w:top w:val="nil"/>
              <w:left w:val="nil"/>
              <w:bottom w:val="single" w:sz="4" w:space="0" w:color="auto"/>
              <w:right w:val="single" w:sz="4" w:space="0" w:color="auto"/>
            </w:tcBorders>
            <w:shd w:val="clear" w:color="auto" w:fill="auto"/>
            <w:noWrap/>
            <w:vAlign w:val="bottom"/>
            <w:hideMark/>
          </w:tcPr>
          <w:p w14:paraId="0E77051F"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9.57 </w:t>
            </w:r>
          </w:p>
        </w:tc>
        <w:tc>
          <w:tcPr>
            <w:tcW w:w="1543" w:type="dxa"/>
            <w:tcBorders>
              <w:top w:val="nil"/>
              <w:left w:val="nil"/>
              <w:bottom w:val="single" w:sz="4" w:space="0" w:color="auto"/>
              <w:right w:val="single" w:sz="4" w:space="0" w:color="auto"/>
            </w:tcBorders>
            <w:shd w:val="clear" w:color="auto" w:fill="auto"/>
            <w:noWrap/>
            <w:vAlign w:val="bottom"/>
            <w:hideMark/>
          </w:tcPr>
          <w:p w14:paraId="070C277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27.54 </w:t>
            </w:r>
          </w:p>
        </w:tc>
      </w:tr>
      <w:tr w:rsidR="006403CC" w:rsidRPr="001C0C96" w14:paraId="1FFB7746"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41F4728C"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Egypt</w:t>
            </w:r>
          </w:p>
        </w:tc>
        <w:tc>
          <w:tcPr>
            <w:tcW w:w="1543" w:type="dxa"/>
            <w:tcBorders>
              <w:top w:val="nil"/>
              <w:left w:val="nil"/>
              <w:bottom w:val="single" w:sz="4" w:space="0" w:color="auto"/>
              <w:right w:val="single" w:sz="4" w:space="0" w:color="auto"/>
            </w:tcBorders>
            <w:shd w:val="clear" w:color="auto" w:fill="auto"/>
            <w:noWrap/>
            <w:vAlign w:val="bottom"/>
            <w:hideMark/>
          </w:tcPr>
          <w:p w14:paraId="59DB4E48"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0.02 </w:t>
            </w:r>
          </w:p>
        </w:tc>
        <w:tc>
          <w:tcPr>
            <w:tcW w:w="1543" w:type="dxa"/>
            <w:tcBorders>
              <w:top w:val="nil"/>
              <w:left w:val="nil"/>
              <w:bottom w:val="single" w:sz="4" w:space="0" w:color="auto"/>
              <w:right w:val="single" w:sz="4" w:space="0" w:color="auto"/>
            </w:tcBorders>
            <w:shd w:val="clear" w:color="auto" w:fill="auto"/>
            <w:noWrap/>
            <w:vAlign w:val="bottom"/>
            <w:hideMark/>
          </w:tcPr>
          <w:p w14:paraId="4D570FC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2005F7A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r>
      <w:tr w:rsidR="006403CC" w:rsidRPr="001C0C96" w14:paraId="328CD0D2"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0D1B8097"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EIB</w:t>
            </w:r>
          </w:p>
        </w:tc>
        <w:tc>
          <w:tcPr>
            <w:tcW w:w="1543" w:type="dxa"/>
            <w:tcBorders>
              <w:top w:val="nil"/>
              <w:left w:val="nil"/>
              <w:bottom w:val="single" w:sz="4" w:space="0" w:color="auto"/>
              <w:right w:val="single" w:sz="4" w:space="0" w:color="auto"/>
            </w:tcBorders>
            <w:shd w:val="clear" w:color="auto" w:fill="auto"/>
            <w:noWrap/>
            <w:vAlign w:val="bottom"/>
            <w:hideMark/>
          </w:tcPr>
          <w:p w14:paraId="7320D142"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19.14 </w:t>
            </w:r>
          </w:p>
        </w:tc>
        <w:tc>
          <w:tcPr>
            <w:tcW w:w="1543" w:type="dxa"/>
            <w:tcBorders>
              <w:top w:val="nil"/>
              <w:left w:val="nil"/>
              <w:bottom w:val="single" w:sz="4" w:space="0" w:color="auto"/>
              <w:right w:val="single" w:sz="4" w:space="0" w:color="auto"/>
            </w:tcBorders>
            <w:shd w:val="clear" w:color="auto" w:fill="auto"/>
            <w:noWrap/>
            <w:vAlign w:val="bottom"/>
            <w:hideMark/>
          </w:tcPr>
          <w:p w14:paraId="4D08B7DA"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62820F2B"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21.14 </w:t>
            </w:r>
          </w:p>
        </w:tc>
      </w:tr>
      <w:tr w:rsidR="006403CC" w:rsidRPr="001C0C96" w14:paraId="3998F853"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5F33C6DA"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European Union</w:t>
            </w:r>
          </w:p>
        </w:tc>
        <w:tc>
          <w:tcPr>
            <w:tcW w:w="1543" w:type="dxa"/>
            <w:tcBorders>
              <w:top w:val="nil"/>
              <w:left w:val="nil"/>
              <w:bottom w:val="single" w:sz="4" w:space="0" w:color="auto"/>
              <w:right w:val="single" w:sz="4" w:space="0" w:color="auto"/>
            </w:tcBorders>
            <w:shd w:val="clear" w:color="auto" w:fill="auto"/>
            <w:noWrap/>
            <w:vAlign w:val="bottom"/>
            <w:hideMark/>
          </w:tcPr>
          <w:p w14:paraId="60608CB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42.41 </w:t>
            </w:r>
          </w:p>
        </w:tc>
        <w:tc>
          <w:tcPr>
            <w:tcW w:w="1543" w:type="dxa"/>
            <w:tcBorders>
              <w:top w:val="nil"/>
              <w:left w:val="nil"/>
              <w:bottom w:val="single" w:sz="4" w:space="0" w:color="auto"/>
              <w:right w:val="single" w:sz="4" w:space="0" w:color="auto"/>
            </w:tcBorders>
            <w:shd w:val="clear" w:color="auto" w:fill="auto"/>
            <w:noWrap/>
            <w:vAlign w:val="bottom"/>
            <w:hideMark/>
          </w:tcPr>
          <w:p w14:paraId="7303E594"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6.00 </w:t>
            </w:r>
          </w:p>
        </w:tc>
        <w:tc>
          <w:tcPr>
            <w:tcW w:w="1543" w:type="dxa"/>
            <w:tcBorders>
              <w:top w:val="nil"/>
              <w:left w:val="nil"/>
              <w:bottom w:val="single" w:sz="4" w:space="0" w:color="auto"/>
              <w:right w:val="single" w:sz="4" w:space="0" w:color="auto"/>
            </w:tcBorders>
            <w:shd w:val="clear" w:color="auto" w:fill="auto"/>
            <w:noWrap/>
            <w:vAlign w:val="bottom"/>
            <w:hideMark/>
          </w:tcPr>
          <w:p w14:paraId="778B646F"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15.75 </w:t>
            </w:r>
          </w:p>
        </w:tc>
      </w:tr>
      <w:tr w:rsidR="006403CC" w:rsidRPr="001C0C96" w14:paraId="2BFC711C"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3C7B67B0"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France</w:t>
            </w:r>
          </w:p>
        </w:tc>
        <w:tc>
          <w:tcPr>
            <w:tcW w:w="1543" w:type="dxa"/>
            <w:tcBorders>
              <w:top w:val="nil"/>
              <w:left w:val="nil"/>
              <w:bottom w:val="single" w:sz="4" w:space="0" w:color="auto"/>
              <w:right w:val="single" w:sz="4" w:space="0" w:color="auto"/>
            </w:tcBorders>
            <w:shd w:val="clear" w:color="auto" w:fill="auto"/>
            <w:noWrap/>
            <w:vAlign w:val="bottom"/>
            <w:hideMark/>
          </w:tcPr>
          <w:p w14:paraId="6545951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8.76 </w:t>
            </w:r>
          </w:p>
        </w:tc>
        <w:tc>
          <w:tcPr>
            <w:tcW w:w="1543" w:type="dxa"/>
            <w:tcBorders>
              <w:top w:val="nil"/>
              <w:left w:val="nil"/>
              <w:bottom w:val="single" w:sz="4" w:space="0" w:color="auto"/>
              <w:right w:val="single" w:sz="4" w:space="0" w:color="auto"/>
            </w:tcBorders>
            <w:shd w:val="clear" w:color="auto" w:fill="auto"/>
            <w:noWrap/>
            <w:vAlign w:val="bottom"/>
            <w:hideMark/>
          </w:tcPr>
          <w:p w14:paraId="397672FF"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18.06 </w:t>
            </w:r>
          </w:p>
        </w:tc>
        <w:tc>
          <w:tcPr>
            <w:tcW w:w="1543" w:type="dxa"/>
            <w:tcBorders>
              <w:top w:val="nil"/>
              <w:left w:val="nil"/>
              <w:bottom w:val="single" w:sz="4" w:space="0" w:color="auto"/>
              <w:right w:val="single" w:sz="4" w:space="0" w:color="auto"/>
            </w:tcBorders>
            <w:shd w:val="clear" w:color="auto" w:fill="auto"/>
            <w:noWrap/>
            <w:vAlign w:val="bottom"/>
            <w:hideMark/>
          </w:tcPr>
          <w:p w14:paraId="102664F9"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61.09 </w:t>
            </w:r>
          </w:p>
        </w:tc>
      </w:tr>
      <w:tr w:rsidR="006403CC" w:rsidRPr="001C0C96" w14:paraId="6036B1D4"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0E8C120C"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Germany</w:t>
            </w:r>
          </w:p>
        </w:tc>
        <w:tc>
          <w:tcPr>
            <w:tcW w:w="1543" w:type="dxa"/>
            <w:tcBorders>
              <w:top w:val="nil"/>
              <w:left w:val="nil"/>
              <w:bottom w:val="single" w:sz="4" w:space="0" w:color="auto"/>
              <w:right w:val="single" w:sz="4" w:space="0" w:color="auto"/>
            </w:tcBorders>
            <w:shd w:val="clear" w:color="auto" w:fill="auto"/>
            <w:noWrap/>
            <w:vAlign w:val="bottom"/>
            <w:hideMark/>
          </w:tcPr>
          <w:p w14:paraId="2E9D05CA"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19.87 </w:t>
            </w:r>
          </w:p>
        </w:tc>
        <w:tc>
          <w:tcPr>
            <w:tcW w:w="1543" w:type="dxa"/>
            <w:tcBorders>
              <w:top w:val="nil"/>
              <w:left w:val="nil"/>
              <w:bottom w:val="single" w:sz="4" w:space="0" w:color="auto"/>
              <w:right w:val="single" w:sz="4" w:space="0" w:color="auto"/>
            </w:tcBorders>
            <w:shd w:val="clear" w:color="auto" w:fill="auto"/>
            <w:noWrap/>
            <w:vAlign w:val="bottom"/>
            <w:hideMark/>
          </w:tcPr>
          <w:p w14:paraId="58F3EF65"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16.82 </w:t>
            </w:r>
          </w:p>
        </w:tc>
        <w:tc>
          <w:tcPr>
            <w:tcW w:w="1543" w:type="dxa"/>
            <w:tcBorders>
              <w:top w:val="nil"/>
              <w:left w:val="nil"/>
              <w:bottom w:val="single" w:sz="4" w:space="0" w:color="auto"/>
              <w:right w:val="single" w:sz="4" w:space="0" w:color="auto"/>
            </w:tcBorders>
            <w:shd w:val="clear" w:color="auto" w:fill="auto"/>
            <w:noWrap/>
            <w:vAlign w:val="bottom"/>
            <w:hideMark/>
          </w:tcPr>
          <w:p w14:paraId="2133EDC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14.41 </w:t>
            </w:r>
          </w:p>
        </w:tc>
      </w:tr>
      <w:tr w:rsidR="006403CC" w:rsidRPr="001C0C96" w14:paraId="70E80B13"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2D51027C"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GAVI</w:t>
            </w:r>
          </w:p>
        </w:tc>
        <w:tc>
          <w:tcPr>
            <w:tcW w:w="1543" w:type="dxa"/>
            <w:tcBorders>
              <w:top w:val="nil"/>
              <w:left w:val="nil"/>
              <w:bottom w:val="single" w:sz="4" w:space="0" w:color="auto"/>
              <w:right w:val="single" w:sz="4" w:space="0" w:color="auto"/>
            </w:tcBorders>
            <w:shd w:val="clear" w:color="auto" w:fill="auto"/>
            <w:noWrap/>
            <w:vAlign w:val="bottom"/>
            <w:hideMark/>
          </w:tcPr>
          <w:p w14:paraId="17D91B2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7EF455C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1.78 </w:t>
            </w:r>
          </w:p>
        </w:tc>
        <w:tc>
          <w:tcPr>
            <w:tcW w:w="1543" w:type="dxa"/>
            <w:tcBorders>
              <w:top w:val="nil"/>
              <w:left w:val="nil"/>
              <w:bottom w:val="single" w:sz="4" w:space="0" w:color="auto"/>
              <w:right w:val="single" w:sz="4" w:space="0" w:color="auto"/>
            </w:tcBorders>
            <w:shd w:val="clear" w:color="auto" w:fill="auto"/>
            <w:noWrap/>
            <w:vAlign w:val="bottom"/>
            <w:hideMark/>
          </w:tcPr>
          <w:p w14:paraId="7E8C8C1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0.56 </w:t>
            </w:r>
          </w:p>
        </w:tc>
      </w:tr>
      <w:tr w:rsidR="006403CC" w:rsidRPr="001C0C96" w14:paraId="0C5F2B50"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10FDD051"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GEF</w:t>
            </w:r>
          </w:p>
        </w:tc>
        <w:tc>
          <w:tcPr>
            <w:tcW w:w="1543" w:type="dxa"/>
            <w:tcBorders>
              <w:top w:val="nil"/>
              <w:left w:val="nil"/>
              <w:bottom w:val="single" w:sz="4" w:space="0" w:color="auto"/>
              <w:right w:val="single" w:sz="4" w:space="0" w:color="auto"/>
            </w:tcBorders>
            <w:shd w:val="clear" w:color="auto" w:fill="auto"/>
            <w:noWrap/>
            <w:vAlign w:val="bottom"/>
            <w:hideMark/>
          </w:tcPr>
          <w:p w14:paraId="742D6301"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2.54 </w:t>
            </w:r>
          </w:p>
        </w:tc>
        <w:tc>
          <w:tcPr>
            <w:tcW w:w="1543" w:type="dxa"/>
            <w:tcBorders>
              <w:top w:val="nil"/>
              <w:left w:val="nil"/>
              <w:bottom w:val="single" w:sz="4" w:space="0" w:color="auto"/>
              <w:right w:val="single" w:sz="4" w:space="0" w:color="auto"/>
            </w:tcBorders>
            <w:shd w:val="clear" w:color="auto" w:fill="auto"/>
            <w:noWrap/>
            <w:vAlign w:val="bottom"/>
            <w:hideMark/>
          </w:tcPr>
          <w:p w14:paraId="0C3C0451"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2.88 </w:t>
            </w:r>
          </w:p>
        </w:tc>
        <w:tc>
          <w:tcPr>
            <w:tcW w:w="1543" w:type="dxa"/>
            <w:tcBorders>
              <w:top w:val="nil"/>
              <w:left w:val="nil"/>
              <w:bottom w:val="single" w:sz="4" w:space="0" w:color="auto"/>
              <w:right w:val="single" w:sz="4" w:space="0" w:color="auto"/>
            </w:tcBorders>
            <w:shd w:val="clear" w:color="auto" w:fill="auto"/>
            <w:noWrap/>
            <w:vAlign w:val="bottom"/>
            <w:hideMark/>
          </w:tcPr>
          <w:p w14:paraId="757E6114"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0.83 </w:t>
            </w:r>
          </w:p>
        </w:tc>
      </w:tr>
      <w:tr w:rsidR="006403CC" w:rsidRPr="001C0C96" w14:paraId="1D46E544"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3A0D5708"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Global Fund</w:t>
            </w:r>
          </w:p>
        </w:tc>
        <w:tc>
          <w:tcPr>
            <w:tcW w:w="1543" w:type="dxa"/>
            <w:tcBorders>
              <w:top w:val="nil"/>
              <w:left w:val="nil"/>
              <w:bottom w:val="single" w:sz="4" w:space="0" w:color="auto"/>
              <w:right w:val="single" w:sz="4" w:space="0" w:color="auto"/>
            </w:tcBorders>
            <w:shd w:val="clear" w:color="auto" w:fill="auto"/>
            <w:noWrap/>
            <w:vAlign w:val="bottom"/>
            <w:hideMark/>
          </w:tcPr>
          <w:p w14:paraId="2CD0A5E0"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15.40 </w:t>
            </w:r>
          </w:p>
        </w:tc>
        <w:tc>
          <w:tcPr>
            <w:tcW w:w="1543" w:type="dxa"/>
            <w:tcBorders>
              <w:top w:val="nil"/>
              <w:left w:val="nil"/>
              <w:bottom w:val="single" w:sz="4" w:space="0" w:color="auto"/>
              <w:right w:val="single" w:sz="4" w:space="0" w:color="auto"/>
            </w:tcBorders>
            <w:shd w:val="clear" w:color="auto" w:fill="auto"/>
            <w:noWrap/>
            <w:vAlign w:val="bottom"/>
            <w:hideMark/>
          </w:tcPr>
          <w:p w14:paraId="5B783F4A"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13.50 </w:t>
            </w:r>
          </w:p>
        </w:tc>
        <w:tc>
          <w:tcPr>
            <w:tcW w:w="1543" w:type="dxa"/>
            <w:tcBorders>
              <w:top w:val="nil"/>
              <w:left w:val="nil"/>
              <w:bottom w:val="single" w:sz="4" w:space="0" w:color="auto"/>
              <w:right w:val="single" w:sz="4" w:space="0" w:color="auto"/>
            </w:tcBorders>
            <w:shd w:val="clear" w:color="auto" w:fill="auto"/>
            <w:noWrap/>
            <w:vAlign w:val="bottom"/>
            <w:hideMark/>
          </w:tcPr>
          <w:p w14:paraId="2F20ED93"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3.26 </w:t>
            </w:r>
          </w:p>
        </w:tc>
      </w:tr>
      <w:tr w:rsidR="006403CC" w:rsidRPr="001C0C96" w14:paraId="3C21FA9A"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43D61268"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IDA</w:t>
            </w:r>
          </w:p>
        </w:tc>
        <w:tc>
          <w:tcPr>
            <w:tcW w:w="1543" w:type="dxa"/>
            <w:tcBorders>
              <w:top w:val="nil"/>
              <w:left w:val="nil"/>
              <w:bottom w:val="single" w:sz="4" w:space="0" w:color="auto"/>
              <w:right w:val="single" w:sz="4" w:space="0" w:color="auto"/>
            </w:tcBorders>
            <w:shd w:val="clear" w:color="auto" w:fill="auto"/>
            <w:noWrap/>
            <w:vAlign w:val="bottom"/>
            <w:hideMark/>
          </w:tcPr>
          <w:p w14:paraId="068CFC2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226.19 </w:t>
            </w:r>
          </w:p>
        </w:tc>
        <w:tc>
          <w:tcPr>
            <w:tcW w:w="1543" w:type="dxa"/>
            <w:tcBorders>
              <w:top w:val="nil"/>
              <w:left w:val="nil"/>
              <w:bottom w:val="single" w:sz="4" w:space="0" w:color="auto"/>
              <w:right w:val="single" w:sz="4" w:space="0" w:color="auto"/>
            </w:tcBorders>
            <w:shd w:val="clear" w:color="auto" w:fill="auto"/>
            <w:noWrap/>
            <w:vAlign w:val="bottom"/>
            <w:hideMark/>
          </w:tcPr>
          <w:p w14:paraId="69B2D609"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279.51 </w:t>
            </w:r>
          </w:p>
        </w:tc>
        <w:tc>
          <w:tcPr>
            <w:tcW w:w="1543" w:type="dxa"/>
            <w:tcBorders>
              <w:top w:val="nil"/>
              <w:left w:val="nil"/>
              <w:bottom w:val="single" w:sz="4" w:space="0" w:color="auto"/>
              <w:right w:val="single" w:sz="4" w:space="0" w:color="auto"/>
            </w:tcBorders>
            <w:shd w:val="clear" w:color="auto" w:fill="auto"/>
            <w:noWrap/>
            <w:vAlign w:val="bottom"/>
            <w:hideMark/>
          </w:tcPr>
          <w:p w14:paraId="0CC9FE00"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308.31 </w:t>
            </w:r>
          </w:p>
        </w:tc>
      </w:tr>
      <w:tr w:rsidR="006403CC" w:rsidRPr="001C0C96" w14:paraId="44EF6E8C"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7E97AD0C"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IFAD</w:t>
            </w:r>
          </w:p>
        </w:tc>
        <w:tc>
          <w:tcPr>
            <w:tcW w:w="1543" w:type="dxa"/>
            <w:tcBorders>
              <w:top w:val="nil"/>
              <w:left w:val="nil"/>
              <w:bottom w:val="single" w:sz="4" w:space="0" w:color="auto"/>
              <w:right w:val="single" w:sz="4" w:space="0" w:color="auto"/>
            </w:tcBorders>
            <w:shd w:val="clear" w:color="auto" w:fill="auto"/>
            <w:noWrap/>
            <w:vAlign w:val="bottom"/>
            <w:hideMark/>
          </w:tcPr>
          <w:p w14:paraId="1BD6B406"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11.31 </w:t>
            </w:r>
          </w:p>
        </w:tc>
        <w:tc>
          <w:tcPr>
            <w:tcW w:w="1543" w:type="dxa"/>
            <w:tcBorders>
              <w:top w:val="nil"/>
              <w:left w:val="nil"/>
              <w:bottom w:val="single" w:sz="4" w:space="0" w:color="auto"/>
              <w:right w:val="single" w:sz="4" w:space="0" w:color="auto"/>
            </w:tcBorders>
            <w:shd w:val="clear" w:color="auto" w:fill="auto"/>
            <w:noWrap/>
            <w:vAlign w:val="bottom"/>
            <w:hideMark/>
          </w:tcPr>
          <w:p w14:paraId="16C51E07"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10.95 </w:t>
            </w:r>
          </w:p>
        </w:tc>
        <w:tc>
          <w:tcPr>
            <w:tcW w:w="1543" w:type="dxa"/>
            <w:tcBorders>
              <w:top w:val="nil"/>
              <w:left w:val="nil"/>
              <w:bottom w:val="single" w:sz="4" w:space="0" w:color="auto"/>
              <w:right w:val="single" w:sz="4" w:space="0" w:color="auto"/>
            </w:tcBorders>
            <w:shd w:val="clear" w:color="auto" w:fill="auto"/>
            <w:noWrap/>
            <w:vAlign w:val="bottom"/>
            <w:hideMark/>
          </w:tcPr>
          <w:p w14:paraId="231DAFD6"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18.46 </w:t>
            </w:r>
          </w:p>
        </w:tc>
      </w:tr>
      <w:tr w:rsidR="006403CC" w:rsidRPr="001C0C96" w14:paraId="68D962B5"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3070C77A"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IsDB</w:t>
            </w:r>
          </w:p>
        </w:tc>
        <w:tc>
          <w:tcPr>
            <w:tcW w:w="1543" w:type="dxa"/>
            <w:tcBorders>
              <w:top w:val="nil"/>
              <w:left w:val="nil"/>
              <w:bottom w:val="single" w:sz="4" w:space="0" w:color="auto"/>
              <w:right w:val="single" w:sz="4" w:space="0" w:color="auto"/>
            </w:tcBorders>
            <w:shd w:val="clear" w:color="auto" w:fill="auto"/>
            <w:noWrap/>
            <w:vAlign w:val="bottom"/>
            <w:hideMark/>
          </w:tcPr>
          <w:p w14:paraId="71A16C42"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23.88 </w:t>
            </w:r>
          </w:p>
        </w:tc>
        <w:tc>
          <w:tcPr>
            <w:tcW w:w="1543" w:type="dxa"/>
            <w:tcBorders>
              <w:top w:val="nil"/>
              <w:left w:val="nil"/>
              <w:bottom w:val="single" w:sz="4" w:space="0" w:color="auto"/>
              <w:right w:val="single" w:sz="4" w:space="0" w:color="auto"/>
            </w:tcBorders>
            <w:shd w:val="clear" w:color="auto" w:fill="auto"/>
            <w:noWrap/>
            <w:vAlign w:val="bottom"/>
            <w:hideMark/>
          </w:tcPr>
          <w:p w14:paraId="58C3111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30.43 </w:t>
            </w:r>
          </w:p>
        </w:tc>
        <w:tc>
          <w:tcPr>
            <w:tcW w:w="1543" w:type="dxa"/>
            <w:tcBorders>
              <w:top w:val="nil"/>
              <w:left w:val="nil"/>
              <w:bottom w:val="single" w:sz="4" w:space="0" w:color="auto"/>
              <w:right w:val="single" w:sz="4" w:space="0" w:color="auto"/>
            </w:tcBorders>
            <w:shd w:val="clear" w:color="auto" w:fill="auto"/>
            <w:noWrap/>
            <w:vAlign w:val="bottom"/>
            <w:hideMark/>
          </w:tcPr>
          <w:p w14:paraId="4E749087"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34.47 </w:t>
            </w:r>
          </w:p>
        </w:tc>
      </w:tr>
      <w:tr w:rsidR="006403CC" w:rsidRPr="001C0C96" w14:paraId="54BABDF2"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76ACA785"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Italy</w:t>
            </w:r>
          </w:p>
        </w:tc>
        <w:tc>
          <w:tcPr>
            <w:tcW w:w="1543" w:type="dxa"/>
            <w:tcBorders>
              <w:top w:val="nil"/>
              <w:left w:val="nil"/>
              <w:bottom w:val="single" w:sz="4" w:space="0" w:color="auto"/>
              <w:right w:val="single" w:sz="4" w:space="0" w:color="auto"/>
            </w:tcBorders>
            <w:shd w:val="clear" w:color="auto" w:fill="auto"/>
            <w:noWrap/>
            <w:vAlign w:val="bottom"/>
            <w:hideMark/>
          </w:tcPr>
          <w:p w14:paraId="58A39D7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17DDAE23"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2E6E3382"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1.65 </w:t>
            </w:r>
          </w:p>
        </w:tc>
      </w:tr>
      <w:tr w:rsidR="006403CC" w:rsidRPr="001C0C96" w14:paraId="3BEF1C6E"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1B15BDD7"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Japan</w:t>
            </w:r>
          </w:p>
        </w:tc>
        <w:tc>
          <w:tcPr>
            <w:tcW w:w="1543" w:type="dxa"/>
            <w:tcBorders>
              <w:top w:val="nil"/>
              <w:left w:val="nil"/>
              <w:bottom w:val="single" w:sz="4" w:space="0" w:color="auto"/>
              <w:right w:val="single" w:sz="4" w:space="0" w:color="auto"/>
            </w:tcBorders>
            <w:shd w:val="clear" w:color="auto" w:fill="auto"/>
            <w:noWrap/>
            <w:vAlign w:val="bottom"/>
            <w:hideMark/>
          </w:tcPr>
          <w:p w14:paraId="2C209B2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49.79 </w:t>
            </w:r>
          </w:p>
        </w:tc>
        <w:tc>
          <w:tcPr>
            <w:tcW w:w="1543" w:type="dxa"/>
            <w:tcBorders>
              <w:top w:val="nil"/>
              <w:left w:val="nil"/>
              <w:bottom w:val="single" w:sz="4" w:space="0" w:color="auto"/>
              <w:right w:val="single" w:sz="4" w:space="0" w:color="auto"/>
            </w:tcBorders>
            <w:shd w:val="clear" w:color="auto" w:fill="auto"/>
            <w:noWrap/>
            <w:vAlign w:val="bottom"/>
            <w:hideMark/>
          </w:tcPr>
          <w:p w14:paraId="79EDDE6B"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22.42 </w:t>
            </w:r>
          </w:p>
        </w:tc>
        <w:tc>
          <w:tcPr>
            <w:tcW w:w="1543" w:type="dxa"/>
            <w:tcBorders>
              <w:top w:val="nil"/>
              <w:left w:val="nil"/>
              <w:bottom w:val="single" w:sz="4" w:space="0" w:color="auto"/>
              <w:right w:val="single" w:sz="4" w:space="0" w:color="auto"/>
            </w:tcBorders>
            <w:shd w:val="clear" w:color="auto" w:fill="auto"/>
            <w:noWrap/>
            <w:vAlign w:val="bottom"/>
            <w:hideMark/>
          </w:tcPr>
          <w:p w14:paraId="357A9D3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30.23 </w:t>
            </w:r>
          </w:p>
        </w:tc>
      </w:tr>
      <w:tr w:rsidR="006403CC" w:rsidRPr="001C0C96" w14:paraId="07082F40"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5F2277AF"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JBIC</w:t>
            </w:r>
          </w:p>
        </w:tc>
        <w:tc>
          <w:tcPr>
            <w:tcW w:w="1543" w:type="dxa"/>
            <w:tcBorders>
              <w:top w:val="nil"/>
              <w:left w:val="nil"/>
              <w:bottom w:val="single" w:sz="4" w:space="0" w:color="auto"/>
              <w:right w:val="single" w:sz="4" w:space="0" w:color="auto"/>
            </w:tcBorders>
            <w:shd w:val="clear" w:color="auto" w:fill="auto"/>
            <w:noWrap/>
            <w:vAlign w:val="bottom"/>
            <w:hideMark/>
          </w:tcPr>
          <w:p w14:paraId="4856589A"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3391F898"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45.91 </w:t>
            </w:r>
          </w:p>
        </w:tc>
        <w:tc>
          <w:tcPr>
            <w:tcW w:w="1543" w:type="dxa"/>
            <w:tcBorders>
              <w:top w:val="nil"/>
              <w:left w:val="nil"/>
              <w:bottom w:val="single" w:sz="4" w:space="0" w:color="auto"/>
              <w:right w:val="single" w:sz="4" w:space="0" w:color="auto"/>
            </w:tcBorders>
            <w:shd w:val="clear" w:color="auto" w:fill="auto"/>
            <w:noWrap/>
            <w:vAlign w:val="bottom"/>
            <w:hideMark/>
          </w:tcPr>
          <w:p w14:paraId="01FAA13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88.79 </w:t>
            </w:r>
          </w:p>
        </w:tc>
      </w:tr>
      <w:tr w:rsidR="006403CC" w:rsidRPr="001C0C96" w14:paraId="436FD62F"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6009636C"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Kuwait Fund</w:t>
            </w:r>
          </w:p>
        </w:tc>
        <w:tc>
          <w:tcPr>
            <w:tcW w:w="1543" w:type="dxa"/>
            <w:tcBorders>
              <w:top w:val="nil"/>
              <w:left w:val="nil"/>
              <w:bottom w:val="single" w:sz="4" w:space="0" w:color="auto"/>
              <w:right w:val="single" w:sz="4" w:space="0" w:color="auto"/>
            </w:tcBorders>
            <w:shd w:val="clear" w:color="auto" w:fill="auto"/>
            <w:noWrap/>
            <w:vAlign w:val="bottom"/>
            <w:hideMark/>
          </w:tcPr>
          <w:p w14:paraId="63380768"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4.66 </w:t>
            </w:r>
          </w:p>
        </w:tc>
        <w:tc>
          <w:tcPr>
            <w:tcW w:w="1543" w:type="dxa"/>
            <w:tcBorders>
              <w:top w:val="nil"/>
              <w:left w:val="nil"/>
              <w:bottom w:val="single" w:sz="4" w:space="0" w:color="auto"/>
              <w:right w:val="single" w:sz="4" w:space="0" w:color="auto"/>
            </w:tcBorders>
            <w:shd w:val="clear" w:color="auto" w:fill="auto"/>
            <w:noWrap/>
            <w:vAlign w:val="bottom"/>
            <w:hideMark/>
          </w:tcPr>
          <w:p w14:paraId="778101E3"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4.71 </w:t>
            </w:r>
          </w:p>
        </w:tc>
        <w:tc>
          <w:tcPr>
            <w:tcW w:w="1543" w:type="dxa"/>
            <w:tcBorders>
              <w:top w:val="nil"/>
              <w:left w:val="nil"/>
              <w:bottom w:val="single" w:sz="4" w:space="0" w:color="auto"/>
              <w:right w:val="single" w:sz="4" w:space="0" w:color="auto"/>
            </w:tcBorders>
            <w:shd w:val="clear" w:color="auto" w:fill="auto"/>
            <w:noWrap/>
            <w:vAlign w:val="bottom"/>
            <w:hideMark/>
          </w:tcPr>
          <w:p w14:paraId="2B324AE4"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6.39 </w:t>
            </w:r>
          </w:p>
        </w:tc>
      </w:tr>
      <w:tr w:rsidR="006403CC" w:rsidRPr="001C0C96" w14:paraId="74B295E5"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34789C3F"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Netherlands</w:t>
            </w:r>
          </w:p>
        </w:tc>
        <w:tc>
          <w:tcPr>
            <w:tcW w:w="1543" w:type="dxa"/>
            <w:tcBorders>
              <w:top w:val="nil"/>
              <w:left w:val="nil"/>
              <w:bottom w:val="single" w:sz="4" w:space="0" w:color="auto"/>
              <w:right w:val="single" w:sz="4" w:space="0" w:color="auto"/>
            </w:tcBorders>
            <w:shd w:val="clear" w:color="auto" w:fill="auto"/>
            <w:noWrap/>
            <w:vAlign w:val="bottom"/>
            <w:hideMark/>
          </w:tcPr>
          <w:p w14:paraId="120EE831"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60EE6854"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35255820"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2.38 </w:t>
            </w:r>
          </w:p>
        </w:tc>
      </w:tr>
      <w:tr w:rsidR="006403CC" w:rsidRPr="001C0C96" w14:paraId="46A3831F"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022D5CF8"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NDF</w:t>
            </w:r>
          </w:p>
        </w:tc>
        <w:tc>
          <w:tcPr>
            <w:tcW w:w="1543" w:type="dxa"/>
            <w:tcBorders>
              <w:top w:val="nil"/>
              <w:left w:val="nil"/>
              <w:bottom w:val="single" w:sz="4" w:space="0" w:color="auto"/>
              <w:right w:val="single" w:sz="4" w:space="0" w:color="auto"/>
            </w:tcBorders>
            <w:shd w:val="clear" w:color="auto" w:fill="auto"/>
            <w:noWrap/>
            <w:vAlign w:val="bottom"/>
            <w:hideMark/>
          </w:tcPr>
          <w:p w14:paraId="2154436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0.00 </w:t>
            </w:r>
          </w:p>
        </w:tc>
        <w:tc>
          <w:tcPr>
            <w:tcW w:w="1543" w:type="dxa"/>
            <w:tcBorders>
              <w:top w:val="nil"/>
              <w:left w:val="nil"/>
              <w:bottom w:val="single" w:sz="4" w:space="0" w:color="auto"/>
              <w:right w:val="single" w:sz="4" w:space="0" w:color="auto"/>
            </w:tcBorders>
            <w:shd w:val="clear" w:color="auto" w:fill="auto"/>
            <w:noWrap/>
            <w:vAlign w:val="bottom"/>
            <w:hideMark/>
          </w:tcPr>
          <w:p w14:paraId="38AB8252"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0.70 </w:t>
            </w:r>
          </w:p>
        </w:tc>
        <w:tc>
          <w:tcPr>
            <w:tcW w:w="1543" w:type="dxa"/>
            <w:tcBorders>
              <w:top w:val="nil"/>
              <w:left w:val="nil"/>
              <w:bottom w:val="single" w:sz="4" w:space="0" w:color="auto"/>
              <w:right w:val="single" w:sz="4" w:space="0" w:color="auto"/>
            </w:tcBorders>
            <w:shd w:val="clear" w:color="auto" w:fill="auto"/>
            <w:noWrap/>
            <w:vAlign w:val="bottom"/>
            <w:hideMark/>
          </w:tcPr>
          <w:p w14:paraId="26B3467A"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0.42 </w:t>
            </w:r>
          </w:p>
        </w:tc>
      </w:tr>
      <w:tr w:rsidR="006403CC" w:rsidRPr="001C0C96" w14:paraId="1008CD0F"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09EA1D13"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Norway</w:t>
            </w:r>
          </w:p>
        </w:tc>
        <w:tc>
          <w:tcPr>
            <w:tcW w:w="1543" w:type="dxa"/>
            <w:tcBorders>
              <w:top w:val="nil"/>
              <w:left w:val="nil"/>
              <w:bottom w:val="single" w:sz="4" w:space="0" w:color="auto"/>
              <w:right w:val="single" w:sz="4" w:space="0" w:color="auto"/>
            </w:tcBorders>
            <w:shd w:val="clear" w:color="auto" w:fill="auto"/>
            <w:noWrap/>
            <w:vAlign w:val="bottom"/>
            <w:hideMark/>
          </w:tcPr>
          <w:p w14:paraId="756A0916"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25.30 </w:t>
            </w:r>
          </w:p>
        </w:tc>
        <w:tc>
          <w:tcPr>
            <w:tcW w:w="1543" w:type="dxa"/>
            <w:tcBorders>
              <w:top w:val="nil"/>
              <w:left w:val="nil"/>
              <w:bottom w:val="single" w:sz="4" w:space="0" w:color="auto"/>
              <w:right w:val="single" w:sz="4" w:space="0" w:color="auto"/>
            </w:tcBorders>
            <w:shd w:val="clear" w:color="auto" w:fill="auto"/>
            <w:noWrap/>
            <w:vAlign w:val="bottom"/>
            <w:hideMark/>
          </w:tcPr>
          <w:p w14:paraId="7FEB911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19.16 </w:t>
            </w:r>
          </w:p>
        </w:tc>
        <w:tc>
          <w:tcPr>
            <w:tcW w:w="1543" w:type="dxa"/>
            <w:tcBorders>
              <w:top w:val="nil"/>
              <w:left w:val="nil"/>
              <w:bottom w:val="single" w:sz="4" w:space="0" w:color="auto"/>
              <w:right w:val="single" w:sz="4" w:space="0" w:color="auto"/>
            </w:tcBorders>
            <w:shd w:val="clear" w:color="auto" w:fill="auto"/>
            <w:noWrap/>
            <w:vAlign w:val="bottom"/>
            <w:hideMark/>
          </w:tcPr>
          <w:p w14:paraId="0B2B1D1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11.77 </w:t>
            </w:r>
          </w:p>
        </w:tc>
      </w:tr>
      <w:tr w:rsidR="006403CC" w:rsidRPr="001C0C96" w14:paraId="18919AE1"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3CAF8507"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OPEC</w:t>
            </w:r>
          </w:p>
        </w:tc>
        <w:tc>
          <w:tcPr>
            <w:tcW w:w="1543" w:type="dxa"/>
            <w:tcBorders>
              <w:top w:val="nil"/>
              <w:left w:val="nil"/>
              <w:bottom w:val="single" w:sz="4" w:space="0" w:color="auto"/>
              <w:right w:val="single" w:sz="4" w:space="0" w:color="auto"/>
            </w:tcBorders>
            <w:shd w:val="clear" w:color="auto" w:fill="auto"/>
            <w:noWrap/>
            <w:vAlign w:val="bottom"/>
            <w:hideMark/>
          </w:tcPr>
          <w:p w14:paraId="348F2972"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7.90 </w:t>
            </w:r>
          </w:p>
        </w:tc>
        <w:tc>
          <w:tcPr>
            <w:tcW w:w="1543" w:type="dxa"/>
            <w:tcBorders>
              <w:top w:val="nil"/>
              <w:left w:val="nil"/>
              <w:bottom w:val="single" w:sz="4" w:space="0" w:color="auto"/>
              <w:right w:val="single" w:sz="4" w:space="0" w:color="auto"/>
            </w:tcBorders>
            <w:shd w:val="clear" w:color="auto" w:fill="auto"/>
            <w:noWrap/>
            <w:vAlign w:val="bottom"/>
            <w:hideMark/>
          </w:tcPr>
          <w:p w14:paraId="7335D453"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3.70 </w:t>
            </w:r>
          </w:p>
        </w:tc>
        <w:tc>
          <w:tcPr>
            <w:tcW w:w="1543" w:type="dxa"/>
            <w:tcBorders>
              <w:top w:val="nil"/>
              <w:left w:val="nil"/>
              <w:bottom w:val="single" w:sz="4" w:space="0" w:color="auto"/>
              <w:right w:val="single" w:sz="4" w:space="0" w:color="auto"/>
            </w:tcBorders>
            <w:shd w:val="clear" w:color="auto" w:fill="auto"/>
            <w:noWrap/>
            <w:vAlign w:val="bottom"/>
            <w:hideMark/>
          </w:tcPr>
          <w:p w14:paraId="731F7327"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8.69 </w:t>
            </w:r>
          </w:p>
        </w:tc>
      </w:tr>
      <w:tr w:rsidR="006403CC" w:rsidRPr="001C0C96" w14:paraId="0D716CF1"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24EF5905"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PTA/TDB</w:t>
            </w:r>
          </w:p>
        </w:tc>
        <w:tc>
          <w:tcPr>
            <w:tcW w:w="1543" w:type="dxa"/>
            <w:tcBorders>
              <w:top w:val="nil"/>
              <w:left w:val="nil"/>
              <w:bottom w:val="single" w:sz="4" w:space="0" w:color="auto"/>
              <w:right w:val="single" w:sz="4" w:space="0" w:color="auto"/>
            </w:tcBorders>
            <w:shd w:val="clear" w:color="auto" w:fill="auto"/>
            <w:noWrap/>
            <w:vAlign w:val="bottom"/>
            <w:hideMark/>
          </w:tcPr>
          <w:p w14:paraId="0D36DFE6"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0D382E2F"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160.82 </w:t>
            </w:r>
          </w:p>
        </w:tc>
        <w:tc>
          <w:tcPr>
            <w:tcW w:w="1543" w:type="dxa"/>
            <w:tcBorders>
              <w:top w:val="nil"/>
              <w:left w:val="nil"/>
              <w:bottom w:val="single" w:sz="4" w:space="0" w:color="auto"/>
              <w:right w:val="single" w:sz="4" w:space="0" w:color="auto"/>
            </w:tcBorders>
            <w:shd w:val="clear" w:color="auto" w:fill="auto"/>
            <w:noWrap/>
            <w:vAlign w:val="bottom"/>
            <w:hideMark/>
          </w:tcPr>
          <w:p w14:paraId="3F507A52"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39.18 </w:t>
            </w:r>
          </w:p>
        </w:tc>
      </w:tr>
      <w:tr w:rsidR="006403CC" w:rsidRPr="001C0C96" w14:paraId="27DFC5E9"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536D0229"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Saudi Fund</w:t>
            </w:r>
          </w:p>
        </w:tc>
        <w:tc>
          <w:tcPr>
            <w:tcW w:w="1543" w:type="dxa"/>
            <w:tcBorders>
              <w:top w:val="nil"/>
              <w:left w:val="nil"/>
              <w:bottom w:val="single" w:sz="4" w:space="0" w:color="auto"/>
              <w:right w:val="single" w:sz="4" w:space="0" w:color="auto"/>
            </w:tcBorders>
            <w:shd w:val="clear" w:color="auto" w:fill="auto"/>
            <w:noWrap/>
            <w:vAlign w:val="bottom"/>
            <w:hideMark/>
          </w:tcPr>
          <w:p w14:paraId="17F8C9F8"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8.38 </w:t>
            </w:r>
          </w:p>
        </w:tc>
        <w:tc>
          <w:tcPr>
            <w:tcW w:w="1543" w:type="dxa"/>
            <w:tcBorders>
              <w:top w:val="nil"/>
              <w:left w:val="nil"/>
              <w:bottom w:val="single" w:sz="4" w:space="0" w:color="auto"/>
              <w:right w:val="single" w:sz="4" w:space="0" w:color="auto"/>
            </w:tcBorders>
            <w:shd w:val="clear" w:color="auto" w:fill="auto"/>
            <w:noWrap/>
            <w:vAlign w:val="bottom"/>
            <w:hideMark/>
          </w:tcPr>
          <w:p w14:paraId="3E68F839"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3.24 </w:t>
            </w:r>
          </w:p>
        </w:tc>
        <w:tc>
          <w:tcPr>
            <w:tcW w:w="1543" w:type="dxa"/>
            <w:tcBorders>
              <w:top w:val="nil"/>
              <w:left w:val="nil"/>
              <w:bottom w:val="single" w:sz="4" w:space="0" w:color="auto"/>
              <w:right w:val="single" w:sz="4" w:space="0" w:color="auto"/>
            </w:tcBorders>
            <w:shd w:val="clear" w:color="auto" w:fill="auto"/>
            <w:noWrap/>
            <w:vAlign w:val="bottom"/>
            <w:hideMark/>
          </w:tcPr>
          <w:p w14:paraId="5C078756"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3.77 </w:t>
            </w:r>
          </w:p>
        </w:tc>
      </w:tr>
      <w:tr w:rsidR="006403CC" w:rsidRPr="001C0C96" w14:paraId="3E28084F"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4EB8430D"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South Korea</w:t>
            </w:r>
          </w:p>
        </w:tc>
        <w:tc>
          <w:tcPr>
            <w:tcW w:w="1543" w:type="dxa"/>
            <w:tcBorders>
              <w:top w:val="nil"/>
              <w:left w:val="nil"/>
              <w:bottom w:val="single" w:sz="4" w:space="0" w:color="auto"/>
              <w:right w:val="single" w:sz="4" w:space="0" w:color="auto"/>
            </w:tcBorders>
            <w:shd w:val="clear" w:color="auto" w:fill="auto"/>
            <w:noWrap/>
            <w:vAlign w:val="bottom"/>
            <w:hideMark/>
          </w:tcPr>
          <w:p w14:paraId="0DF12789"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9.17 </w:t>
            </w:r>
          </w:p>
        </w:tc>
        <w:tc>
          <w:tcPr>
            <w:tcW w:w="1543" w:type="dxa"/>
            <w:tcBorders>
              <w:top w:val="nil"/>
              <w:left w:val="nil"/>
              <w:bottom w:val="single" w:sz="4" w:space="0" w:color="auto"/>
              <w:right w:val="single" w:sz="4" w:space="0" w:color="auto"/>
            </w:tcBorders>
            <w:shd w:val="clear" w:color="auto" w:fill="auto"/>
            <w:noWrap/>
            <w:vAlign w:val="bottom"/>
            <w:hideMark/>
          </w:tcPr>
          <w:p w14:paraId="77867621"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4.51 </w:t>
            </w:r>
          </w:p>
        </w:tc>
        <w:tc>
          <w:tcPr>
            <w:tcW w:w="1543" w:type="dxa"/>
            <w:tcBorders>
              <w:top w:val="nil"/>
              <w:left w:val="nil"/>
              <w:bottom w:val="single" w:sz="4" w:space="0" w:color="auto"/>
              <w:right w:val="single" w:sz="4" w:space="0" w:color="auto"/>
            </w:tcBorders>
            <w:shd w:val="clear" w:color="auto" w:fill="auto"/>
            <w:noWrap/>
            <w:vAlign w:val="bottom"/>
            <w:hideMark/>
          </w:tcPr>
          <w:p w14:paraId="7C6EB523"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5.63 </w:t>
            </w:r>
          </w:p>
        </w:tc>
      </w:tr>
      <w:tr w:rsidR="006403CC" w:rsidRPr="001C0C96" w14:paraId="186F7254"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20D39DA3"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lastRenderedPageBreak/>
              <w:t>Spain</w:t>
            </w:r>
          </w:p>
        </w:tc>
        <w:tc>
          <w:tcPr>
            <w:tcW w:w="1543" w:type="dxa"/>
            <w:tcBorders>
              <w:top w:val="nil"/>
              <w:left w:val="nil"/>
              <w:bottom w:val="single" w:sz="4" w:space="0" w:color="auto"/>
              <w:right w:val="single" w:sz="4" w:space="0" w:color="auto"/>
            </w:tcBorders>
            <w:shd w:val="clear" w:color="auto" w:fill="auto"/>
            <w:noWrap/>
            <w:vAlign w:val="bottom"/>
            <w:hideMark/>
          </w:tcPr>
          <w:p w14:paraId="71532F02"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6.41 </w:t>
            </w:r>
          </w:p>
        </w:tc>
        <w:tc>
          <w:tcPr>
            <w:tcW w:w="1543" w:type="dxa"/>
            <w:tcBorders>
              <w:top w:val="nil"/>
              <w:left w:val="nil"/>
              <w:bottom w:val="single" w:sz="4" w:space="0" w:color="auto"/>
              <w:right w:val="single" w:sz="4" w:space="0" w:color="auto"/>
            </w:tcBorders>
            <w:shd w:val="clear" w:color="auto" w:fill="auto"/>
            <w:noWrap/>
            <w:vAlign w:val="bottom"/>
            <w:hideMark/>
          </w:tcPr>
          <w:p w14:paraId="1F3F53CB"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5B7E5428"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r>
      <w:tr w:rsidR="006403CC" w:rsidRPr="001C0C96" w14:paraId="08E6D08B"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0681B44B"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Standard  Chartered Bank</w:t>
            </w:r>
          </w:p>
        </w:tc>
        <w:tc>
          <w:tcPr>
            <w:tcW w:w="1543" w:type="dxa"/>
            <w:tcBorders>
              <w:top w:val="nil"/>
              <w:left w:val="nil"/>
              <w:bottom w:val="single" w:sz="4" w:space="0" w:color="auto"/>
              <w:right w:val="single" w:sz="4" w:space="0" w:color="auto"/>
            </w:tcBorders>
            <w:shd w:val="clear" w:color="auto" w:fill="auto"/>
            <w:noWrap/>
            <w:vAlign w:val="bottom"/>
            <w:hideMark/>
          </w:tcPr>
          <w:p w14:paraId="38EE686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2D290CDE"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1ADF7060"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41.82 </w:t>
            </w:r>
          </w:p>
        </w:tc>
      </w:tr>
      <w:tr w:rsidR="006403CC" w:rsidRPr="001C0C96" w14:paraId="362B399A"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19DB2AC8"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UK Export Credit Finance</w:t>
            </w:r>
          </w:p>
        </w:tc>
        <w:tc>
          <w:tcPr>
            <w:tcW w:w="1543" w:type="dxa"/>
            <w:tcBorders>
              <w:top w:val="nil"/>
              <w:left w:val="nil"/>
              <w:bottom w:val="single" w:sz="4" w:space="0" w:color="auto"/>
              <w:right w:val="single" w:sz="4" w:space="0" w:color="auto"/>
            </w:tcBorders>
            <w:shd w:val="clear" w:color="auto" w:fill="auto"/>
            <w:noWrap/>
            <w:vAlign w:val="bottom"/>
            <w:hideMark/>
          </w:tcPr>
          <w:p w14:paraId="0804FCA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425E06EF"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2C3CDE5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56.24 </w:t>
            </w:r>
          </w:p>
        </w:tc>
      </w:tr>
      <w:tr w:rsidR="006403CC" w:rsidRPr="001C0C96" w14:paraId="00495C97"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334D9C0B"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United Kingdom</w:t>
            </w:r>
          </w:p>
        </w:tc>
        <w:tc>
          <w:tcPr>
            <w:tcW w:w="1543" w:type="dxa"/>
            <w:tcBorders>
              <w:top w:val="nil"/>
              <w:left w:val="nil"/>
              <w:bottom w:val="single" w:sz="4" w:space="0" w:color="auto"/>
              <w:right w:val="single" w:sz="4" w:space="0" w:color="auto"/>
            </w:tcBorders>
            <w:shd w:val="clear" w:color="auto" w:fill="auto"/>
            <w:noWrap/>
            <w:vAlign w:val="bottom"/>
            <w:hideMark/>
          </w:tcPr>
          <w:p w14:paraId="43681655"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3.77 </w:t>
            </w:r>
          </w:p>
        </w:tc>
        <w:tc>
          <w:tcPr>
            <w:tcW w:w="1543" w:type="dxa"/>
            <w:tcBorders>
              <w:top w:val="nil"/>
              <w:left w:val="nil"/>
              <w:bottom w:val="single" w:sz="4" w:space="0" w:color="auto"/>
              <w:right w:val="single" w:sz="4" w:space="0" w:color="auto"/>
            </w:tcBorders>
            <w:shd w:val="clear" w:color="auto" w:fill="auto"/>
            <w:noWrap/>
            <w:vAlign w:val="bottom"/>
            <w:hideMark/>
          </w:tcPr>
          <w:p w14:paraId="0B2D8789"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1.92 </w:t>
            </w:r>
          </w:p>
        </w:tc>
        <w:tc>
          <w:tcPr>
            <w:tcW w:w="1543" w:type="dxa"/>
            <w:tcBorders>
              <w:top w:val="nil"/>
              <w:left w:val="nil"/>
              <w:bottom w:val="single" w:sz="4" w:space="0" w:color="auto"/>
              <w:right w:val="single" w:sz="4" w:space="0" w:color="auto"/>
            </w:tcBorders>
            <w:shd w:val="clear" w:color="auto" w:fill="auto"/>
            <w:noWrap/>
            <w:vAlign w:val="bottom"/>
            <w:hideMark/>
          </w:tcPr>
          <w:p w14:paraId="6CB53F46"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1.12 </w:t>
            </w:r>
          </w:p>
        </w:tc>
      </w:tr>
      <w:tr w:rsidR="006403CC" w:rsidRPr="001C0C96" w14:paraId="2EAAA5E8"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1971BF96"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United Nations</w:t>
            </w:r>
          </w:p>
        </w:tc>
        <w:tc>
          <w:tcPr>
            <w:tcW w:w="1543" w:type="dxa"/>
            <w:tcBorders>
              <w:top w:val="nil"/>
              <w:left w:val="nil"/>
              <w:bottom w:val="single" w:sz="4" w:space="0" w:color="auto"/>
              <w:right w:val="single" w:sz="4" w:space="0" w:color="auto"/>
            </w:tcBorders>
            <w:shd w:val="clear" w:color="auto" w:fill="auto"/>
            <w:noWrap/>
            <w:vAlign w:val="bottom"/>
            <w:hideMark/>
          </w:tcPr>
          <w:p w14:paraId="3BCF8FD9"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17.31 </w:t>
            </w:r>
          </w:p>
        </w:tc>
        <w:tc>
          <w:tcPr>
            <w:tcW w:w="1543" w:type="dxa"/>
            <w:tcBorders>
              <w:top w:val="nil"/>
              <w:left w:val="nil"/>
              <w:bottom w:val="single" w:sz="4" w:space="0" w:color="auto"/>
              <w:right w:val="single" w:sz="4" w:space="0" w:color="auto"/>
            </w:tcBorders>
            <w:shd w:val="clear" w:color="auto" w:fill="auto"/>
            <w:noWrap/>
            <w:vAlign w:val="bottom"/>
            <w:hideMark/>
          </w:tcPr>
          <w:p w14:paraId="24CE3C13"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23.37 </w:t>
            </w:r>
          </w:p>
        </w:tc>
        <w:tc>
          <w:tcPr>
            <w:tcW w:w="1543" w:type="dxa"/>
            <w:tcBorders>
              <w:top w:val="nil"/>
              <w:left w:val="nil"/>
              <w:bottom w:val="single" w:sz="4" w:space="0" w:color="auto"/>
              <w:right w:val="single" w:sz="4" w:space="0" w:color="auto"/>
            </w:tcBorders>
            <w:shd w:val="clear" w:color="auto" w:fill="auto"/>
            <w:noWrap/>
            <w:vAlign w:val="bottom"/>
            <w:hideMark/>
          </w:tcPr>
          <w:p w14:paraId="16E37275"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24.26 </w:t>
            </w:r>
          </w:p>
        </w:tc>
      </w:tr>
      <w:tr w:rsidR="006403CC" w:rsidRPr="001C0C96" w14:paraId="266FAF79"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63AB7FFC"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UNDP</w:t>
            </w:r>
          </w:p>
        </w:tc>
        <w:tc>
          <w:tcPr>
            <w:tcW w:w="1543" w:type="dxa"/>
            <w:tcBorders>
              <w:top w:val="nil"/>
              <w:left w:val="nil"/>
              <w:bottom w:val="single" w:sz="4" w:space="0" w:color="auto"/>
              <w:right w:val="single" w:sz="4" w:space="0" w:color="auto"/>
            </w:tcBorders>
            <w:shd w:val="clear" w:color="auto" w:fill="auto"/>
            <w:noWrap/>
            <w:vAlign w:val="bottom"/>
            <w:hideMark/>
          </w:tcPr>
          <w:p w14:paraId="4559C40F"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13.63 </w:t>
            </w:r>
          </w:p>
        </w:tc>
        <w:tc>
          <w:tcPr>
            <w:tcW w:w="1543" w:type="dxa"/>
            <w:tcBorders>
              <w:top w:val="nil"/>
              <w:left w:val="nil"/>
              <w:bottom w:val="single" w:sz="4" w:space="0" w:color="auto"/>
              <w:right w:val="single" w:sz="4" w:space="0" w:color="auto"/>
            </w:tcBorders>
            <w:shd w:val="clear" w:color="auto" w:fill="auto"/>
            <w:noWrap/>
            <w:vAlign w:val="bottom"/>
            <w:hideMark/>
          </w:tcPr>
          <w:p w14:paraId="1FC3414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14.05 </w:t>
            </w:r>
          </w:p>
        </w:tc>
        <w:tc>
          <w:tcPr>
            <w:tcW w:w="1543" w:type="dxa"/>
            <w:tcBorders>
              <w:top w:val="nil"/>
              <w:left w:val="nil"/>
              <w:bottom w:val="single" w:sz="4" w:space="0" w:color="auto"/>
              <w:right w:val="single" w:sz="4" w:space="0" w:color="auto"/>
            </w:tcBorders>
            <w:shd w:val="clear" w:color="auto" w:fill="auto"/>
            <w:noWrap/>
            <w:vAlign w:val="bottom"/>
            <w:hideMark/>
          </w:tcPr>
          <w:p w14:paraId="20ACF640"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12.34 </w:t>
            </w:r>
          </w:p>
        </w:tc>
      </w:tr>
      <w:tr w:rsidR="006403CC" w:rsidRPr="001C0C96" w14:paraId="4F0346C7"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25AB6D9B"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UNOPS</w:t>
            </w:r>
          </w:p>
        </w:tc>
        <w:tc>
          <w:tcPr>
            <w:tcW w:w="1543" w:type="dxa"/>
            <w:tcBorders>
              <w:top w:val="nil"/>
              <w:left w:val="nil"/>
              <w:bottom w:val="single" w:sz="4" w:space="0" w:color="auto"/>
              <w:right w:val="single" w:sz="4" w:space="0" w:color="auto"/>
            </w:tcBorders>
            <w:shd w:val="clear" w:color="auto" w:fill="auto"/>
            <w:noWrap/>
            <w:vAlign w:val="bottom"/>
            <w:hideMark/>
          </w:tcPr>
          <w:p w14:paraId="3C989313"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2.44 </w:t>
            </w:r>
          </w:p>
        </w:tc>
        <w:tc>
          <w:tcPr>
            <w:tcW w:w="1543" w:type="dxa"/>
            <w:tcBorders>
              <w:top w:val="nil"/>
              <w:left w:val="nil"/>
              <w:bottom w:val="single" w:sz="4" w:space="0" w:color="auto"/>
              <w:right w:val="single" w:sz="4" w:space="0" w:color="auto"/>
            </w:tcBorders>
            <w:shd w:val="clear" w:color="auto" w:fill="auto"/>
            <w:noWrap/>
            <w:vAlign w:val="bottom"/>
            <w:hideMark/>
          </w:tcPr>
          <w:p w14:paraId="444F097B"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   </w:t>
            </w:r>
          </w:p>
        </w:tc>
        <w:tc>
          <w:tcPr>
            <w:tcW w:w="1543" w:type="dxa"/>
            <w:tcBorders>
              <w:top w:val="nil"/>
              <w:left w:val="nil"/>
              <w:bottom w:val="single" w:sz="4" w:space="0" w:color="auto"/>
              <w:right w:val="single" w:sz="4" w:space="0" w:color="auto"/>
            </w:tcBorders>
            <w:shd w:val="clear" w:color="auto" w:fill="auto"/>
            <w:noWrap/>
            <w:vAlign w:val="bottom"/>
            <w:hideMark/>
          </w:tcPr>
          <w:p w14:paraId="272B9BC3"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1.15 </w:t>
            </w:r>
          </w:p>
        </w:tc>
      </w:tr>
      <w:tr w:rsidR="006403CC" w:rsidRPr="001C0C96" w14:paraId="0A15632F"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4BBF304F"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UNFPA</w:t>
            </w:r>
          </w:p>
        </w:tc>
        <w:tc>
          <w:tcPr>
            <w:tcW w:w="1543" w:type="dxa"/>
            <w:tcBorders>
              <w:top w:val="nil"/>
              <w:left w:val="nil"/>
              <w:bottom w:val="single" w:sz="4" w:space="0" w:color="auto"/>
              <w:right w:val="single" w:sz="4" w:space="0" w:color="auto"/>
            </w:tcBorders>
            <w:shd w:val="clear" w:color="auto" w:fill="auto"/>
            <w:noWrap/>
            <w:vAlign w:val="bottom"/>
            <w:hideMark/>
          </w:tcPr>
          <w:p w14:paraId="00AD35BF"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7.07 </w:t>
            </w:r>
          </w:p>
        </w:tc>
        <w:tc>
          <w:tcPr>
            <w:tcW w:w="1543" w:type="dxa"/>
            <w:tcBorders>
              <w:top w:val="nil"/>
              <w:left w:val="nil"/>
              <w:bottom w:val="single" w:sz="4" w:space="0" w:color="auto"/>
              <w:right w:val="single" w:sz="4" w:space="0" w:color="auto"/>
            </w:tcBorders>
            <w:shd w:val="clear" w:color="auto" w:fill="auto"/>
            <w:noWrap/>
            <w:vAlign w:val="bottom"/>
            <w:hideMark/>
          </w:tcPr>
          <w:p w14:paraId="0FF39B35"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7.07 </w:t>
            </w:r>
          </w:p>
        </w:tc>
        <w:tc>
          <w:tcPr>
            <w:tcW w:w="1543" w:type="dxa"/>
            <w:tcBorders>
              <w:top w:val="nil"/>
              <w:left w:val="nil"/>
              <w:bottom w:val="single" w:sz="4" w:space="0" w:color="auto"/>
              <w:right w:val="single" w:sz="4" w:space="0" w:color="auto"/>
            </w:tcBorders>
            <w:shd w:val="clear" w:color="auto" w:fill="auto"/>
            <w:noWrap/>
            <w:vAlign w:val="bottom"/>
            <w:hideMark/>
          </w:tcPr>
          <w:p w14:paraId="0F960A4A"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7.07 </w:t>
            </w:r>
          </w:p>
        </w:tc>
      </w:tr>
      <w:tr w:rsidR="006403CC" w:rsidRPr="001C0C96" w14:paraId="71CA50D7"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718AB6EF" w14:textId="77777777" w:rsidR="006403CC" w:rsidRPr="001C0C96" w:rsidRDefault="006403CC" w:rsidP="003666C5">
            <w:pPr>
              <w:spacing w:after="0" w:line="240" w:lineRule="auto"/>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USA incl. PEPFAR</w:t>
            </w:r>
          </w:p>
        </w:tc>
        <w:tc>
          <w:tcPr>
            <w:tcW w:w="1543" w:type="dxa"/>
            <w:tcBorders>
              <w:top w:val="nil"/>
              <w:left w:val="nil"/>
              <w:bottom w:val="single" w:sz="4" w:space="0" w:color="auto"/>
              <w:right w:val="single" w:sz="4" w:space="0" w:color="auto"/>
            </w:tcBorders>
            <w:shd w:val="clear" w:color="auto" w:fill="auto"/>
            <w:noWrap/>
            <w:vAlign w:val="bottom"/>
            <w:hideMark/>
          </w:tcPr>
          <w:p w14:paraId="7198E180"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227.40 </w:t>
            </w:r>
          </w:p>
        </w:tc>
        <w:tc>
          <w:tcPr>
            <w:tcW w:w="1543" w:type="dxa"/>
            <w:tcBorders>
              <w:top w:val="nil"/>
              <w:left w:val="nil"/>
              <w:bottom w:val="single" w:sz="4" w:space="0" w:color="auto"/>
              <w:right w:val="single" w:sz="4" w:space="0" w:color="auto"/>
            </w:tcBorders>
            <w:shd w:val="clear" w:color="auto" w:fill="auto"/>
            <w:noWrap/>
            <w:vAlign w:val="bottom"/>
            <w:hideMark/>
          </w:tcPr>
          <w:p w14:paraId="110FD8AC"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227.40 </w:t>
            </w:r>
          </w:p>
        </w:tc>
        <w:tc>
          <w:tcPr>
            <w:tcW w:w="1543" w:type="dxa"/>
            <w:tcBorders>
              <w:top w:val="nil"/>
              <w:left w:val="nil"/>
              <w:bottom w:val="single" w:sz="4" w:space="0" w:color="auto"/>
              <w:right w:val="single" w:sz="4" w:space="0" w:color="auto"/>
            </w:tcBorders>
            <w:shd w:val="clear" w:color="auto" w:fill="auto"/>
            <w:noWrap/>
            <w:vAlign w:val="bottom"/>
            <w:hideMark/>
          </w:tcPr>
          <w:p w14:paraId="27F80AFD" w14:textId="77777777" w:rsidR="006403CC" w:rsidRPr="001C0C96" w:rsidRDefault="006403CC" w:rsidP="003666C5">
            <w:pPr>
              <w:spacing w:after="0" w:line="240" w:lineRule="auto"/>
              <w:jc w:val="right"/>
              <w:rPr>
                <w:rFonts w:ascii="Times New Roman" w:eastAsia="Times New Roman" w:hAnsi="Times New Roman"/>
                <w:color w:val="000000"/>
                <w:sz w:val="20"/>
                <w:szCs w:val="20"/>
              </w:rPr>
            </w:pPr>
            <w:r w:rsidRPr="001C0C96">
              <w:rPr>
                <w:rFonts w:ascii="Times New Roman" w:eastAsia="Times New Roman" w:hAnsi="Times New Roman"/>
                <w:color w:val="000000"/>
                <w:sz w:val="20"/>
                <w:szCs w:val="20"/>
              </w:rPr>
              <w:t xml:space="preserve">        227.40 </w:t>
            </w:r>
          </w:p>
        </w:tc>
      </w:tr>
      <w:tr w:rsidR="006403CC" w:rsidRPr="001C0C96" w14:paraId="4B14F71A" w14:textId="77777777" w:rsidTr="00773884">
        <w:trPr>
          <w:trHeight w:val="290"/>
        </w:trPr>
        <w:tc>
          <w:tcPr>
            <w:tcW w:w="4718" w:type="dxa"/>
            <w:tcBorders>
              <w:top w:val="nil"/>
              <w:left w:val="single" w:sz="4" w:space="0" w:color="auto"/>
              <w:bottom w:val="single" w:sz="4" w:space="0" w:color="auto"/>
              <w:right w:val="single" w:sz="4" w:space="0" w:color="auto"/>
            </w:tcBorders>
            <w:shd w:val="clear" w:color="auto" w:fill="auto"/>
            <w:noWrap/>
            <w:vAlign w:val="bottom"/>
            <w:hideMark/>
          </w:tcPr>
          <w:p w14:paraId="798C4C80" w14:textId="77777777" w:rsidR="006403CC" w:rsidRPr="001C0C96" w:rsidRDefault="006403CC" w:rsidP="003666C5">
            <w:pPr>
              <w:spacing w:after="0" w:line="240" w:lineRule="auto"/>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TOTALS</w:t>
            </w:r>
          </w:p>
        </w:tc>
        <w:tc>
          <w:tcPr>
            <w:tcW w:w="1543" w:type="dxa"/>
            <w:tcBorders>
              <w:top w:val="nil"/>
              <w:left w:val="nil"/>
              <w:bottom w:val="single" w:sz="4" w:space="0" w:color="auto"/>
              <w:right w:val="single" w:sz="4" w:space="0" w:color="auto"/>
            </w:tcBorders>
            <w:shd w:val="clear" w:color="auto" w:fill="auto"/>
            <w:noWrap/>
            <w:vAlign w:val="bottom"/>
            <w:hideMark/>
          </w:tcPr>
          <w:p w14:paraId="165FC935" w14:textId="77777777" w:rsidR="006403CC" w:rsidRPr="001C0C96" w:rsidRDefault="006403CC" w:rsidP="003666C5">
            <w:pPr>
              <w:spacing w:after="0" w:line="240" w:lineRule="auto"/>
              <w:jc w:val="right"/>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 xml:space="preserve">     1,541.37 </w:t>
            </w:r>
          </w:p>
        </w:tc>
        <w:tc>
          <w:tcPr>
            <w:tcW w:w="1543" w:type="dxa"/>
            <w:tcBorders>
              <w:top w:val="nil"/>
              <w:left w:val="nil"/>
              <w:bottom w:val="single" w:sz="4" w:space="0" w:color="auto"/>
              <w:right w:val="single" w:sz="4" w:space="0" w:color="auto"/>
            </w:tcBorders>
            <w:shd w:val="clear" w:color="auto" w:fill="auto"/>
            <w:noWrap/>
            <w:vAlign w:val="bottom"/>
            <w:hideMark/>
          </w:tcPr>
          <w:p w14:paraId="73B6AFB9" w14:textId="77777777" w:rsidR="006403CC" w:rsidRPr="001C0C96" w:rsidRDefault="006403CC" w:rsidP="003666C5">
            <w:pPr>
              <w:spacing w:after="0" w:line="240" w:lineRule="auto"/>
              <w:jc w:val="right"/>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 xml:space="preserve">     1,470.92 </w:t>
            </w:r>
          </w:p>
        </w:tc>
        <w:tc>
          <w:tcPr>
            <w:tcW w:w="1543" w:type="dxa"/>
            <w:tcBorders>
              <w:top w:val="nil"/>
              <w:left w:val="nil"/>
              <w:bottom w:val="single" w:sz="4" w:space="0" w:color="auto"/>
              <w:right w:val="single" w:sz="4" w:space="0" w:color="auto"/>
            </w:tcBorders>
            <w:shd w:val="clear" w:color="auto" w:fill="auto"/>
            <w:noWrap/>
            <w:vAlign w:val="bottom"/>
            <w:hideMark/>
          </w:tcPr>
          <w:p w14:paraId="42803242" w14:textId="77777777" w:rsidR="006403CC" w:rsidRPr="001C0C96" w:rsidRDefault="006403CC" w:rsidP="003666C5">
            <w:pPr>
              <w:spacing w:after="0" w:line="240" w:lineRule="auto"/>
              <w:jc w:val="right"/>
              <w:rPr>
                <w:rFonts w:ascii="Times New Roman" w:eastAsia="Times New Roman" w:hAnsi="Times New Roman"/>
                <w:b/>
                <w:bCs/>
                <w:color w:val="000000"/>
                <w:sz w:val="20"/>
                <w:szCs w:val="20"/>
              </w:rPr>
            </w:pPr>
            <w:r w:rsidRPr="001C0C96">
              <w:rPr>
                <w:rFonts w:ascii="Times New Roman" w:eastAsia="Times New Roman" w:hAnsi="Times New Roman"/>
                <w:b/>
                <w:bCs/>
                <w:color w:val="000000"/>
                <w:sz w:val="20"/>
                <w:szCs w:val="20"/>
              </w:rPr>
              <w:t xml:space="preserve">     1,668.29 </w:t>
            </w:r>
          </w:p>
        </w:tc>
      </w:tr>
    </w:tbl>
    <w:p w14:paraId="12297C44"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20C3F420" w14:textId="2BD12289" w:rsidR="006403CC" w:rsidRPr="001C0C96" w:rsidRDefault="003666C5" w:rsidP="003666C5">
      <w:pPr>
        <w:spacing w:after="0" w:line="240" w:lineRule="auto"/>
        <w:rPr>
          <w:rFonts w:ascii="Times New Roman" w:hAnsi="Times New Roman"/>
          <w:b/>
          <w:color w:val="000000" w:themeColor="text1"/>
        </w:rPr>
      </w:pPr>
      <w:bookmarkStart w:id="140" w:name="_Toc3505102"/>
      <w:r w:rsidRPr="001C0C96">
        <w:rPr>
          <w:rFonts w:ascii="Times New Roman" w:hAnsi="Times New Roman"/>
          <w:b/>
          <w:color w:val="000000" w:themeColor="text1"/>
        </w:rPr>
        <w:t xml:space="preserve">Table </w:t>
      </w:r>
      <w:r w:rsidRPr="001C0C96">
        <w:rPr>
          <w:rFonts w:ascii="Times New Roman" w:hAnsi="Times New Roman"/>
          <w:b/>
          <w:color w:val="000000" w:themeColor="text1"/>
        </w:rPr>
        <w:fldChar w:fldCharType="begin"/>
      </w:r>
      <w:r w:rsidRPr="001C0C96">
        <w:rPr>
          <w:rFonts w:ascii="Times New Roman" w:hAnsi="Times New Roman"/>
          <w:b/>
          <w:color w:val="000000" w:themeColor="text1"/>
        </w:rPr>
        <w:instrText xml:space="preserve"> SEQ Table \* ARABIC </w:instrText>
      </w:r>
      <w:r w:rsidRPr="001C0C96">
        <w:rPr>
          <w:rFonts w:ascii="Times New Roman" w:hAnsi="Times New Roman"/>
          <w:b/>
          <w:color w:val="000000" w:themeColor="text1"/>
        </w:rPr>
        <w:fldChar w:fldCharType="separate"/>
      </w:r>
      <w:r w:rsidR="006F31B1">
        <w:rPr>
          <w:rFonts w:ascii="Times New Roman" w:hAnsi="Times New Roman"/>
          <w:b/>
          <w:noProof/>
          <w:color w:val="000000" w:themeColor="text1"/>
        </w:rPr>
        <w:t>5</w:t>
      </w:r>
      <w:r w:rsidRPr="001C0C96">
        <w:rPr>
          <w:rFonts w:ascii="Times New Roman" w:hAnsi="Times New Roman"/>
          <w:b/>
          <w:color w:val="000000" w:themeColor="text1"/>
        </w:rPr>
        <w:fldChar w:fldCharType="end"/>
      </w:r>
      <w:r w:rsidRPr="001C0C96">
        <w:rPr>
          <w:rFonts w:ascii="Times New Roman" w:hAnsi="Times New Roman"/>
          <w:b/>
          <w:color w:val="000000" w:themeColor="text1"/>
        </w:rPr>
        <w:t xml:space="preserve">: </w:t>
      </w:r>
      <w:r w:rsidR="006403CC" w:rsidRPr="001C0C96">
        <w:rPr>
          <w:rFonts w:ascii="Times New Roman" w:hAnsi="Times New Roman"/>
          <w:b/>
          <w:color w:val="000000" w:themeColor="text1"/>
        </w:rPr>
        <w:t>Top Ten Development Partners - Percentage allocation of Total DA by Donor (Budget Support</w:t>
      </w:r>
      <w:r w:rsidRPr="001C0C96">
        <w:rPr>
          <w:rFonts w:ascii="Times New Roman" w:hAnsi="Times New Roman"/>
          <w:b/>
          <w:color w:val="000000" w:themeColor="text1"/>
        </w:rPr>
        <w:t xml:space="preserve">, </w:t>
      </w:r>
      <w:r w:rsidR="006403CC" w:rsidRPr="001C0C96">
        <w:rPr>
          <w:rFonts w:ascii="Times New Roman" w:hAnsi="Times New Roman"/>
          <w:b/>
          <w:color w:val="000000" w:themeColor="text1"/>
        </w:rPr>
        <w:t>MTEF and Non-MTEF Project)</w:t>
      </w:r>
      <w:bookmarkEnd w:id="140"/>
    </w:p>
    <w:tbl>
      <w:tblPr>
        <w:tblW w:w="9214" w:type="dxa"/>
        <w:tblInd w:w="-5" w:type="dxa"/>
        <w:tblLook w:val="04A0" w:firstRow="1" w:lastRow="0" w:firstColumn="1" w:lastColumn="0" w:noHBand="0" w:noVBand="1"/>
      </w:tblPr>
      <w:tblGrid>
        <w:gridCol w:w="3990"/>
        <w:gridCol w:w="1306"/>
        <w:gridCol w:w="1306"/>
        <w:gridCol w:w="1306"/>
        <w:gridCol w:w="1306"/>
      </w:tblGrid>
      <w:tr w:rsidR="006403CC" w:rsidRPr="0043743B" w14:paraId="077B22A6" w14:textId="77777777" w:rsidTr="00773884">
        <w:trPr>
          <w:trHeight w:val="275"/>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9267A"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Source- Development Partner</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7AC5C84B"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2015/16</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10A1EB5F"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2016/17</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2ECF5462"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2017/18</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62E50845"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Average</w:t>
            </w:r>
          </w:p>
        </w:tc>
      </w:tr>
      <w:tr w:rsidR="006403CC" w:rsidRPr="0043743B" w14:paraId="3C268AFB"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19ECFD2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China</w:t>
            </w:r>
          </w:p>
        </w:tc>
        <w:tc>
          <w:tcPr>
            <w:tcW w:w="1306" w:type="dxa"/>
            <w:tcBorders>
              <w:top w:val="nil"/>
              <w:left w:val="nil"/>
              <w:bottom w:val="single" w:sz="4" w:space="0" w:color="auto"/>
              <w:right w:val="single" w:sz="4" w:space="0" w:color="auto"/>
            </w:tcBorders>
            <w:shd w:val="clear" w:color="auto" w:fill="auto"/>
            <w:noWrap/>
            <w:vAlign w:val="bottom"/>
            <w:hideMark/>
          </w:tcPr>
          <w:p w14:paraId="33B828D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35.5%</w:t>
            </w:r>
          </w:p>
        </w:tc>
        <w:tc>
          <w:tcPr>
            <w:tcW w:w="1306" w:type="dxa"/>
            <w:tcBorders>
              <w:top w:val="nil"/>
              <w:left w:val="nil"/>
              <w:bottom w:val="single" w:sz="4" w:space="0" w:color="auto"/>
              <w:right w:val="single" w:sz="4" w:space="0" w:color="auto"/>
            </w:tcBorders>
            <w:shd w:val="clear" w:color="auto" w:fill="auto"/>
            <w:noWrap/>
            <w:vAlign w:val="bottom"/>
            <w:hideMark/>
          </w:tcPr>
          <w:p w14:paraId="3B02B27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23.4%</w:t>
            </w:r>
          </w:p>
        </w:tc>
        <w:tc>
          <w:tcPr>
            <w:tcW w:w="1306" w:type="dxa"/>
            <w:tcBorders>
              <w:top w:val="nil"/>
              <w:left w:val="nil"/>
              <w:bottom w:val="single" w:sz="4" w:space="0" w:color="auto"/>
              <w:right w:val="single" w:sz="4" w:space="0" w:color="auto"/>
            </w:tcBorders>
            <w:shd w:val="clear" w:color="auto" w:fill="auto"/>
            <w:noWrap/>
            <w:vAlign w:val="bottom"/>
            <w:hideMark/>
          </w:tcPr>
          <w:p w14:paraId="71865A1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25.2%</w:t>
            </w:r>
          </w:p>
        </w:tc>
        <w:tc>
          <w:tcPr>
            <w:tcW w:w="1306" w:type="dxa"/>
            <w:tcBorders>
              <w:top w:val="nil"/>
              <w:left w:val="nil"/>
              <w:bottom w:val="single" w:sz="4" w:space="0" w:color="auto"/>
              <w:right w:val="single" w:sz="4" w:space="0" w:color="auto"/>
            </w:tcBorders>
            <w:shd w:val="clear" w:color="auto" w:fill="auto"/>
            <w:noWrap/>
            <w:vAlign w:val="bottom"/>
            <w:hideMark/>
          </w:tcPr>
          <w:p w14:paraId="4A3A5D9F"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28.0%</w:t>
            </w:r>
          </w:p>
        </w:tc>
      </w:tr>
      <w:tr w:rsidR="006403CC" w:rsidRPr="0043743B" w14:paraId="67FFE74B"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2DAEA07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IDA</w:t>
            </w:r>
          </w:p>
        </w:tc>
        <w:tc>
          <w:tcPr>
            <w:tcW w:w="1306" w:type="dxa"/>
            <w:tcBorders>
              <w:top w:val="nil"/>
              <w:left w:val="nil"/>
              <w:bottom w:val="single" w:sz="4" w:space="0" w:color="auto"/>
              <w:right w:val="single" w:sz="4" w:space="0" w:color="auto"/>
            </w:tcBorders>
            <w:shd w:val="clear" w:color="auto" w:fill="auto"/>
            <w:noWrap/>
            <w:vAlign w:val="bottom"/>
            <w:hideMark/>
          </w:tcPr>
          <w:p w14:paraId="1F4DE00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14.7%</w:t>
            </w:r>
          </w:p>
        </w:tc>
        <w:tc>
          <w:tcPr>
            <w:tcW w:w="1306" w:type="dxa"/>
            <w:tcBorders>
              <w:top w:val="nil"/>
              <w:left w:val="nil"/>
              <w:bottom w:val="single" w:sz="4" w:space="0" w:color="auto"/>
              <w:right w:val="single" w:sz="4" w:space="0" w:color="auto"/>
            </w:tcBorders>
            <w:shd w:val="clear" w:color="auto" w:fill="auto"/>
            <w:noWrap/>
            <w:vAlign w:val="bottom"/>
            <w:hideMark/>
          </w:tcPr>
          <w:p w14:paraId="099913C4"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19.0%</w:t>
            </w:r>
          </w:p>
        </w:tc>
        <w:tc>
          <w:tcPr>
            <w:tcW w:w="1306" w:type="dxa"/>
            <w:tcBorders>
              <w:top w:val="nil"/>
              <w:left w:val="nil"/>
              <w:bottom w:val="single" w:sz="4" w:space="0" w:color="auto"/>
              <w:right w:val="single" w:sz="4" w:space="0" w:color="auto"/>
            </w:tcBorders>
            <w:shd w:val="clear" w:color="auto" w:fill="auto"/>
            <w:noWrap/>
            <w:vAlign w:val="bottom"/>
            <w:hideMark/>
          </w:tcPr>
          <w:p w14:paraId="5097ECC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18.5%</w:t>
            </w:r>
          </w:p>
        </w:tc>
        <w:tc>
          <w:tcPr>
            <w:tcW w:w="1306" w:type="dxa"/>
            <w:tcBorders>
              <w:top w:val="nil"/>
              <w:left w:val="nil"/>
              <w:bottom w:val="single" w:sz="4" w:space="0" w:color="auto"/>
              <w:right w:val="single" w:sz="4" w:space="0" w:color="auto"/>
            </w:tcBorders>
            <w:shd w:val="clear" w:color="auto" w:fill="auto"/>
            <w:noWrap/>
            <w:vAlign w:val="bottom"/>
            <w:hideMark/>
          </w:tcPr>
          <w:p w14:paraId="6F63F02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17.4%</w:t>
            </w:r>
          </w:p>
        </w:tc>
      </w:tr>
      <w:tr w:rsidR="006403CC" w:rsidRPr="0043743B" w14:paraId="1009E26E"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5F59293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USA incl. PEPFAR</w:t>
            </w:r>
          </w:p>
        </w:tc>
        <w:tc>
          <w:tcPr>
            <w:tcW w:w="1306" w:type="dxa"/>
            <w:tcBorders>
              <w:top w:val="nil"/>
              <w:left w:val="nil"/>
              <w:bottom w:val="single" w:sz="4" w:space="0" w:color="auto"/>
              <w:right w:val="single" w:sz="4" w:space="0" w:color="auto"/>
            </w:tcBorders>
            <w:shd w:val="clear" w:color="auto" w:fill="auto"/>
            <w:noWrap/>
            <w:vAlign w:val="bottom"/>
            <w:hideMark/>
          </w:tcPr>
          <w:p w14:paraId="7A8E542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14.8%</w:t>
            </w:r>
          </w:p>
        </w:tc>
        <w:tc>
          <w:tcPr>
            <w:tcW w:w="1306" w:type="dxa"/>
            <w:tcBorders>
              <w:top w:val="nil"/>
              <w:left w:val="nil"/>
              <w:bottom w:val="single" w:sz="4" w:space="0" w:color="auto"/>
              <w:right w:val="single" w:sz="4" w:space="0" w:color="auto"/>
            </w:tcBorders>
            <w:shd w:val="clear" w:color="auto" w:fill="auto"/>
            <w:noWrap/>
            <w:vAlign w:val="bottom"/>
            <w:hideMark/>
          </w:tcPr>
          <w:p w14:paraId="413F591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15.5%</w:t>
            </w:r>
          </w:p>
        </w:tc>
        <w:tc>
          <w:tcPr>
            <w:tcW w:w="1306" w:type="dxa"/>
            <w:tcBorders>
              <w:top w:val="nil"/>
              <w:left w:val="nil"/>
              <w:bottom w:val="single" w:sz="4" w:space="0" w:color="auto"/>
              <w:right w:val="single" w:sz="4" w:space="0" w:color="auto"/>
            </w:tcBorders>
            <w:shd w:val="clear" w:color="auto" w:fill="auto"/>
            <w:noWrap/>
            <w:vAlign w:val="bottom"/>
            <w:hideMark/>
          </w:tcPr>
          <w:p w14:paraId="3648FFF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13.6%</w:t>
            </w:r>
          </w:p>
        </w:tc>
        <w:tc>
          <w:tcPr>
            <w:tcW w:w="1306" w:type="dxa"/>
            <w:tcBorders>
              <w:top w:val="nil"/>
              <w:left w:val="nil"/>
              <w:bottom w:val="single" w:sz="4" w:space="0" w:color="auto"/>
              <w:right w:val="single" w:sz="4" w:space="0" w:color="auto"/>
            </w:tcBorders>
            <w:shd w:val="clear" w:color="auto" w:fill="auto"/>
            <w:noWrap/>
            <w:vAlign w:val="bottom"/>
            <w:hideMark/>
          </w:tcPr>
          <w:p w14:paraId="298FE326"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14.6%</w:t>
            </w:r>
          </w:p>
        </w:tc>
      </w:tr>
      <w:tr w:rsidR="006403CC" w:rsidRPr="0043743B" w14:paraId="7DD197F0"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66403D3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AfDB/F</w:t>
            </w:r>
          </w:p>
        </w:tc>
        <w:tc>
          <w:tcPr>
            <w:tcW w:w="1306" w:type="dxa"/>
            <w:tcBorders>
              <w:top w:val="nil"/>
              <w:left w:val="nil"/>
              <w:bottom w:val="single" w:sz="4" w:space="0" w:color="auto"/>
              <w:right w:val="single" w:sz="4" w:space="0" w:color="auto"/>
            </w:tcBorders>
            <w:shd w:val="clear" w:color="auto" w:fill="auto"/>
            <w:noWrap/>
            <w:vAlign w:val="bottom"/>
            <w:hideMark/>
          </w:tcPr>
          <w:p w14:paraId="4979947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8.1%</w:t>
            </w:r>
          </w:p>
        </w:tc>
        <w:tc>
          <w:tcPr>
            <w:tcW w:w="1306" w:type="dxa"/>
            <w:tcBorders>
              <w:top w:val="nil"/>
              <w:left w:val="nil"/>
              <w:bottom w:val="single" w:sz="4" w:space="0" w:color="auto"/>
              <w:right w:val="single" w:sz="4" w:space="0" w:color="auto"/>
            </w:tcBorders>
            <w:shd w:val="clear" w:color="auto" w:fill="auto"/>
            <w:noWrap/>
            <w:vAlign w:val="bottom"/>
            <w:hideMark/>
          </w:tcPr>
          <w:p w14:paraId="584079A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6.3%</w:t>
            </w:r>
          </w:p>
        </w:tc>
        <w:tc>
          <w:tcPr>
            <w:tcW w:w="1306" w:type="dxa"/>
            <w:tcBorders>
              <w:top w:val="nil"/>
              <w:left w:val="nil"/>
              <w:bottom w:val="single" w:sz="4" w:space="0" w:color="auto"/>
              <w:right w:val="single" w:sz="4" w:space="0" w:color="auto"/>
            </w:tcBorders>
            <w:shd w:val="clear" w:color="auto" w:fill="auto"/>
            <w:noWrap/>
            <w:vAlign w:val="bottom"/>
            <w:hideMark/>
          </w:tcPr>
          <w:p w14:paraId="3C8719B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5.6%</w:t>
            </w:r>
          </w:p>
        </w:tc>
        <w:tc>
          <w:tcPr>
            <w:tcW w:w="1306" w:type="dxa"/>
            <w:tcBorders>
              <w:top w:val="nil"/>
              <w:left w:val="nil"/>
              <w:bottom w:val="single" w:sz="4" w:space="0" w:color="auto"/>
              <w:right w:val="single" w:sz="4" w:space="0" w:color="auto"/>
            </w:tcBorders>
            <w:shd w:val="clear" w:color="auto" w:fill="auto"/>
            <w:noWrap/>
            <w:vAlign w:val="bottom"/>
            <w:hideMark/>
          </w:tcPr>
          <w:p w14:paraId="25F331F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6.7%</w:t>
            </w:r>
          </w:p>
        </w:tc>
      </w:tr>
      <w:tr w:rsidR="006403CC" w:rsidRPr="0043743B" w14:paraId="1542A2CF"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6CBEDB0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PTA/TDB</w:t>
            </w:r>
          </w:p>
        </w:tc>
        <w:tc>
          <w:tcPr>
            <w:tcW w:w="1306" w:type="dxa"/>
            <w:tcBorders>
              <w:top w:val="nil"/>
              <w:left w:val="nil"/>
              <w:bottom w:val="single" w:sz="4" w:space="0" w:color="auto"/>
              <w:right w:val="single" w:sz="4" w:space="0" w:color="auto"/>
            </w:tcBorders>
            <w:shd w:val="clear" w:color="auto" w:fill="auto"/>
            <w:noWrap/>
            <w:vAlign w:val="bottom"/>
            <w:hideMark/>
          </w:tcPr>
          <w:p w14:paraId="70E4A946"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306" w:type="dxa"/>
            <w:tcBorders>
              <w:top w:val="nil"/>
              <w:left w:val="nil"/>
              <w:bottom w:val="single" w:sz="4" w:space="0" w:color="auto"/>
              <w:right w:val="single" w:sz="4" w:space="0" w:color="auto"/>
            </w:tcBorders>
            <w:shd w:val="clear" w:color="auto" w:fill="auto"/>
            <w:noWrap/>
            <w:vAlign w:val="bottom"/>
            <w:hideMark/>
          </w:tcPr>
          <w:p w14:paraId="0F3EE2A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10.9%</w:t>
            </w:r>
          </w:p>
        </w:tc>
        <w:tc>
          <w:tcPr>
            <w:tcW w:w="1306" w:type="dxa"/>
            <w:tcBorders>
              <w:top w:val="nil"/>
              <w:left w:val="nil"/>
              <w:bottom w:val="single" w:sz="4" w:space="0" w:color="auto"/>
              <w:right w:val="single" w:sz="4" w:space="0" w:color="auto"/>
            </w:tcBorders>
            <w:shd w:val="clear" w:color="auto" w:fill="auto"/>
            <w:noWrap/>
            <w:vAlign w:val="bottom"/>
            <w:hideMark/>
          </w:tcPr>
          <w:p w14:paraId="7A893298"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2.3%</w:t>
            </w:r>
          </w:p>
        </w:tc>
        <w:tc>
          <w:tcPr>
            <w:tcW w:w="1306" w:type="dxa"/>
            <w:tcBorders>
              <w:top w:val="nil"/>
              <w:left w:val="nil"/>
              <w:bottom w:val="single" w:sz="4" w:space="0" w:color="auto"/>
              <w:right w:val="single" w:sz="4" w:space="0" w:color="auto"/>
            </w:tcBorders>
            <w:shd w:val="clear" w:color="auto" w:fill="auto"/>
            <w:noWrap/>
            <w:vAlign w:val="bottom"/>
            <w:hideMark/>
          </w:tcPr>
          <w:p w14:paraId="7C66F7F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4.4%</w:t>
            </w:r>
          </w:p>
        </w:tc>
      </w:tr>
      <w:tr w:rsidR="006403CC" w:rsidRPr="0043743B" w14:paraId="15C5D6CB"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386C92F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African Union</w:t>
            </w:r>
          </w:p>
        </w:tc>
        <w:tc>
          <w:tcPr>
            <w:tcW w:w="1306" w:type="dxa"/>
            <w:tcBorders>
              <w:top w:val="nil"/>
              <w:left w:val="nil"/>
              <w:bottom w:val="single" w:sz="4" w:space="0" w:color="auto"/>
              <w:right w:val="single" w:sz="4" w:space="0" w:color="auto"/>
            </w:tcBorders>
            <w:shd w:val="clear" w:color="auto" w:fill="auto"/>
            <w:noWrap/>
            <w:vAlign w:val="bottom"/>
            <w:hideMark/>
          </w:tcPr>
          <w:p w14:paraId="384F480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4.5%</w:t>
            </w:r>
          </w:p>
        </w:tc>
        <w:tc>
          <w:tcPr>
            <w:tcW w:w="1306" w:type="dxa"/>
            <w:tcBorders>
              <w:top w:val="nil"/>
              <w:left w:val="nil"/>
              <w:bottom w:val="single" w:sz="4" w:space="0" w:color="auto"/>
              <w:right w:val="single" w:sz="4" w:space="0" w:color="auto"/>
            </w:tcBorders>
            <w:shd w:val="clear" w:color="auto" w:fill="auto"/>
            <w:noWrap/>
            <w:vAlign w:val="bottom"/>
            <w:hideMark/>
          </w:tcPr>
          <w:p w14:paraId="548A174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5.1%</w:t>
            </w:r>
          </w:p>
        </w:tc>
        <w:tc>
          <w:tcPr>
            <w:tcW w:w="1306" w:type="dxa"/>
            <w:tcBorders>
              <w:top w:val="nil"/>
              <w:left w:val="nil"/>
              <w:bottom w:val="single" w:sz="4" w:space="0" w:color="auto"/>
              <w:right w:val="single" w:sz="4" w:space="0" w:color="auto"/>
            </w:tcBorders>
            <w:shd w:val="clear" w:color="auto" w:fill="auto"/>
            <w:noWrap/>
            <w:vAlign w:val="bottom"/>
            <w:hideMark/>
          </w:tcPr>
          <w:p w14:paraId="50AB81C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3.5%</w:t>
            </w:r>
          </w:p>
        </w:tc>
        <w:tc>
          <w:tcPr>
            <w:tcW w:w="1306" w:type="dxa"/>
            <w:tcBorders>
              <w:top w:val="nil"/>
              <w:left w:val="nil"/>
              <w:bottom w:val="single" w:sz="4" w:space="0" w:color="auto"/>
              <w:right w:val="single" w:sz="4" w:space="0" w:color="auto"/>
            </w:tcBorders>
            <w:shd w:val="clear" w:color="auto" w:fill="auto"/>
            <w:noWrap/>
            <w:vAlign w:val="bottom"/>
            <w:hideMark/>
          </w:tcPr>
          <w:p w14:paraId="5E9F0669"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4.4%</w:t>
            </w:r>
          </w:p>
        </w:tc>
      </w:tr>
      <w:tr w:rsidR="006403CC" w:rsidRPr="0043743B" w14:paraId="4AA452A0"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61CDEBC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JBIC</w:t>
            </w:r>
          </w:p>
        </w:tc>
        <w:tc>
          <w:tcPr>
            <w:tcW w:w="1306" w:type="dxa"/>
            <w:tcBorders>
              <w:top w:val="nil"/>
              <w:left w:val="nil"/>
              <w:bottom w:val="single" w:sz="4" w:space="0" w:color="auto"/>
              <w:right w:val="single" w:sz="4" w:space="0" w:color="auto"/>
            </w:tcBorders>
            <w:shd w:val="clear" w:color="auto" w:fill="auto"/>
            <w:noWrap/>
            <w:vAlign w:val="bottom"/>
            <w:hideMark/>
          </w:tcPr>
          <w:p w14:paraId="33DA4C4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306" w:type="dxa"/>
            <w:tcBorders>
              <w:top w:val="nil"/>
              <w:left w:val="nil"/>
              <w:bottom w:val="single" w:sz="4" w:space="0" w:color="auto"/>
              <w:right w:val="single" w:sz="4" w:space="0" w:color="auto"/>
            </w:tcBorders>
            <w:shd w:val="clear" w:color="auto" w:fill="auto"/>
            <w:noWrap/>
            <w:vAlign w:val="bottom"/>
            <w:hideMark/>
          </w:tcPr>
          <w:p w14:paraId="58AD926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3.1%</w:t>
            </w:r>
          </w:p>
        </w:tc>
        <w:tc>
          <w:tcPr>
            <w:tcW w:w="1306" w:type="dxa"/>
            <w:tcBorders>
              <w:top w:val="nil"/>
              <w:left w:val="nil"/>
              <w:bottom w:val="single" w:sz="4" w:space="0" w:color="auto"/>
              <w:right w:val="single" w:sz="4" w:space="0" w:color="auto"/>
            </w:tcBorders>
            <w:shd w:val="clear" w:color="auto" w:fill="auto"/>
            <w:noWrap/>
            <w:vAlign w:val="bottom"/>
            <w:hideMark/>
          </w:tcPr>
          <w:p w14:paraId="15D6DD0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5.3%</w:t>
            </w:r>
          </w:p>
        </w:tc>
        <w:tc>
          <w:tcPr>
            <w:tcW w:w="1306" w:type="dxa"/>
            <w:tcBorders>
              <w:top w:val="nil"/>
              <w:left w:val="nil"/>
              <w:bottom w:val="single" w:sz="4" w:space="0" w:color="auto"/>
              <w:right w:val="single" w:sz="4" w:space="0" w:color="auto"/>
            </w:tcBorders>
            <w:shd w:val="clear" w:color="auto" w:fill="auto"/>
            <w:noWrap/>
            <w:vAlign w:val="bottom"/>
            <w:hideMark/>
          </w:tcPr>
          <w:p w14:paraId="6EEB0ED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2.8%</w:t>
            </w:r>
          </w:p>
        </w:tc>
      </w:tr>
      <w:tr w:rsidR="006403CC" w:rsidRPr="0043743B" w14:paraId="735D9736"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1D0290C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Japan</w:t>
            </w:r>
          </w:p>
        </w:tc>
        <w:tc>
          <w:tcPr>
            <w:tcW w:w="1306" w:type="dxa"/>
            <w:tcBorders>
              <w:top w:val="nil"/>
              <w:left w:val="nil"/>
              <w:bottom w:val="single" w:sz="4" w:space="0" w:color="auto"/>
              <w:right w:val="single" w:sz="4" w:space="0" w:color="auto"/>
            </w:tcBorders>
            <w:shd w:val="clear" w:color="auto" w:fill="auto"/>
            <w:noWrap/>
            <w:vAlign w:val="bottom"/>
            <w:hideMark/>
          </w:tcPr>
          <w:p w14:paraId="0678F52B"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3.2%</w:t>
            </w:r>
          </w:p>
        </w:tc>
        <w:tc>
          <w:tcPr>
            <w:tcW w:w="1306" w:type="dxa"/>
            <w:tcBorders>
              <w:top w:val="nil"/>
              <w:left w:val="nil"/>
              <w:bottom w:val="single" w:sz="4" w:space="0" w:color="auto"/>
              <w:right w:val="single" w:sz="4" w:space="0" w:color="auto"/>
            </w:tcBorders>
            <w:shd w:val="clear" w:color="auto" w:fill="auto"/>
            <w:noWrap/>
            <w:vAlign w:val="bottom"/>
            <w:hideMark/>
          </w:tcPr>
          <w:p w14:paraId="6962220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1.5%</w:t>
            </w:r>
          </w:p>
        </w:tc>
        <w:tc>
          <w:tcPr>
            <w:tcW w:w="1306" w:type="dxa"/>
            <w:tcBorders>
              <w:top w:val="nil"/>
              <w:left w:val="nil"/>
              <w:bottom w:val="single" w:sz="4" w:space="0" w:color="auto"/>
              <w:right w:val="single" w:sz="4" w:space="0" w:color="auto"/>
            </w:tcBorders>
            <w:shd w:val="clear" w:color="auto" w:fill="auto"/>
            <w:noWrap/>
            <w:vAlign w:val="bottom"/>
            <w:hideMark/>
          </w:tcPr>
          <w:p w14:paraId="74C125B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1.8%</w:t>
            </w:r>
          </w:p>
        </w:tc>
        <w:tc>
          <w:tcPr>
            <w:tcW w:w="1306" w:type="dxa"/>
            <w:tcBorders>
              <w:top w:val="nil"/>
              <w:left w:val="nil"/>
              <w:bottom w:val="single" w:sz="4" w:space="0" w:color="auto"/>
              <w:right w:val="single" w:sz="4" w:space="0" w:color="auto"/>
            </w:tcBorders>
            <w:shd w:val="clear" w:color="auto" w:fill="auto"/>
            <w:noWrap/>
            <w:vAlign w:val="bottom"/>
            <w:hideMark/>
          </w:tcPr>
          <w:p w14:paraId="30D19568"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2.2%</w:t>
            </w:r>
          </w:p>
        </w:tc>
      </w:tr>
      <w:tr w:rsidR="006403CC" w:rsidRPr="0043743B" w14:paraId="2878F3FA"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687EEA0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IsDB</w:t>
            </w:r>
          </w:p>
        </w:tc>
        <w:tc>
          <w:tcPr>
            <w:tcW w:w="1306" w:type="dxa"/>
            <w:tcBorders>
              <w:top w:val="nil"/>
              <w:left w:val="nil"/>
              <w:bottom w:val="single" w:sz="4" w:space="0" w:color="auto"/>
              <w:right w:val="single" w:sz="4" w:space="0" w:color="auto"/>
            </w:tcBorders>
            <w:shd w:val="clear" w:color="auto" w:fill="auto"/>
            <w:noWrap/>
            <w:vAlign w:val="bottom"/>
            <w:hideMark/>
          </w:tcPr>
          <w:p w14:paraId="67E5E33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1.5%</w:t>
            </w:r>
          </w:p>
        </w:tc>
        <w:tc>
          <w:tcPr>
            <w:tcW w:w="1306" w:type="dxa"/>
            <w:tcBorders>
              <w:top w:val="nil"/>
              <w:left w:val="nil"/>
              <w:bottom w:val="single" w:sz="4" w:space="0" w:color="auto"/>
              <w:right w:val="single" w:sz="4" w:space="0" w:color="auto"/>
            </w:tcBorders>
            <w:shd w:val="clear" w:color="auto" w:fill="auto"/>
            <w:noWrap/>
            <w:vAlign w:val="bottom"/>
            <w:hideMark/>
          </w:tcPr>
          <w:p w14:paraId="794B984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2.1%</w:t>
            </w:r>
          </w:p>
        </w:tc>
        <w:tc>
          <w:tcPr>
            <w:tcW w:w="1306" w:type="dxa"/>
            <w:tcBorders>
              <w:top w:val="nil"/>
              <w:left w:val="nil"/>
              <w:bottom w:val="single" w:sz="4" w:space="0" w:color="auto"/>
              <w:right w:val="single" w:sz="4" w:space="0" w:color="auto"/>
            </w:tcBorders>
            <w:shd w:val="clear" w:color="auto" w:fill="auto"/>
            <w:noWrap/>
            <w:vAlign w:val="bottom"/>
            <w:hideMark/>
          </w:tcPr>
          <w:p w14:paraId="641E35C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2.1%</w:t>
            </w:r>
          </w:p>
        </w:tc>
        <w:tc>
          <w:tcPr>
            <w:tcW w:w="1306" w:type="dxa"/>
            <w:tcBorders>
              <w:top w:val="nil"/>
              <w:left w:val="nil"/>
              <w:bottom w:val="single" w:sz="4" w:space="0" w:color="auto"/>
              <w:right w:val="single" w:sz="4" w:space="0" w:color="auto"/>
            </w:tcBorders>
            <w:shd w:val="clear" w:color="auto" w:fill="auto"/>
            <w:noWrap/>
            <w:vAlign w:val="bottom"/>
            <w:hideMark/>
          </w:tcPr>
          <w:p w14:paraId="76013C7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1.9%</w:t>
            </w:r>
          </w:p>
        </w:tc>
      </w:tr>
      <w:tr w:rsidR="006403CC" w:rsidRPr="0043743B" w14:paraId="40E35698"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43347C63"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France</w:t>
            </w:r>
          </w:p>
        </w:tc>
        <w:tc>
          <w:tcPr>
            <w:tcW w:w="1306" w:type="dxa"/>
            <w:tcBorders>
              <w:top w:val="nil"/>
              <w:left w:val="nil"/>
              <w:bottom w:val="single" w:sz="4" w:space="0" w:color="auto"/>
              <w:right w:val="single" w:sz="4" w:space="0" w:color="auto"/>
            </w:tcBorders>
            <w:shd w:val="clear" w:color="auto" w:fill="auto"/>
            <w:noWrap/>
            <w:vAlign w:val="bottom"/>
            <w:hideMark/>
          </w:tcPr>
          <w:p w14:paraId="4F94AF24"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0.6%</w:t>
            </w:r>
          </w:p>
        </w:tc>
        <w:tc>
          <w:tcPr>
            <w:tcW w:w="1306" w:type="dxa"/>
            <w:tcBorders>
              <w:top w:val="nil"/>
              <w:left w:val="nil"/>
              <w:bottom w:val="single" w:sz="4" w:space="0" w:color="auto"/>
              <w:right w:val="single" w:sz="4" w:space="0" w:color="auto"/>
            </w:tcBorders>
            <w:shd w:val="clear" w:color="auto" w:fill="auto"/>
            <w:noWrap/>
            <w:vAlign w:val="bottom"/>
            <w:hideMark/>
          </w:tcPr>
          <w:p w14:paraId="160FD55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1.2%</w:t>
            </w:r>
          </w:p>
        </w:tc>
        <w:tc>
          <w:tcPr>
            <w:tcW w:w="1306" w:type="dxa"/>
            <w:tcBorders>
              <w:top w:val="nil"/>
              <w:left w:val="nil"/>
              <w:bottom w:val="single" w:sz="4" w:space="0" w:color="auto"/>
              <w:right w:val="single" w:sz="4" w:space="0" w:color="auto"/>
            </w:tcBorders>
            <w:shd w:val="clear" w:color="auto" w:fill="auto"/>
            <w:noWrap/>
            <w:vAlign w:val="bottom"/>
            <w:hideMark/>
          </w:tcPr>
          <w:p w14:paraId="7879301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3.7%</w:t>
            </w:r>
          </w:p>
        </w:tc>
        <w:tc>
          <w:tcPr>
            <w:tcW w:w="1306" w:type="dxa"/>
            <w:tcBorders>
              <w:top w:val="nil"/>
              <w:left w:val="nil"/>
              <w:bottom w:val="single" w:sz="4" w:space="0" w:color="auto"/>
              <w:right w:val="single" w:sz="4" w:space="0" w:color="auto"/>
            </w:tcBorders>
            <w:shd w:val="clear" w:color="auto" w:fill="auto"/>
            <w:noWrap/>
            <w:vAlign w:val="bottom"/>
            <w:hideMark/>
          </w:tcPr>
          <w:p w14:paraId="5C36E45B"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1.8%</w:t>
            </w:r>
          </w:p>
        </w:tc>
      </w:tr>
      <w:tr w:rsidR="006403CC" w:rsidRPr="0043743B" w14:paraId="10B42AA7" w14:textId="77777777" w:rsidTr="00773884">
        <w:trPr>
          <w:trHeight w:val="275"/>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14:paraId="6C7DCF65" w14:textId="77777777" w:rsidR="006403CC" w:rsidRPr="0043743B" w:rsidRDefault="006403CC" w:rsidP="003666C5">
            <w:pPr>
              <w:spacing w:after="0" w:line="240" w:lineRule="auto"/>
              <w:rPr>
                <w:rFonts w:ascii="Times New Roman" w:eastAsia="Times New Roman" w:hAnsi="Times New Roman"/>
                <w:b/>
                <w:bCs/>
                <w:sz w:val="20"/>
                <w:szCs w:val="20"/>
              </w:rPr>
            </w:pPr>
            <w:r w:rsidRPr="0043743B">
              <w:rPr>
                <w:rFonts w:ascii="Times New Roman" w:eastAsia="Times New Roman" w:hAnsi="Times New Roman"/>
                <w:b/>
                <w:bCs/>
                <w:sz w:val="20"/>
                <w:szCs w:val="20"/>
              </w:rPr>
              <w:t>Others</w:t>
            </w:r>
          </w:p>
        </w:tc>
        <w:tc>
          <w:tcPr>
            <w:tcW w:w="1306" w:type="dxa"/>
            <w:tcBorders>
              <w:top w:val="nil"/>
              <w:left w:val="nil"/>
              <w:bottom w:val="single" w:sz="4" w:space="0" w:color="auto"/>
              <w:right w:val="single" w:sz="4" w:space="0" w:color="auto"/>
            </w:tcBorders>
            <w:shd w:val="clear" w:color="auto" w:fill="auto"/>
            <w:noWrap/>
            <w:vAlign w:val="bottom"/>
            <w:hideMark/>
          </w:tcPr>
          <w:p w14:paraId="318A4F27" w14:textId="77777777" w:rsidR="006403CC" w:rsidRPr="0043743B" w:rsidRDefault="006403CC" w:rsidP="003666C5">
            <w:pPr>
              <w:spacing w:after="0" w:line="240" w:lineRule="auto"/>
              <w:jc w:val="right"/>
              <w:rPr>
                <w:rFonts w:ascii="Times New Roman" w:eastAsia="Times New Roman" w:hAnsi="Times New Roman"/>
                <w:b/>
                <w:bCs/>
                <w:sz w:val="20"/>
                <w:szCs w:val="20"/>
              </w:rPr>
            </w:pPr>
            <w:r w:rsidRPr="0043743B">
              <w:rPr>
                <w:rFonts w:ascii="Times New Roman" w:eastAsia="Times New Roman" w:hAnsi="Times New Roman"/>
                <w:b/>
                <w:bCs/>
                <w:sz w:val="20"/>
                <w:szCs w:val="20"/>
              </w:rPr>
              <w:t>17.1%</w:t>
            </w:r>
          </w:p>
        </w:tc>
        <w:tc>
          <w:tcPr>
            <w:tcW w:w="1306" w:type="dxa"/>
            <w:tcBorders>
              <w:top w:val="nil"/>
              <w:left w:val="nil"/>
              <w:bottom w:val="single" w:sz="4" w:space="0" w:color="auto"/>
              <w:right w:val="single" w:sz="4" w:space="0" w:color="auto"/>
            </w:tcBorders>
            <w:shd w:val="clear" w:color="auto" w:fill="auto"/>
            <w:noWrap/>
            <w:vAlign w:val="bottom"/>
            <w:hideMark/>
          </w:tcPr>
          <w:p w14:paraId="220B4F94" w14:textId="77777777" w:rsidR="006403CC" w:rsidRPr="0043743B" w:rsidRDefault="006403CC" w:rsidP="003666C5">
            <w:pPr>
              <w:spacing w:after="0" w:line="240" w:lineRule="auto"/>
              <w:jc w:val="right"/>
              <w:rPr>
                <w:rFonts w:ascii="Times New Roman" w:eastAsia="Times New Roman" w:hAnsi="Times New Roman"/>
                <w:b/>
                <w:bCs/>
                <w:sz w:val="20"/>
                <w:szCs w:val="20"/>
              </w:rPr>
            </w:pPr>
            <w:r w:rsidRPr="0043743B">
              <w:rPr>
                <w:rFonts w:ascii="Times New Roman" w:eastAsia="Times New Roman" w:hAnsi="Times New Roman"/>
                <w:b/>
                <w:bCs/>
                <w:sz w:val="20"/>
                <w:szCs w:val="20"/>
              </w:rPr>
              <w:t>11.9%</w:t>
            </w:r>
          </w:p>
        </w:tc>
        <w:tc>
          <w:tcPr>
            <w:tcW w:w="1306" w:type="dxa"/>
            <w:tcBorders>
              <w:top w:val="nil"/>
              <w:left w:val="nil"/>
              <w:bottom w:val="single" w:sz="4" w:space="0" w:color="auto"/>
              <w:right w:val="single" w:sz="4" w:space="0" w:color="auto"/>
            </w:tcBorders>
            <w:shd w:val="clear" w:color="auto" w:fill="auto"/>
            <w:noWrap/>
            <w:vAlign w:val="bottom"/>
            <w:hideMark/>
          </w:tcPr>
          <w:p w14:paraId="26F8B463" w14:textId="77777777" w:rsidR="006403CC" w:rsidRPr="0043743B" w:rsidRDefault="006403CC" w:rsidP="003666C5">
            <w:pPr>
              <w:spacing w:after="0" w:line="240" w:lineRule="auto"/>
              <w:jc w:val="right"/>
              <w:rPr>
                <w:rFonts w:ascii="Times New Roman" w:eastAsia="Times New Roman" w:hAnsi="Times New Roman"/>
                <w:b/>
                <w:bCs/>
                <w:sz w:val="20"/>
                <w:szCs w:val="20"/>
              </w:rPr>
            </w:pPr>
            <w:r w:rsidRPr="0043743B">
              <w:rPr>
                <w:rFonts w:ascii="Times New Roman" w:eastAsia="Times New Roman" w:hAnsi="Times New Roman"/>
                <w:b/>
                <w:bCs/>
                <w:sz w:val="20"/>
                <w:szCs w:val="20"/>
              </w:rPr>
              <w:t>18.3%</w:t>
            </w:r>
          </w:p>
        </w:tc>
        <w:tc>
          <w:tcPr>
            <w:tcW w:w="1306" w:type="dxa"/>
            <w:tcBorders>
              <w:top w:val="nil"/>
              <w:left w:val="nil"/>
              <w:bottom w:val="single" w:sz="4" w:space="0" w:color="auto"/>
              <w:right w:val="single" w:sz="4" w:space="0" w:color="auto"/>
            </w:tcBorders>
            <w:shd w:val="clear" w:color="auto" w:fill="auto"/>
            <w:noWrap/>
            <w:vAlign w:val="bottom"/>
            <w:hideMark/>
          </w:tcPr>
          <w:p w14:paraId="2E2D08B7" w14:textId="77777777" w:rsidR="006403CC" w:rsidRPr="0043743B" w:rsidRDefault="006403CC" w:rsidP="003666C5">
            <w:pPr>
              <w:spacing w:after="0" w:line="240" w:lineRule="auto"/>
              <w:jc w:val="right"/>
              <w:rPr>
                <w:rFonts w:ascii="Times New Roman" w:eastAsia="Times New Roman" w:hAnsi="Times New Roman"/>
                <w:b/>
                <w:bCs/>
                <w:sz w:val="20"/>
                <w:szCs w:val="20"/>
              </w:rPr>
            </w:pPr>
            <w:r w:rsidRPr="0043743B">
              <w:rPr>
                <w:rFonts w:ascii="Times New Roman" w:eastAsia="Times New Roman" w:hAnsi="Times New Roman"/>
                <w:b/>
                <w:bCs/>
                <w:sz w:val="20"/>
                <w:szCs w:val="20"/>
              </w:rPr>
              <w:t>15.8%</w:t>
            </w:r>
          </w:p>
        </w:tc>
      </w:tr>
    </w:tbl>
    <w:p w14:paraId="5477DA7D"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0CAF66B0" w14:textId="33A8F50C" w:rsidR="006403CC" w:rsidRPr="001C0C96" w:rsidRDefault="003666C5" w:rsidP="003666C5">
      <w:pPr>
        <w:spacing w:after="0" w:line="240" w:lineRule="auto"/>
        <w:rPr>
          <w:rFonts w:ascii="Times New Roman" w:eastAsia="Arial Unicode MS" w:hAnsi="Times New Roman"/>
          <w:b/>
          <w:bCs/>
          <w:color w:val="000000" w:themeColor="text1"/>
        </w:rPr>
      </w:pPr>
      <w:bookmarkStart w:id="141" w:name="_Toc3505103"/>
      <w:r w:rsidRPr="001C0C96">
        <w:rPr>
          <w:rFonts w:ascii="Times New Roman" w:hAnsi="Times New Roman"/>
          <w:b/>
          <w:color w:val="000000" w:themeColor="text1"/>
        </w:rPr>
        <w:t xml:space="preserve">Table </w:t>
      </w:r>
      <w:r w:rsidRPr="001C0C96">
        <w:rPr>
          <w:rFonts w:ascii="Times New Roman" w:hAnsi="Times New Roman"/>
          <w:b/>
          <w:color w:val="000000" w:themeColor="text1"/>
        </w:rPr>
        <w:fldChar w:fldCharType="begin"/>
      </w:r>
      <w:r w:rsidRPr="001C0C96">
        <w:rPr>
          <w:rFonts w:ascii="Times New Roman" w:hAnsi="Times New Roman"/>
          <w:b/>
          <w:color w:val="000000" w:themeColor="text1"/>
        </w:rPr>
        <w:instrText xml:space="preserve"> SEQ Table \* ARABIC </w:instrText>
      </w:r>
      <w:r w:rsidRPr="001C0C96">
        <w:rPr>
          <w:rFonts w:ascii="Times New Roman" w:hAnsi="Times New Roman"/>
          <w:b/>
          <w:color w:val="000000" w:themeColor="text1"/>
        </w:rPr>
        <w:fldChar w:fldCharType="separate"/>
      </w:r>
      <w:r w:rsidR="006F31B1">
        <w:rPr>
          <w:rFonts w:ascii="Times New Roman" w:hAnsi="Times New Roman"/>
          <w:b/>
          <w:noProof/>
          <w:color w:val="000000" w:themeColor="text1"/>
        </w:rPr>
        <w:t>6</w:t>
      </w:r>
      <w:r w:rsidRPr="001C0C96">
        <w:rPr>
          <w:rFonts w:ascii="Times New Roman" w:hAnsi="Times New Roman"/>
          <w:b/>
          <w:color w:val="000000" w:themeColor="text1"/>
        </w:rPr>
        <w:fldChar w:fldCharType="end"/>
      </w:r>
      <w:r w:rsidRPr="001C0C96">
        <w:rPr>
          <w:rFonts w:ascii="Times New Roman" w:hAnsi="Times New Roman"/>
          <w:b/>
          <w:color w:val="000000" w:themeColor="text1"/>
        </w:rPr>
        <w:t>:</w:t>
      </w:r>
      <w:r w:rsidR="006403CC" w:rsidRPr="001C0C96">
        <w:rPr>
          <w:rFonts w:ascii="Times New Roman" w:eastAsia="Arial Unicode MS" w:hAnsi="Times New Roman"/>
          <w:b/>
          <w:color w:val="000000" w:themeColor="text1"/>
        </w:rPr>
        <w:t xml:space="preserve"> </w:t>
      </w:r>
      <w:r w:rsidR="006403CC" w:rsidRPr="001C0C96">
        <w:rPr>
          <w:rFonts w:ascii="Times New Roman" w:eastAsia="Arial Unicode MS" w:hAnsi="Times New Roman"/>
          <w:b/>
          <w:bCs/>
          <w:color w:val="000000" w:themeColor="text1"/>
        </w:rPr>
        <w:t>Total Allocation of Development Assistance (MTEF &amp; Non-MTEF) by sector (USD m)</w:t>
      </w:r>
      <w:bookmarkEnd w:id="141"/>
    </w:p>
    <w:tbl>
      <w:tblPr>
        <w:tblW w:w="9382" w:type="dxa"/>
        <w:tblInd w:w="-5" w:type="dxa"/>
        <w:tblLook w:val="04A0" w:firstRow="1" w:lastRow="0" w:firstColumn="1" w:lastColumn="0" w:noHBand="0" w:noVBand="1"/>
      </w:tblPr>
      <w:tblGrid>
        <w:gridCol w:w="5404"/>
        <w:gridCol w:w="1326"/>
        <w:gridCol w:w="1326"/>
        <w:gridCol w:w="1326"/>
      </w:tblGrid>
      <w:tr w:rsidR="006403CC" w:rsidRPr="0043743B" w14:paraId="20ABAAA9" w14:textId="77777777" w:rsidTr="00773884">
        <w:trPr>
          <w:trHeight w:val="259"/>
        </w:trPr>
        <w:tc>
          <w:tcPr>
            <w:tcW w:w="5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32EE7"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Primary Sector</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552B19E6"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2015/16</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718D7F6B"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2016/17</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5C5E172B"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2017/18</w:t>
            </w:r>
          </w:p>
        </w:tc>
      </w:tr>
      <w:tr w:rsidR="006403CC" w:rsidRPr="0043743B" w14:paraId="095CC4E7"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74BEC74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ACCOUNTABILITY</w:t>
            </w:r>
          </w:p>
        </w:tc>
        <w:tc>
          <w:tcPr>
            <w:tcW w:w="1326" w:type="dxa"/>
            <w:tcBorders>
              <w:top w:val="nil"/>
              <w:left w:val="nil"/>
              <w:bottom w:val="single" w:sz="4" w:space="0" w:color="auto"/>
              <w:right w:val="single" w:sz="4" w:space="0" w:color="auto"/>
            </w:tcBorders>
            <w:shd w:val="clear" w:color="auto" w:fill="auto"/>
            <w:noWrap/>
            <w:vAlign w:val="bottom"/>
            <w:hideMark/>
          </w:tcPr>
          <w:p w14:paraId="55F0876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34.69 </w:t>
            </w:r>
          </w:p>
        </w:tc>
        <w:tc>
          <w:tcPr>
            <w:tcW w:w="1326" w:type="dxa"/>
            <w:tcBorders>
              <w:top w:val="nil"/>
              <w:left w:val="nil"/>
              <w:bottom w:val="single" w:sz="4" w:space="0" w:color="auto"/>
              <w:right w:val="single" w:sz="4" w:space="0" w:color="auto"/>
            </w:tcBorders>
            <w:shd w:val="clear" w:color="auto" w:fill="auto"/>
            <w:noWrap/>
            <w:vAlign w:val="bottom"/>
            <w:hideMark/>
          </w:tcPr>
          <w:p w14:paraId="0787375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44.03 </w:t>
            </w:r>
          </w:p>
        </w:tc>
        <w:tc>
          <w:tcPr>
            <w:tcW w:w="1326" w:type="dxa"/>
            <w:tcBorders>
              <w:top w:val="nil"/>
              <w:left w:val="nil"/>
              <w:bottom w:val="single" w:sz="4" w:space="0" w:color="auto"/>
              <w:right w:val="single" w:sz="4" w:space="0" w:color="auto"/>
            </w:tcBorders>
            <w:shd w:val="clear" w:color="auto" w:fill="auto"/>
            <w:noWrap/>
            <w:vAlign w:val="bottom"/>
            <w:hideMark/>
          </w:tcPr>
          <w:p w14:paraId="6962AB9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42.58 </w:t>
            </w:r>
          </w:p>
        </w:tc>
      </w:tr>
      <w:tr w:rsidR="006403CC" w:rsidRPr="0043743B" w14:paraId="4067B881"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46FA829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AGRICULTURE</w:t>
            </w:r>
          </w:p>
        </w:tc>
        <w:tc>
          <w:tcPr>
            <w:tcW w:w="1326" w:type="dxa"/>
            <w:tcBorders>
              <w:top w:val="nil"/>
              <w:left w:val="nil"/>
              <w:bottom w:val="single" w:sz="4" w:space="0" w:color="auto"/>
              <w:right w:val="single" w:sz="4" w:space="0" w:color="auto"/>
            </w:tcBorders>
            <w:shd w:val="clear" w:color="auto" w:fill="auto"/>
            <w:noWrap/>
            <w:vAlign w:val="bottom"/>
            <w:hideMark/>
          </w:tcPr>
          <w:p w14:paraId="1371EA2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30.83 </w:t>
            </w:r>
          </w:p>
        </w:tc>
        <w:tc>
          <w:tcPr>
            <w:tcW w:w="1326" w:type="dxa"/>
            <w:tcBorders>
              <w:top w:val="nil"/>
              <w:left w:val="nil"/>
              <w:bottom w:val="single" w:sz="4" w:space="0" w:color="auto"/>
              <w:right w:val="single" w:sz="4" w:space="0" w:color="auto"/>
            </w:tcBorders>
            <w:shd w:val="clear" w:color="auto" w:fill="auto"/>
            <w:noWrap/>
            <w:vAlign w:val="bottom"/>
            <w:hideMark/>
          </w:tcPr>
          <w:p w14:paraId="14308C3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67.05 </w:t>
            </w:r>
          </w:p>
        </w:tc>
        <w:tc>
          <w:tcPr>
            <w:tcW w:w="1326" w:type="dxa"/>
            <w:tcBorders>
              <w:top w:val="nil"/>
              <w:left w:val="nil"/>
              <w:bottom w:val="single" w:sz="4" w:space="0" w:color="auto"/>
              <w:right w:val="single" w:sz="4" w:space="0" w:color="auto"/>
            </w:tcBorders>
            <w:shd w:val="clear" w:color="auto" w:fill="auto"/>
            <w:noWrap/>
            <w:vAlign w:val="bottom"/>
            <w:hideMark/>
          </w:tcPr>
          <w:p w14:paraId="25802713"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63.54 </w:t>
            </w:r>
          </w:p>
        </w:tc>
      </w:tr>
      <w:tr w:rsidR="006403CC" w:rsidRPr="0043743B" w14:paraId="2AF7E168"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661DF3F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BUDGET SUPPORT</w:t>
            </w:r>
          </w:p>
        </w:tc>
        <w:tc>
          <w:tcPr>
            <w:tcW w:w="1326" w:type="dxa"/>
            <w:tcBorders>
              <w:top w:val="nil"/>
              <w:left w:val="nil"/>
              <w:bottom w:val="single" w:sz="4" w:space="0" w:color="auto"/>
              <w:right w:val="single" w:sz="4" w:space="0" w:color="auto"/>
            </w:tcBorders>
            <w:shd w:val="clear" w:color="auto" w:fill="auto"/>
            <w:noWrap/>
            <w:vAlign w:val="bottom"/>
            <w:hideMark/>
          </w:tcPr>
          <w:p w14:paraId="2625596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35.59 </w:t>
            </w:r>
          </w:p>
        </w:tc>
        <w:tc>
          <w:tcPr>
            <w:tcW w:w="1326" w:type="dxa"/>
            <w:tcBorders>
              <w:top w:val="nil"/>
              <w:left w:val="nil"/>
              <w:bottom w:val="single" w:sz="4" w:space="0" w:color="auto"/>
              <w:right w:val="single" w:sz="4" w:space="0" w:color="auto"/>
            </w:tcBorders>
            <w:shd w:val="clear" w:color="auto" w:fill="auto"/>
            <w:noWrap/>
            <w:vAlign w:val="bottom"/>
            <w:hideMark/>
          </w:tcPr>
          <w:p w14:paraId="01E34B8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169.03 </w:t>
            </w:r>
          </w:p>
        </w:tc>
        <w:tc>
          <w:tcPr>
            <w:tcW w:w="1326" w:type="dxa"/>
            <w:tcBorders>
              <w:top w:val="nil"/>
              <w:left w:val="nil"/>
              <w:bottom w:val="single" w:sz="4" w:space="0" w:color="auto"/>
              <w:right w:val="single" w:sz="4" w:space="0" w:color="auto"/>
            </w:tcBorders>
            <w:shd w:val="clear" w:color="auto" w:fill="auto"/>
            <w:noWrap/>
            <w:vAlign w:val="bottom"/>
            <w:hideMark/>
          </w:tcPr>
          <w:p w14:paraId="07D5AA6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47.95 </w:t>
            </w:r>
          </w:p>
        </w:tc>
      </w:tr>
      <w:tr w:rsidR="006403CC" w:rsidRPr="0043743B" w14:paraId="24C18977"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028F1A0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EDUCATION</w:t>
            </w:r>
          </w:p>
        </w:tc>
        <w:tc>
          <w:tcPr>
            <w:tcW w:w="1326" w:type="dxa"/>
            <w:tcBorders>
              <w:top w:val="nil"/>
              <w:left w:val="nil"/>
              <w:bottom w:val="single" w:sz="4" w:space="0" w:color="auto"/>
              <w:right w:val="single" w:sz="4" w:space="0" w:color="auto"/>
            </w:tcBorders>
            <w:shd w:val="clear" w:color="auto" w:fill="auto"/>
            <w:noWrap/>
            <w:vAlign w:val="bottom"/>
            <w:hideMark/>
          </w:tcPr>
          <w:p w14:paraId="46E6658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81.42 </w:t>
            </w:r>
          </w:p>
        </w:tc>
        <w:tc>
          <w:tcPr>
            <w:tcW w:w="1326" w:type="dxa"/>
            <w:tcBorders>
              <w:top w:val="nil"/>
              <w:left w:val="nil"/>
              <w:bottom w:val="single" w:sz="4" w:space="0" w:color="auto"/>
              <w:right w:val="single" w:sz="4" w:space="0" w:color="auto"/>
            </w:tcBorders>
            <w:shd w:val="clear" w:color="auto" w:fill="auto"/>
            <w:noWrap/>
            <w:vAlign w:val="bottom"/>
            <w:hideMark/>
          </w:tcPr>
          <w:p w14:paraId="0FD1F29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76.06 </w:t>
            </w:r>
          </w:p>
        </w:tc>
        <w:tc>
          <w:tcPr>
            <w:tcW w:w="1326" w:type="dxa"/>
            <w:tcBorders>
              <w:top w:val="nil"/>
              <w:left w:val="nil"/>
              <w:bottom w:val="single" w:sz="4" w:space="0" w:color="auto"/>
              <w:right w:val="single" w:sz="4" w:space="0" w:color="auto"/>
            </w:tcBorders>
            <w:shd w:val="clear" w:color="auto" w:fill="auto"/>
            <w:noWrap/>
            <w:vAlign w:val="bottom"/>
            <w:hideMark/>
          </w:tcPr>
          <w:p w14:paraId="0453FA9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71.22 </w:t>
            </w:r>
          </w:p>
        </w:tc>
      </w:tr>
      <w:tr w:rsidR="006403CC" w:rsidRPr="0043743B" w14:paraId="079782CB"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2FC3517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ENERGY AND MINERAL DEVELOPMENT</w:t>
            </w:r>
          </w:p>
        </w:tc>
        <w:tc>
          <w:tcPr>
            <w:tcW w:w="1326" w:type="dxa"/>
            <w:tcBorders>
              <w:top w:val="nil"/>
              <w:left w:val="nil"/>
              <w:bottom w:val="single" w:sz="4" w:space="0" w:color="auto"/>
              <w:right w:val="single" w:sz="4" w:space="0" w:color="auto"/>
            </w:tcBorders>
            <w:shd w:val="clear" w:color="auto" w:fill="auto"/>
            <w:noWrap/>
            <w:vAlign w:val="bottom"/>
            <w:hideMark/>
          </w:tcPr>
          <w:p w14:paraId="7318A3F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564.25 </w:t>
            </w:r>
          </w:p>
        </w:tc>
        <w:tc>
          <w:tcPr>
            <w:tcW w:w="1326" w:type="dxa"/>
            <w:tcBorders>
              <w:top w:val="nil"/>
              <w:left w:val="nil"/>
              <w:bottom w:val="single" w:sz="4" w:space="0" w:color="auto"/>
              <w:right w:val="single" w:sz="4" w:space="0" w:color="auto"/>
            </w:tcBorders>
            <w:shd w:val="clear" w:color="auto" w:fill="auto"/>
            <w:noWrap/>
            <w:vAlign w:val="bottom"/>
            <w:hideMark/>
          </w:tcPr>
          <w:p w14:paraId="1356DF8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313.91 </w:t>
            </w:r>
          </w:p>
        </w:tc>
        <w:tc>
          <w:tcPr>
            <w:tcW w:w="1326" w:type="dxa"/>
            <w:tcBorders>
              <w:top w:val="nil"/>
              <w:left w:val="nil"/>
              <w:bottom w:val="single" w:sz="4" w:space="0" w:color="auto"/>
              <w:right w:val="single" w:sz="4" w:space="0" w:color="auto"/>
            </w:tcBorders>
            <w:shd w:val="clear" w:color="auto" w:fill="auto"/>
            <w:noWrap/>
            <w:vAlign w:val="bottom"/>
            <w:hideMark/>
          </w:tcPr>
          <w:p w14:paraId="06C9D25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488.12 </w:t>
            </w:r>
          </w:p>
        </w:tc>
      </w:tr>
      <w:tr w:rsidR="006403CC" w:rsidRPr="0043743B" w14:paraId="5E286DFA"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5A814CC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HEALTH</w:t>
            </w:r>
          </w:p>
        </w:tc>
        <w:tc>
          <w:tcPr>
            <w:tcW w:w="1326" w:type="dxa"/>
            <w:tcBorders>
              <w:top w:val="nil"/>
              <w:left w:val="nil"/>
              <w:bottom w:val="single" w:sz="4" w:space="0" w:color="auto"/>
              <w:right w:val="single" w:sz="4" w:space="0" w:color="auto"/>
            </w:tcBorders>
            <w:shd w:val="clear" w:color="auto" w:fill="auto"/>
            <w:noWrap/>
            <w:vAlign w:val="bottom"/>
            <w:hideMark/>
          </w:tcPr>
          <w:p w14:paraId="2D6B86D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268.86 </w:t>
            </w:r>
          </w:p>
        </w:tc>
        <w:tc>
          <w:tcPr>
            <w:tcW w:w="1326" w:type="dxa"/>
            <w:tcBorders>
              <w:top w:val="nil"/>
              <w:left w:val="nil"/>
              <w:bottom w:val="single" w:sz="4" w:space="0" w:color="auto"/>
              <w:right w:val="single" w:sz="4" w:space="0" w:color="auto"/>
            </w:tcBorders>
            <w:shd w:val="clear" w:color="auto" w:fill="auto"/>
            <w:noWrap/>
            <w:vAlign w:val="bottom"/>
            <w:hideMark/>
          </w:tcPr>
          <w:p w14:paraId="112105C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246.47 </w:t>
            </w:r>
          </w:p>
        </w:tc>
        <w:tc>
          <w:tcPr>
            <w:tcW w:w="1326" w:type="dxa"/>
            <w:tcBorders>
              <w:top w:val="nil"/>
              <w:left w:val="nil"/>
              <w:bottom w:val="single" w:sz="4" w:space="0" w:color="auto"/>
              <w:right w:val="single" w:sz="4" w:space="0" w:color="auto"/>
            </w:tcBorders>
            <w:shd w:val="clear" w:color="auto" w:fill="auto"/>
            <w:noWrap/>
            <w:vAlign w:val="bottom"/>
            <w:hideMark/>
          </w:tcPr>
          <w:p w14:paraId="3AE7800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238.08 </w:t>
            </w:r>
          </w:p>
        </w:tc>
      </w:tr>
      <w:tr w:rsidR="006403CC" w:rsidRPr="0043743B" w14:paraId="5CED2697"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5010084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ICT AND NATIONAL GUIDANCE</w:t>
            </w:r>
          </w:p>
        </w:tc>
        <w:tc>
          <w:tcPr>
            <w:tcW w:w="1326" w:type="dxa"/>
            <w:tcBorders>
              <w:top w:val="nil"/>
              <w:left w:val="nil"/>
              <w:bottom w:val="single" w:sz="4" w:space="0" w:color="auto"/>
              <w:right w:val="single" w:sz="4" w:space="0" w:color="auto"/>
            </w:tcBorders>
            <w:shd w:val="clear" w:color="auto" w:fill="auto"/>
            <w:noWrap/>
            <w:vAlign w:val="bottom"/>
            <w:hideMark/>
          </w:tcPr>
          <w:p w14:paraId="121B752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5.31 </w:t>
            </w:r>
          </w:p>
        </w:tc>
        <w:tc>
          <w:tcPr>
            <w:tcW w:w="1326" w:type="dxa"/>
            <w:tcBorders>
              <w:top w:val="nil"/>
              <w:left w:val="nil"/>
              <w:bottom w:val="single" w:sz="4" w:space="0" w:color="auto"/>
              <w:right w:val="single" w:sz="4" w:space="0" w:color="auto"/>
            </w:tcBorders>
            <w:shd w:val="clear" w:color="auto" w:fill="auto"/>
            <w:noWrap/>
            <w:vAlign w:val="bottom"/>
            <w:hideMark/>
          </w:tcPr>
          <w:p w14:paraId="426AF4D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29.65 </w:t>
            </w:r>
          </w:p>
        </w:tc>
        <w:tc>
          <w:tcPr>
            <w:tcW w:w="1326" w:type="dxa"/>
            <w:tcBorders>
              <w:top w:val="nil"/>
              <w:left w:val="nil"/>
              <w:bottom w:val="single" w:sz="4" w:space="0" w:color="auto"/>
              <w:right w:val="single" w:sz="4" w:space="0" w:color="auto"/>
            </w:tcBorders>
            <w:shd w:val="clear" w:color="auto" w:fill="auto"/>
            <w:noWrap/>
            <w:vAlign w:val="bottom"/>
            <w:hideMark/>
          </w:tcPr>
          <w:p w14:paraId="1C3FF6D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7.05 </w:t>
            </w:r>
          </w:p>
        </w:tc>
      </w:tr>
      <w:tr w:rsidR="006403CC" w:rsidRPr="0043743B" w14:paraId="6CCC72A3"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10EE4733"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JUSTICE LAW AND ORDER</w:t>
            </w:r>
          </w:p>
        </w:tc>
        <w:tc>
          <w:tcPr>
            <w:tcW w:w="1326" w:type="dxa"/>
            <w:tcBorders>
              <w:top w:val="nil"/>
              <w:left w:val="nil"/>
              <w:bottom w:val="single" w:sz="4" w:space="0" w:color="auto"/>
              <w:right w:val="single" w:sz="4" w:space="0" w:color="auto"/>
            </w:tcBorders>
            <w:shd w:val="clear" w:color="auto" w:fill="auto"/>
            <w:noWrap/>
            <w:vAlign w:val="bottom"/>
            <w:hideMark/>
          </w:tcPr>
          <w:p w14:paraId="202E28E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9.83 </w:t>
            </w:r>
          </w:p>
        </w:tc>
        <w:tc>
          <w:tcPr>
            <w:tcW w:w="1326" w:type="dxa"/>
            <w:tcBorders>
              <w:top w:val="nil"/>
              <w:left w:val="nil"/>
              <w:bottom w:val="single" w:sz="4" w:space="0" w:color="auto"/>
              <w:right w:val="single" w:sz="4" w:space="0" w:color="auto"/>
            </w:tcBorders>
            <w:shd w:val="clear" w:color="auto" w:fill="auto"/>
            <w:noWrap/>
            <w:vAlign w:val="bottom"/>
            <w:hideMark/>
          </w:tcPr>
          <w:p w14:paraId="25E4C4D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11.04 </w:t>
            </w:r>
          </w:p>
        </w:tc>
        <w:tc>
          <w:tcPr>
            <w:tcW w:w="1326" w:type="dxa"/>
            <w:tcBorders>
              <w:top w:val="nil"/>
              <w:left w:val="nil"/>
              <w:bottom w:val="single" w:sz="4" w:space="0" w:color="auto"/>
              <w:right w:val="single" w:sz="4" w:space="0" w:color="auto"/>
            </w:tcBorders>
            <w:shd w:val="clear" w:color="auto" w:fill="auto"/>
            <w:noWrap/>
            <w:vAlign w:val="bottom"/>
            <w:hideMark/>
          </w:tcPr>
          <w:p w14:paraId="545F730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9.85 </w:t>
            </w:r>
          </w:p>
        </w:tc>
      </w:tr>
      <w:tr w:rsidR="006403CC" w:rsidRPr="0043743B" w14:paraId="5C7D743F"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7A56BFA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LANDS, HOUSING AND URBAN DEVELOPMENT</w:t>
            </w:r>
          </w:p>
        </w:tc>
        <w:tc>
          <w:tcPr>
            <w:tcW w:w="1326" w:type="dxa"/>
            <w:tcBorders>
              <w:top w:val="nil"/>
              <w:left w:val="nil"/>
              <w:bottom w:val="single" w:sz="4" w:space="0" w:color="auto"/>
              <w:right w:val="single" w:sz="4" w:space="0" w:color="auto"/>
            </w:tcBorders>
            <w:shd w:val="clear" w:color="auto" w:fill="auto"/>
            <w:noWrap/>
            <w:vAlign w:val="bottom"/>
            <w:hideMark/>
          </w:tcPr>
          <w:p w14:paraId="6D03BEB0"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43.87 </w:t>
            </w:r>
          </w:p>
        </w:tc>
        <w:tc>
          <w:tcPr>
            <w:tcW w:w="1326" w:type="dxa"/>
            <w:tcBorders>
              <w:top w:val="nil"/>
              <w:left w:val="nil"/>
              <w:bottom w:val="single" w:sz="4" w:space="0" w:color="auto"/>
              <w:right w:val="single" w:sz="4" w:space="0" w:color="auto"/>
            </w:tcBorders>
            <w:shd w:val="clear" w:color="auto" w:fill="auto"/>
            <w:noWrap/>
            <w:vAlign w:val="bottom"/>
            <w:hideMark/>
          </w:tcPr>
          <w:p w14:paraId="43B74F5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40.10 </w:t>
            </w:r>
          </w:p>
        </w:tc>
        <w:tc>
          <w:tcPr>
            <w:tcW w:w="1326" w:type="dxa"/>
            <w:tcBorders>
              <w:top w:val="nil"/>
              <w:left w:val="nil"/>
              <w:bottom w:val="single" w:sz="4" w:space="0" w:color="auto"/>
              <w:right w:val="single" w:sz="4" w:space="0" w:color="auto"/>
            </w:tcBorders>
            <w:shd w:val="clear" w:color="auto" w:fill="auto"/>
            <w:noWrap/>
            <w:vAlign w:val="bottom"/>
            <w:hideMark/>
          </w:tcPr>
          <w:p w14:paraId="6A6C6C23"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53.81 </w:t>
            </w:r>
          </w:p>
        </w:tc>
      </w:tr>
      <w:tr w:rsidR="006403CC" w:rsidRPr="0043743B" w14:paraId="2EF811E4"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53E1868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ADMINISTRATION</w:t>
            </w:r>
          </w:p>
        </w:tc>
        <w:tc>
          <w:tcPr>
            <w:tcW w:w="1326" w:type="dxa"/>
            <w:tcBorders>
              <w:top w:val="nil"/>
              <w:left w:val="nil"/>
              <w:bottom w:val="single" w:sz="4" w:space="0" w:color="auto"/>
              <w:right w:val="single" w:sz="4" w:space="0" w:color="auto"/>
            </w:tcBorders>
            <w:shd w:val="clear" w:color="auto" w:fill="auto"/>
            <w:noWrap/>
            <w:vAlign w:val="bottom"/>
            <w:hideMark/>
          </w:tcPr>
          <w:p w14:paraId="0DF3BE1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1326" w:type="dxa"/>
            <w:tcBorders>
              <w:top w:val="nil"/>
              <w:left w:val="nil"/>
              <w:bottom w:val="single" w:sz="4" w:space="0" w:color="auto"/>
              <w:right w:val="single" w:sz="4" w:space="0" w:color="auto"/>
            </w:tcBorders>
            <w:shd w:val="clear" w:color="auto" w:fill="auto"/>
            <w:noWrap/>
            <w:vAlign w:val="bottom"/>
            <w:hideMark/>
          </w:tcPr>
          <w:p w14:paraId="5AD1582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1326" w:type="dxa"/>
            <w:tcBorders>
              <w:top w:val="nil"/>
              <w:left w:val="nil"/>
              <w:bottom w:val="single" w:sz="4" w:space="0" w:color="auto"/>
              <w:right w:val="single" w:sz="4" w:space="0" w:color="auto"/>
            </w:tcBorders>
            <w:shd w:val="clear" w:color="auto" w:fill="auto"/>
            <w:noWrap/>
            <w:vAlign w:val="bottom"/>
            <w:hideMark/>
          </w:tcPr>
          <w:p w14:paraId="2C2F55B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r>
      <w:tr w:rsidR="006403CC" w:rsidRPr="0043743B" w14:paraId="2DBC3E92"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7DD32B7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SECTOR MANAGEMENT</w:t>
            </w:r>
          </w:p>
        </w:tc>
        <w:tc>
          <w:tcPr>
            <w:tcW w:w="1326" w:type="dxa"/>
            <w:tcBorders>
              <w:top w:val="nil"/>
              <w:left w:val="nil"/>
              <w:bottom w:val="single" w:sz="4" w:space="0" w:color="auto"/>
              <w:right w:val="single" w:sz="4" w:space="0" w:color="auto"/>
            </w:tcBorders>
            <w:shd w:val="clear" w:color="auto" w:fill="auto"/>
            <w:noWrap/>
            <w:vAlign w:val="bottom"/>
            <w:hideMark/>
          </w:tcPr>
          <w:p w14:paraId="2936A98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86.80 </w:t>
            </w:r>
          </w:p>
        </w:tc>
        <w:tc>
          <w:tcPr>
            <w:tcW w:w="1326" w:type="dxa"/>
            <w:tcBorders>
              <w:top w:val="nil"/>
              <w:left w:val="nil"/>
              <w:bottom w:val="single" w:sz="4" w:space="0" w:color="auto"/>
              <w:right w:val="single" w:sz="4" w:space="0" w:color="auto"/>
            </w:tcBorders>
            <w:shd w:val="clear" w:color="auto" w:fill="auto"/>
            <w:noWrap/>
            <w:vAlign w:val="bottom"/>
            <w:hideMark/>
          </w:tcPr>
          <w:p w14:paraId="3112764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91.55 </w:t>
            </w:r>
          </w:p>
        </w:tc>
        <w:tc>
          <w:tcPr>
            <w:tcW w:w="1326" w:type="dxa"/>
            <w:tcBorders>
              <w:top w:val="nil"/>
              <w:left w:val="nil"/>
              <w:bottom w:val="single" w:sz="4" w:space="0" w:color="auto"/>
              <w:right w:val="single" w:sz="4" w:space="0" w:color="auto"/>
            </w:tcBorders>
            <w:shd w:val="clear" w:color="auto" w:fill="auto"/>
            <w:noWrap/>
            <w:vAlign w:val="bottom"/>
            <w:hideMark/>
          </w:tcPr>
          <w:p w14:paraId="2C50AAF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73.97 </w:t>
            </w:r>
          </w:p>
        </w:tc>
      </w:tr>
      <w:tr w:rsidR="006403CC" w:rsidRPr="0043743B" w14:paraId="24207EA3"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29B9234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SECURITY</w:t>
            </w:r>
          </w:p>
        </w:tc>
        <w:tc>
          <w:tcPr>
            <w:tcW w:w="1326" w:type="dxa"/>
            <w:tcBorders>
              <w:top w:val="nil"/>
              <w:left w:val="nil"/>
              <w:bottom w:val="single" w:sz="4" w:space="0" w:color="auto"/>
              <w:right w:val="single" w:sz="4" w:space="0" w:color="auto"/>
            </w:tcBorders>
            <w:shd w:val="clear" w:color="auto" w:fill="auto"/>
            <w:noWrap/>
            <w:vAlign w:val="bottom"/>
            <w:hideMark/>
          </w:tcPr>
          <w:p w14:paraId="3E8B5C7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87.44 </w:t>
            </w:r>
          </w:p>
        </w:tc>
        <w:tc>
          <w:tcPr>
            <w:tcW w:w="1326" w:type="dxa"/>
            <w:tcBorders>
              <w:top w:val="nil"/>
              <w:left w:val="nil"/>
              <w:bottom w:val="single" w:sz="4" w:space="0" w:color="auto"/>
              <w:right w:val="single" w:sz="4" w:space="0" w:color="auto"/>
            </w:tcBorders>
            <w:shd w:val="clear" w:color="auto" w:fill="auto"/>
            <w:noWrap/>
            <w:vAlign w:val="bottom"/>
            <w:hideMark/>
          </w:tcPr>
          <w:p w14:paraId="036837B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98.13 </w:t>
            </w:r>
          </w:p>
        </w:tc>
        <w:tc>
          <w:tcPr>
            <w:tcW w:w="1326" w:type="dxa"/>
            <w:tcBorders>
              <w:top w:val="nil"/>
              <w:left w:val="nil"/>
              <w:bottom w:val="single" w:sz="4" w:space="0" w:color="auto"/>
              <w:right w:val="single" w:sz="4" w:space="0" w:color="auto"/>
            </w:tcBorders>
            <w:shd w:val="clear" w:color="auto" w:fill="auto"/>
            <w:noWrap/>
            <w:vAlign w:val="bottom"/>
            <w:hideMark/>
          </w:tcPr>
          <w:p w14:paraId="502E87E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82.86 </w:t>
            </w:r>
          </w:p>
        </w:tc>
      </w:tr>
      <w:tr w:rsidR="006403CC" w:rsidRPr="0043743B" w14:paraId="435F1AC1"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0DA7054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SOCIAL DEVELOPMENT</w:t>
            </w:r>
          </w:p>
        </w:tc>
        <w:tc>
          <w:tcPr>
            <w:tcW w:w="1326" w:type="dxa"/>
            <w:tcBorders>
              <w:top w:val="nil"/>
              <w:left w:val="nil"/>
              <w:bottom w:val="single" w:sz="4" w:space="0" w:color="auto"/>
              <w:right w:val="single" w:sz="4" w:space="0" w:color="auto"/>
            </w:tcBorders>
            <w:shd w:val="clear" w:color="auto" w:fill="auto"/>
            <w:noWrap/>
            <w:vAlign w:val="bottom"/>
            <w:hideMark/>
          </w:tcPr>
          <w:p w14:paraId="5B81B13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6.10 </w:t>
            </w:r>
          </w:p>
        </w:tc>
        <w:tc>
          <w:tcPr>
            <w:tcW w:w="1326" w:type="dxa"/>
            <w:tcBorders>
              <w:top w:val="nil"/>
              <w:left w:val="nil"/>
              <w:bottom w:val="single" w:sz="4" w:space="0" w:color="auto"/>
              <w:right w:val="single" w:sz="4" w:space="0" w:color="auto"/>
            </w:tcBorders>
            <w:shd w:val="clear" w:color="auto" w:fill="auto"/>
            <w:noWrap/>
            <w:vAlign w:val="bottom"/>
            <w:hideMark/>
          </w:tcPr>
          <w:p w14:paraId="19781E3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4.70 </w:t>
            </w:r>
          </w:p>
        </w:tc>
        <w:tc>
          <w:tcPr>
            <w:tcW w:w="1326" w:type="dxa"/>
            <w:tcBorders>
              <w:top w:val="nil"/>
              <w:left w:val="nil"/>
              <w:bottom w:val="single" w:sz="4" w:space="0" w:color="auto"/>
              <w:right w:val="single" w:sz="4" w:space="0" w:color="auto"/>
            </w:tcBorders>
            <w:shd w:val="clear" w:color="auto" w:fill="auto"/>
            <w:noWrap/>
            <w:vAlign w:val="bottom"/>
            <w:hideMark/>
          </w:tcPr>
          <w:p w14:paraId="302CD7C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4.54 </w:t>
            </w:r>
          </w:p>
        </w:tc>
      </w:tr>
      <w:tr w:rsidR="006403CC" w:rsidRPr="0043743B" w14:paraId="6F3EF311"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329224B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TOURISM, TRADE AND INDUSTRY</w:t>
            </w:r>
          </w:p>
        </w:tc>
        <w:tc>
          <w:tcPr>
            <w:tcW w:w="1326" w:type="dxa"/>
            <w:tcBorders>
              <w:top w:val="nil"/>
              <w:left w:val="nil"/>
              <w:bottom w:val="single" w:sz="4" w:space="0" w:color="auto"/>
              <w:right w:val="single" w:sz="4" w:space="0" w:color="auto"/>
            </w:tcBorders>
            <w:shd w:val="clear" w:color="auto" w:fill="auto"/>
            <w:noWrap/>
            <w:vAlign w:val="bottom"/>
            <w:hideMark/>
          </w:tcPr>
          <w:p w14:paraId="2B969E8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3.10 </w:t>
            </w:r>
          </w:p>
        </w:tc>
        <w:tc>
          <w:tcPr>
            <w:tcW w:w="1326" w:type="dxa"/>
            <w:tcBorders>
              <w:top w:val="nil"/>
              <w:left w:val="nil"/>
              <w:bottom w:val="single" w:sz="4" w:space="0" w:color="auto"/>
              <w:right w:val="single" w:sz="4" w:space="0" w:color="auto"/>
            </w:tcBorders>
            <w:shd w:val="clear" w:color="auto" w:fill="auto"/>
            <w:noWrap/>
            <w:vAlign w:val="bottom"/>
            <w:hideMark/>
          </w:tcPr>
          <w:p w14:paraId="4C4D518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1.99 </w:t>
            </w:r>
          </w:p>
        </w:tc>
        <w:tc>
          <w:tcPr>
            <w:tcW w:w="1326" w:type="dxa"/>
            <w:tcBorders>
              <w:top w:val="nil"/>
              <w:left w:val="nil"/>
              <w:bottom w:val="single" w:sz="4" w:space="0" w:color="auto"/>
              <w:right w:val="single" w:sz="4" w:space="0" w:color="auto"/>
            </w:tcBorders>
            <w:shd w:val="clear" w:color="auto" w:fill="auto"/>
            <w:noWrap/>
            <w:vAlign w:val="bottom"/>
            <w:hideMark/>
          </w:tcPr>
          <w:p w14:paraId="4D3E6F4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2.28 </w:t>
            </w:r>
          </w:p>
        </w:tc>
      </w:tr>
      <w:tr w:rsidR="006403CC" w:rsidRPr="0043743B" w14:paraId="66DC90D6"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5CFFC6F0"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WATER AND ENVIRONMENT</w:t>
            </w:r>
          </w:p>
        </w:tc>
        <w:tc>
          <w:tcPr>
            <w:tcW w:w="1326" w:type="dxa"/>
            <w:tcBorders>
              <w:top w:val="nil"/>
              <w:left w:val="nil"/>
              <w:bottom w:val="single" w:sz="4" w:space="0" w:color="auto"/>
              <w:right w:val="single" w:sz="4" w:space="0" w:color="auto"/>
            </w:tcBorders>
            <w:shd w:val="clear" w:color="auto" w:fill="auto"/>
            <w:noWrap/>
            <w:vAlign w:val="bottom"/>
            <w:hideMark/>
          </w:tcPr>
          <w:p w14:paraId="5B7FD77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130.17 </w:t>
            </w:r>
          </w:p>
        </w:tc>
        <w:tc>
          <w:tcPr>
            <w:tcW w:w="1326" w:type="dxa"/>
            <w:tcBorders>
              <w:top w:val="nil"/>
              <w:left w:val="nil"/>
              <w:bottom w:val="single" w:sz="4" w:space="0" w:color="auto"/>
              <w:right w:val="single" w:sz="4" w:space="0" w:color="auto"/>
            </w:tcBorders>
            <w:shd w:val="clear" w:color="auto" w:fill="auto"/>
            <w:noWrap/>
            <w:vAlign w:val="bottom"/>
            <w:hideMark/>
          </w:tcPr>
          <w:p w14:paraId="5279570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98.52 </w:t>
            </w:r>
          </w:p>
        </w:tc>
        <w:tc>
          <w:tcPr>
            <w:tcW w:w="1326" w:type="dxa"/>
            <w:tcBorders>
              <w:top w:val="nil"/>
              <w:left w:val="nil"/>
              <w:bottom w:val="single" w:sz="4" w:space="0" w:color="auto"/>
              <w:right w:val="single" w:sz="4" w:space="0" w:color="auto"/>
            </w:tcBorders>
            <w:shd w:val="clear" w:color="auto" w:fill="auto"/>
            <w:noWrap/>
            <w:vAlign w:val="bottom"/>
            <w:hideMark/>
          </w:tcPr>
          <w:p w14:paraId="140D8CB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143.58 </w:t>
            </w:r>
          </w:p>
        </w:tc>
      </w:tr>
      <w:tr w:rsidR="006403CC" w:rsidRPr="0043743B" w14:paraId="0B4B7212"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36AD56B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WORKS AND TRANSPORT</w:t>
            </w:r>
          </w:p>
        </w:tc>
        <w:tc>
          <w:tcPr>
            <w:tcW w:w="1326" w:type="dxa"/>
            <w:tcBorders>
              <w:top w:val="nil"/>
              <w:left w:val="nil"/>
              <w:bottom w:val="single" w:sz="4" w:space="0" w:color="auto"/>
              <w:right w:val="single" w:sz="4" w:space="0" w:color="auto"/>
            </w:tcBorders>
            <w:shd w:val="clear" w:color="auto" w:fill="auto"/>
            <w:noWrap/>
            <w:vAlign w:val="bottom"/>
            <w:hideMark/>
          </w:tcPr>
          <w:p w14:paraId="32E425F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153.11 </w:t>
            </w:r>
          </w:p>
        </w:tc>
        <w:tc>
          <w:tcPr>
            <w:tcW w:w="1326" w:type="dxa"/>
            <w:tcBorders>
              <w:top w:val="nil"/>
              <w:left w:val="nil"/>
              <w:bottom w:val="single" w:sz="4" w:space="0" w:color="auto"/>
              <w:right w:val="single" w:sz="4" w:space="0" w:color="auto"/>
            </w:tcBorders>
            <w:shd w:val="clear" w:color="auto" w:fill="auto"/>
            <w:noWrap/>
            <w:vAlign w:val="bottom"/>
            <w:hideMark/>
          </w:tcPr>
          <w:p w14:paraId="7592124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178.70 </w:t>
            </w:r>
          </w:p>
        </w:tc>
        <w:tc>
          <w:tcPr>
            <w:tcW w:w="1326" w:type="dxa"/>
            <w:tcBorders>
              <w:top w:val="nil"/>
              <w:left w:val="nil"/>
              <w:bottom w:val="single" w:sz="4" w:space="0" w:color="auto"/>
              <w:right w:val="single" w:sz="4" w:space="0" w:color="auto"/>
            </w:tcBorders>
            <w:shd w:val="clear" w:color="auto" w:fill="auto"/>
            <w:noWrap/>
            <w:vAlign w:val="bottom"/>
            <w:hideMark/>
          </w:tcPr>
          <w:p w14:paraId="7FD436E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338.84 </w:t>
            </w:r>
          </w:p>
        </w:tc>
      </w:tr>
      <w:tr w:rsidR="006403CC" w:rsidRPr="0043743B" w14:paraId="747865B5" w14:textId="77777777" w:rsidTr="00773884">
        <w:trPr>
          <w:trHeight w:val="259"/>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14:paraId="6863E5E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OTHER (OFF-BUDGET)</w:t>
            </w:r>
          </w:p>
        </w:tc>
        <w:tc>
          <w:tcPr>
            <w:tcW w:w="1326" w:type="dxa"/>
            <w:tcBorders>
              <w:top w:val="nil"/>
              <w:left w:val="nil"/>
              <w:bottom w:val="single" w:sz="4" w:space="0" w:color="auto"/>
              <w:right w:val="single" w:sz="4" w:space="0" w:color="auto"/>
            </w:tcBorders>
            <w:shd w:val="clear" w:color="auto" w:fill="auto"/>
            <w:noWrap/>
            <w:vAlign w:val="bottom"/>
            <w:hideMark/>
          </w:tcPr>
          <w:p w14:paraId="5B77555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1326" w:type="dxa"/>
            <w:tcBorders>
              <w:top w:val="nil"/>
              <w:left w:val="nil"/>
              <w:bottom w:val="single" w:sz="4" w:space="0" w:color="auto"/>
              <w:right w:val="single" w:sz="4" w:space="0" w:color="auto"/>
            </w:tcBorders>
            <w:shd w:val="clear" w:color="auto" w:fill="auto"/>
            <w:noWrap/>
            <w:vAlign w:val="bottom"/>
            <w:hideMark/>
          </w:tcPr>
          <w:p w14:paraId="0C129C1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1326" w:type="dxa"/>
            <w:tcBorders>
              <w:top w:val="nil"/>
              <w:left w:val="nil"/>
              <w:bottom w:val="single" w:sz="4" w:space="0" w:color="auto"/>
              <w:right w:val="single" w:sz="4" w:space="0" w:color="auto"/>
            </w:tcBorders>
            <w:shd w:val="clear" w:color="auto" w:fill="auto"/>
            <w:noWrap/>
            <w:vAlign w:val="bottom"/>
            <w:hideMark/>
          </w:tcPr>
          <w:p w14:paraId="40FAE6E3"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r>
      <w:tr w:rsidR="006403CC" w:rsidRPr="0043743B" w14:paraId="2ED721EE" w14:textId="77777777" w:rsidTr="00773884">
        <w:trPr>
          <w:trHeight w:val="272"/>
        </w:trPr>
        <w:tc>
          <w:tcPr>
            <w:tcW w:w="5404" w:type="dxa"/>
            <w:tcBorders>
              <w:top w:val="nil"/>
              <w:left w:val="single" w:sz="4" w:space="0" w:color="auto"/>
              <w:bottom w:val="double" w:sz="6" w:space="0" w:color="auto"/>
              <w:right w:val="single" w:sz="4" w:space="0" w:color="auto"/>
            </w:tcBorders>
            <w:shd w:val="clear" w:color="auto" w:fill="auto"/>
            <w:noWrap/>
            <w:vAlign w:val="bottom"/>
            <w:hideMark/>
          </w:tcPr>
          <w:p w14:paraId="49E2C963"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TOTAL</w:t>
            </w:r>
          </w:p>
        </w:tc>
        <w:tc>
          <w:tcPr>
            <w:tcW w:w="1326" w:type="dxa"/>
            <w:tcBorders>
              <w:top w:val="nil"/>
              <w:left w:val="nil"/>
              <w:bottom w:val="double" w:sz="6" w:space="0" w:color="auto"/>
              <w:right w:val="single" w:sz="4" w:space="0" w:color="auto"/>
            </w:tcBorders>
            <w:shd w:val="clear" w:color="auto" w:fill="auto"/>
            <w:noWrap/>
            <w:vAlign w:val="bottom"/>
            <w:hideMark/>
          </w:tcPr>
          <w:p w14:paraId="1C54C5E4"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1,541.37 </w:t>
            </w:r>
          </w:p>
        </w:tc>
        <w:tc>
          <w:tcPr>
            <w:tcW w:w="1326" w:type="dxa"/>
            <w:tcBorders>
              <w:top w:val="nil"/>
              <w:left w:val="nil"/>
              <w:bottom w:val="double" w:sz="6" w:space="0" w:color="auto"/>
              <w:right w:val="single" w:sz="4" w:space="0" w:color="auto"/>
            </w:tcBorders>
            <w:shd w:val="clear" w:color="auto" w:fill="auto"/>
            <w:noWrap/>
            <w:vAlign w:val="bottom"/>
            <w:hideMark/>
          </w:tcPr>
          <w:p w14:paraId="7B387705"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1,470.92 </w:t>
            </w:r>
          </w:p>
        </w:tc>
        <w:tc>
          <w:tcPr>
            <w:tcW w:w="1326" w:type="dxa"/>
            <w:tcBorders>
              <w:top w:val="nil"/>
              <w:left w:val="nil"/>
              <w:bottom w:val="double" w:sz="6" w:space="0" w:color="auto"/>
              <w:right w:val="single" w:sz="4" w:space="0" w:color="auto"/>
            </w:tcBorders>
            <w:shd w:val="clear" w:color="auto" w:fill="auto"/>
            <w:noWrap/>
            <w:vAlign w:val="bottom"/>
            <w:hideMark/>
          </w:tcPr>
          <w:p w14:paraId="403AE7B0"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1,668.29 </w:t>
            </w:r>
          </w:p>
        </w:tc>
      </w:tr>
    </w:tbl>
    <w:p w14:paraId="6067BA95"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57C4F59A" w14:textId="77777777" w:rsidR="003666C5" w:rsidRPr="00773884" w:rsidRDefault="003666C5" w:rsidP="003666C5">
      <w:pPr>
        <w:spacing w:after="0" w:line="240" w:lineRule="auto"/>
        <w:rPr>
          <w:rFonts w:ascii="Times New Roman" w:hAnsi="Times New Roman"/>
        </w:rPr>
      </w:pPr>
    </w:p>
    <w:p w14:paraId="33987B09" w14:textId="77777777" w:rsidR="0043743B" w:rsidRDefault="0043743B">
      <w:pPr>
        <w:spacing w:after="0" w:line="240" w:lineRule="auto"/>
        <w:jc w:val="left"/>
        <w:rPr>
          <w:rFonts w:ascii="Times New Roman" w:hAnsi="Times New Roman"/>
        </w:rPr>
      </w:pPr>
      <w:r>
        <w:rPr>
          <w:rFonts w:ascii="Times New Roman" w:hAnsi="Times New Roman"/>
        </w:rPr>
        <w:br w:type="page"/>
      </w:r>
    </w:p>
    <w:p w14:paraId="67ECA046" w14:textId="6A7B59E5" w:rsidR="006403CC" w:rsidRPr="00773884" w:rsidRDefault="003666C5" w:rsidP="003666C5">
      <w:pPr>
        <w:spacing w:before="120" w:after="120" w:line="240" w:lineRule="auto"/>
        <w:rPr>
          <w:rFonts w:ascii="Times New Roman" w:hAnsi="Times New Roman"/>
        </w:rPr>
      </w:pPr>
      <w:bookmarkStart w:id="142" w:name="_Toc3505104"/>
      <w:r w:rsidRPr="00773884">
        <w:rPr>
          <w:rFonts w:ascii="Times New Roman" w:hAnsi="Times New Roman"/>
        </w:rPr>
        <w:lastRenderedPageBreak/>
        <w:t xml:space="preserve">Table </w:t>
      </w:r>
      <w:r w:rsidRPr="00773884">
        <w:rPr>
          <w:rFonts w:ascii="Times New Roman" w:hAnsi="Times New Roman"/>
        </w:rPr>
        <w:fldChar w:fldCharType="begin"/>
      </w:r>
      <w:r w:rsidRPr="00773884">
        <w:rPr>
          <w:rFonts w:ascii="Times New Roman" w:hAnsi="Times New Roman"/>
        </w:rPr>
        <w:instrText xml:space="preserve"> SEQ Table \* ARABIC </w:instrText>
      </w:r>
      <w:r w:rsidRPr="00773884">
        <w:rPr>
          <w:rFonts w:ascii="Times New Roman" w:hAnsi="Times New Roman"/>
        </w:rPr>
        <w:fldChar w:fldCharType="separate"/>
      </w:r>
      <w:r w:rsidR="006F31B1">
        <w:rPr>
          <w:rFonts w:ascii="Times New Roman" w:hAnsi="Times New Roman"/>
          <w:noProof/>
        </w:rPr>
        <w:t>7</w:t>
      </w:r>
      <w:r w:rsidRPr="00773884">
        <w:rPr>
          <w:rFonts w:ascii="Times New Roman" w:hAnsi="Times New Roman"/>
        </w:rPr>
        <w:fldChar w:fldCharType="end"/>
      </w:r>
      <w:r w:rsidRPr="00773884">
        <w:rPr>
          <w:rFonts w:ascii="Times New Roman" w:hAnsi="Times New Roman"/>
        </w:rPr>
        <w:t>:</w:t>
      </w:r>
      <w:r w:rsidR="006403CC" w:rsidRPr="00773884">
        <w:rPr>
          <w:rFonts w:ascii="Times New Roman" w:eastAsia="Arial Unicode MS" w:hAnsi="Times New Roman"/>
          <w:b/>
        </w:rPr>
        <w:t xml:space="preserve"> </w:t>
      </w:r>
      <w:r w:rsidR="006403CC" w:rsidRPr="00773884">
        <w:rPr>
          <w:rFonts w:ascii="Times New Roman" w:eastAsia="Arial Unicode MS" w:hAnsi="Times New Roman"/>
          <w:b/>
          <w:bCs/>
          <w:color w:val="000000"/>
        </w:rPr>
        <w:t>Percentage Allocation of Development Assistance (MTEF &amp; Non-MTEF) by sector</w:t>
      </w:r>
      <w:bookmarkEnd w:id="142"/>
    </w:p>
    <w:tbl>
      <w:tblPr>
        <w:tblW w:w="9360" w:type="dxa"/>
        <w:tblInd w:w="-5" w:type="dxa"/>
        <w:tblLook w:val="04A0" w:firstRow="1" w:lastRow="0" w:firstColumn="1" w:lastColumn="0" w:noHBand="0" w:noVBand="1"/>
      </w:tblPr>
      <w:tblGrid>
        <w:gridCol w:w="4752"/>
        <w:gridCol w:w="1188"/>
        <w:gridCol w:w="1188"/>
        <w:gridCol w:w="1188"/>
        <w:gridCol w:w="1044"/>
      </w:tblGrid>
      <w:tr w:rsidR="006403CC" w:rsidRPr="0043743B" w14:paraId="32120D14" w14:textId="77777777" w:rsidTr="00773884">
        <w:trPr>
          <w:trHeight w:val="296"/>
        </w:trPr>
        <w:tc>
          <w:tcPr>
            <w:tcW w:w="4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D83C7"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Primary Sector</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16456E25"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2015/16</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009F36DF"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2016/17</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7708A9AD"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2017/18</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2262598C"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Average</w:t>
            </w:r>
          </w:p>
        </w:tc>
      </w:tr>
      <w:tr w:rsidR="006403CC" w:rsidRPr="0043743B" w14:paraId="79CF1FEC"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798C7B1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ACCOUNTABILITY</w:t>
            </w:r>
          </w:p>
        </w:tc>
        <w:tc>
          <w:tcPr>
            <w:tcW w:w="1188" w:type="dxa"/>
            <w:tcBorders>
              <w:top w:val="nil"/>
              <w:left w:val="nil"/>
              <w:bottom w:val="single" w:sz="4" w:space="0" w:color="auto"/>
              <w:right w:val="single" w:sz="4" w:space="0" w:color="auto"/>
            </w:tcBorders>
            <w:shd w:val="clear" w:color="auto" w:fill="auto"/>
            <w:noWrap/>
            <w:vAlign w:val="bottom"/>
            <w:hideMark/>
          </w:tcPr>
          <w:p w14:paraId="1D5B6F3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2.3%</w:t>
            </w:r>
          </w:p>
        </w:tc>
        <w:tc>
          <w:tcPr>
            <w:tcW w:w="1188" w:type="dxa"/>
            <w:tcBorders>
              <w:top w:val="nil"/>
              <w:left w:val="nil"/>
              <w:bottom w:val="single" w:sz="4" w:space="0" w:color="auto"/>
              <w:right w:val="single" w:sz="4" w:space="0" w:color="auto"/>
            </w:tcBorders>
            <w:shd w:val="clear" w:color="auto" w:fill="auto"/>
            <w:noWrap/>
            <w:vAlign w:val="bottom"/>
            <w:hideMark/>
          </w:tcPr>
          <w:p w14:paraId="57C536B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3.0%</w:t>
            </w:r>
          </w:p>
        </w:tc>
        <w:tc>
          <w:tcPr>
            <w:tcW w:w="1188" w:type="dxa"/>
            <w:tcBorders>
              <w:top w:val="nil"/>
              <w:left w:val="nil"/>
              <w:bottom w:val="single" w:sz="4" w:space="0" w:color="auto"/>
              <w:right w:val="single" w:sz="4" w:space="0" w:color="auto"/>
            </w:tcBorders>
            <w:shd w:val="clear" w:color="auto" w:fill="auto"/>
            <w:noWrap/>
            <w:vAlign w:val="bottom"/>
            <w:hideMark/>
          </w:tcPr>
          <w:p w14:paraId="43D0DFC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2.6%</w:t>
            </w:r>
          </w:p>
        </w:tc>
        <w:tc>
          <w:tcPr>
            <w:tcW w:w="1044" w:type="dxa"/>
            <w:tcBorders>
              <w:top w:val="nil"/>
              <w:left w:val="nil"/>
              <w:bottom w:val="single" w:sz="4" w:space="0" w:color="auto"/>
              <w:right w:val="single" w:sz="4" w:space="0" w:color="auto"/>
            </w:tcBorders>
            <w:shd w:val="clear" w:color="auto" w:fill="auto"/>
            <w:noWrap/>
            <w:vAlign w:val="bottom"/>
            <w:hideMark/>
          </w:tcPr>
          <w:p w14:paraId="3F24975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2.6%</w:t>
            </w:r>
          </w:p>
        </w:tc>
      </w:tr>
      <w:tr w:rsidR="006403CC" w:rsidRPr="0043743B" w14:paraId="5C0FA1B2"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1A08A4D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AGRICULTURE</w:t>
            </w:r>
          </w:p>
        </w:tc>
        <w:tc>
          <w:tcPr>
            <w:tcW w:w="1188" w:type="dxa"/>
            <w:tcBorders>
              <w:top w:val="nil"/>
              <w:left w:val="nil"/>
              <w:bottom w:val="single" w:sz="4" w:space="0" w:color="auto"/>
              <w:right w:val="single" w:sz="4" w:space="0" w:color="auto"/>
            </w:tcBorders>
            <w:shd w:val="clear" w:color="auto" w:fill="auto"/>
            <w:noWrap/>
            <w:vAlign w:val="bottom"/>
            <w:hideMark/>
          </w:tcPr>
          <w:p w14:paraId="58A8623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2.0%</w:t>
            </w:r>
          </w:p>
        </w:tc>
        <w:tc>
          <w:tcPr>
            <w:tcW w:w="1188" w:type="dxa"/>
            <w:tcBorders>
              <w:top w:val="nil"/>
              <w:left w:val="nil"/>
              <w:bottom w:val="single" w:sz="4" w:space="0" w:color="auto"/>
              <w:right w:val="single" w:sz="4" w:space="0" w:color="auto"/>
            </w:tcBorders>
            <w:shd w:val="clear" w:color="auto" w:fill="auto"/>
            <w:noWrap/>
            <w:vAlign w:val="bottom"/>
            <w:hideMark/>
          </w:tcPr>
          <w:p w14:paraId="4ECC7B7F"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4.6%</w:t>
            </w:r>
          </w:p>
        </w:tc>
        <w:tc>
          <w:tcPr>
            <w:tcW w:w="1188" w:type="dxa"/>
            <w:tcBorders>
              <w:top w:val="nil"/>
              <w:left w:val="nil"/>
              <w:bottom w:val="single" w:sz="4" w:space="0" w:color="auto"/>
              <w:right w:val="single" w:sz="4" w:space="0" w:color="auto"/>
            </w:tcBorders>
            <w:shd w:val="clear" w:color="auto" w:fill="auto"/>
            <w:noWrap/>
            <w:vAlign w:val="bottom"/>
            <w:hideMark/>
          </w:tcPr>
          <w:p w14:paraId="15AA94B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3.8%</w:t>
            </w:r>
          </w:p>
        </w:tc>
        <w:tc>
          <w:tcPr>
            <w:tcW w:w="1044" w:type="dxa"/>
            <w:tcBorders>
              <w:top w:val="nil"/>
              <w:left w:val="nil"/>
              <w:bottom w:val="single" w:sz="4" w:space="0" w:color="auto"/>
              <w:right w:val="single" w:sz="4" w:space="0" w:color="auto"/>
            </w:tcBorders>
            <w:shd w:val="clear" w:color="auto" w:fill="auto"/>
            <w:noWrap/>
            <w:vAlign w:val="bottom"/>
            <w:hideMark/>
          </w:tcPr>
          <w:p w14:paraId="4C18520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3.5%</w:t>
            </w:r>
          </w:p>
        </w:tc>
      </w:tr>
      <w:tr w:rsidR="006403CC" w:rsidRPr="0043743B" w14:paraId="67B1C3B1"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5EBB0A9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BUDGET SUPPORT</w:t>
            </w:r>
          </w:p>
        </w:tc>
        <w:tc>
          <w:tcPr>
            <w:tcW w:w="1188" w:type="dxa"/>
            <w:tcBorders>
              <w:top w:val="nil"/>
              <w:left w:val="nil"/>
              <w:bottom w:val="single" w:sz="4" w:space="0" w:color="auto"/>
              <w:right w:val="single" w:sz="4" w:space="0" w:color="auto"/>
            </w:tcBorders>
            <w:shd w:val="clear" w:color="auto" w:fill="auto"/>
            <w:noWrap/>
            <w:vAlign w:val="bottom"/>
            <w:hideMark/>
          </w:tcPr>
          <w:p w14:paraId="4893514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2.3%</w:t>
            </w:r>
          </w:p>
        </w:tc>
        <w:tc>
          <w:tcPr>
            <w:tcW w:w="1188" w:type="dxa"/>
            <w:tcBorders>
              <w:top w:val="nil"/>
              <w:left w:val="nil"/>
              <w:bottom w:val="single" w:sz="4" w:space="0" w:color="auto"/>
              <w:right w:val="single" w:sz="4" w:space="0" w:color="auto"/>
            </w:tcBorders>
            <w:shd w:val="clear" w:color="auto" w:fill="auto"/>
            <w:noWrap/>
            <w:vAlign w:val="bottom"/>
            <w:hideMark/>
          </w:tcPr>
          <w:p w14:paraId="56A0D5C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11.5%</w:t>
            </w:r>
          </w:p>
        </w:tc>
        <w:tc>
          <w:tcPr>
            <w:tcW w:w="1188" w:type="dxa"/>
            <w:tcBorders>
              <w:top w:val="nil"/>
              <w:left w:val="nil"/>
              <w:bottom w:val="single" w:sz="4" w:space="0" w:color="auto"/>
              <w:right w:val="single" w:sz="4" w:space="0" w:color="auto"/>
            </w:tcBorders>
            <w:shd w:val="clear" w:color="auto" w:fill="auto"/>
            <w:noWrap/>
            <w:vAlign w:val="bottom"/>
            <w:hideMark/>
          </w:tcPr>
          <w:p w14:paraId="7335D86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2.9%</w:t>
            </w:r>
          </w:p>
        </w:tc>
        <w:tc>
          <w:tcPr>
            <w:tcW w:w="1044" w:type="dxa"/>
            <w:tcBorders>
              <w:top w:val="nil"/>
              <w:left w:val="nil"/>
              <w:bottom w:val="single" w:sz="4" w:space="0" w:color="auto"/>
              <w:right w:val="single" w:sz="4" w:space="0" w:color="auto"/>
            </w:tcBorders>
            <w:shd w:val="clear" w:color="auto" w:fill="auto"/>
            <w:noWrap/>
            <w:vAlign w:val="bottom"/>
            <w:hideMark/>
          </w:tcPr>
          <w:p w14:paraId="73BAFE1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5.6%</w:t>
            </w:r>
          </w:p>
        </w:tc>
      </w:tr>
      <w:tr w:rsidR="006403CC" w:rsidRPr="0043743B" w14:paraId="5A4DF23E"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29AD3E5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EDUCATION</w:t>
            </w:r>
          </w:p>
        </w:tc>
        <w:tc>
          <w:tcPr>
            <w:tcW w:w="1188" w:type="dxa"/>
            <w:tcBorders>
              <w:top w:val="nil"/>
              <w:left w:val="nil"/>
              <w:bottom w:val="single" w:sz="4" w:space="0" w:color="auto"/>
              <w:right w:val="single" w:sz="4" w:space="0" w:color="auto"/>
            </w:tcBorders>
            <w:shd w:val="clear" w:color="auto" w:fill="auto"/>
            <w:noWrap/>
            <w:vAlign w:val="bottom"/>
            <w:hideMark/>
          </w:tcPr>
          <w:p w14:paraId="763D255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5.3%</w:t>
            </w:r>
          </w:p>
        </w:tc>
        <w:tc>
          <w:tcPr>
            <w:tcW w:w="1188" w:type="dxa"/>
            <w:tcBorders>
              <w:top w:val="nil"/>
              <w:left w:val="nil"/>
              <w:bottom w:val="single" w:sz="4" w:space="0" w:color="auto"/>
              <w:right w:val="single" w:sz="4" w:space="0" w:color="auto"/>
            </w:tcBorders>
            <w:shd w:val="clear" w:color="auto" w:fill="auto"/>
            <w:noWrap/>
            <w:vAlign w:val="bottom"/>
            <w:hideMark/>
          </w:tcPr>
          <w:p w14:paraId="22CE21A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5.2%</w:t>
            </w:r>
          </w:p>
        </w:tc>
        <w:tc>
          <w:tcPr>
            <w:tcW w:w="1188" w:type="dxa"/>
            <w:tcBorders>
              <w:top w:val="nil"/>
              <w:left w:val="nil"/>
              <w:bottom w:val="single" w:sz="4" w:space="0" w:color="auto"/>
              <w:right w:val="single" w:sz="4" w:space="0" w:color="auto"/>
            </w:tcBorders>
            <w:shd w:val="clear" w:color="auto" w:fill="auto"/>
            <w:noWrap/>
            <w:vAlign w:val="bottom"/>
            <w:hideMark/>
          </w:tcPr>
          <w:p w14:paraId="58ED82D8"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4.3%</w:t>
            </w:r>
          </w:p>
        </w:tc>
        <w:tc>
          <w:tcPr>
            <w:tcW w:w="1044" w:type="dxa"/>
            <w:tcBorders>
              <w:top w:val="nil"/>
              <w:left w:val="nil"/>
              <w:bottom w:val="single" w:sz="4" w:space="0" w:color="auto"/>
              <w:right w:val="single" w:sz="4" w:space="0" w:color="auto"/>
            </w:tcBorders>
            <w:shd w:val="clear" w:color="auto" w:fill="auto"/>
            <w:noWrap/>
            <w:vAlign w:val="bottom"/>
            <w:hideMark/>
          </w:tcPr>
          <w:p w14:paraId="2AC1726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4.9%</w:t>
            </w:r>
          </w:p>
        </w:tc>
      </w:tr>
      <w:tr w:rsidR="006403CC" w:rsidRPr="0043743B" w14:paraId="2AF0EC04"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7B5309C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ENERGY AND MINERAL DEVELOPMENT</w:t>
            </w:r>
          </w:p>
        </w:tc>
        <w:tc>
          <w:tcPr>
            <w:tcW w:w="1188" w:type="dxa"/>
            <w:tcBorders>
              <w:top w:val="nil"/>
              <w:left w:val="nil"/>
              <w:bottom w:val="single" w:sz="4" w:space="0" w:color="auto"/>
              <w:right w:val="single" w:sz="4" w:space="0" w:color="auto"/>
            </w:tcBorders>
            <w:shd w:val="clear" w:color="auto" w:fill="auto"/>
            <w:noWrap/>
            <w:vAlign w:val="bottom"/>
            <w:hideMark/>
          </w:tcPr>
          <w:p w14:paraId="3BAB7F59"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36.6%</w:t>
            </w:r>
          </w:p>
        </w:tc>
        <w:tc>
          <w:tcPr>
            <w:tcW w:w="1188" w:type="dxa"/>
            <w:tcBorders>
              <w:top w:val="nil"/>
              <w:left w:val="nil"/>
              <w:bottom w:val="single" w:sz="4" w:space="0" w:color="auto"/>
              <w:right w:val="single" w:sz="4" w:space="0" w:color="auto"/>
            </w:tcBorders>
            <w:shd w:val="clear" w:color="auto" w:fill="auto"/>
            <w:noWrap/>
            <w:vAlign w:val="bottom"/>
            <w:hideMark/>
          </w:tcPr>
          <w:p w14:paraId="3D4141A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21.3%</w:t>
            </w:r>
          </w:p>
        </w:tc>
        <w:tc>
          <w:tcPr>
            <w:tcW w:w="1188" w:type="dxa"/>
            <w:tcBorders>
              <w:top w:val="nil"/>
              <w:left w:val="nil"/>
              <w:bottom w:val="single" w:sz="4" w:space="0" w:color="auto"/>
              <w:right w:val="single" w:sz="4" w:space="0" w:color="auto"/>
            </w:tcBorders>
            <w:shd w:val="clear" w:color="auto" w:fill="auto"/>
            <w:noWrap/>
            <w:vAlign w:val="bottom"/>
            <w:hideMark/>
          </w:tcPr>
          <w:p w14:paraId="0B7FEEE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29.3%</w:t>
            </w:r>
          </w:p>
        </w:tc>
        <w:tc>
          <w:tcPr>
            <w:tcW w:w="1044" w:type="dxa"/>
            <w:tcBorders>
              <w:top w:val="nil"/>
              <w:left w:val="nil"/>
              <w:bottom w:val="single" w:sz="4" w:space="0" w:color="auto"/>
              <w:right w:val="single" w:sz="4" w:space="0" w:color="auto"/>
            </w:tcBorders>
            <w:shd w:val="clear" w:color="auto" w:fill="auto"/>
            <w:noWrap/>
            <w:vAlign w:val="bottom"/>
            <w:hideMark/>
          </w:tcPr>
          <w:p w14:paraId="45FD8C0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29.1%</w:t>
            </w:r>
          </w:p>
        </w:tc>
      </w:tr>
      <w:tr w:rsidR="006403CC" w:rsidRPr="0043743B" w14:paraId="5966E9A7"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779B0D4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HEALTH</w:t>
            </w:r>
          </w:p>
        </w:tc>
        <w:tc>
          <w:tcPr>
            <w:tcW w:w="1188" w:type="dxa"/>
            <w:tcBorders>
              <w:top w:val="nil"/>
              <w:left w:val="nil"/>
              <w:bottom w:val="single" w:sz="4" w:space="0" w:color="auto"/>
              <w:right w:val="single" w:sz="4" w:space="0" w:color="auto"/>
            </w:tcBorders>
            <w:shd w:val="clear" w:color="auto" w:fill="auto"/>
            <w:noWrap/>
            <w:vAlign w:val="bottom"/>
            <w:hideMark/>
          </w:tcPr>
          <w:p w14:paraId="12591CA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17.4%</w:t>
            </w:r>
          </w:p>
        </w:tc>
        <w:tc>
          <w:tcPr>
            <w:tcW w:w="1188" w:type="dxa"/>
            <w:tcBorders>
              <w:top w:val="nil"/>
              <w:left w:val="nil"/>
              <w:bottom w:val="single" w:sz="4" w:space="0" w:color="auto"/>
              <w:right w:val="single" w:sz="4" w:space="0" w:color="auto"/>
            </w:tcBorders>
            <w:shd w:val="clear" w:color="auto" w:fill="auto"/>
            <w:noWrap/>
            <w:vAlign w:val="bottom"/>
            <w:hideMark/>
          </w:tcPr>
          <w:p w14:paraId="7FAC436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16.8%</w:t>
            </w:r>
          </w:p>
        </w:tc>
        <w:tc>
          <w:tcPr>
            <w:tcW w:w="1188" w:type="dxa"/>
            <w:tcBorders>
              <w:top w:val="nil"/>
              <w:left w:val="nil"/>
              <w:bottom w:val="single" w:sz="4" w:space="0" w:color="auto"/>
              <w:right w:val="single" w:sz="4" w:space="0" w:color="auto"/>
            </w:tcBorders>
            <w:shd w:val="clear" w:color="auto" w:fill="auto"/>
            <w:noWrap/>
            <w:vAlign w:val="bottom"/>
            <w:hideMark/>
          </w:tcPr>
          <w:p w14:paraId="0EA2840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14.3%</w:t>
            </w:r>
          </w:p>
        </w:tc>
        <w:tc>
          <w:tcPr>
            <w:tcW w:w="1044" w:type="dxa"/>
            <w:tcBorders>
              <w:top w:val="nil"/>
              <w:left w:val="nil"/>
              <w:bottom w:val="single" w:sz="4" w:space="0" w:color="auto"/>
              <w:right w:val="single" w:sz="4" w:space="0" w:color="auto"/>
            </w:tcBorders>
            <w:shd w:val="clear" w:color="auto" w:fill="auto"/>
            <w:noWrap/>
            <w:vAlign w:val="bottom"/>
            <w:hideMark/>
          </w:tcPr>
          <w:p w14:paraId="0BAF268F"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16.2%</w:t>
            </w:r>
          </w:p>
        </w:tc>
      </w:tr>
      <w:tr w:rsidR="006403CC" w:rsidRPr="0043743B" w14:paraId="43D1EDBD"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5C1EA43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ICT AND NATIONAL GUIDANCE</w:t>
            </w:r>
          </w:p>
        </w:tc>
        <w:tc>
          <w:tcPr>
            <w:tcW w:w="1188" w:type="dxa"/>
            <w:tcBorders>
              <w:top w:val="nil"/>
              <w:left w:val="nil"/>
              <w:bottom w:val="single" w:sz="4" w:space="0" w:color="auto"/>
              <w:right w:val="single" w:sz="4" w:space="0" w:color="auto"/>
            </w:tcBorders>
            <w:shd w:val="clear" w:color="auto" w:fill="auto"/>
            <w:noWrap/>
            <w:vAlign w:val="bottom"/>
            <w:hideMark/>
          </w:tcPr>
          <w:p w14:paraId="1E8F28E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0.3%</w:t>
            </w:r>
          </w:p>
        </w:tc>
        <w:tc>
          <w:tcPr>
            <w:tcW w:w="1188" w:type="dxa"/>
            <w:tcBorders>
              <w:top w:val="nil"/>
              <w:left w:val="nil"/>
              <w:bottom w:val="single" w:sz="4" w:space="0" w:color="auto"/>
              <w:right w:val="single" w:sz="4" w:space="0" w:color="auto"/>
            </w:tcBorders>
            <w:shd w:val="clear" w:color="auto" w:fill="auto"/>
            <w:noWrap/>
            <w:vAlign w:val="bottom"/>
            <w:hideMark/>
          </w:tcPr>
          <w:p w14:paraId="751FF11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2.0%</w:t>
            </w:r>
          </w:p>
        </w:tc>
        <w:tc>
          <w:tcPr>
            <w:tcW w:w="1188" w:type="dxa"/>
            <w:tcBorders>
              <w:top w:val="nil"/>
              <w:left w:val="nil"/>
              <w:bottom w:val="single" w:sz="4" w:space="0" w:color="auto"/>
              <w:right w:val="single" w:sz="4" w:space="0" w:color="auto"/>
            </w:tcBorders>
            <w:shd w:val="clear" w:color="auto" w:fill="auto"/>
            <w:noWrap/>
            <w:vAlign w:val="bottom"/>
            <w:hideMark/>
          </w:tcPr>
          <w:p w14:paraId="6571DA46"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0.4%</w:t>
            </w:r>
          </w:p>
        </w:tc>
        <w:tc>
          <w:tcPr>
            <w:tcW w:w="1044" w:type="dxa"/>
            <w:tcBorders>
              <w:top w:val="nil"/>
              <w:left w:val="nil"/>
              <w:bottom w:val="single" w:sz="4" w:space="0" w:color="auto"/>
              <w:right w:val="single" w:sz="4" w:space="0" w:color="auto"/>
            </w:tcBorders>
            <w:shd w:val="clear" w:color="auto" w:fill="auto"/>
            <w:noWrap/>
            <w:vAlign w:val="bottom"/>
            <w:hideMark/>
          </w:tcPr>
          <w:p w14:paraId="5BCF8944"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0.9%</w:t>
            </w:r>
          </w:p>
        </w:tc>
      </w:tr>
      <w:tr w:rsidR="006403CC" w:rsidRPr="0043743B" w14:paraId="1CD2BB12"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679A450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JUSTICE LAW AND ORDER</w:t>
            </w:r>
          </w:p>
        </w:tc>
        <w:tc>
          <w:tcPr>
            <w:tcW w:w="1188" w:type="dxa"/>
            <w:tcBorders>
              <w:top w:val="nil"/>
              <w:left w:val="nil"/>
              <w:bottom w:val="single" w:sz="4" w:space="0" w:color="auto"/>
              <w:right w:val="single" w:sz="4" w:space="0" w:color="auto"/>
            </w:tcBorders>
            <w:shd w:val="clear" w:color="auto" w:fill="auto"/>
            <w:noWrap/>
            <w:vAlign w:val="bottom"/>
            <w:hideMark/>
          </w:tcPr>
          <w:p w14:paraId="2457D1F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0.6%</w:t>
            </w:r>
          </w:p>
        </w:tc>
        <w:tc>
          <w:tcPr>
            <w:tcW w:w="1188" w:type="dxa"/>
            <w:tcBorders>
              <w:top w:val="nil"/>
              <w:left w:val="nil"/>
              <w:bottom w:val="single" w:sz="4" w:space="0" w:color="auto"/>
              <w:right w:val="single" w:sz="4" w:space="0" w:color="auto"/>
            </w:tcBorders>
            <w:shd w:val="clear" w:color="auto" w:fill="auto"/>
            <w:noWrap/>
            <w:vAlign w:val="bottom"/>
            <w:hideMark/>
          </w:tcPr>
          <w:p w14:paraId="581E230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0.8%</w:t>
            </w:r>
          </w:p>
        </w:tc>
        <w:tc>
          <w:tcPr>
            <w:tcW w:w="1188" w:type="dxa"/>
            <w:tcBorders>
              <w:top w:val="nil"/>
              <w:left w:val="nil"/>
              <w:bottom w:val="single" w:sz="4" w:space="0" w:color="auto"/>
              <w:right w:val="single" w:sz="4" w:space="0" w:color="auto"/>
            </w:tcBorders>
            <w:shd w:val="clear" w:color="auto" w:fill="auto"/>
            <w:noWrap/>
            <w:vAlign w:val="bottom"/>
            <w:hideMark/>
          </w:tcPr>
          <w:p w14:paraId="1732B5E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0.6%</w:t>
            </w:r>
          </w:p>
        </w:tc>
        <w:tc>
          <w:tcPr>
            <w:tcW w:w="1044" w:type="dxa"/>
            <w:tcBorders>
              <w:top w:val="nil"/>
              <w:left w:val="nil"/>
              <w:bottom w:val="single" w:sz="4" w:space="0" w:color="auto"/>
              <w:right w:val="single" w:sz="4" w:space="0" w:color="auto"/>
            </w:tcBorders>
            <w:shd w:val="clear" w:color="auto" w:fill="auto"/>
            <w:noWrap/>
            <w:vAlign w:val="bottom"/>
            <w:hideMark/>
          </w:tcPr>
          <w:p w14:paraId="0F787FF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0.7%</w:t>
            </w:r>
          </w:p>
        </w:tc>
      </w:tr>
      <w:tr w:rsidR="006403CC" w:rsidRPr="0043743B" w14:paraId="5BAC60D6"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5B5F50D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LANDS, HOUSING AND URBAN DEVELOPMENT</w:t>
            </w:r>
          </w:p>
        </w:tc>
        <w:tc>
          <w:tcPr>
            <w:tcW w:w="1188" w:type="dxa"/>
            <w:tcBorders>
              <w:top w:val="nil"/>
              <w:left w:val="nil"/>
              <w:bottom w:val="single" w:sz="4" w:space="0" w:color="auto"/>
              <w:right w:val="single" w:sz="4" w:space="0" w:color="auto"/>
            </w:tcBorders>
            <w:shd w:val="clear" w:color="auto" w:fill="auto"/>
            <w:noWrap/>
            <w:vAlign w:val="bottom"/>
            <w:hideMark/>
          </w:tcPr>
          <w:p w14:paraId="72AC535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2.8%</w:t>
            </w:r>
          </w:p>
        </w:tc>
        <w:tc>
          <w:tcPr>
            <w:tcW w:w="1188" w:type="dxa"/>
            <w:tcBorders>
              <w:top w:val="nil"/>
              <w:left w:val="nil"/>
              <w:bottom w:val="single" w:sz="4" w:space="0" w:color="auto"/>
              <w:right w:val="single" w:sz="4" w:space="0" w:color="auto"/>
            </w:tcBorders>
            <w:shd w:val="clear" w:color="auto" w:fill="auto"/>
            <w:noWrap/>
            <w:vAlign w:val="bottom"/>
            <w:hideMark/>
          </w:tcPr>
          <w:p w14:paraId="5807172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2.7%</w:t>
            </w:r>
          </w:p>
        </w:tc>
        <w:tc>
          <w:tcPr>
            <w:tcW w:w="1188" w:type="dxa"/>
            <w:tcBorders>
              <w:top w:val="nil"/>
              <w:left w:val="nil"/>
              <w:bottom w:val="single" w:sz="4" w:space="0" w:color="auto"/>
              <w:right w:val="single" w:sz="4" w:space="0" w:color="auto"/>
            </w:tcBorders>
            <w:shd w:val="clear" w:color="auto" w:fill="auto"/>
            <w:noWrap/>
            <w:vAlign w:val="bottom"/>
            <w:hideMark/>
          </w:tcPr>
          <w:p w14:paraId="230F7966"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3.2%</w:t>
            </w:r>
          </w:p>
        </w:tc>
        <w:tc>
          <w:tcPr>
            <w:tcW w:w="1044" w:type="dxa"/>
            <w:tcBorders>
              <w:top w:val="nil"/>
              <w:left w:val="nil"/>
              <w:bottom w:val="single" w:sz="4" w:space="0" w:color="auto"/>
              <w:right w:val="single" w:sz="4" w:space="0" w:color="auto"/>
            </w:tcBorders>
            <w:shd w:val="clear" w:color="auto" w:fill="auto"/>
            <w:noWrap/>
            <w:vAlign w:val="bottom"/>
            <w:hideMark/>
          </w:tcPr>
          <w:p w14:paraId="23B1162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2.9%</w:t>
            </w:r>
          </w:p>
        </w:tc>
      </w:tr>
      <w:tr w:rsidR="006403CC" w:rsidRPr="0043743B" w14:paraId="523A9529"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7F0BDD30"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ADMINISTRATION</w:t>
            </w:r>
          </w:p>
        </w:tc>
        <w:tc>
          <w:tcPr>
            <w:tcW w:w="1188" w:type="dxa"/>
            <w:tcBorders>
              <w:top w:val="nil"/>
              <w:left w:val="nil"/>
              <w:bottom w:val="single" w:sz="4" w:space="0" w:color="auto"/>
              <w:right w:val="single" w:sz="4" w:space="0" w:color="auto"/>
            </w:tcBorders>
            <w:shd w:val="clear" w:color="auto" w:fill="auto"/>
            <w:noWrap/>
            <w:vAlign w:val="bottom"/>
            <w:hideMark/>
          </w:tcPr>
          <w:p w14:paraId="0531666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188" w:type="dxa"/>
            <w:tcBorders>
              <w:top w:val="nil"/>
              <w:left w:val="nil"/>
              <w:bottom w:val="single" w:sz="4" w:space="0" w:color="auto"/>
              <w:right w:val="single" w:sz="4" w:space="0" w:color="auto"/>
            </w:tcBorders>
            <w:shd w:val="clear" w:color="auto" w:fill="auto"/>
            <w:noWrap/>
            <w:vAlign w:val="bottom"/>
            <w:hideMark/>
          </w:tcPr>
          <w:p w14:paraId="53329A3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188" w:type="dxa"/>
            <w:tcBorders>
              <w:top w:val="nil"/>
              <w:left w:val="nil"/>
              <w:bottom w:val="single" w:sz="4" w:space="0" w:color="auto"/>
              <w:right w:val="single" w:sz="4" w:space="0" w:color="auto"/>
            </w:tcBorders>
            <w:shd w:val="clear" w:color="auto" w:fill="auto"/>
            <w:noWrap/>
            <w:vAlign w:val="bottom"/>
            <w:hideMark/>
          </w:tcPr>
          <w:p w14:paraId="57541D08"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044" w:type="dxa"/>
            <w:tcBorders>
              <w:top w:val="nil"/>
              <w:left w:val="nil"/>
              <w:bottom w:val="single" w:sz="4" w:space="0" w:color="auto"/>
              <w:right w:val="single" w:sz="4" w:space="0" w:color="auto"/>
            </w:tcBorders>
            <w:shd w:val="clear" w:color="auto" w:fill="auto"/>
            <w:noWrap/>
            <w:vAlign w:val="bottom"/>
            <w:hideMark/>
          </w:tcPr>
          <w:p w14:paraId="50EA93F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r>
      <w:tr w:rsidR="006403CC" w:rsidRPr="0043743B" w14:paraId="4E71F0A9"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2C79357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SECTOR MANAGEMENT</w:t>
            </w:r>
          </w:p>
        </w:tc>
        <w:tc>
          <w:tcPr>
            <w:tcW w:w="1188" w:type="dxa"/>
            <w:tcBorders>
              <w:top w:val="nil"/>
              <w:left w:val="nil"/>
              <w:bottom w:val="single" w:sz="4" w:space="0" w:color="auto"/>
              <w:right w:val="single" w:sz="4" w:space="0" w:color="auto"/>
            </w:tcBorders>
            <w:shd w:val="clear" w:color="auto" w:fill="auto"/>
            <w:noWrap/>
            <w:vAlign w:val="bottom"/>
            <w:hideMark/>
          </w:tcPr>
          <w:p w14:paraId="4104DB7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5.6%</w:t>
            </w:r>
          </w:p>
        </w:tc>
        <w:tc>
          <w:tcPr>
            <w:tcW w:w="1188" w:type="dxa"/>
            <w:tcBorders>
              <w:top w:val="nil"/>
              <w:left w:val="nil"/>
              <w:bottom w:val="single" w:sz="4" w:space="0" w:color="auto"/>
              <w:right w:val="single" w:sz="4" w:space="0" w:color="auto"/>
            </w:tcBorders>
            <w:shd w:val="clear" w:color="auto" w:fill="auto"/>
            <w:noWrap/>
            <w:vAlign w:val="bottom"/>
            <w:hideMark/>
          </w:tcPr>
          <w:p w14:paraId="726437C6"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6.2%</w:t>
            </w:r>
          </w:p>
        </w:tc>
        <w:tc>
          <w:tcPr>
            <w:tcW w:w="1188" w:type="dxa"/>
            <w:tcBorders>
              <w:top w:val="nil"/>
              <w:left w:val="nil"/>
              <w:bottom w:val="single" w:sz="4" w:space="0" w:color="auto"/>
              <w:right w:val="single" w:sz="4" w:space="0" w:color="auto"/>
            </w:tcBorders>
            <w:shd w:val="clear" w:color="auto" w:fill="auto"/>
            <w:noWrap/>
            <w:vAlign w:val="bottom"/>
            <w:hideMark/>
          </w:tcPr>
          <w:p w14:paraId="09BC9514"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4.4%</w:t>
            </w:r>
          </w:p>
        </w:tc>
        <w:tc>
          <w:tcPr>
            <w:tcW w:w="1044" w:type="dxa"/>
            <w:tcBorders>
              <w:top w:val="nil"/>
              <w:left w:val="nil"/>
              <w:bottom w:val="single" w:sz="4" w:space="0" w:color="auto"/>
              <w:right w:val="single" w:sz="4" w:space="0" w:color="auto"/>
            </w:tcBorders>
            <w:shd w:val="clear" w:color="auto" w:fill="auto"/>
            <w:noWrap/>
            <w:vAlign w:val="bottom"/>
            <w:hideMark/>
          </w:tcPr>
          <w:p w14:paraId="22AFD458"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5.4%</w:t>
            </w:r>
          </w:p>
        </w:tc>
      </w:tr>
      <w:tr w:rsidR="006403CC" w:rsidRPr="0043743B" w14:paraId="1A319561"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042A622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SECURITY</w:t>
            </w:r>
          </w:p>
        </w:tc>
        <w:tc>
          <w:tcPr>
            <w:tcW w:w="1188" w:type="dxa"/>
            <w:tcBorders>
              <w:top w:val="nil"/>
              <w:left w:val="nil"/>
              <w:bottom w:val="single" w:sz="4" w:space="0" w:color="auto"/>
              <w:right w:val="single" w:sz="4" w:space="0" w:color="auto"/>
            </w:tcBorders>
            <w:shd w:val="clear" w:color="auto" w:fill="auto"/>
            <w:noWrap/>
            <w:vAlign w:val="bottom"/>
            <w:hideMark/>
          </w:tcPr>
          <w:p w14:paraId="69054FE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5.7%</w:t>
            </w:r>
          </w:p>
        </w:tc>
        <w:tc>
          <w:tcPr>
            <w:tcW w:w="1188" w:type="dxa"/>
            <w:tcBorders>
              <w:top w:val="nil"/>
              <w:left w:val="nil"/>
              <w:bottom w:val="single" w:sz="4" w:space="0" w:color="auto"/>
              <w:right w:val="single" w:sz="4" w:space="0" w:color="auto"/>
            </w:tcBorders>
            <w:shd w:val="clear" w:color="auto" w:fill="auto"/>
            <w:noWrap/>
            <w:vAlign w:val="bottom"/>
            <w:hideMark/>
          </w:tcPr>
          <w:p w14:paraId="0BD859C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6.7%</w:t>
            </w:r>
          </w:p>
        </w:tc>
        <w:tc>
          <w:tcPr>
            <w:tcW w:w="1188" w:type="dxa"/>
            <w:tcBorders>
              <w:top w:val="nil"/>
              <w:left w:val="nil"/>
              <w:bottom w:val="single" w:sz="4" w:space="0" w:color="auto"/>
              <w:right w:val="single" w:sz="4" w:space="0" w:color="auto"/>
            </w:tcBorders>
            <w:shd w:val="clear" w:color="auto" w:fill="auto"/>
            <w:noWrap/>
            <w:vAlign w:val="bottom"/>
            <w:hideMark/>
          </w:tcPr>
          <w:p w14:paraId="05F89B29"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5.0%</w:t>
            </w:r>
          </w:p>
        </w:tc>
        <w:tc>
          <w:tcPr>
            <w:tcW w:w="1044" w:type="dxa"/>
            <w:tcBorders>
              <w:top w:val="nil"/>
              <w:left w:val="nil"/>
              <w:bottom w:val="single" w:sz="4" w:space="0" w:color="auto"/>
              <w:right w:val="single" w:sz="4" w:space="0" w:color="auto"/>
            </w:tcBorders>
            <w:shd w:val="clear" w:color="auto" w:fill="auto"/>
            <w:noWrap/>
            <w:vAlign w:val="bottom"/>
            <w:hideMark/>
          </w:tcPr>
          <w:p w14:paraId="2D65170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5.8%</w:t>
            </w:r>
          </w:p>
        </w:tc>
      </w:tr>
      <w:tr w:rsidR="006403CC" w:rsidRPr="0043743B" w14:paraId="4C22185E"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7B3C6D4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SOCIAL DEVELOPMENT</w:t>
            </w:r>
          </w:p>
        </w:tc>
        <w:tc>
          <w:tcPr>
            <w:tcW w:w="1188" w:type="dxa"/>
            <w:tcBorders>
              <w:top w:val="nil"/>
              <w:left w:val="nil"/>
              <w:bottom w:val="single" w:sz="4" w:space="0" w:color="auto"/>
              <w:right w:val="single" w:sz="4" w:space="0" w:color="auto"/>
            </w:tcBorders>
            <w:shd w:val="clear" w:color="auto" w:fill="auto"/>
            <w:noWrap/>
            <w:vAlign w:val="bottom"/>
            <w:hideMark/>
          </w:tcPr>
          <w:p w14:paraId="5839EC4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0.4%</w:t>
            </w:r>
          </w:p>
        </w:tc>
        <w:tc>
          <w:tcPr>
            <w:tcW w:w="1188" w:type="dxa"/>
            <w:tcBorders>
              <w:top w:val="nil"/>
              <w:left w:val="nil"/>
              <w:bottom w:val="single" w:sz="4" w:space="0" w:color="auto"/>
              <w:right w:val="single" w:sz="4" w:space="0" w:color="auto"/>
            </w:tcBorders>
            <w:shd w:val="clear" w:color="auto" w:fill="auto"/>
            <w:noWrap/>
            <w:vAlign w:val="bottom"/>
            <w:hideMark/>
          </w:tcPr>
          <w:p w14:paraId="412945F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0.3%</w:t>
            </w:r>
          </w:p>
        </w:tc>
        <w:tc>
          <w:tcPr>
            <w:tcW w:w="1188" w:type="dxa"/>
            <w:tcBorders>
              <w:top w:val="nil"/>
              <w:left w:val="nil"/>
              <w:bottom w:val="single" w:sz="4" w:space="0" w:color="auto"/>
              <w:right w:val="single" w:sz="4" w:space="0" w:color="auto"/>
            </w:tcBorders>
            <w:shd w:val="clear" w:color="auto" w:fill="auto"/>
            <w:noWrap/>
            <w:vAlign w:val="bottom"/>
            <w:hideMark/>
          </w:tcPr>
          <w:p w14:paraId="676DF21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0.3%</w:t>
            </w:r>
          </w:p>
        </w:tc>
        <w:tc>
          <w:tcPr>
            <w:tcW w:w="1044" w:type="dxa"/>
            <w:tcBorders>
              <w:top w:val="nil"/>
              <w:left w:val="nil"/>
              <w:bottom w:val="single" w:sz="4" w:space="0" w:color="auto"/>
              <w:right w:val="single" w:sz="4" w:space="0" w:color="auto"/>
            </w:tcBorders>
            <w:shd w:val="clear" w:color="auto" w:fill="auto"/>
            <w:noWrap/>
            <w:vAlign w:val="bottom"/>
            <w:hideMark/>
          </w:tcPr>
          <w:p w14:paraId="7FED42A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0.3%</w:t>
            </w:r>
          </w:p>
        </w:tc>
      </w:tr>
      <w:tr w:rsidR="006403CC" w:rsidRPr="0043743B" w14:paraId="53492ED1"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530DADF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TOURISM, TRADE AND INDUSTRY</w:t>
            </w:r>
          </w:p>
        </w:tc>
        <w:tc>
          <w:tcPr>
            <w:tcW w:w="1188" w:type="dxa"/>
            <w:tcBorders>
              <w:top w:val="nil"/>
              <w:left w:val="nil"/>
              <w:bottom w:val="single" w:sz="4" w:space="0" w:color="auto"/>
              <w:right w:val="single" w:sz="4" w:space="0" w:color="auto"/>
            </w:tcBorders>
            <w:shd w:val="clear" w:color="auto" w:fill="auto"/>
            <w:noWrap/>
            <w:vAlign w:val="bottom"/>
            <w:hideMark/>
          </w:tcPr>
          <w:p w14:paraId="4ED85C3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0.2%</w:t>
            </w:r>
          </w:p>
        </w:tc>
        <w:tc>
          <w:tcPr>
            <w:tcW w:w="1188" w:type="dxa"/>
            <w:tcBorders>
              <w:top w:val="nil"/>
              <w:left w:val="nil"/>
              <w:bottom w:val="single" w:sz="4" w:space="0" w:color="auto"/>
              <w:right w:val="single" w:sz="4" w:space="0" w:color="auto"/>
            </w:tcBorders>
            <w:shd w:val="clear" w:color="auto" w:fill="auto"/>
            <w:noWrap/>
            <w:vAlign w:val="bottom"/>
            <w:hideMark/>
          </w:tcPr>
          <w:p w14:paraId="5D5752C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0.1%</w:t>
            </w:r>
          </w:p>
        </w:tc>
        <w:tc>
          <w:tcPr>
            <w:tcW w:w="1188" w:type="dxa"/>
            <w:tcBorders>
              <w:top w:val="nil"/>
              <w:left w:val="nil"/>
              <w:bottom w:val="single" w:sz="4" w:space="0" w:color="auto"/>
              <w:right w:val="single" w:sz="4" w:space="0" w:color="auto"/>
            </w:tcBorders>
            <w:shd w:val="clear" w:color="auto" w:fill="auto"/>
            <w:noWrap/>
            <w:vAlign w:val="bottom"/>
            <w:hideMark/>
          </w:tcPr>
          <w:p w14:paraId="7A0F3BC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0.1%</w:t>
            </w:r>
          </w:p>
        </w:tc>
        <w:tc>
          <w:tcPr>
            <w:tcW w:w="1044" w:type="dxa"/>
            <w:tcBorders>
              <w:top w:val="nil"/>
              <w:left w:val="nil"/>
              <w:bottom w:val="single" w:sz="4" w:space="0" w:color="auto"/>
              <w:right w:val="single" w:sz="4" w:space="0" w:color="auto"/>
            </w:tcBorders>
            <w:shd w:val="clear" w:color="auto" w:fill="auto"/>
            <w:noWrap/>
            <w:vAlign w:val="bottom"/>
            <w:hideMark/>
          </w:tcPr>
          <w:p w14:paraId="35748CC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0.2%</w:t>
            </w:r>
          </w:p>
        </w:tc>
      </w:tr>
      <w:tr w:rsidR="006403CC" w:rsidRPr="0043743B" w14:paraId="45A83B74"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3995EC2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WATER AND ENVIRONMENT</w:t>
            </w:r>
          </w:p>
        </w:tc>
        <w:tc>
          <w:tcPr>
            <w:tcW w:w="1188" w:type="dxa"/>
            <w:tcBorders>
              <w:top w:val="nil"/>
              <w:left w:val="nil"/>
              <w:bottom w:val="single" w:sz="4" w:space="0" w:color="auto"/>
              <w:right w:val="single" w:sz="4" w:space="0" w:color="auto"/>
            </w:tcBorders>
            <w:shd w:val="clear" w:color="auto" w:fill="auto"/>
            <w:noWrap/>
            <w:vAlign w:val="bottom"/>
            <w:hideMark/>
          </w:tcPr>
          <w:p w14:paraId="47927BE6"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8.4%</w:t>
            </w:r>
          </w:p>
        </w:tc>
        <w:tc>
          <w:tcPr>
            <w:tcW w:w="1188" w:type="dxa"/>
            <w:tcBorders>
              <w:top w:val="nil"/>
              <w:left w:val="nil"/>
              <w:bottom w:val="single" w:sz="4" w:space="0" w:color="auto"/>
              <w:right w:val="single" w:sz="4" w:space="0" w:color="auto"/>
            </w:tcBorders>
            <w:shd w:val="clear" w:color="auto" w:fill="auto"/>
            <w:noWrap/>
            <w:vAlign w:val="bottom"/>
            <w:hideMark/>
          </w:tcPr>
          <w:p w14:paraId="59A8029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6.7%</w:t>
            </w:r>
          </w:p>
        </w:tc>
        <w:tc>
          <w:tcPr>
            <w:tcW w:w="1188" w:type="dxa"/>
            <w:tcBorders>
              <w:top w:val="nil"/>
              <w:left w:val="nil"/>
              <w:bottom w:val="single" w:sz="4" w:space="0" w:color="auto"/>
              <w:right w:val="single" w:sz="4" w:space="0" w:color="auto"/>
            </w:tcBorders>
            <w:shd w:val="clear" w:color="auto" w:fill="auto"/>
            <w:noWrap/>
            <w:vAlign w:val="bottom"/>
            <w:hideMark/>
          </w:tcPr>
          <w:p w14:paraId="1D77509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8.6%</w:t>
            </w:r>
          </w:p>
        </w:tc>
        <w:tc>
          <w:tcPr>
            <w:tcW w:w="1044" w:type="dxa"/>
            <w:tcBorders>
              <w:top w:val="nil"/>
              <w:left w:val="nil"/>
              <w:bottom w:val="single" w:sz="4" w:space="0" w:color="auto"/>
              <w:right w:val="single" w:sz="4" w:space="0" w:color="auto"/>
            </w:tcBorders>
            <w:shd w:val="clear" w:color="auto" w:fill="auto"/>
            <w:noWrap/>
            <w:vAlign w:val="bottom"/>
            <w:hideMark/>
          </w:tcPr>
          <w:p w14:paraId="055C6C0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7.9%</w:t>
            </w:r>
          </w:p>
        </w:tc>
      </w:tr>
      <w:tr w:rsidR="006403CC" w:rsidRPr="0043743B" w14:paraId="125FA7C8"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61FDA9D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WORKS AND TRANSPORT</w:t>
            </w:r>
          </w:p>
        </w:tc>
        <w:tc>
          <w:tcPr>
            <w:tcW w:w="1188" w:type="dxa"/>
            <w:tcBorders>
              <w:top w:val="nil"/>
              <w:left w:val="nil"/>
              <w:bottom w:val="single" w:sz="4" w:space="0" w:color="auto"/>
              <w:right w:val="single" w:sz="4" w:space="0" w:color="auto"/>
            </w:tcBorders>
            <w:shd w:val="clear" w:color="auto" w:fill="auto"/>
            <w:noWrap/>
            <w:vAlign w:val="bottom"/>
            <w:hideMark/>
          </w:tcPr>
          <w:p w14:paraId="5B6A12CB"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9.9%</w:t>
            </w:r>
          </w:p>
        </w:tc>
        <w:tc>
          <w:tcPr>
            <w:tcW w:w="1188" w:type="dxa"/>
            <w:tcBorders>
              <w:top w:val="nil"/>
              <w:left w:val="nil"/>
              <w:bottom w:val="single" w:sz="4" w:space="0" w:color="auto"/>
              <w:right w:val="single" w:sz="4" w:space="0" w:color="auto"/>
            </w:tcBorders>
            <w:shd w:val="clear" w:color="auto" w:fill="auto"/>
            <w:noWrap/>
            <w:vAlign w:val="bottom"/>
            <w:hideMark/>
          </w:tcPr>
          <w:p w14:paraId="0F5FE69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12.1%</w:t>
            </w:r>
          </w:p>
        </w:tc>
        <w:tc>
          <w:tcPr>
            <w:tcW w:w="1188" w:type="dxa"/>
            <w:tcBorders>
              <w:top w:val="nil"/>
              <w:left w:val="nil"/>
              <w:bottom w:val="single" w:sz="4" w:space="0" w:color="auto"/>
              <w:right w:val="single" w:sz="4" w:space="0" w:color="auto"/>
            </w:tcBorders>
            <w:shd w:val="clear" w:color="auto" w:fill="auto"/>
            <w:noWrap/>
            <w:vAlign w:val="bottom"/>
            <w:hideMark/>
          </w:tcPr>
          <w:p w14:paraId="6D1DF77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20.3%</w:t>
            </w:r>
          </w:p>
        </w:tc>
        <w:tc>
          <w:tcPr>
            <w:tcW w:w="1044" w:type="dxa"/>
            <w:tcBorders>
              <w:top w:val="nil"/>
              <w:left w:val="nil"/>
              <w:bottom w:val="single" w:sz="4" w:space="0" w:color="auto"/>
              <w:right w:val="single" w:sz="4" w:space="0" w:color="auto"/>
            </w:tcBorders>
            <w:shd w:val="clear" w:color="auto" w:fill="auto"/>
            <w:noWrap/>
            <w:vAlign w:val="bottom"/>
            <w:hideMark/>
          </w:tcPr>
          <w:p w14:paraId="31AB441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14.1%</w:t>
            </w:r>
          </w:p>
        </w:tc>
      </w:tr>
      <w:tr w:rsidR="006403CC" w:rsidRPr="0043743B" w14:paraId="074590D7" w14:textId="77777777" w:rsidTr="00773884">
        <w:trPr>
          <w:trHeight w:val="296"/>
        </w:trPr>
        <w:tc>
          <w:tcPr>
            <w:tcW w:w="4752" w:type="dxa"/>
            <w:tcBorders>
              <w:top w:val="nil"/>
              <w:left w:val="single" w:sz="4" w:space="0" w:color="auto"/>
              <w:bottom w:val="single" w:sz="4" w:space="0" w:color="auto"/>
              <w:right w:val="single" w:sz="4" w:space="0" w:color="auto"/>
            </w:tcBorders>
            <w:shd w:val="clear" w:color="auto" w:fill="auto"/>
            <w:noWrap/>
            <w:vAlign w:val="bottom"/>
            <w:hideMark/>
          </w:tcPr>
          <w:p w14:paraId="7AB46870"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OTHER (OFF-BUDGET)</w:t>
            </w:r>
          </w:p>
        </w:tc>
        <w:tc>
          <w:tcPr>
            <w:tcW w:w="1188" w:type="dxa"/>
            <w:tcBorders>
              <w:top w:val="nil"/>
              <w:left w:val="nil"/>
              <w:bottom w:val="single" w:sz="4" w:space="0" w:color="auto"/>
              <w:right w:val="single" w:sz="4" w:space="0" w:color="auto"/>
            </w:tcBorders>
            <w:shd w:val="clear" w:color="auto" w:fill="auto"/>
            <w:noWrap/>
            <w:vAlign w:val="bottom"/>
            <w:hideMark/>
          </w:tcPr>
          <w:p w14:paraId="7617872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188" w:type="dxa"/>
            <w:tcBorders>
              <w:top w:val="nil"/>
              <w:left w:val="nil"/>
              <w:bottom w:val="single" w:sz="4" w:space="0" w:color="auto"/>
              <w:right w:val="single" w:sz="4" w:space="0" w:color="auto"/>
            </w:tcBorders>
            <w:shd w:val="clear" w:color="auto" w:fill="auto"/>
            <w:noWrap/>
            <w:vAlign w:val="bottom"/>
            <w:hideMark/>
          </w:tcPr>
          <w:p w14:paraId="7FA89D6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188" w:type="dxa"/>
            <w:tcBorders>
              <w:top w:val="nil"/>
              <w:left w:val="nil"/>
              <w:bottom w:val="single" w:sz="4" w:space="0" w:color="auto"/>
              <w:right w:val="single" w:sz="4" w:space="0" w:color="auto"/>
            </w:tcBorders>
            <w:shd w:val="clear" w:color="auto" w:fill="auto"/>
            <w:noWrap/>
            <w:vAlign w:val="bottom"/>
            <w:hideMark/>
          </w:tcPr>
          <w:p w14:paraId="02AABE0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044" w:type="dxa"/>
            <w:tcBorders>
              <w:top w:val="nil"/>
              <w:left w:val="nil"/>
              <w:bottom w:val="single" w:sz="4" w:space="0" w:color="auto"/>
              <w:right w:val="single" w:sz="4" w:space="0" w:color="auto"/>
            </w:tcBorders>
            <w:shd w:val="clear" w:color="auto" w:fill="auto"/>
            <w:noWrap/>
            <w:vAlign w:val="bottom"/>
            <w:hideMark/>
          </w:tcPr>
          <w:p w14:paraId="6B49BF8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r>
    </w:tbl>
    <w:p w14:paraId="7EF657A7"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258C9D14" w14:textId="169D0066" w:rsidR="006403CC" w:rsidRPr="00773884" w:rsidRDefault="003666C5" w:rsidP="003666C5">
      <w:pPr>
        <w:spacing w:before="120" w:after="120" w:line="240" w:lineRule="auto"/>
        <w:rPr>
          <w:rFonts w:ascii="Times New Roman" w:eastAsia="Arial Unicode MS" w:hAnsi="Times New Roman"/>
          <w:b/>
          <w:bCs/>
          <w:color w:val="000000"/>
        </w:rPr>
      </w:pPr>
      <w:bookmarkStart w:id="143" w:name="_Toc3505105"/>
      <w:r w:rsidRPr="00773884">
        <w:rPr>
          <w:rFonts w:ascii="Times New Roman" w:hAnsi="Times New Roman"/>
        </w:rPr>
        <w:t xml:space="preserve">Table </w:t>
      </w:r>
      <w:r w:rsidRPr="00773884">
        <w:rPr>
          <w:rFonts w:ascii="Times New Roman" w:hAnsi="Times New Roman"/>
        </w:rPr>
        <w:fldChar w:fldCharType="begin"/>
      </w:r>
      <w:r w:rsidRPr="00773884">
        <w:rPr>
          <w:rFonts w:ascii="Times New Roman" w:hAnsi="Times New Roman"/>
        </w:rPr>
        <w:instrText xml:space="preserve"> SEQ Table \* ARABIC </w:instrText>
      </w:r>
      <w:r w:rsidRPr="00773884">
        <w:rPr>
          <w:rFonts w:ascii="Times New Roman" w:hAnsi="Times New Roman"/>
        </w:rPr>
        <w:fldChar w:fldCharType="separate"/>
      </w:r>
      <w:r w:rsidR="006F31B1">
        <w:rPr>
          <w:rFonts w:ascii="Times New Roman" w:hAnsi="Times New Roman"/>
          <w:noProof/>
        </w:rPr>
        <w:t>8</w:t>
      </w:r>
      <w:r w:rsidRPr="00773884">
        <w:rPr>
          <w:rFonts w:ascii="Times New Roman" w:hAnsi="Times New Roman"/>
        </w:rPr>
        <w:fldChar w:fldCharType="end"/>
      </w:r>
      <w:r w:rsidRPr="00773884">
        <w:rPr>
          <w:rFonts w:ascii="Times New Roman" w:hAnsi="Times New Roman"/>
        </w:rPr>
        <w:t xml:space="preserve">: </w:t>
      </w:r>
      <w:r w:rsidR="006403CC" w:rsidRPr="00773884">
        <w:rPr>
          <w:rFonts w:ascii="Times New Roman" w:eastAsia="Arial Unicode MS" w:hAnsi="Times New Roman"/>
          <w:b/>
          <w:bCs/>
          <w:color w:val="000000"/>
        </w:rPr>
        <w:t xml:space="preserve"> Total Allocation of Development Assistance MTEF by sector (USD m)</w:t>
      </w:r>
      <w:bookmarkEnd w:id="143"/>
    </w:p>
    <w:tbl>
      <w:tblPr>
        <w:tblW w:w="9316" w:type="dxa"/>
        <w:tblInd w:w="-5" w:type="dxa"/>
        <w:tblLook w:val="04A0" w:firstRow="1" w:lastRow="0" w:firstColumn="1" w:lastColumn="0" w:noHBand="0" w:noVBand="1"/>
      </w:tblPr>
      <w:tblGrid>
        <w:gridCol w:w="5365"/>
        <w:gridCol w:w="1317"/>
        <w:gridCol w:w="1317"/>
        <w:gridCol w:w="1317"/>
      </w:tblGrid>
      <w:tr w:rsidR="006403CC" w:rsidRPr="0043743B" w14:paraId="3DFCDFE9" w14:textId="77777777" w:rsidTr="00773884">
        <w:trPr>
          <w:trHeight w:val="286"/>
        </w:trPr>
        <w:tc>
          <w:tcPr>
            <w:tcW w:w="5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2DCDD"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Primary Sector</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378FC089"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2015/16</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20DA0EBB"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2016/17</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6873CFEF"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2017/18</w:t>
            </w:r>
          </w:p>
        </w:tc>
      </w:tr>
      <w:tr w:rsidR="006403CC" w:rsidRPr="0043743B" w14:paraId="42C5DA95"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2926D08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ACCOUNTABILITY</w:t>
            </w:r>
          </w:p>
        </w:tc>
        <w:tc>
          <w:tcPr>
            <w:tcW w:w="1317" w:type="dxa"/>
            <w:tcBorders>
              <w:top w:val="nil"/>
              <w:left w:val="nil"/>
              <w:bottom w:val="single" w:sz="4" w:space="0" w:color="auto"/>
              <w:right w:val="single" w:sz="4" w:space="0" w:color="auto"/>
            </w:tcBorders>
            <w:shd w:val="clear" w:color="auto" w:fill="auto"/>
            <w:noWrap/>
            <w:vAlign w:val="bottom"/>
            <w:hideMark/>
          </w:tcPr>
          <w:p w14:paraId="511B821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24.76 </w:t>
            </w:r>
          </w:p>
        </w:tc>
        <w:tc>
          <w:tcPr>
            <w:tcW w:w="1317" w:type="dxa"/>
            <w:tcBorders>
              <w:top w:val="nil"/>
              <w:left w:val="nil"/>
              <w:bottom w:val="single" w:sz="4" w:space="0" w:color="auto"/>
              <w:right w:val="single" w:sz="4" w:space="0" w:color="auto"/>
            </w:tcBorders>
            <w:shd w:val="clear" w:color="auto" w:fill="auto"/>
            <w:noWrap/>
            <w:vAlign w:val="bottom"/>
            <w:hideMark/>
          </w:tcPr>
          <w:p w14:paraId="2759C60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33.54 </w:t>
            </w:r>
          </w:p>
        </w:tc>
        <w:tc>
          <w:tcPr>
            <w:tcW w:w="1317" w:type="dxa"/>
            <w:tcBorders>
              <w:top w:val="nil"/>
              <w:left w:val="nil"/>
              <w:bottom w:val="single" w:sz="4" w:space="0" w:color="auto"/>
              <w:right w:val="single" w:sz="4" w:space="0" w:color="auto"/>
            </w:tcBorders>
            <w:shd w:val="clear" w:color="auto" w:fill="auto"/>
            <w:noWrap/>
            <w:vAlign w:val="bottom"/>
            <w:hideMark/>
          </w:tcPr>
          <w:p w14:paraId="3A0DE98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32.64 </w:t>
            </w:r>
          </w:p>
        </w:tc>
      </w:tr>
      <w:tr w:rsidR="006403CC" w:rsidRPr="0043743B" w14:paraId="0AB701C0"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3B5F527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AGRICULTURE</w:t>
            </w:r>
          </w:p>
        </w:tc>
        <w:tc>
          <w:tcPr>
            <w:tcW w:w="1317" w:type="dxa"/>
            <w:tcBorders>
              <w:top w:val="nil"/>
              <w:left w:val="nil"/>
              <w:bottom w:val="single" w:sz="4" w:space="0" w:color="auto"/>
              <w:right w:val="single" w:sz="4" w:space="0" w:color="auto"/>
            </w:tcBorders>
            <w:shd w:val="clear" w:color="auto" w:fill="auto"/>
            <w:noWrap/>
            <w:vAlign w:val="bottom"/>
            <w:hideMark/>
          </w:tcPr>
          <w:p w14:paraId="52EC160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21.12 </w:t>
            </w:r>
          </w:p>
        </w:tc>
        <w:tc>
          <w:tcPr>
            <w:tcW w:w="1317" w:type="dxa"/>
            <w:tcBorders>
              <w:top w:val="nil"/>
              <w:left w:val="nil"/>
              <w:bottom w:val="single" w:sz="4" w:space="0" w:color="auto"/>
              <w:right w:val="single" w:sz="4" w:space="0" w:color="auto"/>
            </w:tcBorders>
            <w:shd w:val="clear" w:color="auto" w:fill="auto"/>
            <w:noWrap/>
            <w:vAlign w:val="bottom"/>
            <w:hideMark/>
          </w:tcPr>
          <w:p w14:paraId="46168A4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57.37 </w:t>
            </w:r>
          </w:p>
        </w:tc>
        <w:tc>
          <w:tcPr>
            <w:tcW w:w="1317" w:type="dxa"/>
            <w:tcBorders>
              <w:top w:val="nil"/>
              <w:left w:val="nil"/>
              <w:bottom w:val="single" w:sz="4" w:space="0" w:color="auto"/>
              <w:right w:val="single" w:sz="4" w:space="0" w:color="auto"/>
            </w:tcBorders>
            <w:shd w:val="clear" w:color="auto" w:fill="auto"/>
            <w:noWrap/>
            <w:vAlign w:val="bottom"/>
            <w:hideMark/>
          </w:tcPr>
          <w:p w14:paraId="69C376F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53.86 </w:t>
            </w:r>
          </w:p>
        </w:tc>
      </w:tr>
      <w:tr w:rsidR="006403CC" w:rsidRPr="0043743B" w14:paraId="67C7AB32"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29CAE27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BUDGET SUPPORT</w:t>
            </w:r>
          </w:p>
        </w:tc>
        <w:tc>
          <w:tcPr>
            <w:tcW w:w="1317" w:type="dxa"/>
            <w:tcBorders>
              <w:top w:val="nil"/>
              <w:left w:val="nil"/>
              <w:bottom w:val="single" w:sz="4" w:space="0" w:color="auto"/>
              <w:right w:val="single" w:sz="4" w:space="0" w:color="auto"/>
            </w:tcBorders>
            <w:shd w:val="clear" w:color="auto" w:fill="auto"/>
            <w:noWrap/>
            <w:vAlign w:val="bottom"/>
            <w:hideMark/>
          </w:tcPr>
          <w:p w14:paraId="675DCBA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35.59 </w:t>
            </w:r>
          </w:p>
        </w:tc>
        <w:tc>
          <w:tcPr>
            <w:tcW w:w="1317" w:type="dxa"/>
            <w:tcBorders>
              <w:top w:val="nil"/>
              <w:left w:val="nil"/>
              <w:bottom w:val="single" w:sz="4" w:space="0" w:color="auto"/>
              <w:right w:val="single" w:sz="4" w:space="0" w:color="auto"/>
            </w:tcBorders>
            <w:shd w:val="clear" w:color="auto" w:fill="auto"/>
            <w:noWrap/>
            <w:vAlign w:val="bottom"/>
            <w:hideMark/>
          </w:tcPr>
          <w:p w14:paraId="145AFE9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169.03 </w:t>
            </w:r>
          </w:p>
        </w:tc>
        <w:tc>
          <w:tcPr>
            <w:tcW w:w="1317" w:type="dxa"/>
            <w:tcBorders>
              <w:top w:val="nil"/>
              <w:left w:val="nil"/>
              <w:bottom w:val="single" w:sz="4" w:space="0" w:color="auto"/>
              <w:right w:val="single" w:sz="4" w:space="0" w:color="auto"/>
            </w:tcBorders>
            <w:shd w:val="clear" w:color="auto" w:fill="auto"/>
            <w:noWrap/>
            <w:vAlign w:val="bottom"/>
            <w:hideMark/>
          </w:tcPr>
          <w:p w14:paraId="01E5CBC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47.95 </w:t>
            </w:r>
          </w:p>
        </w:tc>
      </w:tr>
      <w:tr w:rsidR="006403CC" w:rsidRPr="0043743B" w14:paraId="071A0881"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71FF7A73"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EDUCATION</w:t>
            </w:r>
          </w:p>
        </w:tc>
        <w:tc>
          <w:tcPr>
            <w:tcW w:w="1317" w:type="dxa"/>
            <w:tcBorders>
              <w:top w:val="nil"/>
              <w:left w:val="nil"/>
              <w:bottom w:val="single" w:sz="4" w:space="0" w:color="auto"/>
              <w:right w:val="single" w:sz="4" w:space="0" w:color="auto"/>
            </w:tcBorders>
            <w:shd w:val="clear" w:color="auto" w:fill="auto"/>
            <w:noWrap/>
            <w:vAlign w:val="bottom"/>
            <w:hideMark/>
          </w:tcPr>
          <w:p w14:paraId="7109841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68.22 </w:t>
            </w:r>
          </w:p>
        </w:tc>
        <w:tc>
          <w:tcPr>
            <w:tcW w:w="1317" w:type="dxa"/>
            <w:tcBorders>
              <w:top w:val="nil"/>
              <w:left w:val="nil"/>
              <w:bottom w:val="single" w:sz="4" w:space="0" w:color="auto"/>
              <w:right w:val="single" w:sz="4" w:space="0" w:color="auto"/>
            </w:tcBorders>
            <w:shd w:val="clear" w:color="auto" w:fill="auto"/>
            <w:noWrap/>
            <w:vAlign w:val="bottom"/>
            <w:hideMark/>
          </w:tcPr>
          <w:p w14:paraId="151D390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62.85 </w:t>
            </w:r>
          </w:p>
        </w:tc>
        <w:tc>
          <w:tcPr>
            <w:tcW w:w="1317" w:type="dxa"/>
            <w:tcBorders>
              <w:top w:val="nil"/>
              <w:left w:val="nil"/>
              <w:bottom w:val="single" w:sz="4" w:space="0" w:color="auto"/>
              <w:right w:val="single" w:sz="4" w:space="0" w:color="auto"/>
            </w:tcBorders>
            <w:shd w:val="clear" w:color="auto" w:fill="auto"/>
            <w:noWrap/>
            <w:vAlign w:val="bottom"/>
            <w:hideMark/>
          </w:tcPr>
          <w:p w14:paraId="1D209C5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58.01 </w:t>
            </w:r>
          </w:p>
        </w:tc>
      </w:tr>
      <w:tr w:rsidR="006403CC" w:rsidRPr="0043743B" w14:paraId="0C5CA6EB"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0CC4E30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ENERGY AND MINERAL DEVELOPMENT</w:t>
            </w:r>
          </w:p>
        </w:tc>
        <w:tc>
          <w:tcPr>
            <w:tcW w:w="1317" w:type="dxa"/>
            <w:tcBorders>
              <w:top w:val="nil"/>
              <w:left w:val="nil"/>
              <w:bottom w:val="single" w:sz="4" w:space="0" w:color="auto"/>
              <w:right w:val="single" w:sz="4" w:space="0" w:color="auto"/>
            </w:tcBorders>
            <w:shd w:val="clear" w:color="auto" w:fill="auto"/>
            <w:noWrap/>
            <w:vAlign w:val="bottom"/>
            <w:hideMark/>
          </w:tcPr>
          <w:p w14:paraId="7845624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555.26 </w:t>
            </w:r>
          </w:p>
        </w:tc>
        <w:tc>
          <w:tcPr>
            <w:tcW w:w="1317" w:type="dxa"/>
            <w:tcBorders>
              <w:top w:val="nil"/>
              <w:left w:val="nil"/>
              <w:bottom w:val="single" w:sz="4" w:space="0" w:color="auto"/>
              <w:right w:val="single" w:sz="4" w:space="0" w:color="auto"/>
            </w:tcBorders>
            <w:shd w:val="clear" w:color="auto" w:fill="auto"/>
            <w:noWrap/>
            <w:vAlign w:val="bottom"/>
            <w:hideMark/>
          </w:tcPr>
          <w:p w14:paraId="18D8DBA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304.92 </w:t>
            </w:r>
          </w:p>
        </w:tc>
        <w:tc>
          <w:tcPr>
            <w:tcW w:w="1317" w:type="dxa"/>
            <w:tcBorders>
              <w:top w:val="nil"/>
              <w:left w:val="nil"/>
              <w:bottom w:val="single" w:sz="4" w:space="0" w:color="auto"/>
              <w:right w:val="single" w:sz="4" w:space="0" w:color="auto"/>
            </w:tcBorders>
            <w:shd w:val="clear" w:color="auto" w:fill="auto"/>
            <w:noWrap/>
            <w:vAlign w:val="bottom"/>
            <w:hideMark/>
          </w:tcPr>
          <w:p w14:paraId="526F214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479.13 </w:t>
            </w:r>
          </w:p>
        </w:tc>
      </w:tr>
      <w:tr w:rsidR="006403CC" w:rsidRPr="0043743B" w14:paraId="5938EAB0"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597C3E1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HEALTH</w:t>
            </w:r>
          </w:p>
        </w:tc>
        <w:tc>
          <w:tcPr>
            <w:tcW w:w="1317" w:type="dxa"/>
            <w:tcBorders>
              <w:top w:val="nil"/>
              <w:left w:val="nil"/>
              <w:bottom w:val="single" w:sz="4" w:space="0" w:color="auto"/>
              <w:right w:val="single" w:sz="4" w:space="0" w:color="auto"/>
            </w:tcBorders>
            <w:shd w:val="clear" w:color="auto" w:fill="auto"/>
            <w:noWrap/>
            <w:vAlign w:val="bottom"/>
            <w:hideMark/>
          </w:tcPr>
          <w:p w14:paraId="0E66E57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79.28 </w:t>
            </w:r>
          </w:p>
        </w:tc>
        <w:tc>
          <w:tcPr>
            <w:tcW w:w="1317" w:type="dxa"/>
            <w:tcBorders>
              <w:top w:val="nil"/>
              <w:left w:val="nil"/>
              <w:bottom w:val="single" w:sz="4" w:space="0" w:color="auto"/>
              <w:right w:val="single" w:sz="4" w:space="0" w:color="auto"/>
            </w:tcBorders>
            <w:shd w:val="clear" w:color="auto" w:fill="auto"/>
            <w:noWrap/>
            <w:vAlign w:val="bottom"/>
            <w:hideMark/>
          </w:tcPr>
          <w:p w14:paraId="1C7D589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56.89 </w:t>
            </w:r>
          </w:p>
        </w:tc>
        <w:tc>
          <w:tcPr>
            <w:tcW w:w="1317" w:type="dxa"/>
            <w:tcBorders>
              <w:top w:val="nil"/>
              <w:left w:val="nil"/>
              <w:bottom w:val="single" w:sz="4" w:space="0" w:color="auto"/>
              <w:right w:val="single" w:sz="4" w:space="0" w:color="auto"/>
            </w:tcBorders>
            <w:shd w:val="clear" w:color="auto" w:fill="auto"/>
            <w:noWrap/>
            <w:vAlign w:val="bottom"/>
            <w:hideMark/>
          </w:tcPr>
          <w:p w14:paraId="0FBCCE0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48.49 </w:t>
            </w:r>
          </w:p>
        </w:tc>
      </w:tr>
      <w:tr w:rsidR="006403CC" w:rsidRPr="0043743B" w14:paraId="42FD21AC"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77903D5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ICT AND NATIONAL GUIDANCE</w:t>
            </w:r>
          </w:p>
        </w:tc>
        <w:tc>
          <w:tcPr>
            <w:tcW w:w="1317" w:type="dxa"/>
            <w:tcBorders>
              <w:top w:val="nil"/>
              <w:left w:val="nil"/>
              <w:bottom w:val="single" w:sz="4" w:space="0" w:color="auto"/>
              <w:right w:val="single" w:sz="4" w:space="0" w:color="auto"/>
            </w:tcBorders>
            <w:shd w:val="clear" w:color="auto" w:fill="auto"/>
            <w:noWrap/>
            <w:vAlign w:val="bottom"/>
            <w:hideMark/>
          </w:tcPr>
          <w:p w14:paraId="738E703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4.62 </w:t>
            </w:r>
          </w:p>
        </w:tc>
        <w:tc>
          <w:tcPr>
            <w:tcW w:w="1317" w:type="dxa"/>
            <w:tcBorders>
              <w:top w:val="nil"/>
              <w:left w:val="nil"/>
              <w:bottom w:val="single" w:sz="4" w:space="0" w:color="auto"/>
              <w:right w:val="single" w:sz="4" w:space="0" w:color="auto"/>
            </w:tcBorders>
            <w:shd w:val="clear" w:color="auto" w:fill="auto"/>
            <w:noWrap/>
            <w:vAlign w:val="bottom"/>
            <w:hideMark/>
          </w:tcPr>
          <w:p w14:paraId="3A7516E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28.96 </w:t>
            </w:r>
          </w:p>
        </w:tc>
        <w:tc>
          <w:tcPr>
            <w:tcW w:w="1317" w:type="dxa"/>
            <w:tcBorders>
              <w:top w:val="nil"/>
              <w:left w:val="nil"/>
              <w:bottom w:val="single" w:sz="4" w:space="0" w:color="auto"/>
              <w:right w:val="single" w:sz="4" w:space="0" w:color="auto"/>
            </w:tcBorders>
            <w:shd w:val="clear" w:color="auto" w:fill="auto"/>
            <w:noWrap/>
            <w:vAlign w:val="bottom"/>
            <w:hideMark/>
          </w:tcPr>
          <w:p w14:paraId="38FC52B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6.36 </w:t>
            </w:r>
          </w:p>
        </w:tc>
      </w:tr>
      <w:tr w:rsidR="006403CC" w:rsidRPr="0043743B" w14:paraId="2002DFE8"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0401A75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JUSTICE LAW AND ORDER</w:t>
            </w:r>
          </w:p>
        </w:tc>
        <w:tc>
          <w:tcPr>
            <w:tcW w:w="1317" w:type="dxa"/>
            <w:tcBorders>
              <w:top w:val="nil"/>
              <w:left w:val="nil"/>
              <w:bottom w:val="single" w:sz="4" w:space="0" w:color="auto"/>
              <w:right w:val="single" w:sz="4" w:space="0" w:color="auto"/>
            </w:tcBorders>
            <w:shd w:val="clear" w:color="auto" w:fill="auto"/>
            <w:noWrap/>
            <w:vAlign w:val="bottom"/>
            <w:hideMark/>
          </w:tcPr>
          <w:p w14:paraId="4E7E797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0.04 </w:t>
            </w:r>
          </w:p>
        </w:tc>
        <w:tc>
          <w:tcPr>
            <w:tcW w:w="1317" w:type="dxa"/>
            <w:tcBorders>
              <w:top w:val="nil"/>
              <w:left w:val="nil"/>
              <w:bottom w:val="single" w:sz="4" w:space="0" w:color="auto"/>
              <w:right w:val="single" w:sz="4" w:space="0" w:color="auto"/>
            </w:tcBorders>
            <w:shd w:val="clear" w:color="auto" w:fill="auto"/>
            <w:noWrap/>
            <w:vAlign w:val="bottom"/>
            <w:hideMark/>
          </w:tcPr>
          <w:p w14:paraId="6507C76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1317" w:type="dxa"/>
            <w:tcBorders>
              <w:top w:val="nil"/>
              <w:left w:val="nil"/>
              <w:bottom w:val="single" w:sz="4" w:space="0" w:color="auto"/>
              <w:right w:val="single" w:sz="4" w:space="0" w:color="auto"/>
            </w:tcBorders>
            <w:shd w:val="clear" w:color="auto" w:fill="auto"/>
            <w:noWrap/>
            <w:vAlign w:val="bottom"/>
            <w:hideMark/>
          </w:tcPr>
          <w:p w14:paraId="7679216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r>
      <w:tr w:rsidR="006403CC" w:rsidRPr="0043743B" w14:paraId="1FD04D48"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2954946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LANDS, HOUSING AND URBAN DEVELOPMENT</w:t>
            </w:r>
          </w:p>
        </w:tc>
        <w:tc>
          <w:tcPr>
            <w:tcW w:w="1317" w:type="dxa"/>
            <w:tcBorders>
              <w:top w:val="nil"/>
              <w:left w:val="nil"/>
              <w:bottom w:val="single" w:sz="4" w:space="0" w:color="auto"/>
              <w:right w:val="single" w:sz="4" w:space="0" w:color="auto"/>
            </w:tcBorders>
            <w:shd w:val="clear" w:color="auto" w:fill="auto"/>
            <w:noWrap/>
            <w:vAlign w:val="bottom"/>
            <w:hideMark/>
          </w:tcPr>
          <w:p w14:paraId="2CCD49E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43.87 </w:t>
            </w:r>
          </w:p>
        </w:tc>
        <w:tc>
          <w:tcPr>
            <w:tcW w:w="1317" w:type="dxa"/>
            <w:tcBorders>
              <w:top w:val="nil"/>
              <w:left w:val="nil"/>
              <w:bottom w:val="single" w:sz="4" w:space="0" w:color="auto"/>
              <w:right w:val="single" w:sz="4" w:space="0" w:color="auto"/>
            </w:tcBorders>
            <w:shd w:val="clear" w:color="auto" w:fill="auto"/>
            <w:noWrap/>
            <w:vAlign w:val="bottom"/>
            <w:hideMark/>
          </w:tcPr>
          <w:p w14:paraId="5A999FC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40.10 </w:t>
            </w:r>
          </w:p>
        </w:tc>
        <w:tc>
          <w:tcPr>
            <w:tcW w:w="1317" w:type="dxa"/>
            <w:tcBorders>
              <w:top w:val="nil"/>
              <w:left w:val="nil"/>
              <w:bottom w:val="single" w:sz="4" w:space="0" w:color="auto"/>
              <w:right w:val="single" w:sz="4" w:space="0" w:color="auto"/>
            </w:tcBorders>
            <w:shd w:val="clear" w:color="auto" w:fill="auto"/>
            <w:noWrap/>
            <w:vAlign w:val="bottom"/>
            <w:hideMark/>
          </w:tcPr>
          <w:p w14:paraId="529456B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53.81 </w:t>
            </w:r>
          </w:p>
        </w:tc>
      </w:tr>
      <w:tr w:rsidR="006403CC" w:rsidRPr="0043743B" w14:paraId="76BA9FFD"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1531749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ADMINISTRATION</w:t>
            </w:r>
          </w:p>
        </w:tc>
        <w:tc>
          <w:tcPr>
            <w:tcW w:w="1317" w:type="dxa"/>
            <w:tcBorders>
              <w:top w:val="nil"/>
              <w:left w:val="nil"/>
              <w:bottom w:val="single" w:sz="4" w:space="0" w:color="auto"/>
              <w:right w:val="single" w:sz="4" w:space="0" w:color="auto"/>
            </w:tcBorders>
            <w:shd w:val="clear" w:color="auto" w:fill="auto"/>
            <w:noWrap/>
            <w:vAlign w:val="bottom"/>
            <w:hideMark/>
          </w:tcPr>
          <w:p w14:paraId="25535A0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1317" w:type="dxa"/>
            <w:tcBorders>
              <w:top w:val="nil"/>
              <w:left w:val="nil"/>
              <w:bottom w:val="single" w:sz="4" w:space="0" w:color="auto"/>
              <w:right w:val="single" w:sz="4" w:space="0" w:color="auto"/>
            </w:tcBorders>
            <w:shd w:val="clear" w:color="auto" w:fill="auto"/>
            <w:noWrap/>
            <w:vAlign w:val="bottom"/>
            <w:hideMark/>
          </w:tcPr>
          <w:p w14:paraId="09B1210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1317" w:type="dxa"/>
            <w:tcBorders>
              <w:top w:val="nil"/>
              <w:left w:val="nil"/>
              <w:bottom w:val="single" w:sz="4" w:space="0" w:color="auto"/>
              <w:right w:val="single" w:sz="4" w:space="0" w:color="auto"/>
            </w:tcBorders>
            <w:shd w:val="clear" w:color="auto" w:fill="auto"/>
            <w:noWrap/>
            <w:vAlign w:val="bottom"/>
            <w:hideMark/>
          </w:tcPr>
          <w:p w14:paraId="6B4CA74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r>
      <w:tr w:rsidR="006403CC" w:rsidRPr="0043743B" w14:paraId="338F9B09"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7098B28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SECTOR MANAGEMENT</w:t>
            </w:r>
          </w:p>
        </w:tc>
        <w:tc>
          <w:tcPr>
            <w:tcW w:w="1317" w:type="dxa"/>
            <w:tcBorders>
              <w:top w:val="nil"/>
              <w:left w:val="nil"/>
              <w:bottom w:val="single" w:sz="4" w:space="0" w:color="auto"/>
              <w:right w:val="single" w:sz="4" w:space="0" w:color="auto"/>
            </w:tcBorders>
            <w:shd w:val="clear" w:color="auto" w:fill="auto"/>
            <w:noWrap/>
            <w:vAlign w:val="bottom"/>
            <w:hideMark/>
          </w:tcPr>
          <w:p w14:paraId="2D04F9F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81.35 </w:t>
            </w:r>
          </w:p>
        </w:tc>
        <w:tc>
          <w:tcPr>
            <w:tcW w:w="1317" w:type="dxa"/>
            <w:tcBorders>
              <w:top w:val="nil"/>
              <w:left w:val="nil"/>
              <w:bottom w:val="single" w:sz="4" w:space="0" w:color="auto"/>
              <w:right w:val="single" w:sz="4" w:space="0" w:color="auto"/>
            </w:tcBorders>
            <w:shd w:val="clear" w:color="auto" w:fill="auto"/>
            <w:noWrap/>
            <w:vAlign w:val="bottom"/>
            <w:hideMark/>
          </w:tcPr>
          <w:p w14:paraId="32F689B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86.14 </w:t>
            </w:r>
          </w:p>
        </w:tc>
        <w:tc>
          <w:tcPr>
            <w:tcW w:w="1317" w:type="dxa"/>
            <w:tcBorders>
              <w:top w:val="nil"/>
              <w:left w:val="nil"/>
              <w:bottom w:val="single" w:sz="4" w:space="0" w:color="auto"/>
              <w:right w:val="single" w:sz="4" w:space="0" w:color="auto"/>
            </w:tcBorders>
            <w:shd w:val="clear" w:color="auto" w:fill="auto"/>
            <w:noWrap/>
            <w:vAlign w:val="bottom"/>
            <w:hideMark/>
          </w:tcPr>
          <w:p w14:paraId="370E1D8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68.56 </w:t>
            </w:r>
          </w:p>
        </w:tc>
      </w:tr>
      <w:tr w:rsidR="006403CC" w:rsidRPr="0043743B" w14:paraId="03B128CA"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273B7DB1"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SECURITY</w:t>
            </w:r>
          </w:p>
        </w:tc>
        <w:tc>
          <w:tcPr>
            <w:tcW w:w="1317" w:type="dxa"/>
            <w:tcBorders>
              <w:top w:val="nil"/>
              <w:left w:val="nil"/>
              <w:bottom w:val="single" w:sz="4" w:space="0" w:color="auto"/>
              <w:right w:val="single" w:sz="4" w:space="0" w:color="auto"/>
            </w:tcBorders>
            <w:shd w:val="clear" w:color="auto" w:fill="auto"/>
            <w:noWrap/>
            <w:vAlign w:val="bottom"/>
            <w:hideMark/>
          </w:tcPr>
          <w:p w14:paraId="3051A57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87.44 </w:t>
            </w:r>
          </w:p>
        </w:tc>
        <w:tc>
          <w:tcPr>
            <w:tcW w:w="1317" w:type="dxa"/>
            <w:tcBorders>
              <w:top w:val="nil"/>
              <w:left w:val="nil"/>
              <w:bottom w:val="single" w:sz="4" w:space="0" w:color="auto"/>
              <w:right w:val="single" w:sz="4" w:space="0" w:color="auto"/>
            </w:tcBorders>
            <w:shd w:val="clear" w:color="auto" w:fill="auto"/>
            <w:noWrap/>
            <w:vAlign w:val="bottom"/>
            <w:hideMark/>
          </w:tcPr>
          <w:p w14:paraId="4745F94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98.13 </w:t>
            </w:r>
          </w:p>
        </w:tc>
        <w:tc>
          <w:tcPr>
            <w:tcW w:w="1317" w:type="dxa"/>
            <w:tcBorders>
              <w:top w:val="nil"/>
              <w:left w:val="nil"/>
              <w:bottom w:val="single" w:sz="4" w:space="0" w:color="auto"/>
              <w:right w:val="single" w:sz="4" w:space="0" w:color="auto"/>
            </w:tcBorders>
            <w:shd w:val="clear" w:color="auto" w:fill="auto"/>
            <w:noWrap/>
            <w:vAlign w:val="bottom"/>
            <w:hideMark/>
          </w:tcPr>
          <w:p w14:paraId="627A2A2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82.86 </w:t>
            </w:r>
          </w:p>
        </w:tc>
      </w:tr>
      <w:tr w:rsidR="006403CC" w:rsidRPr="0043743B" w14:paraId="4FF95C4C"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3E768D7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SOCIAL DEVELOPMENT</w:t>
            </w:r>
          </w:p>
        </w:tc>
        <w:tc>
          <w:tcPr>
            <w:tcW w:w="1317" w:type="dxa"/>
            <w:tcBorders>
              <w:top w:val="nil"/>
              <w:left w:val="nil"/>
              <w:bottom w:val="single" w:sz="4" w:space="0" w:color="auto"/>
              <w:right w:val="single" w:sz="4" w:space="0" w:color="auto"/>
            </w:tcBorders>
            <w:shd w:val="clear" w:color="auto" w:fill="auto"/>
            <w:noWrap/>
            <w:vAlign w:val="bottom"/>
            <w:hideMark/>
          </w:tcPr>
          <w:p w14:paraId="651D33D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1317" w:type="dxa"/>
            <w:tcBorders>
              <w:top w:val="nil"/>
              <w:left w:val="nil"/>
              <w:bottom w:val="single" w:sz="4" w:space="0" w:color="auto"/>
              <w:right w:val="single" w:sz="4" w:space="0" w:color="auto"/>
            </w:tcBorders>
            <w:shd w:val="clear" w:color="auto" w:fill="auto"/>
            <w:noWrap/>
            <w:vAlign w:val="bottom"/>
            <w:hideMark/>
          </w:tcPr>
          <w:p w14:paraId="2C5BA33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0.31 </w:t>
            </w:r>
          </w:p>
        </w:tc>
        <w:tc>
          <w:tcPr>
            <w:tcW w:w="1317" w:type="dxa"/>
            <w:tcBorders>
              <w:top w:val="nil"/>
              <w:left w:val="nil"/>
              <w:bottom w:val="single" w:sz="4" w:space="0" w:color="auto"/>
              <w:right w:val="single" w:sz="4" w:space="0" w:color="auto"/>
            </w:tcBorders>
            <w:shd w:val="clear" w:color="auto" w:fill="auto"/>
            <w:noWrap/>
            <w:vAlign w:val="bottom"/>
            <w:hideMark/>
          </w:tcPr>
          <w:p w14:paraId="529241F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0.15 </w:t>
            </w:r>
          </w:p>
        </w:tc>
      </w:tr>
      <w:tr w:rsidR="006403CC" w:rsidRPr="0043743B" w14:paraId="3D30100B"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2C56B8F6"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TOURISM, TRADE AND INDUSTRY</w:t>
            </w:r>
          </w:p>
        </w:tc>
        <w:tc>
          <w:tcPr>
            <w:tcW w:w="1317" w:type="dxa"/>
            <w:tcBorders>
              <w:top w:val="nil"/>
              <w:left w:val="nil"/>
              <w:bottom w:val="single" w:sz="4" w:space="0" w:color="auto"/>
              <w:right w:val="single" w:sz="4" w:space="0" w:color="auto"/>
            </w:tcBorders>
            <w:shd w:val="clear" w:color="auto" w:fill="auto"/>
            <w:noWrap/>
            <w:vAlign w:val="bottom"/>
            <w:hideMark/>
          </w:tcPr>
          <w:p w14:paraId="160277A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2.37 </w:t>
            </w:r>
          </w:p>
        </w:tc>
        <w:tc>
          <w:tcPr>
            <w:tcW w:w="1317" w:type="dxa"/>
            <w:tcBorders>
              <w:top w:val="nil"/>
              <w:left w:val="nil"/>
              <w:bottom w:val="single" w:sz="4" w:space="0" w:color="auto"/>
              <w:right w:val="single" w:sz="4" w:space="0" w:color="auto"/>
            </w:tcBorders>
            <w:shd w:val="clear" w:color="auto" w:fill="auto"/>
            <w:noWrap/>
            <w:vAlign w:val="bottom"/>
            <w:hideMark/>
          </w:tcPr>
          <w:p w14:paraId="77B61E8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1.99 </w:t>
            </w:r>
          </w:p>
        </w:tc>
        <w:tc>
          <w:tcPr>
            <w:tcW w:w="1317" w:type="dxa"/>
            <w:tcBorders>
              <w:top w:val="nil"/>
              <w:left w:val="nil"/>
              <w:bottom w:val="single" w:sz="4" w:space="0" w:color="auto"/>
              <w:right w:val="single" w:sz="4" w:space="0" w:color="auto"/>
            </w:tcBorders>
            <w:shd w:val="clear" w:color="auto" w:fill="auto"/>
            <w:noWrap/>
            <w:vAlign w:val="bottom"/>
            <w:hideMark/>
          </w:tcPr>
          <w:p w14:paraId="20BE3CD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2.28 </w:t>
            </w:r>
          </w:p>
        </w:tc>
      </w:tr>
      <w:tr w:rsidR="006403CC" w:rsidRPr="0043743B" w14:paraId="77A35D08"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77E441F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WATER AND ENVIRONMENT</w:t>
            </w:r>
          </w:p>
        </w:tc>
        <w:tc>
          <w:tcPr>
            <w:tcW w:w="1317" w:type="dxa"/>
            <w:tcBorders>
              <w:top w:val="nil"/>
              <w:left w:val="nil"/>
              <w:bottom w:val="single" w:sz="4" w:space="0" w:color="auto"/>
              <w:right w:val="single" w:sz="4" w:space="0" w:color="auto"/>
            </w:tcBorders>
            <w:shd w:val="clear" w:color="auto" w:fill="auto"/>
            <w:noWrap/>
            <w:vAlign w:val="bottom"/>
            <w:hideMark/>
          </w:tcPr>
          <w:p w14:paraId="0AC3CE5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118.76 </w:t>
            </w:r>
          </w:p>
        </w:tc>
        <w:tc>
          <w:tcPr>
            <w:tcW w:w="1317" w:type="dxa"/>
            <w:tcBorders>
              <w:top w:val="nil"/>
              <w:left w:val="nil"/>
              <w:bottom w:val="single" w:sz="4" w:space="0" w:color="auto"/>
              <w:right w:val="single" w:sz="4" w:space="0" w:color="auto"/>
            </w:tcBorders>
            <w:shd w:val="clear" w:color="auto" w:fill="auto"/>
            <w:noWrap/>
            <w:vAlign w:val="bottom"/>
            <w:hideMark/>
          </w:tcPr>
          <w:p w14:paraId="14CFB43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85.17 </w:t>
            </w:r>
          </w:p>
        </w:tc>
        <w:tc>
          <w:tcPr>
            <w:tcW w:w="1317" w:type="dxa"/>
            <w:tcBorders>
              <w:top w:val="nil"/>
              <w:left w:val="nil"/>
              <w:bottom w:val="single" w:sz="4" w:space="0" w:color="auto"/>
              <w:right w:val="single" w:sz="4" w:space="0" w:color="auto"/>
            </w:tcBorders>
            <w:shd w:val="clear" w:color="auto" w:fill="auto"/>
            <w:noWrap/>
            <w:vAlign w:val="bottom"/>
            <w:hideMark/>
          </w:tcPr>
          <w:p w14:paraId="7F40E523"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130.20 </w:t>
            </w:r>
          </w:p>
        </w:tc>
      </w:tr>
      <w:tr w:rsidR="006403CC" w:rsidRPr="0043743B" w14:paraId="27DE3075"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5134FCB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WORKS AND TRANSPORT</w:t>
            </w:r>
          </w:p>
        </w:tc>
        <w:tc>
          <w:tcPr>
            <w:tcW w:w="1317" w:type="dxa"/>
            <w:tcBorders>
              <w:top w:val="nil"/>
              <w:left w:val="nil"/>
              <w:bottom w:val="single" w:sz="4" w:space="0" w:color="auto"/>
              <w:right w:val="single" w:sz="4" w:space="0" w:color="auto"/>
            </w:tcBorders>
            <w:shd w:val="clear" w:color="auto" w:fill="auto"/>
            <w:noWrap/>
            <w:vAlign w:val="bottom"/>
            <w:hideMark/>
          </w:tcPr>
          <w:p w14:paraId="78CF8EE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153.11 </w:t>
            </w:r>
          </w:p>
        </w:tc>
        <w:tc>
          <w:tcPr>
            <w:tcW w:w="1317" w:type="dxa"/>
            <w:tcBorders>
              <w:top w:val="nil"/>
              <w:left w:val="nil"/>
              <w:bottom w:val="single" w:sz="4" w:space="0" w:color="auto"/>
              <w:right w:val="single" w:sz="4" w:space="0" w:color="auto"/>
            </w:tcBorders>
            <w:shd w:val="clear" w:color="auto" w:fill="auto"/>
            <w:noWrap/>
            <w:vAlign w:val="bottom"/>
            <w:hideMark/>
          </w:tcPr>
          <w:p w14:paraId="4DA959D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178.70 </w:t>
            </w:r>
          </w:p>
        </w:tc>
        <w:tc>
          <w:tcPr>
            <w:tcW w:w="1317" w:type="dxa"/>
            <w:tcBorders>
              <w:top w:val="nil"/>
              <w:left w:val="nil"/>
              <w:bottom w:val="single" w:sz="4" w:space="0" w:color="auto"/>
              <w:right w:val="single" w:sz="4" w:space="0" w:color="auto"/>
            </w:tcBorders>
            <w:shd w:val="clear" w:color="auto" w:fill="auto"/>
            <w:noWrap/>
            <w:vAlign w:val="bottom"/>
            <w:hideMark/>
          </w:tcPr>
          <w:p w14:paraId="74E8F3C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338.84 </w:t>
            </w:r>
          </w:p>
        </w:tc>
      </w:tr>
      <w:tr w:rsidR="006403CC" w:rsidRPr="0043743B" w14:paraId="2B8886FF" w14:textId="77777777" w:rsidTr="00773884">
        <w:trPr>
          <w:trHeight w:val="286"/>
        </w:trPr>
        <w:tc>
          <w:tcPr>
            <w:tcW w:w="5365" w:type="dxa"/>
            <w:tcBorders>
              <w:top w:val="nil"/>
              <w:left w:val="single" w:sz="4" w:space="0" w:color="auto"/>
              <w:bottom w:val="single" w:sz="4" w:space="0" w:color="auto"/>
              <w:right w:val="single" w:sz="4" w:space="0" w:color="auto"/>
            </w:tcBorders>
            <w:shd w:val="clear" w:color="auto" w:fill="auto"/>
            <w:noWrap/>
            <w:vAlign w:val="bottom"/>
            <w:hideMark/>
          </w:tcPr>
          <w:p w14:paraId="11F5AD7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TOTALS</w:t>
            </w:r>
          </w:p>
        </w:tc>
        <w:tc>
          <w:tcPr>
            <w:tcW w:w="1317" w:type="dxa"/>
            <w:tcBorders>
              <w:top w:val="nil"/>
              <w:left w:val="nil"/>
              <w:bottom w:val="single" w:sz="4" w:space="0" w:color="auto"/>
              <w:right w:val="single" w:sz="4" w:space="0" w:color="auto"/>
            </w:tcBorders>
            <w:shd w:val="clear" w:color="auto" w:fill="auto"/>
            <w:noWrap/>
            <w:vAlign w:val="bottom"/>
            <w:hideMark/>
          </w:tcPr>
          <w:p w14:paraId="190D0B46"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1,275.79 </w:t>
            </w:r>
          </w:p>
        </w:tc>
        <w:tc>
          <w:tcPr>
            <w:tcW w:w="1317" w:type="dxa"/>
            <w:tcBorders>
              <w:top w:val="nil"/>
              <w:left w:val="nil"/>
              <w:bottom w:val="single" w:sz="4" w:space="0" w:color="auto"/>
              <w:right w:val="single" w:sz="4" w:space="0" w:color="auto"/>
            </w:tcBorders>
            <w:shd w:val="clear" w:color="auto" w:fill="auto"/>
            <w:noWrap/>
            <w:vAlign w:val="bottom"/>
            <w:hideMark/>
          </w:tcPr>
          <w:p w14:paraId="247629C3"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1,204.09 </w:t>
            </w:r>
          </w:p>
        </w:tc>
        <w:tc>
          <w:tcPr>
            <w:tcW w:w="1317" w:type="dxa"/>
            <w:tcBorders>
              <w:top w:val="nil"/>
              <w:left w:val="nil"/>
              <w:bottom w:val="single" w:sz="4" w:space="0" w:color="auto"/>
              <w:right w:val="single" w:sz="4" w:space="0" w:color="auto"/>
            </w:tcBorders>
            <w:shd w:val="clear" w:color="auto" w:fill="auto"/>
            <w:noWrap/>
            <w:vAlign w:val="bottom"/>
            <w:hideMark/>
          </w:tcPr>
          <w:p w14:paraId="642CF38E"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1,403.16 </w:t>
            </w:r>
          </w:p>
        </w:tc>
      </w:tr>
    </w:tbl>
    <w:p w14:paraId="3745A272"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2FAFBA82" w14:textId="443829F2" w:rsidR="006403CC" w:rsidRPr="00773884" w:rsidRDefault="006403CC" w:rsidP="003666C5">
      <w:pPr>
        <w:spacing w:after="0" w:line="240" w:lineRule="auto"/>
        <w:rPr>
          <w:rFonts w:ascii="Times New Roman" w:hAnsi="Times New Roman"/>
        </w:rPr>
      </w:pPr>
    </w:p>
    <w:p w14:paraId="612DBD2E" w14:textId="77777777" w:rsidR="0043743B" w:rsidRDefault="0043743B">
      <w:pPr>
        <w:spacing w:after="0" w:line="240" w:lineRule="auto"/>
        <w:jc w:val="left"/>
        <w:rPr>
          <w:rFonts w:ascii="Times New Roman" w:hAnsi="Times New Roman"/>
          <w:b/>
          <w:color w:val="000000" w:themeColor="text1"/>
        </w:rPr>
      </w:pPr>
      <w:r>
        <w:rPr>
          <w:rFonts w:ascii="Times New Roman" w:hAnsi="Times New Roman"/>
          <w:b/>
          <w:color w:val="000000" w:themeColor="text1"/>
        </w:rPr>
        <w:br w:type="page"/>
      </w:r>
    </w:p>
    <w:p w14:paraId="0392C6DA" w14:textId="44E12A7F" w:rsidR="006403CC" w:rsidRPr="0043743B" w:rsidRDefault="003666C5" w:rsidP="002A4612">
      <w:pPr>
        <w:spacing w:before="120" w:after="120" w:line="240" w:lineRule="auto"/>
        <w:rPr>
          <w:rFonts w:ascii="Times New Roman" w:hAnsi="Times New Roman"/>
          <w:b/>
          <w:color w:val="000000" w:themeColor="text1"/>
        </w:rPr>
      </w:pPr>
      <w:bookmarkStart w:id="144" w:name="_Toc3505106"/>
      <w:r w:rsidRPr="0043743B">
        <w:rPr>
          <w:rFonts w:ascii="Times New Roman" w:hAnsi="Times New Roman"/>
          <w:b/>
          <w:color w:val="000000" w:themeColor="text1"/>
        </w:rPr>
        <w:lastRenderedPageBreak/>
        <w:t xml:space="preserve">Table </w:t>
      </w:r>
      <w:r w:rsidRPr="0043743B">
        <w:rPr>
          <w:rFonts w:ascii="Times New Roman" w:hAnsi="Times New Roman"/>
          <w:b/>
          <w:color w:val="000000" w:themeColor="text1"/>
        </w:rPr>
        <w:fldChar w:fldCharType="begin"/>
      </w:r>
      <w:r w:rsidRPr="0043743B">
        <w:rPr>
          <w:rFonts w:ascii="Times New Roman" w:hAnsi="Times New Roman"/>
          <w:b/>
          <w:color w:val="000000" w:themeColor="text1"/>
        </w:rPr>
        <w:instrText xml:space="preserve"> SEQ Table \* ARABIC </w:instrText>
      </w:r>
      <w:r w:rsidRPr="0043743B">
        <w:rPr>
          <w:rFonts w:ascii="Times New Roman" w:hAnsi="Times New Roman"/>
          <w:b/>
          <w:color w:val="000000" w:themeColor="text1"/>
        </w:rPr>
        <w:fldChar w:fldCharType="separate"/>
      </w:r>
      <w:r w:rsidR="006F31B1">
        <w:rPr>
          <w:rFonts w:ascii="Times New Roman" w:hAnsi="Times New Roman"/>
          <w:b/>
          <w:noProof/>
          <w:color w:val="000000" w:themeColor="text1"/>
        </w:rPr>
        <w:t>9</w:t>
      </w:r>
      <w:r w:rsidRPr="0043743B">
        <w:rPr>
          <w:rFonts w:ascii="Times New Roman" w:hAnsi="Times New Roman"/>
          <w:b/>
          <w:color w:val="000000" w:themeColor="text1"/>
        </w:rPr>
        <w:fldChar w:fldCharType="end"/>
      </w:r>
      <w:r w:rsidRPr="0043743B">
        <w:rPr>
          <w:rFonts w:ascii="Times New Roman" w:hAnsi="Times New Roman"/>
          <w:b/>
          <w:color w:val="000000" w:themeColor="text1"/>
        </w:rPr>
        <w:t>:</w:t>
      </w:r>
      <w:r w:rsidR="002A4612" w:rsidRPr="0043743B">
        <w:rPr>
          <w:rFonts w:ascii="Times New Roman" w:hAnsi="Times New Roman"/>
          <w:b/>
          <w:color w:val="000000" w:themeColor="text1"/>
        </w:rPr>
        <w:t xml:space="preserve"> </w:t>
      </w:r>
      <w:r w:rsidR="006403CC" w:rsidRPr="0043743B">
        <w:rPr>
          <w:rFonts w:ascii="Times New Roman" w:eastAsia="Arial Unicode MS" w:hAnsi="Times New Roman"/>
          <w:b/>
          <w:color w:val="000000" w:themeColor="text1"/>
        </w:rPr>
        <w:t xml:space="preserve"> </w:t>
      </w:r>
      <w:r w:rsidR="006403CC" w:rsidRPr="0043743B">
        <w:rPr>
          <w:rFonts w:ascii="Times New Roman" w:eastAsia="Arial Unicode MS" w:hAnsi="Times New Roman"/>
          <w:b/>
          <w:bCs/>
          <w:color w:val="000000" w:themeColor="text1"/>
        </w:rPr>
        <w:t>Percentage Allocation of Development Assistance MTEF by sector</w:t>
      </w:r>
      <w:bookmarkEnd w:id="144"/>
    </w:p>
    <w:tbl>
      <w:tblPr>
        <w:tblW w:w="9305" w:type="dxa"/>
        <w:tblInd w:w="-5" w:type="dxa"/>
        <w:tblLook w:val="04A0" w:firstRow="1" w:lastRow="0" w:firstColumn="1" w:lastColumn="0" w:noHBand="0" w:noVBand="1"/>
      </w:tblPr>
      <w:tblGrid>
        <w:gridCol w:w="5318"/>
        <w:gridCol w:w="1329"/>
        <w:gridCol w:w="1329"/>
        <w:gridCol w:w="1329"/>
      </w:tblGrid>
      <w:tr w:rsidR="006403CC" w:rsidRPr="0043743B" w14:paraId="50D5F9F9" w14:textId="77777777" w:rsidTr="00773884">
        <w:trPr>
          <w:trHeight w:val="269"/>
        </w:trPr>
        <w:tc>
          <w:tcPr>
            <w:tcW w:w="5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34076"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Primary Sector</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14:paraId="192CA93D"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2015/16</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14:paraId="61654FBE"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2016/17</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14:paraId="06B109EA"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2017/18</w:t>
            </w:r>
          </w:p>
        </w:tc>
      </w:tr>
      <w:tr w:rsidR="006403CC" w:rsidRPr="0043743B" w14:paraId="4611B32B"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3BE3A67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ACCOUNTABILITY</w:t>
            </w:r>
          </w:p>
        </w:tc>
        <w:tc>
          <w:tcPr>
            <w:tcW w:w="1329" w:type="dxa"/>
            <w:tcBorders>
              <w:top w:val="nil"/>
              <w:left w:val="nil"/>
              <w:bottom w:val="single" w:sz="4" w:space="0" w:color="auto"/>
              <w:right w:val="single" w:sz="4" w:space="0" w:color="auto"/>
            </w:tcBorders>
            <w:shd w:val="clear" w:color="auto" w:fill="auto"/>
            <w:noWrap/>
            <w:vAlign w:val="bottom"/>
            <w:hideMark/>
          </w:tcPr>
          <w:p w14:paraId="2776EBD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1.9%</w:t>
            </w:r>
          </w:p>
        </w:tc>
        <w:tc>
          <w:tcPr>
            <w:tcW w:w="1329" w:type="dxa"/>
            <w:tcBorders>
              <w:top w:val="nil"/>
              <w:left w:val="nil"/>
              <w:bottom w:val="single" w:sz="4" w:space="0" w:color="auto"/>
              <w:right w:val="single" w:sz="4" w:space="0" w:color="auto"/>
            </w:tcBorders>
            <w:shd w:val="clear" w:color="auto" w:fill="auto"/>
            <w:noWrap/>
            <w:vAlign w:val="bottom"/>
            <w:hideMark/>
          </w:tcPr>
          <w:p w14:paraId="1843710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2.8%</w:t>
            </w:r>
          </w:p>
        </w:tc>
        <w:tc>
          <w:tcPr>
            <w:tcW w:w="1329" w:type="dxa"/>
            <w:tcBorders>
              <w:top w:val="nil"/>
              <w:left w:val="nil"/>
              <w:bottom w:val="single" w:sz="4" w:space="0" w:color="auto"/>
              <w:right w:val="single" w:sz="4" w:space="0" w:color="auto"/>
            </w:tcBorders>
            <w:shd w:val="clear" w:color="auto" w:fill="auto"/>
            <w:noWrap/>
            <w:vAlign w:val="bottom"/>
            <w:hideMark/>
          </w:tcPr>
          <w:p w14:paraId="6E54CB8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2.3%</w:t>
            </w:r>
          </w:p>
        </w:tc>
      </w:tr>
      <w:tr w:rsidR="006403CC" w:rsidRPr="0043743B" w14:paraId="492CA1AA"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3013557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AGRICULTURE</w:t>
            </w:r>
          </w:p>
        </w:tc>
        <w:tc>
          <w:tcPr>
            <w:tcW w:w="1329" w:type="dxa"/>
            <w:tcBorders>
              <w:top w:val="nil"/>
              <w:left w:val="nil"/>
              <w:bottom w:val="single" w:sz="4" w:space="0" w:color="auto"/>
              <w:right w:val="single" w:sz="4" w:space="0" w:color="auto"/>
            </w:tcBorders>
            <w:shd w:val="clear" w:color="auto" w:fill="auto"/>
            <w:noWrap/>
            <w:vAlign w:val="bottom"/>
            <w:hideMark/>
          </w:tcPr>
          <w:p w14:paraId="70C2455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1.7%</w:t>
            </w:r>
          </w:p>
        </w:tc>
        <w:tc>
          <w:tcPr>
            <w:tcW w:w="1329" w:type="dxa"/>
            <w:tcBorders>
              <w:top w:val="nil"/>
              <w:left w:val="nil"/>
              <w:bottom w:val="single" w:sz="4" w:space="0" w:color="auto"/>
              <w:right w:val="single" w:sz="4" w:space="0" w:color="auto"/>
            </w:tcBorders>
            <w:shd w:val="clear" w:color="auto" w:fill="auto"/>
            <w:noWrap/>
            <w:vAlign w:val="bottom"/>
            <w:hideMark/>
          </w:tcPr>
          <w:p w14:paraId="67EBF526"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4.8%</w:t>
            </w:r>
          </w:p>
        </w:tc>
        <w:tc>
          <w:tcPr>
            <w:tcW w:w="1329" w:type="dxa"/>
            <w:tcBorders>
              <w:top w:val="nil"/>
              <w:left w:val="nil"/>
              <w:bottom w:val="single" w:sz="4" w:space="0" w:color="auto"/>
              <w:right w:val="single" w:sz="4" w:space="0" w:color="auto"/>
            </w:tcBorders>
            <w:shd w:val="clear" w:color="auto" w:fill="auto"/>
            <w:noWrap/>
            <w:vAlign w:val="bottom"/>
            <w:hideMark/>
          </w:tcPr>
          <w:p w14:paraId="6228901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3.8%</w:t>
            </w:r>
          </w:p>
        </w:tc>
      </w:tr>
      <w:tr w:rsidR="006403CC" w:rsidRPr="0043743B" w14:paraId="5F825B76"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5042D265"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BUDGET SUPPORT</w:t>
            </w:r>
          </w:p>
        </w:tc>
        <w:tc>
          <w:tcPr>
            <w:tcW w:w="1329" w:type="dxa"/>
            <w:tcBorders>
              <w:top w:val="nil"/>
              <w:left w:val="nil"/>
              <w:bottom w:val="single" w:sz="4" w:space="0" w:color="auto"/>
              <w:right w:val="single" w:sz="4" w:space="0" w:color="auto"/>
            </w:tcBorders>
            <w:shd w:val="clear" w:color="auto" w:fill="auto"/>
            <w:noWrap/>
            <w:vAlign w:val="bottom"/>
            <w:hideMark/>
          </w:tcPr>
          <w:p w14:paraId="2E8E4C2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2.8%</w:t>
            </w:r>
          </w:p>
        </w:tc>
        <w:tc>
          <w:tcPr>
            <w:tcW w:w="1329" w:type="dxa"/>
            <w:tcBorders>
              <w:top w:val="nil"/>
              <w:left w:val="nil"/>
              <w:bottom w:val="single" w:sz="4" w:space="0" w:color="auto"/>
              <w:right w:val="single" w:sz="4" w:space="0" w:color="auto"/>
            </w:tcBorders>
            <w:shd w:val="clear" w:color="auto" w:fill="auto"/>
            <w:noWrap/>
            <w:vAlign w:val="bottom"/>
            <w:hideMark/>
          </w:tcPr>
          <w:p w14:paraId="240C376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14.0%</w:t>
            </w:r>
          </w:p>
        </w:tc>
        <w:tc>
          <w:tcPr>
            <w:tcW w:w="1329" w:type="dxa"/>
            <w:tcBorders>
              <w:top w:val="nil"/>
              <w:left w:val="nil"/>
              <w:bottom w:val="single" w:sz="4" w:space="0" w:color="auto"/>
              <w:right w:val="single" w:sz="4" w:space="0" w:color="auto"/>
            </w:tcBorders>
            <w:shd w:val="clear" w:color="auto" w:fill="auto"/>
            <w:noWrap/>
            <w:vAlign w:val="bottom"/>
            <w:hideMark/>
          </w:tcPr>
          <w:p w14:paraId="03B55B7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3.4%</w:t>
            </w:r>
          </w:p>
        </w:tc>
      </w:tr>
      <w:tr w:rsidR="006403CC" w:rsidRPr="0043743B" w14:paraId="618732CA"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26FBB468"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EDUCATION</w:t>
            </w:r>
          </w:p>
        </w:tc>
        <w:tc>
          <w:tcPr>
            <w:tcW w:w="1329" w:type="dxa"/>
            <w:tcBorders>
              <w:top w:val="nil"/>
              <w:left w:val="nil"/>
              <w:bottom w:val="single" w:sz="4" w:space="0" w:color="auto"/>
              <w:right w:val="single" w:sz="4" w:space="0" w:color="auto"/>
            </w:tcBorders>
            <w:shd w:val="clear" w:color="auto" w:fill="auto"/>
            <w:noWrap/>
            <w:vAlign w:val="bottom"/>
            <w:hideMark/>
          </w:tcPr>
          <w:p w14:paraId="2144BAE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5.3%</w:t>
            </w:r>
          </w:p>
        </w:tc>
        <w:tc>
          <w:tcPr>
            <w:tcW w:w="1329" w:type="dxa"/>
            <w:tcBorders>
              <w:top w:val="nil"/>
              <w:left w:val="nil"/>
              <w:bottom w:val="single" w:sz="4" w:space="0" w:color="auto"/>
              <w:right w:val="single" w:sz="4" w:space="0" w:color="auto"/>
            </w:tcBorders>
            <w:shd w:val="clear" w:color="auto" w:fill="auto"/>
            <w:noWrap/>
            <w:vAlign w:val="bottom"/>
            <w:hideMark/>
          </w:tcPr>
          <w:p w14:paraId="64C2B71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5.2%</w:t>
            </w:r>
          </w:p>
        </w:tc>
        <w:tc>
          <w:tcPr>
            <w:tcW w:w="1329" w:type="dxa"/>
            <w:tcBorders>
              <w:top w:val="nil"/>
              <w:left w:val="nil"/>
              <w:bottom w:val="single" w:sz="4" w:space="0" w:color="auto"/>
              <w:right w:val="single" w:sz="4" w:space="0" w:color="auto"/>
            </w:tcBorders>
            <w:shd w:val="clear" w:color="auto" w:fill="auto"/>
            <w:noWrap/>
            <w:vAlign w:val="bottom"/>
            <w:hideMark/>
          </w:tcPr>
          <w:p w14:paraId="1CF797C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4.1%</w:t>
            </w:r>
          </w:p>
        </w:tc>
      </w:tr>
      <w:tr w:rsidR="006403CC" w:rsidRPr="0043743B" w14:paraId="5868CA23"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1AB46CB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ENERGY AND MINERAL DEVELOPMENT</w:t>
            </w:r>
          </w:p>
        </w:tc>
        <w:tc>
          <w:tcPr>
            <w:tcW w:w="1329" w:type="dxa"/>
            <w:tcBorders>
              <w:top w:val="nil"/>
              <w:left w:val="nil"/>
              <w:bottom w:val="single" w:sz="4" w:space="0" w:color="auto"/>
              <w:right w:val="single" w:sz="4" w:space="0" w:color="auto"/>
            </w:tcBorders>
            <w:shd w:val="clear" w:color="auto" w:fill="auto"/>
            <w:noWrap/>
            <w:vAlign w:val="bottom"/>
            <w:hideMark/>
          </w:tcPr>
          <w:p w14:paraId="16BC641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43.5%</w:t>
            </w:r>
          </w:p>
        </w:tc>
        <w:tc>
          <w:tcPr>
            <w:tcW w:w="1329" w:type="dxa"/>
            <w:tcBorders>
              <w:top w:val="nil"/>
              <w:left w:val="nil"/>
              <w:bottom w:val="single" w:sz="4" w:space="0" w:color="auto"/>
              <w:right w:val="single" w:sz="4" w:space="0" w:color="auto"/>
            </w:tcBorders>
            <w:shd w:val="clear" w:color="auto" w:fill="auto"/>
            <w:noWrap/>
            <w:vAlign w:val="bottom"/>
            <w:hideMark/>
          </w:tcPr>
          <w:p w14:paraId="54582FCD"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25.3%</w:t>
            </w:r>
          </w:p>
        </w:tc>
        <w:tc>
          <w:tcPr>
            <w:tcW w:w="1329" w:type="dxa"/>
            <w:tcBorders>
              <w:top w:val="nil"/>
              <w:left w:val="nil"/>
              <w:bottom w:val="single" w:sz="4" w:space="0" w:color="auto"/>
              <w:right w:val="single" w:sz="4" w:space="0" w:color="auto"/>
            </w:tcBorders>
            <w:shd w:val="clear" w:color="auto" w:fill="auto"/>
            <w:noWrap/>
            <w:vAlign w:val="bottom"/>
            <w:hideMark/>
          </w:tcPr>
          <w:p w14:paraId="562EB1D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34.1%</w:t>
            </w:r>
          </w:p>
        </w:tc>
      </w:tr>
      <w:tr w:rsidR="006403CC" w:rsidRPr="0043743B" w14:paraId="69CB86DA"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471F7C6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HEALTH</w:t>
            </w:r>
          </w:p>
        </w:tc>
        <w:tc>
          <w:tcPr>
            <w:tcW w:w="1329" w:type="dxa"/>
            <w:tcBorders>
              <w:top w:val="nil"/>
              <w:left w:val="nil"/>
              <w:bottom w:val="single" w:sz="4" w:space="0" w:color="auto"/>
              <w:right w:val="single" w:sz="4" w:space="0" w:color="auto"/>
            </w:tcBorders>
            <w:shd w:val="clear" w:color="auto" w:fill="auto"/>
            <w:noWrap/>
            <w:vAlign w:val="bottom"/>
            <w:hideMark/>
          </w:tcPr>
          <w:p w14:paraId="1DF54807"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6.2%</w:t>
            </w:r>
          </w:p>
        </w:tc>
        <w:tc>
          <w:tcPr>
            <w:tcW w:w="1329" w:type="dxa"/>
            <w:tcBorders>
              <w:top w:val="nil"/>
              <w:left w:val="nil"/>
              <w:bottom w:val="single" w:sz="4" w:space="0" w:color="auto"/>
              <w:right w:val="single" w:sz="4" w:space="0" w:color="auto"/>
            </w:tcBorders>
            <w:shd w:val="clear" w:color="auto" w:fill="auto"/>
            <w:noWrap/>
            <w:vAlign w:val="bottom"/>
            <w:hideMark/>
          </w:tcPr>
          <w:p w14:paraId="65D8F3A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4.7%</w:t>
            </w:r>
          </w:p>
        </w:tc>
        <w:tc>
          <w:tcPr>
            <w:tcW w:w="1329" w:type="dxa"/>
            <w:tcBorders>
              <w:top w:val="nil"/>
              <w:left w:val="nil"/>
              <w:bottom w:val="single" w:sz="4" w:space="0" w:color="auto"/>
              <w:right w:val="single" w:sz="4" w:space="0" w:color="auto"/>
            </w:tcBorders>
            <w:shd w:val="clear" w:color="auto" w:fill="auto"/>
            <w:noWrap/>
            <w:vAlign w:val="bottom"/>
            <w:hideMark/>
          </w:tcPr>
          <w:p w14:paraId="4F076571"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3.5%</w:t>
            </w:r>
          </w:p>
        </w:tc>
      </w:tr>
      <w:tr w:rsidR="006403CC" w:rsidRPr="0043743B" w14:paraId="665273E5"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40013B20"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ICT AND NATIONAL GUIDANCE</w:t>
            </w:r>
          </w:p>
        </w:tc>
        <w:tc>
          <w:tcPr>
            <w:tcW w:w="1329" w:type="dxa"/>
            <w:tcBorders>
              <w:top w:val="nil"/>
              <w:left w:val="nil"/>
              <w:bottom w:val="single" w:sz="4" w:space="0" w:color="auto"/>
              <w:right w:val="single" w:sz="4" w:space="0" w:color="auto"/>
            </w:tcBorders>
            <w:shd w:val="clear" w:color="auto" w:fill="auto"/>
            <w:noWrap/>
            <w:vAlign w:val="bottom"/>
            <w:hideMark/>
          </w:tcPr>
          <w:p w14:paraId="0A4623F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0.4%</w:t>
            </w:r>
          </w:p>
        </w:tc>
        <w:tc>
          <w:tcPr>
            <w:tcW w:w="1329" w:type="dxa"/>
            <w:tcBorders>
              <w:top w:val="nil"/>
              <w:left w:val="nil"/>
              <w:bottom w:val="single" w:sz="4" w:space="0" w:color="auto"/>
              <w:right w:val="single" w:sz="4" w:space="0" w:color="auto"/>
            </w:tcBorders>
            <w:shd w:val="clear" w:color="auto" w:fill="auto"/>
            <w:noWrap/>
            <w:vAlign w:val="bottom"/>
            <w:hideMark/>
          </w:tcPr>
          <w:p w14:paraId="3FDEF02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2.4%</w:t>
            </w:r>
          </w:p>
        </w:tc>
        <w:tc>
          <w:tcPr>
            <w:tcW w:w="1329" w:type="dxa"/>
            <w:tcBorders>
              <w:top w:val="nil"/>
              <w:left w:val="nil"/>
              <w:bottom w:val="single" w:sz="4" w:space="0" w:color="auto"/>
              <w:right w:val="single" w:sz="4" w:space="0" w:color="auto"/>
            </w:tcBorders>
            <w:shd w:val="clear" w:color="auto" w:fill="auto"/>
            <w:noWrap/>
            <w:vAlign w:val="bottom"/>
            <w:hideMark/>
          </w:tcPr>
          <w:p w14:paraId="66AF18A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0.5%</w:t>
            </w:r>
          </w:p>
        </w:tc>
      </w:tr>
      <w:tr w:rsidR="006403CC" w:rsidRPr="0043743B" w14:paraId="3EDEF26B"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04350A3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JUSTICE LAW AND ORDER</w:t>
            </w:r>
          </w:p>
        </w:tc>
        <w:tc>
          <w:tcPr>
            <w:tcW w:w="1329" w:type="dxa"/>
            <w:tcBorders>
              <w:top w:val="nil"/>
              <w:left w:val="nil"/>
              <w:bottom w:val="single" w:sz="4" w:space="0" w:color="auto"/>
              <w:right w:val="single" w:sz="4" w:space="0" w:color="auto"/>
            </w:tcBorders>
            <w:shd w:val="clear" w:color="auto" w:fill="auto"/>
            <w:noWrap/>
            <w:vAlign w:val="bottom"/>
            <w:hideMark/>
          </w:tcPr>
          <w:p w14:paraId="01D664CF"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329" w:type="dxa"/>
            <w:tcBorders>
              <w:top w:val="nil"/>
              <w:left w:val="nil"/>
              <w:bottom w:val="single" w:sz="4" w:space="0" w:color="auto"/>
              <w:right w:val="single" w:sz="4" w:space="0" w:color="auto"/>
            </w:tcBorders>
            <w:shd w:val="clear" w:color="auto" w:fill="auto"/>
            <w:noWrap/>
            <w:vAlign w:val="bottom"/>
            <w:hideMark/>
          </w:tcPr>
          <w:p w14:paraId="18E617D8"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329" w:type="dxa"/>
            <w:tcBorders>
              <w:top w:val="nil"/>
              <w:left w:val="nil"/>
              <w:bottom w:val="single" w:sz="4" w:space="0" w:color="auto"/>
              <w:right w:val="single" w:sz="4" w:space="0" w:color="auto"/>
            </w:tcBorders>
            <w:shd w:val="clear" w:color="auto" w:fill="auto"/>
            <w:noWrap/>
            <w:vAlign w:val="bottom"/>
            <w:hideMark/>
          </w:tcPr>
          <w:p w14:paraId="4E2D674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r>
      <w:tr w:rsidR="006403CC" w:rsidRPr="0043743B" w14:paraId="70FA7C7D"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0A06C97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LANDS, HOUSING AND URBAN DEVELOPMENT</w:t>
            </w:r>
          </w:p>
        </w:tc>
        <w:tc>
          <w:tcPr>
            <w:tcW w:w="1329" w:type="dxa"/>
            <w:tcBorders>
              <w:top w:val="nil"/>
              <w:left w:val="nil"/>
              <w:bottom w:val="single" w:sz="4" w:space="0" w:color="auto"/>
              <w:right w:val="single" w:sz="4" w:space="0" w:color="auto"/>
            </w:tcBorders>
            <w:shd w:val="clear" w:color="auto" w:fill="auto"/>
            <w:noWrap/>
            <w:vAlign w:val="bottom"/>
            <w:hideMark/>
          </w:tcPr>
          <w:p w14:paraId="416C995A"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3.4%</w:t>
            </w:r>
          </w:p>
        </w:tc>
        <w:tc>
          <w:tcPr>
            <w:tcW w:w="1329" w:type="dxa"/>
            <w:tcBorders>
              <w:top w:val="nil"/>
              <w:left w:val="nil"/>
              <w:bottom w:val="single" w:sz="4" w:space="0" w:color="auto"/>
              <w:right w:val="single" w:sz="4" w:space="0" w:color="auto"/>
            </w:tcBorders>
            <w:shd w:val="clear" w:color="auto" w:fill="auto"/>
            <w:noWrap/>
            <w:vAlign w:val="bottom"/>
            <w:hideMark/>
          </w:tcPr>
          <w:p w14:paraId="7E43DC78"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3.3%</w:t>
            </w:r>
          </w:p>
        </w:tc>
        <w:tc>
          <w:tcPr>
            <w:tcW w:w="1329" w:type="dxa"/>
            <w:tcBorders>
              <w:top w:val="nil"/>
              <w:left w:val="nil"/>
              <w:bottom w:val="single" w:sz="4" w:space="0" w:color="auto"/>
              <w:right w:val="single" w:sz="4" w:space="0" w:color="auto"/>
            </w:tcBorders>
            <w:shd w:val="clear" w:color="auto" w:fill="auto"/>
            <w:noWrap/>
            <w:vAlign w:val="bottom"/>
            <w:hideMark/>
          </w:tcPr>
          <w:p w14:paraId="0C6DF27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3.8%</w:t>
            </w:r>
          </w:p>
        </w:tc>
      </w:tr>
      <w:tr w:rsidR="006403CC" w:rsidRPr="0043743B" w14:paraId="39C94402"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5486C46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ADMINISTRATION</w:t>
            </w:r>
          </w:p>
        </w:tc>
        <w:tc>
          <w:tcPr>
            <w:tcW w:w="1329" w:type="dxa"/>
            <w:tcBorders>
              <w:top w:val="nil"/>
              <w:left w:val="nil"/>
              <w:bottom w:val="single" w:sz="4" w:space="0" w:color="auto"/>
              <w:right w:val="single" w:sz="4" w:space="0" w:color="auto"/>
            </w:tcBorders>
            <w:shd w:val="clear" w:color="auto" w:fill="auto"/>
            <w:noWrap/>
            <w:vAlign w:val="bottom"/>
            <w:hideMark/>
          </w:tcPr>
          <w:p w14:paraId="51290944"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329" w:type="dxa"/>
            <w:tcBorders>
              <w:top w:val="nil"/>
              <w:left w:val="nil"/>
              <w:bottom w:val="single" w:sz="4" w:space="0" w:color="auto"/>
              <w:right w:val="single" w:sz="4" w:space="0" w:color="auto"/>
            </w:tcBorders>
            <w:shd w:val="clear" w:color="auto" w:fill="auto"/>
            <w:noWrap/>
            <w:vAlign w:val="bottom"/>
            <w:hideMark/>
          </w:tcPr>
          <w:p w14:paraId="2E5566D9"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329" w:type="dxa"/>
            <w:tcBorders>
              <w:top w:val="nil"/>
              <w:left w:val="nil"/>
              <w:bottom w:val="single" w:sz="4" w:space="0" w:color="auto"/>
              <w:right w:val="single" w:sz="4" w:space="0" w:color="auto"/>
            </w:tcBorders>
            <w:shd w:val="clear" w:color="auto" w:fill="auto"/>
            <w:noWrap/>
            <w:vAlign w:val="bottom"/>
            <w:hideMark/>
          </w:tcPr>
          <w:p w14:paraId="1D5750F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r>
      <w:tr w:rsidR="006403CC" w:rsidRPr="0043743B" w14:paraId="0F937FAE"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7942D05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SECTOR MANAGEMENT</w:t>
            </w:r>
          </w:p>
        </w:tc>
        <w:tc>
          <w:tcPr>
            <w:tcW w:w="1329" w:type="dxa"/>
            <w:tcBorders>
              <w:top w:val="nil"/>
              <w:left w:val="nil"/>
              <w:bottom w:val="single" w:sz="4" w:space="0" w:color="auto"/>
              <w:right w:val="single" w:sz="4" w:space="0" w:color="auto"/>
            </w:tcBorders>
            <w:shd w:val="clear" w:color="auto" w:fill="auto"/>
            <w:noWrap/>
            <w:vAlign w:val="bottom"/>
            <w:hideMark/>
          </w:tcPr>
          <w:p w14:paraId="1340CFF0"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6.4%</w:t>
            </w:r>
          </w:p>
        </w:tc>
        <w:tc>
          <w:tcPr>
            <w:tcW w:w="1329" w:type="dxa"/>
            <w:tcBorders>
              <w:top w:val="nil"/>
              <w:left w:val="nil"/>
              <w:bottom w:val="single" w:sz="4" w:space="0" w:color="auto"/>
              <w:right w:val="single" w:sz="4" w:space="0" w:color="auto"/>
            </w:tcBorders>
            <w:shd w:val="clear" w:color="auto" w:fill="auto"/>
            <w:noWrap/>
            <w:vAlign w:val="bottom"/>
            <w:hideMark/>
          </w:tcPr>
          <w:p w14:paraId="3875F4B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7.2%</w:t>
            </w:r>
          </w:p>
        </w:tc>
        <w:tc>
          <w:tcPr>
            <w:tcW w:w="1329" w:type="dxa"/>
            <w:tcBorders>
              <w:top w:val="nil"/>
              <w:left w:val="nil"/>
              <w:bottom w:val="single" w:sz="4" w:space="0" w:color="auto"/>
              <w:right w:val="single" w:sz="4" w:space="0" w:color="auto"/>
            </w:tcBorders>
            <w:shd w:val="clear" w:color="auto" w:fill="auto"/>
            <w:noWrap/>
            <w:vAlign w:val="bottom"/>
            <w:hideMark/>
          </w:tcPr>
          <w:p w14:paraId="203AEC99"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4.9%</w:t>
            </w:r>
          </w:p>
        </w:tc>
      </w:tr>
      <w:tr w:rsidR="006403CC" w:rsidRPr="0043743B" w14:paraId="38DEDEAB"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2895DE60"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SECURITY</w:t>
            </w:r>
          </w:p>
        </w:tc>
        <w:tc>
          <w:tcPr>
            <w:tcW w:w="1329" w:type="dxa"/>
            <w:tcBorders>
              <w:top w:val="nil"/>
              <w:left w:val="nil"/>
              <w:bottom w:val="single" w:sz="4" w:space="0" w:color="auto"/>
              <w:right w:val="single" w:sz="4" w:space="0" w:color="auto"/>
            </w:tcBorders>
            <w:shd w:val="clear" w:color="auto" w:fill="auto"/>
            <w:noWrap/>
            <w:vAlign w:val="bottom"/>
            <w:hideMark/>
          </w:tcPr>
          <w:p w14:paraId="1880CA24"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6.9%</w:t>
            </w:r>
          </w:p>
        </w:tc>
        <w:tc>
          <w:tcPr>
            <w:tcW w:w="1329" w:type="dxa"/>
            <w:tcBorders>
              <w:top w:val="nil"/>
              <w:left w:val="nil"/>
              <w:bottom w:val="single" w:sz="4" w:space="0" w:color="auto"/>
              <w:right w:val="single" w:sz="4" w:space="0" w:color="auto"/>
            </w:tcBorders>
            <w:shd w:val="clear" w:color="auto" w:fill="auto"/>
            <w:noWrap/>
            <w:vAlign w:val="bottom"/>
            <w:hideMark/>
          </w:tcPr>
          <w:p w14:paraId="1FD78293"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8.1%</w:t>
            </w:r>
          </w:p>
        </w:tc>
        <w:tc>
          <w:tcPr>
            <w:tcW w:w="1329" w:type="dxa"/>
            <w:tcBorders>
              <w:top w:val="nil"/>
              <w:left w:val="nil"/>
              <w:bottom w:val="single" w:sz="4" w:space="0" w:color="auto"/>
              <w:right w:val="single" w:sz="4" w:space="0" w:color="auto"/>
            </w:tcBorders>
            <w:shd w:val="clear" w:color="auto" w:fill="auto"/>
            <w:noWrap/>
            <w:vAlign w:val="bottom"/>
            <w:hideMark/>
          </w:tcPr>
          <w:p w14:paraId="29B8FD6C"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5.9%</w:t>
            </w:r>
          </w:p>
        </w:tc>
      </w:tr>
      <w:tr w:rsidR="006403CC" w:rsidRPr="0043743B" w14:paraId="59FF33B2"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5911161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SOCIAL DEVELOPMENT</w:t>
            </w:r>
          </w:p>
        </w:tc>
        <w:tc>
          <w:tcPr>
            <w:tcW w:w="1329" w:type="dxa"/>
            <w:tcBorders>
              <w:top w:val="nil"/>
              <w:left w:val="nil"/>
              <w:bottom w:val="single" w:sz="4" w:space="0" w:color="auto"/>
              <w:right w:val="single" w:sz="4" w:space="0" w:color="auto"/>
            </w:tcBorders>
            <w:shd w:val="clear" w:color="auto" w:fill="auto"/>
            <w:noWrap/>
            <w:vAlign w:val="bottom"/>
            <w:hideMark/>
          </w:tcPr>
          <w:p w14:paraId="7F88831B"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329" w:type="dxa"/>
            <w:tcBorders>
              <w:top w:val="nil"/>
              <w:left w:val="nil"/>
              <w:bottom w:val="single" w:sz="4" w:space="0" w:color="auto"/>
              <w:right w:val="single" w:sz="4" w:space="0" w:color="auto"/>
            </w:tcBorders>
            <w:shd w:val="clear" w:color="auto" w:fill="auto"/>
            <w:noWrap/>
            <w:vAlign w:val="bottom"/>
            <w:hideMark/>
          </w:tcPr>
          <w:p w14:paraId="331AA97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c>
          <w:tcPr>
            <w:tcW w:w="1329" w:type="dxa"/>
            <w:tcBorders>
              <w:top w:val="nil"/>
              <w:left w:val="nil"/>
              <w:bottom w:val="single" w:sz="4" w:space="0" w:color="auto"/>
              <w:right w:val="single" w:sz="4" w:space="0" w:color="auto"/>
            </w:tcBorders>
            <w:shd w:val="clear" w:color="auto" w:fill="auto"/>
            <w:noWrap/>
            <w:vAlign w:val="bottom"/>
            <w:hideMark/>
          </w:tcPr>
          <w:p w14:paraId="20E3B0B8"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w:t>
            </w:r>
          </w:p>
        </w:tc>
      </w:tr>
      <w:tr w:rsidR="006403CC" w:rsidRPr="0043743B" w14:paraId="72493110"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2E6F1DFD"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TOURISM, TRADE AND INDUSTRY</w:t>
            </w:r>
          </w:p>
        </w:tc>
        <w:tc>
          <w:tcPr>
            <w:tcW w:w="1329" w:type="dxa"/>
            <w:tcBorders>
              <w:top w:val="nil"/>
              <w:left w:val="nil"/>
              <w:bottom w:val="single" w:sz="4" w:space="0" w:color="auto"/>
              <w:right w:val="single" w:sz="4" w:space="0" w:color="auto"/>
            </w:tcBorders>
            <w:shd w:val="clear" w:color="auto" w:fill="auto"/>
            <w:noWrap/>
            <w:vAlign w:val="bottom"/>
            <w:hideMark/>
          </w:tcPr>
          <w:p w14:paraId="77DE431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0.2%</w:t>
            </w:r>
          </w:p>
        </w:tc>
        <w:tc>
          <w:tcPr>
            <w:tcW w:w="1329" w:type="dxa"/>
            <w:tcBorders>
              <w:top w:val="nil"/>
              <w:left w:val="nil"/>
              <w:bottom w:val="single" w:sz="4" w:space="0" w:color="auto"/>
              <w:right w:val="single" w:sz="4" w:space="0" w:color="auto"/>
            </w:tcBorders>
            <w:shd w:val="clear" w:color="auto" w:fill="auto"/>
            <w:noWrap/>
            <w:vAlign w:val="bottom"/>
            <w:hideMark/>
          </w:tcPr>
          <w:p w14:paraId="24C0641B"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0.2%</w:t>
            </w:r>
          </w:p>
        </w:tc>
        <w:tc>
          <w:tcPr>
            <w:tcW w:w="1329" w:type="dxa"/>
            <w:tcBorders>
              <w:top w:val="nil"/>
              <w:left w:val="nil"/>
              <w:bottom w:val="single" w:sz="4" w:space="0" w:color="auto"/>
              <w:right w:val="single" w:sz="4" w:space="0" w:color="auto"/>
            </w:tcBorders>
            <w:shd w:val="clear" w:color="auto" w:fill="auto"/>
            <w:noWrap/>
            <w:vAlign w:val="bottom"/>
            <w:hideMark/>
          </w:tcPr>
          <w:p w14:paraId="03CD33CF"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0.2%</w:t>
            </w:r>
          </w:p>
        </w:tc>
      </w:tr>
      <w:tr w:rsidR="006403CC" w:rsidRPr="0043743B" w14:paraId="7632B780" w14:textId="77777777" w:rsidTr="00773884">
        <w:trPr>
          <w:trHeigh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7CEC1AB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WATER AND ENVIRONMENT</w:t>
            </w:r>
          </w:p>
        </w:tc>
        <w:tc>
          <w:tcPr>
            <w:tcW w:w="1329" w:type="dxa"/>
            <w:tcBorders>
              <w:top w:val="nil"/>
              <w:left w:val="nil"/>
              <w:bottom w:val="single" w:sz="4" w:space="0" w:color="auto"/>
              <w:right w:val="single" w:sz="4" w:space="0" w:color="auto"/>
            </w:tcBorders>
            <w:shd w:val="clear" w:color="auto" w:fill="auto"/>
            <w:noWrap/>
            <w:vAlign w:val="bottom"/>
            <w:hideMark/>
          </w:tcPr>
          <w:p w14:paraId="08CA9C1B"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9.3%</w:t>
            </w:r>
          </w:p>
        </w:tc>
        <w:tc>
          <w:tcPr>
            <w:tcW w:w="1329" w:type="dxa"/>
            <w:tcBorders>
              <w:top w:val="nil"/>
              <w:left w:val="nil"/>
              <w:bottom w:val="single" w:sz="4" w:space="0" w:color="auto"/>
              <w:right w:val="single" w:sz="4" w:space="0" w:color="auto"/>
            </w:tcBorders>
            <w:shd w:val="clear" w:color="auto" w:fill="auto"/>
            <w:noWrap/>
            <w:vAlign w:val="bottom"/>
            <w:hideMark/>
          </w:tcPr>
          <w:p w14:paraId="5FD36A62"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7.1%</w:t>
            </w:r>
          </w:p>
        </w:tc>
        <w:tc>
          <w:tcPr>
            <w:tcW w:w="1329" w:type="dxa"/>
            <w:tcBorders>
              <w:top w:val="nil"/>
              <w:left w:val="nil"/>
              <w:bottom w:val="single" w:sz="4" w:space="0" w:color="auto"/>
              <w:right w:val="single" w:sz="4" w:space="0" w:color="auto"/>
            </w:tcBorders>
            <w:shd w:val="clear" w:color="auto" w:fill="auto"/>
            <w:noWrap/>
            <w:vAlign w:val="bottom"/>
            <w:hideMark/>
          </w:tcPr>
          <w:p w14:paraId="4CA522BE"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9.3%</w:t>
            </w:r>
          </w:p>
        </w:tc>
      </w:tr>
      <w:tr w:rsidR="006403CC" w:rsidRPr="0043743B" w14:paraId="45277D52" w14:textId="77777777" w:rsidTr="00773884">
        <w:trPr>
          <w:trHeight w:val="283"/>
        </w:trPr>
        <w:tc>
          <w:tcPr>
            <w:tcW w:w="5318" w:type="dxa"/>
            <w:tcBorders>
              <w:top w:val="nil"/>
              <w:left w:val="single" w:sz="4" w:space="0" w:color="auto"/>
              <w:bottom w:val="double" w:sz="6" w:space="0" w:color="auto"/>
              <w:right w:val="single" w:sz="4" w:space="0" w:color="auto"/>
            </w:tcBorders>
            <w:shd w:val="clear" w:color="auto" w:fill="auto"/>
            <w:noWrap/>
            <w:vAlign w:val="bottom"/>
            <w:hideMark/>
          </w:tcPr>
          <w:p w14:paraId="12B69999"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WORKS AND TRANSPORT</w:t>
            </w:r>
          </w:p>
        </w:tc>
        <w:tc>
          <w:tcPr>
            <w:tcW w:w="1329" w:type="dxa"/>
            <w:tcBorders>
              <w:top w:val="nil"/>
              <w:left w:val="nil"/>
              <w:bottom w:val="double" w:sz="6" w:space="0" w:color="auto"/>
              <w:right w:val="single" w:sz="4" w:space="0" w:color="auto"/>
            </w:tcBorders>
            <w:shd w:val="clear" w:color="auto" w:fill="auto"/>
            <w:noWrap/>
            <w:vAlign w:val="bottom"/>
            <w:hideMark/>
          </w:tcPr>
          <w:p w14:paraId="022F2BDF"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12.0%</w:t>
            </w:r>
          </w:p>
        </w:tc>
        <w:tc>
          <w:tcPr>
            <w:tcW w:w="1329" w:type="dxa"/>
            <w:tcBorders>
              <w:top w:val="nil"/>
              <w:left w:val="nil"/>
              <w:bottom w:val="double" w:sz="6" w:space="0" w:color="auto"/>
              <w:right w:val="single" w:sz="4" w:space="0" w:color="auto"/>
            </w:tcBorders>
            <w:shd w:val="clear" w:color="auto" w:fill="auto"/>
            <w:noWrap/>
            <w:vAlign w:val="bottom"/>
            <w:hideMark/>
          </w:tcPr>
          <w:p w14:paraId="66B2C0B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14.8%</w:t>
            </w:r>
          </w:p>
        </w:tc>
        <w:tc>
          <w:tcPr>
            <w:tcW w:w="1329" w:type="dxa"/>
            <w:tcBorders>
              <w:top w:val="nil"/>
              <w:left w:val="nil"/>
              <w:bottom w:val="double" w:sz="6" w:space="0" w:color="auto"/>
              <w:right w:val="single" w:sz="4" w:space="0" w:color="auto"/>
            </w:tcBorders>
            <w:shd w:val="clear" w:color="auto" w:fill="auto"/>
            <w:noWrap/>
            <w:vAlign w:val="bottom"/>
            <w:hideMark/>
          </w:tcPr>
          <w:p w14:paraId="7297D085" w14:textId="77777777" w:rsidR="006403CC" w:rsidRPr="0043743B" w:rsidRDefault="006403CC" w:rsidP="003666C5">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24.1%</w:t>
            </w:r>
          </w:p>
        </w:tc>
      </w:tr>
    </w:tbl>
    <w:p w14:paraId="0575B5A0"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47EB02D8" w14:textId="5A20B682" w:rsidR="006403CC" w:rsidRPr="00773884" w:rsidRDefault="003666C5" w:rsidP="002A4612">
      <w:pPr>
        <w:spacing w:before="120" w:after="120" w:line="240" w:lineRule="auto"/>
        <w:rPr>
          <w:rFonts w:ascii="Times New Roman" w:eastAsia="Arial Unicode MS" w:hAnsi="Times New Roman"/>
          <w:b/>
          <w:bCs/>
          <w:color w:val="000000"/>
        </w:rPr>
      </w:pPr>
      <w:bookmarkStart w:id="145" w:name="_Toc3505107"/>
      <w:r w:rsidRPr="00773884">
        <w:rPr>
          <w:rFonts w:ascii="Times New Roman" w:hAnsi="Times New Roman"/>
        </w:rPr>
        <w:t xml:space="preserve">Table </w:t>
      </w:r>
      <w:r w:rsidRPr="00773884">
        <w:rPr>
          <w:rFonts w:ascii="Times New Roman" w:hAnsi="Times New Roman"/>
        </w:rPr>
        <w:fldChar w:fldCharType="begin"/>
      </w:r>
      <w:r w:rsidRPr="00773884">
        <w:rPr>
          <w:rFonts w:ascii="Times New Roman" w:hAnsi="Times New Roman"/>
        </w:rPr>
        <w:instrText xml:space="preserve"> SEQ Table \* ARABIC </w:instrText>
      </w:r>
      <w:r w:rsidRPr="00773884">
        <w:rPr>
          <w:rFonts w:ascii="Times New Roman" w:hAnsi="Times New Roman"/>
        </w:rPr>
        <w:fldChar w:fldCharType="separate"/>
      </w:r>
      <w:r w:rsidR="006F31B1">
        <w:rPr>
          <w:rFonts w:ascii="Times New Roman" w:hAnsi="Times New Roman"/>
          <w:noProof/>
        </w:rPr>
        <w:t>10</w:t>
      </w:r>
      <w:r w:rsidRPr="00773884">
        <w:rPr>
          <w:rFonts w:ascii="Times New Roman" w:hAnsi="Times New Roman"/>
        </w:rPr>
        <w:fldChar w:fldCharType="end"/>
      </w:r>
      <w:r w:rsidRPr="00773884">
        <w:rPr>
          <w:rFonts w:ascii="Times New Roman" w:hAnsi="Times New Roman"/>
        </w:rPr>
        <w:t>:</w:t>
      </w:r>
      <w:r w:rsidR="002A4612" w:rsidRPr="00773884">
        <w:rPr>
          <w:rFonts w:ascii="Times New Roman" w:hAnsi="Times New Roman"/>
        </w:rPr>
        <w:t xml:space="preserve"> </w:t>
      </w:r>
      <w:r w:rsidR="006403CC" w:rsidRPr="00773884">
        <w:rPr>
          <w:rFonts w:ascii="Times New Roman" w:eastAsia="Arial Unicode MS" w:hAnsi="Times New Roman"/>
          <w:b/>
        </w:rPr>
        <w:t xml:space="preserve"> </w:t>
      </w:r>
      <w:r w:rsidR="006403CC" w:rsidRPr="00773884">
        <w:rPr>
          <w:rFonts w:ascii="Times New Roman" w:eastAsia="Arial Unicode MS" w:hAnsi="Times New Roman"/>
          <w:b/>
          <w:bCs/>
          <w:color w:val="000000"/>
        </w:rPr>
        <w:t>Total Allocation of Development Assistance NON-MTEF (Off Budget) by sector (USD m)</w:t>
      </w:r>
      <w:bookmarkEnd w:id="145"/>
    </w:p>
    <w:tbl>
      <w:tblPr>
        <w:tblW w:w="9312" w:type="dxa"/>
        <w:tblInd w:w="-5" w:type="dxa"/>
        <w:tblLook w:val="04A0" w:firstRow="1" w:lastRow="0" w:firstColumn="1" w:lastColumn="0" w:noHBand="0" w:noVBand="1"/>
      </w:tblPr>
      <w:tblGrid>
        <w:gridCol w:w="5364"/>
        <w:gridCol w:w="1316"/>
        <w:gridCol w:w="1316"/>
        <w:gridCol w:w="1316"/>
      </w:tblGrid>
      <w:tr w:rsidR="006403CC" w:rsidRPr="0043743B" w14:paraId="1B1FDE3B" w14:textId="77777777" w:rsidTr="00773884">
        <w:trPr>
          <w:trHeight w:val="271"/>
        </w:trPr>
        <w:tc>
          <w:tcPr>
            <w:tcW w:w="5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8F695"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SECTOR</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27786B00"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2015/16</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1ADB3AB"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2016/17</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0FD28AB4"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2017/18</w:t>
            </w:r>
          </w:p>
        </w:tc>
      </w:tr>
      <w:tr w:rsidR="006403CC" w:rsidRPr="0043743B" w14:paraId="48811459"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309D31C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Accountability</w:t>
            </w:r>
          </w:p>
        </w:tc>
        <w:tc>
          <w:tcPr>
            <w:tcW w:w="1316" w:type="dxa"/>
            <w:tcBorders>
              <w:top w:val="nil"/>
              <w:left w:val="nil"/>
              <w:bottom w:val="single" w:sz="4" w:space="0" w:color="auto"/>
              <w:right w:val="single" w:sz="4" w:space="0" w:color="auto"/>
            </w:tcBorders>
            <w:shd w:val="clear" w:color="000000" w:fill="FFFFFF"/>
            <w:noWrap/>
            <w:vAlign w:val="bottom"/>
            <w:hideMark/>
          </w:tcPr>
          <w:p w14:paraId="198CAAC4"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9.93</w:t>
            </w:r>
          </w:p>
        </w:tc>
        <w:tc>
          <w:tcPr>
            <w:tcW w:w="1316" w:type="dxa"/>
            <w:tcBorders>
              <w:top w:val="nil"/>
              <w:left w:val="nil"/>
              <w:bottom w:val="single" w:sz="4" w:space="0" w:color="auto"/>
              <w:right w:val="single" w:sz="4" w:space="0" w:color="auto"/>
            </w:tcBorders>
            <w:shd w:val="clear" w:color="000000" w:fill="FFFFFF"/>
            <w:noWrap/>
            <w:vAlign w:val="bottom"/>
            <w:hideMark/>
          </w:tcPr>
          <w:p w14:paraId="447FEF81"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10.49</w:t>
            </w:r>
          </w:p>
        </w:tc>
        <w:tc>
          <w:tcPr>
            <w:tcW w:w="1316" w:type="dxa"/>
            <w:tcBorders>
              <w:top w:val="nil"/>
              <w:left w:val="nil"/>
              <w:bottom w:val="single" w:sz="4" w:space="0" w:color="auto"/>
              <w:right w:val="single" w:sz="4" w:space="0" w:color="auto"/>
            </w:tcBorders>
            <w:shd w:val="clear" w:color="000000" w:fill="FFFFFF"/>
            <w:noWrap/>
            <w:vAlign w:val="bottom"/>
            <w:hideMark/>
          </w:tcPr>
          <w:p w14:paraId="7B13FA95"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9.94</w:t>
            </w:r>
          </w:p>
        </w:tc>
      </w:tr>
      <w:tr w:rsidR="006403CC" w:rsidRPr="0043743B" w14:paraId="1E9DDB64"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1AF67BA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Agriculture</w:t>
            </w:r>
          </w:p>
        </w:tc>
        <w:tc>
          <w:tcPr>
            <w:tcW w:w="1316" w:type="dxa"/>
            <w:tcBorders>
              <w:top w:val="nil"/>
              <w:left w:val="nil"/>
              <w:bottom w:val="single" w:sz="4" w:space="0" w:color="auto"/>
              <w:right w:val="single" w:sz="4" w:space="0" w:color="auto"/>
            </w:tcBorders>
            <w:shd w:val="clear" w:color="000000" w:fill="FFFFFF"/>
            <w:noWrap/>
            <w:vAlign w:val="bottom"/>
            <w:hideMark/>
          </w:tcPr>
          <w:p w14:paraId="7CF300B8"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9.71</w:t>
            </w:r>
          </w:p>
        </w:tc>
        <w:tc>
          <w:tcPr>
            <w:tcW w:w="1316" w:type="dxa"/>
            <w:tcBorders>
              <w:top w:val="nil"/>
              <w:left w:val="nil"/>
              <w:bottom w:val="single" w:sz="4" w:space="0" w:color="auto"/>
              <w:right w:val="single" w:sz="4" w:space="0" w:color="auto"/>
            </w:tcBorders>
            <w:shd w:val="clear" w:color="000000" w:fill="FFFFFF"/>
            <w:noWrap/>
            <w:vAlign w:val="bottom"/>
            <w:hideMark/>
          </w:tcPr>
          <w:p w14:paraId="116F9C7D"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9.68</w:t>
            </w:r>
          </w:p>
        </w:tc>
        <w:tc>
          <w:tcPr>
            <w:tcW w:w="1316" w:type="dxa"/>
            <w:tcBorders>
              <w:top w:val="nil"/>
              <w:left w:val="nil"/>
              <w:bottom w:val="single" w:sz="4" w:space="0" w:color="auto"/>
              <w:right w:val="single" w:sz="4" w:space="0" w:color="auto"/>
            </w:tcBorders>
            <w:shd w:val="clear" w:color="000000" w:fill="FFFFFF"/>
            <w:noWrap/>
            <w:vAlign w:val="bottom"/>
            <w:hideMark/>
          </w:tcPr>
          <w:p w14:paraId="01D334D1"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9.68</w:t>
            </w:r>
          </w:p>
        </w:tc>
      </w:tr>
      <w:tr w:rsidR="006403CC" w:rsidRPr="0043743B" w14:paraId="09C7FC1C"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28F65E47"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Security</w:t>
            </w:r>
          </w:p>
        </w:tc>
        <w:tc>
          <w:tcPr>
            <w:tcW w:w="1316" w:type="dxa"/>
            <w:tcBorders>
              <w:top w:val="nil"/>
              <w:left w:val="nil"/>
              <w:bottom w:val="single" w:sz="4" w:space="0" w:color="auto"/>
              <w:right w:val="single" w:sz="4" w:space="0" w:color="auto"/>
            </w:tcBorders>
            <w:shd w:val="clear" w:color="000000" w:fill="FFFFFF"/>
            <w:noWrap/>
            <w:vAlign w:val="bottom"/>
            <w:hideMark/>
          </w:tcPr>
          <w:p w14:paraId="0E8B9732"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w:t>
            </w:r>
          </w:p>
        </w:tc>
        <w:tc>
          <w:tcPr>
            <w:tcW w:w="1316" w:type="dxa"/>
            <w:tcBorders>
              <w:top w:val="nil"/>
              <w:left w:val="nil"/>
              <w:bottom w:val="single" w:sz="4" w:space="0" w:color="auto"/>
              <w:right w:val="single" w:sz="4" w:space="0" w:color="auto"/>
            </w:tcBorders>
            <w:shd w:val="clear" w:color="000000" w:fill="FFFFFF"/>
            <w:noWrap/>
            <w:vAlign w:val="bottom"/>
            <w:hideMark/>
          </w:tcPr>
          <w:p w14:paraId="1C3424FE"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w:t>
            </w:r>
          </w:p>
        </w:tc>
        <w:tc>
          <w:tcPr>
            <w:tcW w:w="1316" w:type="dxa"/>
            <w:tcBorders>
              <w:top w:val="nil"/>
              <w:left w:val="nil"/>
              <w:bottom w:val="single" w:sz="4" w:space="0" w:color="auto"/>
              <w:right w:val="single" w:sz="4" w:space="0" w:color="auto"/>
            </w:tcBorders>
            <w:shd w:val="clear" w:color="000000" w:fill="FFFFFF"/>
            <w:noWrap/>
            <w:vAlign w:val="bottom"/>
            <w:hideMark/>
          </w:tcPr>
          <w:p w14:paraId="177BF739"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w:t>
            </w:r>
          </w:p>
        </w:tc>
      </w:tr>
      <w:tr w:rsidR="006403CC" w:rsidRPr="0043743B" w14:paraId="1B025ADF"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581F6CB4"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Health</w:t>
            </w:r>
          </w:p>
        </w:tc>
        <w:tc>
          <w:tcPr>
            <w:tcW w:w="1316" w:type="dxa"/>
            <w:tcBorders>
              <w:top w:val="nil"/>
              <w:left w:val="nil"/>
              <w:bottom w:val="single" w:sz="4" w:space="0" w:color="auto"/>
              <w:right w:val="single" w:sz="4" w:space="0" w:color="auto"/>
            </w:tcBorders>
            <w:shd w:val="clear" w:color="000000" w:fill="FFFFFF"/>
            <w:noWrap/>
            <w:vAlign w:val="bottom"/>
            <w:hideMark/>
          </w:tcPr>
          <w:p w14:paraId="489A0783"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189.59</w:t>
            </w:r>
          </w:p>
        </w:tc>
        <w:tc>
          <w:tcPr>
            <w:tcW w:w="1316" w:type="dxa"/>
            <w:tcBorders>
              <w:top w:val="nil"/>
              <w:left w:val="nil"/>
              <w:bottom w:val="single" w:sz="4" w:space="0" w:color="auto"/>
              <w:right w:val="single" w:sz="4" w:space="0" w:color="auto"/>
            </w:tcBorders>
            <w:shd w:val="clear" w:color="000000" w:fill="FFFFFF"/>
            <w:noWrap/>
            <w:vAlign w:val="bottom"/>
            <w:hideMark/>
          </w:tcPr>
          <w:p w14:paraId="581F096D"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189.59</w:t>
            </w:r>
          </w:p>
        </w:tc>
        <w:tc>
          <w:tcPr>
            <w:tcW w:w="1316" w:type="dxa"/>
            <w:tcBorders>
              <w:top w:val="nil"/>
              <w:left w:val="nil"/>
              <w:bottom w:val="single" w:sz="4" w:space="0" w:color="auto"/>
              <w:right w:val="single" w:sz="4" w:space="0" w:color="auto"/>
            </w:tcBorders>
            <w:shd w:val="clear" w:color="000000" w:fill="FFFFFF"/>
            <w:noWrap/>
            <w:vAlign w:val="bottom"/>
            <w:hideMark/>
          </w:tcPr>
          <w:p w14:paraId="39B97676"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189.59</w:t>
            </w:r>
          </w:p>
        </w:tc>
      </w:tr>
      <w:tr w:rsidR="006403CC" w:rsidRPr="0043743B" w14:paraId="36F06B18"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4464D3D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Water&amp; sanitation</w:t>
            </w:r>
          </w:p>
        </w:tc>
        <w:tc>
          <w:tcPr>
            <w:tcW w:w="1316" w:type="dxa"/>
            <w:tcBorders>
              <w:top w:val="nil"/>
              <w:left w:val="nil"/>
              <w:bottom w:val="single" w:sz="4" w:space="0" w:color="auto"/>
              <w:right w:val="single" w:sz="4" w:space="0" w:color="auto"/>
            </w:tcBorders>
            <w:shd w:val="clear" w:color="000000" w:fill="FFFFFF"/>
            <w:noWrap/>
            <w:vAlign w:val="bottom"/>
            <w:hideMark/>
          </w:tcPr>
          <w:p w14:paraId="6B207743"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11.41</w:t>
            </w:r>
          </w:p>
        </w:tc>
        <w:tc>
          <w:tcPr>
            <w:tcW w:w="1316" w:type="dxa"/>
            <w:tcBorders>
              <w:top w:val="nil"/>
              <w:left w:val="nil"/>
              <w:bottom w:val="single" w:sz="4" w:space="0" w:color="auto"/>
              <w:right w:val="single" w:sz="4" w:space="0" w:color="auto"/>
            </w:tcBorders>
            <w:shd w:val="clear" w:color="000000" w:fill="FFFFFF"/>
            <w:noWrap/>
            <w:vAlign w:val="bottom"/>
            <w:hideMark/>
          </w:tcPr>
          <w:p w14:paraId="578C2519"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13.35</w:t>
            </w:r>
          </w:p>
        </w:tc>
        <w:tc>
          <w:tcPr>
            <w:tcW w:w="1316" w:type="dxa"/>
            <w:tcBorders>
              <w:top w:val="nil"/>
              <w:left w:val="nil"/>
              <w:bottom w:val="single" w:sz="4" w:space="0" w:color="auto"/>
              <w:right w:val="single" w:sz="4" w:space="0" w:color="auto"/>
            </w:tcBorders>
            <w:shd w:val="clear" w:color="000000" w:fill="FFFFFF"/>
            <w:noWrap/>
            <w:vAlign w:val="bottom"/>
            <w:hideMark/>
          </w:tcPr>
          <w:p w14:paraId="36780F51"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13.38</w:t>
            </w:r>
          </w:p>
        </w:tc>
      </w:tr>
      <w:tr w:rsidR="006403CC" w:rsidRPr="0043743B" w14:paraId="5B0DCB69"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40495B4C"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Justice Law and Order incl. Governance</w:t>
            </w:r>
          </w:p>
        </w:tc>
        <w:tc>
          <w:tcPr>
            <w:tcW w:w="1316" w:type="dxa"/>
            <w:tcBorders>
              <w:top w:val="nil"/>
              <w:left w:val="nil"/>
              <w:bottom w:val="single" w:sz="4" w:space="0" w:color="auto"/>
              <w:right w:val="single" w:sz="4" w:space="0" w:color="auto"/>
            </w:tcBorders>
            <w:shd w:val="clear" w:color="000000" w:fill="FFFFFF"/>
            <w:noWrap/>
            <w:vAlign w:val="bottom"/>
            <w:hideMark/>
          </w:tcPr>
          <w:p w14:paraId="59405BCF"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9.79</w:t>
            </w:r>
          </w:p>
        </w:tc>
        <w:tc>
          <w:tcPr>
            <w:tcW w:w="1316" w:type="dxa"/>
            <w:tcBorders>
              <w:top w:val="nil"/>
              <w:left w:val="nil"/>
              <w:bottom w:val="single" w:sz="4" w:space="0" w:color="auto"/>
              <w:right w:val="single" w:sz="4" w:space="0" w:color="auto"/>
            </w:tcBorders>
            <w:shd w:val="clear" w:color="000000" w:fill="FFFFFF"/>
            <w:noWrap/>
            <w:vAlign w:val="bottom"/>
            <w:hideMark/>
          </w:tcPr>
          <w:p w14:paraId="150EEEF1"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11.04</w:t>
            </w:r>
          </w:p>
        </w:tc>
        <w:tc>
          <w:tcPr>
            <w:tcW w:w="1316" w:type="dxa"/>
            <w:tcBorders>
              <w:top w:val="nil"/>
              <w:left w:val="nil"/>
              <w:bottom w:val="single" w:sz="4" w:space="0" w:color="auto"/>
              <w:right w:val="single" w:sz="4" w:space="0" w:color="auto"/>
            </w:tcBorders>
            <w:shd w:val="clear" w:color="000000" w:fill="FFFFFF"/>
            <w:noWrap/>
            <w:vAlign w:val="bottom"/>
            <w:hideMark/>
          </w:tcPr>
          <w:p w14:paraId="78F145C0"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9.85</w:t>
            </w:r>
          </w:p>
        </w:tc>
      </w:tr>
      <w:tr w:rsidR="006403CC" w:rsidRPr="0043743B" w14:paraId="59FBBCD2"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3B41744E"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Social Development</w:t>
            </w:r>
          </w:p>
        </w:tc>
        <w:tc>
          <w:tcPr>
            <w:tcW w:w="1316" w:type="dxa"/>
            <w:tcBorders>
              <w:top w:val="nil"/>
              <w:left w:val="nil"/>
              <w:bottom w:val="single" w:sz="4" w:space="0" w:color="auto"/>
              <w:right w:val="single" w:sz="4" w:space="0" w:color="auto"/>
            </w:tcBorders>
            <w:shd w:val="clear" w:color="000000" w:fill="FFFFFF"/>
            <w:noWrap/>
            <w:vAlign w:val="bottom"/>
            <w:hideMark/>
          </w:tcPr>
          <w:p w14:paraId="5917A329"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6.10</w:t>
            </w:r>
          </w:p>
        </w:tc>
        <w:tc>
          <w:tcPr>
            <w:tcW w:w="1316" w:type="dxa"/>
            <w:tcBorders>
              <w:top w:val="nil"/>
              <w:left w:val="nil"/>
              <w:bottom w:val="single" w:sz="4" w:space="0" w:color="auto"/>
              <w:right w:val="single" w:sz="4" w:space="0" w:color="auto"/>
            </w:tcBorders>
            <w:shd w:val="clear" w:color="000000" w:fill="FFFFFF"/>
            <w:noWrap/>
            <w:vAlign w:val="bottom"/>
            <w:hideMark/>
          </w:tcPr>
          <w:p w14:paraId="7ADB3907"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4.39</w:t>
            </w:r>
          </w:p>
        </w:tc>
        <w:tc>
          <w:tcPr>
            <w:tcW w:w="1316" w:type="dxa"/>
            <w:tcBorders>
              <w:top w:val="nil"/>
              <w:left w:val="nil"/>
              <w:bottom w:val="single" w:sz="4" w:space="0" w:color="auto"/>
              <w:right w:val="single" w:sz="4" w:space="0" w:color="auto"/>
            </w:tcBorders>
            <w:shd w:val="clear" w:color="000000" w:fill="FFFFFF"/>
            <w:noWrap/>
            <w:vAlign w:val="bottom"/>
            <w:hideMark/>
          </w:tcPr>
          <w:p w14:paraId="4727B947"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4.39</w:t>
            </w:r>
          </w:p>
        </w:tc>
      </w:tr>
      <w:tr w:rsidR="006403CC" w:rsidRPr="0043743B" w14:paraId="04FED843"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2987B0F0"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Education</w:t>
            </w:r>
          </w:p>
        </w:tc>
        <w:tc>
          <w:tcPr>
            <w:tcW w:w="1316" w:type="dxa"/>
            <w:tcBorders>
              <w:top w:val="nil"/>
              <w:left w:val="nil"/>
              <w:bottom w:val="single" w:sz="4" w:space="0" w:color="auto"/>
              <w:right w:val="single" w:sz="4" w:space="0" w:color="auto"/>
            </w:tcBorders>
            <w:shd w:val="clear" w:color="000000" w:fill="FFFFFF"/>
            <w:noWrap/>
            <w:vAlign w:val="bottom"/>
            <w:hideMark/>
          </w:tcPr>
          <w:p w14:paraId="559BA933"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13.21</w:t>
            </w:r>
          </w:p>
        </w:tc>
        <w:tc>
          <w:tcPr>
            <w:tcW w:w="1316" w:type="dxa"/>
            <w:tcBorders>
              <w:top w:val="nil"/>
              <w:left w:val="nil"/>
              <w:bottom w:val="single" w:sz="4" w:space="0" w:color="auto"/>
              <w:right w:val="single" w:sz="4" w:space="0" w:color="auto"/>
            </w:tcBorders>
            <w:shd w:val="clear" w:color="000000" w:fill="FFFFFF"/>
            <w:noWrap/>
            <w:vAlign w:val="bottom"/>
            <w:hideMark/>
          </w:tcPr>
          <w:p w14:paraId="4FB6E457"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13.21</w:t>
            </w:r>
          </w:p>
        </w:tc>
        <w:tc>
          <w:tcPr>
            <w:tcW w:w="1316" w:type="dxa"/>
            <w:tcBorders>
              <w:top w:val="nil"/>
              <w:left w:val="nil"/>
              <w:bottom w:val="single" w:sz="4" w:space="0" w:color="auto"/>
              <w:right w:val="single" w:sz="4" w:space="0" w:color="auto"/>
            </w:tcBorders>
            <w:shd w:val="clear" w:color="000000" w:fill="FFFFFF"/>
            <w:noWrap/>
            <w:vAlign w:val="bottom"/>
            <w:hideMark/>
          </w:tcPr>
          <w:p w14:paraId="3662BD24"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13.21</w:t>
            </w:r>
          </w:p>
        </w:tc>
      </w:tr>
      <w:tr w:rsidR="006403CC" w:rsidRPr="0043743B" w14:paraId="60E69E1E"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3FBB2F13"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Sector Management</w:t>
            </w:r>
          </w:p>
        </w:tc>
        <w:tc>
          <w:tcPr>
            <w:tcW w:w="1316" w:type="dxa"/>
            <w:tcBorders>
              <w:top w:val="nil"/>
              <w:left w:val="nil"/>
              <w:bottom w:val="single" w:sz="4" w:space="0" w:color="auto"/>
              <w:right w:val="single" w:sz="4" w:space="0" w:color="auto"/>
            </w:tcBorders>
            <w:shd w:val="clear" w:color="000000" w:fill="FFFFFF"/>
            <w:noWrap/>
            <w:vAlign w:val="bottom"/>
            <w:hideMark/>
          </w:tcPr>
          <w:p w14:paraId="0B09B03E"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5.45</w:t>
            </w:r>
          </w:p>
        </w:tc>
        <w:tc>
          <w:tcPr>
            <w:tcW w:w="1316" w:type="dxa"/>
            <w:tcBorders>
              <w:top w:val="nil"/>
              <w:left w:val="nil"/>
              <w:bottom w:val="single" w:sz="4" w:space="0" w:color="auto"/>
              <w:right w:val="single" w:sz="4" w:space="0" w:color="auto"/>
            </w:tcBorders>
            <w:shd w:val="clear" w:color="000000" w:fill="FFFFFF"/>
            <w:noWrap/>
            <w:vAlign w:val="bottom"/>
            <w:hideMark/>
          </w:tcPr>
          <w:p w14:paraId="0DBAE0D1"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5.41</w:t>
            </w:r>
          </w:p>
        </w:tc>
        <w:tc>
          <w:tcPr>
            <w:tcW w:w="1316" w:type="dxa"/>
            <w:tcBorders>
              <w:top w:val="nil"/>
              <w:left w:val="nil"/>
              <w:bottom w:val="single" w:sz="4" w:space="0" w:color="auto"/>
              <w:right w:val="single" w:sz="4" w:space="0" w:color="auto"/>
            </w:tcBorders>
            <w:shd w:val="clear" w:color="000000" w:fill="FFFFFF"/>
            <w:noWrap/>
            <w:vAlign w:val="bottom"/>
            <w:hideMark/>
          </w:tcPr>
          <w:p w14:paraId="554F5E6F"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5.41</w:t>
            </w:r>
          </w:p>
        </w:tc>
      </w:tr>
      <w:tr w:rsidR="006403CC" w:rsidRPr="0043743B" w14:paraId="0EF0D0F1"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0A4CBDEB"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Administration</w:t>
            </w:r>
          </w:p>
        </w:tc>
        <w:tc>
          <w:tcPr>
            <w:tcW w:w="1316" w:type="dxa"/>
            <w:tcBorders>
              <w:top w:val="nil"/>
              <w:left w:val="nil"/>
              <w:bottom w:val="single" w:sz="4" w:space="0" w:color="auto"/>
              <w:right w:val="single" w:sz="4" w:space="0" w:color="auto"/>
            </w:tcBorders>
            <w:shd w:val="clear" w:color="000000" w:fill="FFFFFF"/>
            <w:noWrap/>
            <w:vAlign w:val="bottom"/>
            <w:hideMark/>
          </w:tcPr>
          <w:p w14:paraId="3D1E8BC1"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w:t>
            </w:r>
          </w:p>
        </w:tc>
        <w:tc>
          <w:tcPr>
            <w:tcW w:w="1316" w:type="dxa"/>
            <w:tcBorders>
              <w:top w:val="nil"/>
              <w:left w:val="nil"/>
              <w:bottom w:val="single" w:sz="4" w:space="0" w:color="auto"/>
              <w:right w:val="single" w:sz="4" w:space="0" w:color="auto"/>
            </w:tcBorders>
            <w:shd w:val="clear" w:color="000000" w:fill="FFFFFF"/>
            <w:noWrap/>
            <w:vAlign w:val="bottom"/>
            <w:hideMark/>
          </w:tcPr>
          <w:p w14:paraId="57E44B78"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w:t>
            </w:r>
          </w:p>
        </w:tc>
        <w:tc>
          <w:tcPr>
            <w:tcW w:w="1316" w:type="dxa"/>
            <w:tcBorders>
              <w:top w:val="nil"/>
              <w:left w:val="nil"/>
              <w:bottom w:val="single" w:sz="4" w:space="0" w:color="auto"/>
              <w:right w:val="single" w:sz="4" w:space="0" w:color="auto"/>
            </w:tcBorders>
            <w:shd w:val="clear" w:color="000000" w:fill="FFFFFF"/>
            <w:noWrap/>
            <w:vAlign w:val="bottom"/>
            <w:hideMark/>
          </w:tcPr>
          <w:p w14:paraId="6C302B0F"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w:t>
            </w:r>
          </w:p>
        </w:tc>
      </w:tr>
      <w:tr w:rsidR="006403CC" w:rsidRPr="0043743B" w14:paraId="1147C59B"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478C7602"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Roads, Works &amp; Transport</w:t>
            </w:r>
          </w:p>
        </w:tc>
        <w:tc>
          <w:tcPr>
            <w:tcW w:w="1316" w:type="dxa"/>
            <w:tcBorders>
              <w:top w:val="nil"/>
              <w:left w:val="nil"/>
              <w:bottom w:val="single" w:sz="4" w:space="0" w:color="auto"/>
              <w:right w:val="single" w:sz="4" w:space="0" w:color="auto"/>
            </w:tcBorders>
            <w:shd w:val="clear" w:color="000000" w:fill="FFFFFF"/>
            <w:noWrap/>
            <w:vAlign w:val="bottom"/>
            <w:hideMark/>
          </w:tcPr>
          <w:p w14:paraId="7297F700"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w:t>
            </w:r>
          </w:p>
        </w:tc>
        <w:tc>
          <w:tcPr>
            <w:tcW w:w="1316" w:type="dxa"/>
            <w:tcBorders>
              <w:top w:val="nil"/>
              <w:left w:val="nil"/>
              <w:bottom w:val="single" w:sz="4" w:space="0" w:color="auto"/>
              <w:right w:val="single" w:sz="4" w:space="0" w:color="auto"/>
            </w:tcBorders>
            <w:shd w:val="clear" w:color="000000" w:fill="FFFFFF"/>
            <w:noWrap/>
            <w:vAlign w:val="bottom"/>
            <w:hideMark/>
          </w:tcPr>
          <w:p w14:paraId="4AEBB7C1"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w:t>
            </w:r>
          </w:p>
        </w:tc>
        <w:tc>
          <w:tcPr>
            <w:tcW w:w="1316" w:type="dxa"/>
            <w:tcBorders>
              <w:top w:val="nil"/>
              <w:left w:val="nil"/>
              <w:bottom w:val="single" w:sz="4" w:space="0" w:color="auto"/>
              <w:right w:val="single" w:sz="4" w:space="0" w:color="auto"/>
            </w:tcBorders>
            <w:shd w:val="clear" w:color="000000" w:fill="FFFFFF"/>
            <w:noWrap/>
            <w:vAlign w:val="bottom"/>
            <w:hideMark/>
          </w:tcPr>
          <w:p w14:paraId="4FF55196"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w:t>
            </w:r>
          </w:p>
        </w:tc>
      </w:tr>
      <w:tr w:rsidR="006403CC" w:rsidRPr="0043743B" w14:paraId="2A4F425D"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0974842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ICT</w:t>
            </w:r>
          </w:p>
        </w:tc>
        <w:tc>
          <w:tcPr>
            <w:tcW w:w="1316" w:type="dxa"/>
            <w:tcBorders>
              <w:top w:val="nil"/>
              <w:left w:val="nil"/>
              <w:bottom w:val="single" w:sz="4" w:space="0" w:color="auto"/>
              <w:right w:val="single" w:sz="4" w:space="0" w:color="auto"/>
            </w:tcBorders>
            <w:shd w:val="clear" w:color="000000" w:fill="FFFFFF"/>
            <w:noWrap/>
            <w:vAlign w:val="bottom"/>
            <w:hideMark/>
          </w:tcPr>
          <w:p w14:paraId="55FFAD61"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0.69</w:t>
            </w:r>
          </w:p>
        </w:tc>
        <w:tc>
          <w:tcPr>
            <w:tcW w:w="1316" w:type="dxa"/>
            <w:tcBorders>
              <w:top w:val="nil"/>
              <w:left w:val="nil"/>
              <w:bottom w:val="single" w:sz="4" w:space="0" w:color="auto"/>
              <w:right w:val="single" w:sz="4" w:space="0" w:color="auto"/>
            </w:tcBorders>
            <w:shd w:val="clear" w:color="000000" w:fill="FFFFFF"/>
            <w:noWrap/>
            <w:vAlign w:val="bottom"/>
            <w:hideMark/>
          </w:tcPr>
          <w:p w14:paraId="4CAB45D1"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0.69</w:t>
            </w:r>
          </w:p>
        </w:tc>
        <w:tc>
          <w:tcPr>
            <w:tcW w:w="1316" w:type="dxa"/>
            <w:tcBorders>
              <w:top w:val="nil"/>
              <w:left w:val="nil"/>
              <w:bottom w:val="single" w:sz="4" w:space="0" w:color="auto"/>
              <w:right w:val="single" w:sz="4" w:space="0" w:color="auto"/>
            </w:tcBorders>
            <w:shd w:val="clear" w:color="000000" w:fill="FFFFFF"/>
            <w:noWrap/>
            <w:vAlign w:val="bottom"/>
            <w:hideMark/>
          </w:tcPr>
          <w:p w14:paraId="61A24C20"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0.69</w:t>
            </w:r>
          </w:p>
        </w:tc>
      </w:tr>
      <w:tr w:rsidR="006403CC" w:rsidRPr="0043743B" w14:paraId="577C170C"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3DB1C25A"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Energy &amp; Minerals</w:t>
            </w:r>
          </w:p>
        </w:tc>
        <w:tc>
          <w:tcPr>
            <w:tcW w:w="1316" w:type="dxa"/>
            <w:tcBorders>
              <w:top w:val="nil"/>
              <w:left w:val="nil"/>
              <w:bottom w:val="single" w:sz="4" w:space="0" w:color="auto"/>
              <w:right w:val="single" w:sz="4" w:space="0" w:color="auto"/>
            </w:tcBorders>
            <w:shd w:val="clear" w:color="000000" w:fill="FFFFFF"/>
            <w:noWrap/>
            <w:vAlign w:val="bottom"/>
            <w:hideMark/>
          </w:tcPr>
          <w:p w14:paraId="6779C4FE"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8.99</w:t>
            </w:r>
          </w:p>
        </w:tc>
        <w:tc>
          <w:tcPr>
            <w:tcW w:w="1316" w:type="dxa"/>
            <w:tcBorders>
              <w:top w:val="nil"/>
              <w:left w:val="nil"/>
              <w:bottom w:val="single" w:sz="4" w:space="0" w:color="auto"/>
              <w:right w:val="single" w:sz="4" w:space="0" w:color="auto"/>
            </w:tcBorders>
            <w:shd w:val="clear" w:color="000000" w:fill="FFFFFF"/>
            <w:noWrap/>
            <w:vAlign w:val="bottom"/>
            <w:hideMark/>
          </w:tcPr>
          <w:p w14:paraId="45873D5C"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8.99</w:t>
            </w:r>
          </w:p>
        </w:tc>
        <w:tc>
          <w:tcPr>
            <w:tcW w:w="1316" w:type="dxa"/>
            <w:tcBorders>
              <w:top w:val="nil"/>
              <w:left w:val="nil"/>
              <w:bottom w:val="single" w:sz="4" w:space="0" w:color="auto"/>
              <w:right w:val="single" w:sz="4" w:space="0" w:color="auto"/>
            </w:tcBorders>
            <w:shd w:val="clear" w:color="000000" w:fill="FFFFFF"/>
            <w:noWrap/>
            <w:vAlign w:val="bottom"/>
            <w:hideMark/>
          </w:tcPr>
          <w:p w14:paraId="7049BA47"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8.99</w:t>
            </w:r>
          </w:p>
        </w:tc>
      </w:tr>
      <w:tr w:rsidR="006403CC" w:rsidRPr="0043743B" w14:paraId="459AF475" w14:textId="77777777" w:rsidTr="00773884">
        <w:trPr>
          <w:trHeight w:val="285"/>
        </w:trPr>
        <w:tc>
          <w:tcPr>
            <w:tcW w:w="5364" w:type="dxa"/>
            <w:tcBorders>
              <w:top w:val="nil"/>
              <w:left w:val="single" w:sz="4" w:space="0" w:color="auto"/>
              <w:bottom w:val="single" w:sz="4" w:space="0" w:color="auto"/>
              <w:right w:val="single" w:sz="4" w:space="0" w:color="auto"/>
            </w:tcBorders>
            <w:shd w:val="clear" w:color="auto" w:fill="auto"/>
            <w:noWrap/>
            <w:vAlign w:val="bottom"/>
            <w:hideMark/>
          </w:tcPr>
          <w:p w14:paraId="4E8D1EDF" w14:textId="77777777" w:rsidR="006403CC" w:rsidRPr="0043743B" w:rsidRDefault="006403CC" w:rsidP="003666C5">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Trade and Tourism</w:t>
            </w:r>
          </w:p>
        </w:tc>
        <w:tc>
          <w:tcPr>
            <w:tcW w:w="1316" w:type="dxa"/>
            <w:tcBorders>
              <w:top w:val="nil"/>
              <w:left w:val="nil"/>
              <w:bottom w:val="single" w:sz="4" w:space="0" w:color="auto"/>
              <w:right w:val="single" w:sz="4" w:space="0" w:color="auto"/>
            </w:tcBorders>
            <w:shd w:val="clear" w:color="000000" w:fill="FFFFFF"/>
            <w:noWrap/>
            <w:vAlign w:val="bottom"/>
            <w:hideMark/>
          </w:tcPr>
          <w:p w14:paraId="16E61FFD"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0.72</w:t>
            </w:r>
          </w:p>
        </w:tc>
        <w:tc>
          <w:tcPr>
            <w:tcW w:w="1316" w:type="dxa"/>
            <w:tcBorders>
              <w:top w:val="nil"/>
              <w:left w:val="nil"/>
              <w:bottom w:val="single" w:sz="4" w:space="0" w:color="auto"/>
              <w:right w:val="single" w:sz="4" w:space="0" w:color="auto"/>
            </w:tcBorders>
            <w:shd w:val="clear" w:color="000000" w:fill="FFFFFF"/>
            <w:noWrap/>
            <w:vAlign w:val="bottom"/>
            <w:hideMark/>
          </w:tcPr>
          <w:p w14:paraId="1565F19F"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0.00</w:t>
            </w:r>
          </w:p>
        </w:tc>
        <w:tc>
          <w:tcPr>
            <w:tcW w:w="1316" w:type="dxa"/>
            <w:tcBorders>
              <w:top w:val="nil"/>
              <w:left w:val="nil"/>
              <w:bottom w:val="single" w:sz="4" w:space="0" w:color="auto"/>
              <w:right w:val="single" w:sz="4" w:space="0" w:color="auto"/>
            </w:tcBorders>
            <w:shd w:val="clear" w:color="000000" w:fill="FFFFFF"/>
            <w:noWrap/>
            <w:vAlign w:val="bottom"/>
            <w:hideMark/>
          </w:tcPr>
          <w:p w14:paraId="02F329E5"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0.00</w:t>
            </w:r>
          </w:p>
        </w:tc>
      </w:tr>
      <w:tr w:rsidR="006403CC" w:rsidRPr="0043743B" w14:paraId="7CA3AD16" w14:textId="77777777" w:rsidTr="00773884">
        <w:trPr>
          <w:trHeight w:val="298"/>
        </w:trPr>
        <w:tc>
          <w:tcPr>
            <w:tcW w:w="5364" w:type="dxa"/>
            <w:tcBorders>
              <w:top w:val="nil"/>
              <w:left w:val="single" w:sz="4" w:space="0" w:color="auto"/>
              <w:bottom w:val="double" w:sz="6" w:space="0" w:color="auto"/>
              <w:right w:val="single" w:sz="4" w:space="0" w:color="auto"/>
            </w:tcBorders>
            <w:shd w:val="clear" w:color="auto" w:fill="auto"/>
            <w:noWrap/>
            <w:vAlign w:val="bottom"/>
            <w:hideMark/>
          </w:tcPr>
          <w:p w14:paraId="64A1042C"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TOTAL</w:t>
            </w:r>
          </w:p>
        </w:tc>
        <w:tc>
          <w:tcPr>
            <w:tcW w:w="1316" w:type="dxa"/>
            <w:tcBorders>
              <w:top w:val="nil"/>
              <w:left w:val="nil"/>
              <w:bottom w:val="double" w:sz="6" w:space="0" w:color="auto"/>
              <w:right w:val="single" w:sz="4" w:space="0" w:color="auto"/>
            </w:tcBorders>
            <w:shd w:val="clear" w:color="000000" w:fill="FFFFFF"/>
            <w:noWrap/>
            <w:vAlign w:val="bottom"/>
            <w:hideMark/>
          </w:tcPr>
          <w:p w14:paraId="1029EA66"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265.58</w:t>
            </w:r>
          </w:p>
        </w:tc>
        <w:tc>
          <w:tcPr>
            <w:tcW w:w="1316" w:type="dxa"/>
            <w:tcBorders>
              <w:top w:val="nil"/>
              <w:left w:val="nil"/>
              <w:bottom w:val="double" w:sz="6" w:space="0" w:color="auto"/>
              <w:right w:val="single" w:sz="4" w:space="0" w:color="auto"/>
            </w:tcBorders>
            <w:shd w:val="clear" w:color="000000" w:fill="FFFFFF"/>
            <w:noWrap/>
            <w:vAlign w:val="bottom"/>
            <w:hideMark/>
          </w:tcPr>
          <w:p w14:paraId="3311F970"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266.84</w:t>
            </w:r>
          </w:p>
        </w:tc>
        <w:tc>
          <w:tcPr>
            <w:tcW w:w="1316" w:type="dxa"/>
            <w:tcBorders>
              <w:top w:val="nil"/>
              <w:left w:val="nil"/>
              <w:bottom w:val="double" w:sz="6" w:space="0" w:color="auto"/>
              <w:right w:val="single" w:sz="4" w:space="0" w:color="auto"/>
            </w:tcBorders>
            <w:shd w:val="clear" w:color="000000" w:fill="FFFFFF"/>
            <w:noWrap/>
            <w:vAlign w:val="bottom"/>
            <w:hideMark/>
          </w:tcPr>
          <w:p w14:paraId="539B01DF" w14:textId="77777777" w:rsidR="006403CC" w:rsidRPr="0043743B" w:rsidRDefault="006403CC" w:rsidP="003666C5">
            <w:pPr>
              <w:spacing w:after="0" w:line="240" w:lineRule="auto"/>
              <w:jc w:val="center"/>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265.13</w:t>
            </w:r>
          </w:p>
        </w:tc>
      </w:tr>
    </w:tbl>
    <w:p w14:paraId="032DDCC0"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21B49EA4" w14:textId="4DEA2187" w:rsidR="006403CC" w:rsidRPr="00773884" w:rsidRDefault="003666C5" w:rsidP="002A4612">
      <w:pPr>
        <w:spacing w:before="120" w:after="120" w:line="240" w:lineRule="auto"/>
        <w:rPr>
          <w:rFonts w:ascii="Times New Roman" w:hAnsi="Times New Roman"/>
        </w:rPr>
      </w:pPr>
      <w:bookmarkStart w:id="146" w:name="_Toc3505108"/>
      <w:r w:rsidRPr="00773884">
        <w:rPr>
          <w:rFonts w:ascii="Times New Roman" w:hAnsi="Times New Roman"/>
        </w:rPr>
        <w:t xml:space="preserve">Table </w:t>
      </w:r>
      <w:r w:rsidRPr="00773884">
        <w:rPr>
          <w:rFonts w:ascii="Times New Roman" w:hAnsi="Times New Roman"/>
        </w:rPr>
        <w:fldChar w:fldCharType="begin"/>
      </w:r>
      <w:r w:rsidRPr="00773884">
        <w:rPr>
          <w:rFonts w:ascii="Times New Roman" w:hAnsi="Times New Roman"/>
        </w:rPr>
        <w:instrText xml:space="preserve"> SEQ Table \* ARABIC </w:instrText>
      </w:r>
      <w:r w:rsidRPr="00773884">
        <w:rPr>
          <w:rFonts w:ascii="Times New Roman" w:hAnsi="Times New Roman"/>
        </w:rPr>
        <w:fldChar w:fldCharType="separate"/>
      </w:r>
      <w:r w:rsidR="006F31B1">
        <w:rPr>
          <w:rFonts w:ascii="Times New Roman" w:hAnsi="Times New Roman"/>
          <w:noProof/>
        </w:rPr>
        <w:t>11</w:t>
      </w:r>
      <w:r w:rsidRPr="00773884">
        <w:rPr>
          <w:rFonts w:ascii="Times New Roman" w:hAnsi="Times New Roman"/>
        </w:rPr>
        <w:fldChar w:fldCharType="end"/>
      </w:r>
      <w:r w:rsidRPr="00773884">
        <w:rPr>
          <w:rFonts w:ascii="Times New Roman" w:hAnsi="Times New Roman"/>
        </w:rPr>
        <w:t>:</w:t>
      </w:r>
      <w:r w:rsidR="006403CC" w:rsidRPr="00773884">
        <w:rPr>
          <w:rFonts w:ascii="Times New Roman" w:eastAsia="Arial Unicode MS" w:hAnsi="Times New Roman"/>
          <w:b/>
        </w:rPr>
        <w:t xml:space="preserve"> </w:t>
      </w:r>
      <w:r w:rsidR="006403CC" w:rsidRPr="00773884">
        <w:rPr>
          <w:rFonts w:ascii="Times New Roman" w:eastAsia="Arial Unicode MS" w:hAnsi="Times New Roman"/>
          <w:b/>
          <w:bCs/>
          <w:color w:val="000000"/>
        </w:rPr>
        <w:t>Percentage Allocation of Development Assistance NON-MTEF (Off Budget) by sector</w:t>
      </w:r>
      <w:bookmarkEnd w:id="146"/>
    </w:p>
    <w:tbl>
      <w:tblPr>
        <w:tblW w:w="9340" w:type="dxa"/>
        <w:tblInd w:w="-5" w:type="dxa"/>
        <w:tblLook w:val="04A0" w:firstRow="1" w:lastRow="0" w:firstColumn="1" w:lastColumn="0" w:noHBand="0" w:noVBand="1"/>
      </w:tblPr>
      <w:tblGrid>
        <w:gridCol w:w="4743"/>
        <w:gridCol w:w="1185"/>
        <w:gridCol w:w="1185"/>
        <w:gridCol w:w="1185"/>
        <w:gridCol w:w="1042"/>
      </w:tblGrid>
      <w:tr w:rsidR="006403CC" w:rsidRPr="00773884" w14:paraId="52BC2433" w14:textId="77777777" w:rsidTr="00773884">
        <w:trPr>
          <w:trHeight w:val="286"/>
        </w:trPr>
        <w:tc>
          <w:tcPr>
            <w:tcW w:w="4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6B346"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773884">
              <w:rPr>
                <w:rFonts w:ascii="Times New Roman" w:eastAsia="Times New Roman" w:hAnsi="Times New Roman"/>
                <w:b/>
                <w:bCs/>
                <w:color w:val="000000"/>
              </w:rPr>
              <w:t>SECTOR</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32885906" w14:textId="77777777" w:rsidR="006403CC" w:rsidRPr="00773884" w:rsidRDefault="006403CC" w:rsidP="003666C5">
            <w:pPr>
              <w:spacing w:after="0" w:line="240" w:lineRule="auto"/>
              <w:rPr>
                <w:rFonts w:ascii="Times New Roman" w:eastAsia="Times New Roman" w:hAnsi="Times New Roman"/>
                <w:b/>
                <w:bCs/>
                <w:color w:val="000000"/>
              </w:rPr>
            </w:pPr>
            <w:r w:rsidRPr="00773884">
              <w:rPr>
                <w:rFonts w:ascii="Times New Roman" w:eastAsia="Times New Roman" w:hAnsi="Times New Roman"/>
                <w:b/>
                <w:bCs/>
                <w:color w:val="000000"/>
              </w:rPr>
              <w:t>FY 2015/16</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33CC17CB" w14:textId="77777777" w:rsidR="006403CC" w:rsidRPr="00773884" w:rsidRDefault="006403CC" w:rsidP="003666C5">
            <w:pPr>
              <w:spacing w:after="0" w:line="240" w:lineRule="auto"/>
              <w:rPr>
                <w:rFonts w:ascii="Times New Roman" w:eastAsia="Times New Roman" w:hAnsi="Times New Roman"/>
                <w:b/>
                <w:bCs/>
                <w:color w:val="000000"/>
              </w:rPr>
            </w:pPr>
            <w:r w:rsidRPr="00773884">
              <w:rPr>
                <w:rFonts w:ascii="Times New Roman" w:eastAsia="Times New Roman" w:hAnsi="Times New Roman"/>
                <w:b/>
                <w:bCs/>
                <w:color w:val="000000"/>
              </w:rPr>
              <w:t>FY 2016/17</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37B98DB4" w14:textId="77777777" w:rsidR="006403CC" w:rsidRPr="00773884" w:rsidRDefault="006403CC" w:rsidP="003666C5">
            <w:pPr>
              <w:spacing w:after="0" w:line="240" w:lineRule="auto"/>
              <w:rPr>
                <w:rFonts w:ascii="Times New Roman" w:eastAsia="Times New Roman" w:hAnsi="Times New Roman"/>
                <w:b/>
                <w:bCs/>
                <w:color w:val="000000"/>
              </w:rPr>
            </w:pPr>
            <w:r w:rsidRPr="00773884">
              <w:rPr>
                <w:rFonts w:ascii="Times New Roman" w:eastAsia="Times New Roman" w:hAnsi="Times New Roman"/>
                <w:b/>
                <w:bCs/>
                <w:color w:val="000000"/>
              </w:rPr>
              <w:t>FY 2017/18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647E0CC1" w14:textId="77777777" w:rsidR="006403CC" w:rsidRPr="00773884" w:rsidRDefault="006403CC" w:rsidP="003666C5">
            <w:pPr>
              <w:spacing w:after="0" w:line="240" w:lineRule="auto"/>
              <w:rPr>
                <w:rFonts w:ascii="Times New Roman" w:eastAsia="Times New Roman" w:hAnsi="Times New Roman"/>
                <w:b/>
                <w:bCs/>
                <w:color w:val="000000"/>
              </w:rPr>
            </w:pPr>
            <w:r w:rsidRPr="00773884">
              <w:rPr>
                <w:rFonts w:ascii="Times New Roman" w:eastAsia="Times New Roman" w:hAnsi="Times New Roman"/>
                <w:b/>
                <w:bCs/>
                <w:color w:val="000000"/>
              </w:rPr>
              <w:t>Average</w:t>
            </w:r>
          </w:p>
        </w:tc>
      </w:tr>
      <w:tr w:rsidR="006403CC" w:rsidRPr="00773884" w14:paraId="1BFB1DB6"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16C59B6F"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Accountability</w:t>
            </w:r>
          </w:p>
        </w:tc>
        <w:tc>
          <w:tcPr>
            <w:tcW w:w="1185" w:type="dxa"/>
            <w:tcBorders>
              <w:top w:val="nil"/>
              <w:left w:val="nil"/>
              <w:bottom w:val="single" w:sz="4" w:space="0" w:color="auto"/>
              <w:right w:val="single" w:sz="4" w:space="0" w:color="auto"/>
            </w:tcBorders>
            <w:shd w:val="clear" w:color="000000" w:fill="FFFFFF"/>
            <w:noWrap/>
            <w:vAlign w:val="bottom"/>
            <w:hideMark/>
          </w:tcPr>
          <w:p w14:paraId="35E8C22C"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3.7%</w:t>
            </w:r>
          </w:p>
        </w:tc>
        <w:tc>
          <w:tcPr>
            <w:tcW w:w="1185" w:type="dxa"/>
            <w:tcBorders>
              <w:top w:val="nil"/>
              <w:left w:val="nil"/>
              <w:bottom w:val="single" w:sz="4" w:space="0" w:color="auto"/>
              <w:right w:val="single" w:sz="4" w:space="0" w:color="auto"/>
            </w:tcBorders>
            <w:shd w:val="clear" w:color="000000" w:fill="FFFFFF"/>
            <w:noWrap/>
            <w:vAlign w:val="bottom"/>
            <w:hideMark/>
          </w:tcPr>
          <w:p w14:paraId="3D6DEB73"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3.9%</w:t>
            </w:r>
          </w:p>
        </w:tc>
        <w:tc>
          <w:tcPr>
            <w:tcW w:w="1185" w:type="dxa"/>
            <w:tcBorders>
              <w:top w:val="nil"/>
              <w:left w:val="nil"/>
              <w:bottom w:val="single" w:sz="4" w:space="0" w:color="auto"/>
              <w:right w:val="single" w:sz="4" w:space="0" w:color="auto"/>
            </w:tcBorders>
            <w:shd w:val="clear" w:color="000000" w:fill="FFFFFF"/>
            <w:noWrap/>
            <w:vAlign w:val="bottom"/>
            <w:hideMark/>
          </w:tcPr>
          <w:p w14:paraId="3CEE6FF9"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3.7%</w:t>
            </w:r>
          </w:p>
        </w:tc>
        <w:tc>
          <w:tcPr>
            <w:tcW w:w="1042" w:type="dxa"/>
            <w:tcBorders>
              <w:top w:val="nil"/>
              <w:left w:val="nil"/>
              <w:bottom w:val="single" w:sz="4" w:space="0" w:color="auto"/>
              <w:right w:val="single" w:sz="4" w:space="0" w:color="auto"/>
            </w:tcBorders>
            <w:shd w:val="clear" w:color="auto" w:fill="auto"/>
            <w:noWrap/>
            <w:vAlign w:val="bottom"/>
            <w:hideMark/>
          </w:tcPr>
          <w:p w14:paraId="224A6B17"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3.8%</w:t>
            </w:r>
          </w:p>
        </w:tc>
      </w:tr>
      <w:tr w:rsidR="006403CC" w:rsidRPr="00773884" w14:paraId="38D5C454"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0BAF861E"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Agriculture</w:t>
            </w:r>
          </w:p>
        </w:tc>
        <w:tc>
          <w:tcPr>
            <w:tcW w:w="1185" w:type="dxa"/>
            <w:tcBorders>
              <w:top w:val="nil"/>
              <w:left w:val="nil"/>
              <w:bottom w:val="single" w:sz="4" w:space="0" w:color="auto"/>
              <w:right w:val="single" w:sz="4" w:space="0" w:color="auto"/>
            </w:tcBorders>
            <w:shd w:val="clear" w:color="000000" w:fill="FFFFFF"/>
            <w:noWrap/>
            <w:vAlign w:val="bottom"/>
            <w:hideMark/>
          </w:tcPr>
          <w:p w14:paraId="67B8ECCF"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3.7%</w:t>
            </w:r>
          </w:p>
        </w:tc>
        <w:tc>
          <w:tcPr>
            <w:tcW w:w="1185" w:type="dxa"/>
            <w:tcBorders>
              <w:top w:val="nil"/>
              <w:left w:val="nil"/>
              <w:bottom w:val="single" w:sz="4" w:space="0" w:color="auto"/>
              <w:right w:val="single" w:sz="4" w:space="0" w:color="auto"/>
            </w:tcBorders>
            <w:shd w:val="clear" w:color="000000" w:fill="FFFFFF"/>
            <w:noWrap/>
            <w:vAlign w:val="bottom"/>
            <w:hideMark/>
          </w:tcPr>
          <w:p w14:paraId="3C61BF14"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3.6%</w:t>
            </w:r>
          </w:p>
        </w:tc>
        <w:tc>
          <w:tcPr>
            <w:tcW w:w="1185" w:type="dxa"/>
            <w:tcBorders>
              <w:top w:val="nil"/>
              <w:left w:val="nil"/>
              <w:bottom w:val="single" w:sz="4" w:space="0" w:color="auto"/>
              <w:right w:val="single" w:sz="4" w:space="0" w:color="auto"/>
            </w:tcBorders>
            <w:shd w:val="clear" w:color="000000" w:fill="FFFFFF"/>
            <w:noWrap/>
            <w:vAlign w:val="bottom"/>
            <w:hideMark/>
          </w:tcPr>
          <w:p w14:paraId="0CEC421A"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3.6%</w:t>
            </w:r>
          </w:p>
        </w:tc>
        <w:tc>
          <w:tcPr>
            <w:tcW w:w="1042" w:type="dxa"/>
            <w:tcBorders>
              <w:top w:val="nil"/>
              <w:left w:val="nil"/>
              <w:bottom w:val="single" w:sz="4" w:space="0" w:color="auto"/>
              <w:right w:val="single" w:sz="4" w:space="0" w:color="auto"/>
            </w:tcBorders>
            <w:shd w:val="clear" w:color="auto" w:fill="auto"/>
            <w:noWrap/>
            <w:vAlign w:val="bottom"/>
            <w:hideMark/>
          </w:tcPr>
          <w:p w14:paraId="5EB09F22"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3.6%</w:t>
            </w:r>
          </w:p>
        </w:tc>
      </w:tr>
      <w:tr w:rsidR="006403CC" w:rsidRPr="00773884" w14:paraId="2C0A796F"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7BD99058"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Security</w:t>
            </w:r>
          </w:p>
        </w:tc>
        <w:tc>
          <w:tcPr>
            <w:tcW w:w="1185" w:type="dxa"/>
            <w:tcBorders>
              <w:top w:val="nil"/>
              <w:left w:val="nil"/>
              <w:bottom w:val="single" w:sz="4" w:space="0" w:color="auto"/>
              <w:right w:val="single" w:sz="4" w:space="0" w:color="auto"/>
            </w:tcBorders>
            <w:shd w:val="clear" w:color="000000" w:fill="FFFFFF"/>
            <w:noWrap/>
            <w:vAlign w:val="bottom"/>
            <w:hideMark/>
          </w:tcPr>
          <w:p w14:paraId="64838B42"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185" w:type="dxa"/>
            <w:tcBorders>
              <w:top w:val="nil"/>
              <w:left w:val="nil"/>
              <w:bottom w:val="single" w:sz="4" w:space="0" w:color="auto"/>
              <w:right w:val="single" w:sz="4" w:space="0" w:color="auto"/>
            </w:tcBorders>
            <w:shd w:val="clear" w:color="000000" w:fill="FFFFFF"/>
            <w:noWrap/>
            <w:vAlign w:val="bottom"/>
            <w:hideMark/>
          </w:tcPr>
          <w:p w14:paraId="25825698"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185" w:type="dxa"/>
            <w:tcBorders>
              <w:top w:val="nil"/>
              <w:left w:val="nil"/>
              <w:bottom w:val="single" w:sz="4" w:space="0" w:color="auto"/>
              <w:right w:val="single" w:sz="4" w:space="0" w:color="auto"/>
            </w:tcBorders>
            <w:shd w:val="clear" w:color="000000" w:fill="FFFFFF"/>
            <w:noWrap/>
            <w:vAlign w:val="bottom"/>
            <w:hideMark/>
          </w:tcPr>
          <w:p w14:paraId="1440C31D"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042" w:type="dxa"/>
            <w:tcBorders>
              <w:top w:val="nil"/>
              <w:left w:val="nil"/>
              <w:bottom w:val="single" w:sz="4" w:space="0" w:color="auto"/>
              <w:right w:val="single" w:sz="4" w:space="0" w:color="auto"/>
            </w:tcBorders>
            <w:shd w:val="clear" w:color="auto" w:fill="auto"/>
            <w:noWrap/>
            <w:vAlign w:val="bottom"/>
            <w:hideMark/>
          </w:tcPr>
          <w:p w14:paraId="1389E45D"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0.0%</w:t>
            </w:r>
          </w:p>
        </w:tc>
      </w:tr>
      <w:tr w:rsidR="006403CC" w:rsidRPr="00773884" w14:paraId="332E4C29"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28E17343"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Health</w:t>
            </w:r>
          </w:p>
        </w:tc>
        <w:tc>
          <w:tcPr>
            <w:tcW w:w="1185" w:type="dxa"/>
            <w:tcBorders>
              <w:top w:val="nil"/>
              <w:left w:val="nil"/>
              <w:bottom w:val="single" w:sz="4" w:space="0" w:color="auto"/>
              <w:right w:val="single" w:sz="4" w:space="0" w:color="auto"/>
            </w:tcBorders>
            <w:shd w:val="clear" w:color="000000" w:fill="FFFFFF"/>
            <w:noWrap/>
            <w:vAlign w:val="bottom"/>
            <w:hideMark/>
          </w:tcPr>
          <w:p w14:paraId="6C0FA64E"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71.4%</w:t>
            </w:r>
          </w:p>
        </w:tc>
        <w:tc>
          <w:tcPr>
            <w:tcW w:w="1185" w:type="dxa"/>
            <w:tcBorders>
              <w:top w:val="nil"/>
              <w:left w:val="nil"/>
              <w:bottom w:val="single" w:sz="4" w:space="0" w:color="auto"/>
              <w:right w:val="single" w:sz="4" w:space="0" w:color="auto"/>
            </w:tcBorders>
            <w:shd w:val="clear" w:color="000000" w:fill="FFFFFF"/>
            <w:noWrap/>
            <w:vAlign w:val="bottom"/>
            <w:hideMark/>
          </w:tcPr>
          <w:p w14:paraId="2F6BFDCA"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71.0%</w:t>
            </w:r>
          </w:p>
        </w:tc>
        <w:tc>
          <w:tcPr>
            <w:tcW w:w="1185" w:type="dxa"/>
            <w:tcBorders>
              <w:top w:val="nil"/>
              <w:left w:val="nil"/>
              <w:bottom w:val="single" w:sz="4" w:space="0" w:color="auto"/>
              <w:right w:val="single" w:sz="4" w:space="0" w:color="auto"/>
            </w:tcBorders>
            <w:shd w:val="clear" w:color="000000" w:fill="FFFFFF"/>
            <w:noWrap/>
            <w:vAlign w:val="bottom"/>
            <w:hideMark/>
          </w:tcPr>
          <w:p w14:paraId="5CF4072C"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71.5%</w:t>
            </w:r>
          </w:p>
        </w:tc>
        <w:tc>
          <w:tcPr>
            <w:tcW w:w="1042" w:type="dxa"/>
            <w:tcBorders>
              <w:top w:val="nil"/>
              <w:left w:val="nil"/>
              <w:bottom w:val="single" w:sz="4" w:space="0" w:color="auto"/>
              <w:right w:val="single" w:sz="4" w:space="0" w:color="auto"/>
            </w:tcBorders>
            <w:shd w:val="clear" w:color="auto" w:fill="auto"/>
            <w:noWrap/>
            <w:vAlign w:val="bottom"/>
            <w:hideMark/>
          </w:tcPr>
          <w:p w14:paraId="18C40631"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71.3%</w:t>
            </w:r>
          </w:p>
        </w:tc>
      </w:tr>
      <w:tr w:rsidR="006403CC" w:rsidRPr="00773884" w14:paraId="38307741"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122C89E1"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Water&amp; sanitation</w:t>
            </w:r>
          </w:p>
        </w:tc>
        <w:tc>
          <w:tcPr>
            <w:tcW w:w="1185" w:type="dxa"/>
            <w:tcBorders>
              <w:top w:val="nil"/>
              <w:left w:val="nil"/>
              <w:bottom w:val="single" w:sz="4" w:space="0" w:color="auto"/>
              <w:right w:val="single" w:sz="4" w:space="0" w:color="auto"/>
            </w:tcBorders>
            <w:shd w:val="clear" w:color="000000" w:fill="FFFFFF"/>
            <w:noWrap/>
            <w:vAlign w:val="bottom"/>
            <w:hideMark/>
          </w:tcPr>
          <w:p w14:paraId="51B22D11"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4.3%</w:t>
            </w:r>
          </w:p>
        </w:tc>
        <w:tc>
          <w:tcPr>
            <w:tcW w:w="1185" w:type="dxa"/>
            <w:tcBorders>
              <w:top w:val="nil"/>
              <w:left w:val="nil"/>
              <w:bottom w:val="single" w:sz="4" w:space="0" w:color="auto"/>
              <w:right w:val="single" w:sz="4" w:space="0" w:color="auto"/>
            </w:tcBorders>
            <w:shd w:val="clear" w:color="000000" w:fill="FFFFFF"/>
            <w:noWrap/>
            <w:vAlign w:val="bottom"/>
            <w:hideMark/>
          </w:tcPr>
          <w:p w14:paraId="3B77C516"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5.0%</w:t>
            </w:r>
          </w:p>
        </w:tc>
        <w:tc>
          <w:tcPr>
            <w:tcW w:w="1185" w:type="dxa"/>
            <w:tcBorders>
              <w:top w:val="nil"/>
              <w:left w:val="nil"/>
              <w:bottom w:val="single" w:sz="4" w:space="0" w:color="auto"/>
              <w:right w:val="single" w:sz="4" w:space="0" w:color="auto"/>
            </w:tcBorders>
            <w:shd w:val="clear" w:color="000000" w:fill="FFFFFF"/>
            <w:noWrap/>
            <w:vAlign w:val="bottom"/>
            <w:hideMark/>
          </w:tcPr>
          <w:p w14:paraId="7CD0A3A5"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5.0%</w:t>
            </w:r>
          </w:p>
        </w:tc>
        <w:tc>
          <w:tcPr>
            <w:tcW w:w="1042" w:type="dxa"/>
            <w:tcBorders>
              <w:top w:val="nil"/>
              <w:left w:val="nil"/>
              <w:bottom w:val="single" w:sz="4" w:space="0" w:color="auto"/>
              <w:right w:val="single" w:sz="4" w:space="0" w:color="auto"/>
            </w:tcBorders>
            <w:shd w:val="clear" w:color="auto" w:fill="auto"/>
            <w:noWrap/>
            <w:vAlign w:val="bottom"/>
            <w:hideMark/>
          </w:tcPr>
          <w:p w14:paraId="6B22FC28"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4.8%</w:t>
            </w:r>
          </w:p>
        </w:tc>
      </w:tr>
      <w:tr w:rsidR="006403CC" w:rsidRPr="00773884" w14:paraId="328ED93F"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365BC1AB"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Justice Law and Order incl. Governance</w:t>
            </w:r>
          </w:p>
        </w:tc>
        <w:tc>
          <w:tcPr>
            <w:tcW w:w="1185" w:type="dxa"/>
            <w:tcBorders>
              <w:top w:val="nil"/>
              <w:left w:val="nil"/>
              <w:bottom w:val="single" w:sz="4" w:space="0" w:color="auto"/>
              <w:right w:val="single" w:sz="4" w:space="0" w:color="auto"/>
            </w:tcBorders>
            <w:shd w:val="clear" w:color="000000" w:fill="FFFFFF"/>
            <w:noWrap/>
            <w:vAlign w:val="bottom"/>
            <w:hideMark/>
          </w:tcPr>
          <w:p w14:paraId="79219AC7"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3.7%</w:t>
            </w:r>
          </w:p>
        </w:tc>
        <w:tc>
          <w:tcPr>
            <w:tcW w:w="1185" w:type="dxa"/>
            <w:tcBorders>
              <w:top w:val="nil"/>
              <w:left w:val="nil"/>
              <w:bottom w:val="single" w:sz="4" w:space="0" w:color="auto"/>
              <w:right w:val="single" w:sz="4" w:space="0" w:color="auto"/>
            </w:tcBorders>
            <w:shd w:val="clear" w:color="000000" w:fill="FFFFFF"/>
            <w:noWrap/>
            <w:vAlign w:val="bottom"/>
            <w:hideMark/>
          </w:tcPr>
          <w:p w14:paraId="193BC672"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4.1%</w:t>
            </w:r>
          </w:p>
        </w:tc>
        <w:tc>
          <w:tcPr>
            <w:tcW w:w="1185" w:type="dxa"/>
            <w:tcBorders>
              <w:top w:val="nil"/>
              <w:left w:val="nil"/>
              <w:bottom w:val="single" w:sz="4" w:space="0" w:color="auto"/>
              <w:right w:val="single" w:sz="4" w:space="0" w:color="auto"/>
            </w:tcBorders>
            <w:shd w:val="clear" w:color="000000" w:fill="FFFFFF"/>
            <w:noWrap/>
            <w:vAlign w:val="bottom"/>
            <w:hideMark/>
          </w:tcPr>
          <w:p w14:paraId="2538CA86"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3.7%</w:t>
            </w:r>
          </w:p>
        </w:tc>
        <w:tc>
          <w:tcPr>
            <w:tcW w:w="1042" w:type="dxa"/>
            <w:tcBorders>
              <w:top w:val="nil"/>
              <w:left w:val="nil"/>
              <w:bottom w:val="single" w:sz="4" w:space="0" w:color="auto"/>
              <w:right w:val="single" w:sz="4" w:space="0" w:color="auto"/>
            </w:tcBorders>
            <w:shd w:val="clear" w:color="auto" w:fill="auto"/>
            <w:noWrap/>
            <w:vAlign w:val="bottom"/>
            <w:hideMark/>
          </w:tcPr>
          <w:p w14:paraId="0EBE389F"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3.8%</w:t>
            </w:r>
          </w:p>
        </w:tc>
      </w:tr>
      <w:tr w:rsidR="006403CC" w:rsidRPr="00773884" w14:paraId="515D58D8"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2D31032E"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Social Development</w:t>
            </w:r>
          </w:p>
        </w:tc>
        <w:tc>
          <w:tcPr>
            <w:tcW w:w="1185" w:type="dxa"/>
            <w:tcBorders>
              <w:top w:val="nil"/>
              <w:left w:val="nil"/>
              <w:bottom w:val="single" w:sz="4" w:space="0" w:color="auto"/>
              <w:right w:val="single" w:sz="4" w:space="0" w:color="auto"/>
            </w:tcBorders>
            <w:shd w:val="clear" w:color="000000" w:fill="FFFFFF"/>
            <w:noWrap/>
            <w:vAlign w:val="bottom"/>
            <w:hideMark/>
          </w:tcPr>
          <w:p w14:paraId="4C53C584"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2.3%</w:t>
            </w:r>
          </w:p>
        </w:tc>
        <w:tc>
          <w:tcPr>
            <w:tcW w:w="1185" w:type="dxa"/>
            <w:tcBorders>
              <w:top w:val="nil"/>
              <w:left w:val="nil"/>
              <w:bottom w:val="single" w:sz="4" w:space="0" w:color="auto"/>
              <w:right w:val="single" w:sz="4" w:space="0" w:color="auto"/>
            </w:tcBorders>
            <w:shd w:val="clear" w:color="000000" w:fill="FFFFFF"/>
            <w:noWrap/>
            <w:vAlign w:val="bottom"/>
            <w:hideMark/>
          </w:tcPr>
          <w:p w14:paraId="44CD2F92"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1.6%</w:t>
            </w:r>
          </w:p>
        </w:tc>
        <w:tc>
          <w:tcPr>
            <w:tcW w:w="1185" w:type="dxa"/>
            <w:tcBorders>
              <w:top w:val="nil"/>
              <w:left w:val="nil"/>
              <w:bottom w:val="single" w:sz="4" w:space="0" w:color="auto"/>
              <w:right w:val="single" w:sz="4" w:space="0" w:color="auto"/>
            </w:tcBorders>
            <w:shd w:val="clear" w:color="000000" w:fill="FFFFFF"/>
            <w:noWrap/>
            <w:vAlign w:val="bottom"/>
            <w:hideMark/>
          </w:tcPr>
          <w:p w14:paraId="0EA6CCFB"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1.7%</w:t>
            </w:r>
          </w:p>
        </w:tc>
        <w:tc>
          <w:tcPr>
            <w:tcW w:w="1042" w:type="dxa"/>
            <w:tcBorders>
              <w:top w:val="nil"/>
              <w:left w:val="nil"/>
              <w:bottom w:val="single" w:sz="4" w:space="0" w:color="auto"/>
              <w:right w:val="single" w:sz="4" w:space="0" w:color="auto"/>
            </w:tcBorders>
            <w:shd w:val="clear" w:color="auto" w:fill="auto"/>
            <w:noWrap/>
            <w:vAlign w:val="bottom"/>
            <w:hideMark/>
          </w:tcPr>
          <w:p w14:paraId="301283F7"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1.9%</w:t>
            </w:r>
          </w:p>
        </w:tc>
      </w:tr>
      <w:tr w:rsidR="006403CC" w:rsidRPr="00773884" w14:paraId="1086515C"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05264691"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Education</w:t>
            </w:r>
          </w:p>
        </w:tc>
        <w:tc>
          <w:tcPr>
            <w:tcW w:w="1185" w:type="dxa"/>
            <w:tcBorders>
              <w:top w:val="nil"/>
              <w:left w:val="nil"/>
              <w:bottom w:val="single" w:sz="4" w:space="0" w:color="auto"/>
              <w:right w:val="single" w:sz="4" w:space="0" w:color="auto"/>
            </w:tcBorders>
            <w:shd w:val="clear" w:color="000000" w:fill="FFFFFF"/>
            <w:noWrap/>
            <w:vAlign w:val="bottom"/>
            <w:hideMark/>
          </w:tcPr>
          <w:p w14:paraId="286DD1F7"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5.0%</w:t>
            </w:r>
          </w:p>
        </w:tc>
        <w:tc>
          <w:tcPr>
            <w:tcW w:w="1185" w:type="dxa"/>
            <w:tcBorders>
              <w:top w:val="nil"/>
              <w:left w:val="nil"/>
              <w:bottom w:val="single" w:sz="4" w:space="0" w:color="auto"/>
              <w:right w:val="single" w:sz="4" w:space="0" w:color="auto"/>
            </w:tcBorders>
            <w:shd w:val="clear" w:color="000000" w:fill="FFFFFF"/>
            <w:noWrap/>
            <w:vAlign w:val="bottom"/>
            <w:hideMark/>
          </w:tcPr>
          <w:p w14:paraId="181CA76E"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4.9%</w:t>
            </w:r>
          </w:p>
        </w:tc>
        <w:tc>
          <w:tcPr>
            <w:tcW w:w="1185" w:type="dxa"/>
            <w:tcBorders>
              <w:top w:val="nil"/>
              <w:left w:val="nil"/>
              <w:bottom w:val="single" w:sz="4" w:space="0" w:color="auto"/>
              <w:right w:val="single" w:sz="4" w:space="0" w:color="auto"/>
            </w:tcBorders>
            <w:shd w:val="clear" w:color="000000" w:fill="FFFFFF"/>
            <w:noWrap/>
            <w:vAlign w:val="bottom"/>
            <w:hideMark/>
          </w:tcPr>
          <w:p w14:paraId="1E4FF15E"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5.0%</w:t>
            </w:r>
          </w:p>
        </w:tc>
        <w:tc>
          <w:tcPr>
            <w:tcW w:w="1042" w:type="dxa"/>
            <w:tcBorders>
              <w:top w:val="nil"/>
              <w:left w:val="nil"/>
              <w:bottom w:val="single" w:sz="4" w:space="0" w:color="auto"/>
              <w:right w:val="single" w:sz="4" w:space="0" w:color="auto"/>
            </w:tcBorders>
            <w:shd w:val="clear" w:color="auto" w:fill="auto"/>
            <w:noWrap/>
            <w:vAlign w:val="bottom"/>
            <w:hideMark/>
          </w:tcPr>
          <w:p w14:paraId="7BEB64C8"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5.0%</w:t>
            </w:r>
          </w:p>
        </w:tc>
      </w:tr>
      <w:tr w:rsidR="006403CC" w:rsidRPr="00773884" w14:paraId="353BDFAB"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0BEBDDEA"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lastRenderedPageBreak/>
              <w:t>Public Sector Management</w:t>
            </w:r>
          </w:p>
        </w:tc>
        <w:tc>
          <w:tcPr>
            <w:tcW w:w="1185" w:type="dxa"/>
            <w:tcBorders>
              <w:top w:val="nil"/>
              <w:left w:val="nil"/>
              <w:bottom w:val="single" w:sz="4" w:space="0" w:color="auto"/>
              <w:right w:val="single" w:sz="4" w:space="0" w:color="auto"/>
            </w:tcBorders>
            <w:shd w:val="clear" w:color="000000" w:fill="FFFFFF"/>
            <w:noWrap/>
            <w:vAlign w:val="bottom"/>
            <w:hideMark/>
          </w:tcPr>
          <w:p w14:paraId="72AD02EA"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2.1%</w:t>
            </w:r>
          </w:p>
        </w:tc>
        <w:tc>
          <w:tcPr>
            <w:tcW w:w="1185" w:type="dxa"/>
            <w:tcBorders>
              <w:top w:val="nil"/>
              <w:left w:val="nil"/>
              <w:bottom w:val="single" w:sz="4" w:space="0" w:color="auto"/>
              <w:right w:val="single" w:sz="4" w:space="0" w:color="auto"/>
            </w:tcBorders>
            <w:shd w:val="clear" w:color="000000" w:fill="FFFFFF"/>
            <w:noWrap/>
            <w:vAlign w:val="bottom"/>
            <w:hideMark/>
          </w:tcPr>
          <w:p w14:paraId="7255D1F3"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2.0%</w:t>
            </w:r>
          </w:p>
        </w:tc>
        <w:tc>
          <w:tcPr>
            <w:tcW w:w="1185" w:type="dxa"/>
            <w:tcBorders>
              <w:top w:val="nil"/>
              <w:left w:val="nil"/>
              <w:bottom w:val="single" w:sz="4" w:space="0" w:color="auto"/>
              <w:right w:val="single" w:sz="4" w:space="0" w:color="auto"/>
            </w:tcBorders>
            <w:shd w:val="clear" w:color="000000" w:fill="FFFFFF"/>
            <w:noWrap/>
            <w:vAlign w:val="bottom"/>
            <w:hideMark/>
          </w:tcPr>
          <w:p w14:paraId="61645CB9"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2.0%</w:t>
            </w:r>
          </w:p>
        </w:tc>
        <w:tc>
          <w:tcPr>
            <w:tcW w:w="1042" w:type="dxa"/>
            <w:tcBorders>
              <w:top w:val="nil"/>
              <w:left w:val="nil"/>
              <w:bottom w:val="single" w:sz="4" w:space="0" w:color="auto"/>
              <w:right w:val="single" w:sz="4" w:space="0" w:color="auto"/>
            </w:tcBorders>
            <w:shd w:val="clear" w:color="auto" w:fill="auto"/>
            <w:noWrap/>
            <w:vAlign w:val="bottom"/>
            <w:hideMark/>
          </w:tcPr>
          <w:p w14:paraId="62461260"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2.0%</w:t>
            </w:r>
          </w:p>
        </w:tc>
      </w:tr>
      <w:tr w:rsidR="006403CC" w:rsidRPr="00773884" w14:paraId="1B2F138E"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55006116"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Public Administration</w:t>
            </w:r>
          </w:p>
        </w:tc>
        <w:tc>
          <w:tcPr>
            <w:tcW w:w="1185" w:type="dxa"/>
            <w:tcBorders>
              <w:top w:val="nil"/>
              <w:left w:val="nil"/>
              <w:bottom w:val="single" w:sz="4" w:space="0" w:color="auto"/>
              <w:right w:val="single" w:sz="4" w:space="0" w:color="auto"/>
            </w:tcBorders>
            <w:shd w:val="clear" w:color="000000" w:fill="FFFFFF"/>
            <w:noWrap/>
            <w:vAlign w:val="bottom"/>
            <w:hideMark/>
          </w:tcPr>
          <w:p w14:paraId="0A996B27"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185" w:type="dxa"/>
            <w:tcBorders>
              <w:top w:val="nil"/>
              <w:left w:val="nil"/>
              <w:bottom w:val="single" w:sz="4" w:space="0" w:color="auto"/>
              <w:right w:val="single" w:sz="4" w:space="0" w:color="auto"/>
            </w:tcBorders>
            <w:shd w:val="clear" w:color="000000" w:fill="FFFFFF"/>
            <w:noWrap/>
            <w:vAlign w:val="bottom"/>
            <w:hideMark/>
          </w:tcPr>
          <w:p w14:paraId="3AB068B2"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185" w:type="dxa"/>
            <w:tcBorders>
              <w:top w:val="nil"/>
              <w:left w:val="nil"/>
              <w:bottom w:val="single" w:sz="4" w:space="0" w:color="auto"/>
              <w:right w:val="single" w:sz="4" w:space="0" w:color="auto"/>
            </w:tcBorders>
            <w:shd w:val="clear" w:color="000000" w:fill="FFFFFF"/>
            <w:noWrap/>
            <w:vAlign w:val="bottom"/>
            <w:hideMark/>
          </w:tcPr>
          <w:p w14:paraId="1CAD50FA"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042" w:type="dxa"/>
            <w:tcBorders>
              <w:top w:val="nil"/>
              <w:left w:val="nil"/>
              <w:bottom w:val="single" w:sz="4" w:space="0" w:color="auto"/>
              <w:right w:val="single" w:sz="4" w:space="0" w:color="auto"/>
            </w:tcBorders>
            <w:shd w:val="clear" w:color="auto" w:fill="auto"/>
            <w:noWrap/>
            <w:vAlign w:val="bottom"/>
            <w:hideMark/>
          </w:tcPr>
          <w:p w14:paraId="40085845"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0.0%</w:t>
            </w:r>
          </w:p>
        </w:tc>
      </w:tr>
      <w:tr w:rsidR="006403CC" w:rsidRPr="00773884" w14:paraId="3F189AE2"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780DE2CF"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Roads, Works &amp; Transport</w:t>
            </w:r>
          </w:p>
        </w:tc>
        <w:tc>
          <w:tcPr>
            <w:tcW w:w="1185" w:type="dxa"/>
            <w:tcBorders>
              <w:top w:val="nil"/>
              <w:left w:val="nil"/>
              <w:bottom w:val="single" w:sz="4" w:space="0" w:color="auto"/>
              <w:right w:val="single" w:sz="4" w:space="0" w:color="auto"/>
            </w:tcBorders>
            <w:shd w:val="clear" w:color="000000" w:fill="FFFFFF"/>
            <w:noWrap/>
            <w:vAlign w:val="bottom"/>
            <w:hideMark/>
          </w:tcPr>
          <w:p w14:paraId="47C31031"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185" w:type="dxa"/>
            <w:tcBorders>
              <w:top w:val="nil"/>
              <w:left w:val="nil"/>
              <w:bottom w:val="single" w:sz="4" w:space="0" w:color="auto"/>
              <w:right w:val="single" w:sz="4" w:space="0" w:color="auto"/>
            </w:tcBorders>
            <w:shd w:val="clear" w:color="000000" w:fill="FFFFFF"/>
            <w:noWrap/>
            <w:vAlign w:val="bottom"/>
            <w:hideMark/>
          </w:tcPr>
          <w:p w14:paraId="2150FE58"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185" w:type="dxa"/>
            <w:tcBorders>
              <w:top w:val="nil"/>
              <w:left w:val="nil"/>
              <w:bottom w:val="single" w:sz="4" w:space="0" w:color="auto"/>
              <w:right w:val="single" w:sz="4" w:space="0" w:color="auto"/>
            </w:tcBorders>
            <w:shd w:val="clear" w:color="000000" w:fill="FFFFFF"/>
            <w:noWrap/>
            <w:vAlign w:val="bottom"/>
            <w:hideMark/>
          </w:tcPr>
          <w:p w14:paraId="3B3A47F1"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042" w:type="dxa"/>
            <w:tcBorders>
              <w:top w:val="nil"/>
              <w:left w:val="nil"/>
              <w:bottom w:val="single" w:sz="4" w:space="0" w:color="auto"/>
              <w:right w:val="single" w:sz="4" w:space="0" w:color="auto"/>
            </w:tcBorders>
            <w:shd w:val="clear" w:color="auto" w:fill="auto"/>
            <w:noWrap/>
            <w:vAlign w:val="bottom"/>
            <w:hideMark/>
          </w:tcPr>
          <w:p w14:paraId="45E6B773"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0.0%</w:t>
            </w:r>
          </w:p>
        </w:tc>
      </w:tr>
      <w:tr w:rsidR="006403CC" w:rsidRPr="00773884" w14:paraId="365CD522"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2DFA9D5B"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ICT</w:t>
            </w:r>
          </w:p>
        </w:tc>
        <w:tc>
          <w:tcPr>
            <w:tcW w:w="1185" w:type="dxa"/>
            <w:tcBorders>
              <w:top w:val="nil"/>
              <w:left w:val="nil"/>
              <w:bottom w:val="single" w:sz="4" w:space="0" w:color="auto"/>
              <w:right w:val="single" w:sz="4" w:space="0" w:color="auto"/>
            </w:tcBorders>
            <w:shd w:val="clear" w:color="000000" w:fill="FFFFFF"/>
            <w:noWrap/>
            <w:vAlign w:val="bottom"/>
            <w:hideMark/>
          </w:tcPr>
          <w:p w14:paraId="027369F4"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0.3%</w:t>
            </w:r>
          </w:p>
        </w:tc>
        <w:tc>
          <w:tcPr>
            <w:tcW w:w="1185" w:type="dxa"/>
            <w:tcBorders>
              <w:top w:val="nil"/>
              <w:left w:val="nil"/>
              <w:bottom w:val="single" w:sz="4" w:space="0" w:color="auto"/>
              <w:right w:val="single" w:sz="4" w:space="0" w:color="auto"/>
            </w:tcBorders>
            <w:shd w:val="clear" w:color="000000" w:fill="FFFFFF"/>
            <w:noWrap/>
            <w:vAlign w:val="bottom"/>
            <w:hideMark/>
          </w:tcPr>
          <w:p w14:paraId="20B46A78"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0.3%</w:t>
            </w:r>
          </w:p>
        </w:tc>
        <w:tc>
          <w:tcPr>
            <w:tcW w:w="1185" w:type="dxa"/>
            <w:tcBorders>
              <w:top w:val="nil"/>
              <w:left w:val="nil"/>
              <w:bottom w:val="single" w:sz="4" w:space="0" w:color="auto"/>
              <w:right w:val="single" w:sz="4" w:space="0" w:color="auto"/>
            </w:tcBorders>
            <w:shd w:val="clear" w:color="000000" w:fill="FFFFFF"/>
            <w:noWrap/>
            <w:vAlign w:val="bottom"/>
            <w:hideMark/>
          </w:tcPr>
          <w:p w14:paraId="4465333F"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0.3%</w:t>
            </w:r>
          </w:p>
        </w:tc>
        <w:tc>
          <w:tcPr>
            <w:tcW w:w="1042" w:type="dxa"/>
            <w:tcBorders>
              <w:top w:val="nil"/>
              <w:left w:val="nil"/>
              <w:bottom w:val="single" w:sz="4" w:space="0" w:color="auto"/>
              <w:right w:val="single" w:sz="4" w:space="0" w:color="auto"/>
            </w:tcBorders>
            <w:shd w:val="clear" w:color="auto" w:fill="auto"/>
            <w:noWrap/>
            <w:vAlign w:val="bottom"/>
            <w:hideMark/>
          </w:tcPr>
          <w:p w14:paraId="796BC476"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0.3%</w:t>
            </w:r>
          </w:p>
        </w:tc>
      </w:tr>
      <w:tr w:rsidR="006403CC" w:rsidRPr="00773884" w14:paraId="1F1088D2" w14:textId="77777777" w:rsidTr="00773884">
        <w:trPr>
          <w:trHeight w:val="300"/>
        </w:trPr>
        <w:tc>
          <w:tcPr>
            <w:tcW w:w="4743" w:type="dxa"/>
            <w:tcBorders>
              <w:top w:val="nil"/>
              <w:left w:val="single" w:sz="4" w:space="0" w:color="auto"/>
              <w:bottom w:val="single" w:sz="4" w:space="0" w:color="auto"/>
              <w:right w:val="single" w:sz="4" w:space="0" w:color="auto"/>
            </w:tcBorders>
            <w:shd w:val="clear" w:color="auto" w:fill="auto"/>
            <w:noWrap/>
            <w:vAlign w:val="bottom"/>
            <w:hideMark/>
          </w:tcPr>
          <w:p w14:paraId="22695358"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Energy &amp; Minerals</w:t>
            </w:r>
          </w:p>
        </w:tc>
        <w:tc>
          <w:tcPr>
            <w:tcW w:w="1185" w:type="dxa"/>
            <w:tcBorders>
              <w:top w:val="nil"/>
              <w:left w:val="nil"/>
              <w:bottom w:val="single" w:sz="4" w:space="0" w:color="auto"/>
              <w:right w:val="single" w:sz="4" w:space="0" w:color="auto"/>
            </w:tcBorders>
            <w:shd w:val="clear" w:color="000000" w:fill="FFFFFF"/>
            <w:noWrap/>
            <w:vAlign w:val="bottom"/>
            <w:hideMark/>
          </w:tcPr>
          <w:p w14:paraId="3DAF1037"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3.4%</w:t>
            </w:r>
          </w:p>
        </w:tc>
        <w:tc>
          <w:tcPr>
            <w:tcW w:w="1185" w:type="dxa"/>
            <w:tcBorders>
              <w:top w:val="nil"/>
              <w:left w:val="nil"/>
              <w:bottom w:val="single" w:sz="4" w:space="0" w:color="auto"/>
              <w:right w:val="single" w:sz="4" w:space="0" w:color="auto"/>
            </w:tcBorders>
            <w:shd w:val="clear" w:color="000000" w:fill="FFFFFF"/>
            <w:noWrap/>
            <w:vAlign w:val="bottom"/>
            <w:hideMark/>
          </w:tcPr>
          <w:p w14:paraId="000DDF22"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3.4%</w:t>
            </w:r>
          </w:p>
        </w:tc>
        <w:tc>
          <w:tcPr>
            <w:tcW w:w="1185" w:type="dxa"/>
            <w:tcBorders>
              <w:top w:val="nil"/>
              <w:left w:val="nil"/>
              <w:bottom w:val="single" w:sz="4" w:space="0" w:color="auto"/>
              <w:right w:val="single" w:sz="4" w:space="0" w:color="auto"/>
            </w:tcBorders>
            <w:shd w:val="clear" w:color="000000" w:fill="FFFFFF"/>
            <w:noWrap/>
            <w:vAlign w:val="bottom"/>
            <w:hideMark/>
          </w:tcPr>
          <w:p w14:paraId="2F35C3F7"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3.4%</w:t>
            </w:r>
          </w:p>
        </w:tc>
        <w:tc>
          <w:tcPr>
            <w:tcW w:w="1042" w:type="dxa"/>
            <w:tcBorders>
              <w:top w:val="nil"/>
              <w:left w:val="nil"/>
              <w:bottom w:val="single" w:sz="4" w:space="0" w:color="auto"/>
              <w:right w:val="single" w:sz="4" w:space="0" w:color="auto"/>
            </w:tcBorders>
            <w:shd w:val="clear" w:color="auto" w:fill="auto"/>
            <w:noWrap/>
            <w:vAlign w:val="bottom"/>
            <w:hideMark/>
          </w:tcPr>
          <w:p w14:paraId="3CAB9F71"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3.4%</w:t>
            </w:r>
          </w:p>
        </w:tc>
      </w:tr>
      <w:tr w:rsidR="006403CC" w:rsidRPr="00773884" w14:paraId="4D3B2B2E" w14:textId="77777777" w:rsidTr="00773884">
        <w:trPr>
          <w:trHeight w:val="314"/>
        </w:trPr>
        <w:tc>
          <w:tcPr>
            <w:tcW w:w="4743" w:type="dxa"/>
            <w:tcBorders>
              <w:top w:val="nil"/>
              <w:left w:val="single" w:sz="4" w:space="0" w:color="auto"/>
              <w:bottom w:val="double" w:sz="6" w:space="0" w:color="auto"/>
              <w:right w:val="single" w:sz="4" w:space="0" w:color="auto"/>
            </w:tcBorders>
            <w:shd w:val="clear" w:color="auto" w:fill="auto"/>
            <w:noWrap/>
            <w:vAlign w:val="bottom"/>
            <w:hideMark/>
          </w:tcPr>
          <w:p w14:paraId="585DA0CD" w14:textId="77777777" w:rsidR="006403CC" w:rsidRPr="00773884" w:rsidRDefault="006403CC" w:rsidP="003666C5">
            <w:pPr>
              <w:spacing w:after="0" w:line="240" w:lineRule="auto"/>
              <w:rPr>
                <w:rFonts w:ascii="Times New Roman" w:eastAsia="Times New Roman" w:hAnsi="Times New Roman"/>
                <w:color w:val="000000"/>
              </w:rPr>
            </w:pPr>
            <w:r w:rsidRPr="00773884">
              <w:rPr>
                <w:rFonts w:ascii="Times New Roman" w:eastAsia="Times New Roman" w:hAnsi="Times New Roman"/>
                <w:color w:val="000000"/>
              </w:rPr>
              <w:t>Trade and Tourism</w:t>
            </w:r>
          </w:p>
        </w:tc>
        <w:tc>
          <w:tcPr>
            <w:tcW w:w="1185" w:type="dxa"/>
            <w:tcBorders>
              <w:top w:val="nil"/>
              <w:left w:val="nil"/>
              <w:bottom w:val="double" w:sz="6" w:space="0" w:color="auto"/>
              <w:right w:val="single" w:sz="4" w:space="0" w:color="auto"/>
            </w:tcBorders>
            <w:shd w:val="clear" w:color="000000" w:fill="FFFFFF"/>
            <w:noWrap/>
            <w:vAlign w:val="bottom"/>
            <w:hideMark/>
          </w:tcPr>
          <w:p w14:paraId="1AEEC160"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0.3%</w:t>
            </w:r>
          </w:p>
        </w:tc>
        <w:tc>
          <w:tcPr>
            <w:tcW w:w="1185" w:type="dxa"/>
            <w:tcBorders>
              <w:top w:val="nil"/>
              <w:left w:val="nil"/>
              <w:bottom w:val="double" w:sz="6" w:space="0" w:color="auto"/>
              <w:right w:val="single" w:sz="4" w:space="0" w:color="auto"/>
            </w:tcBorders>
            <w:shd w:val="clear" w:color="000000" w:fill="FFFFFF"/>
            <w:noWrap/>
            <w:vAlign w:val="bottom"/>
            <w:hideMark/>
          </w:tcPr>
          <w:p w14:paraId="547D3EBD"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185" w:type="dxa"/>
            <w:tcBorders>
              <w:top w:val="nil"/>
              <w:left w:val="nil"/>
              <w:bottom w:val="double" w:sz="6" w:space="0" w:color="auto"/>
              <w:right w:val="single" w:sz="4" w:space="0" w:color="auto"/>
            </w:tcBorders>
            <w:shd w:val="clear" w:color="000000" w:fill="FFFFFF"/>
            <w:noWrap/>
            <w:vAlign w:val="bottom"/>
            <w:hideMark/>
          </w:tcPr>
          <w:p w14:paraId="63DCC1B5" w14:textId="77777777" w:rsidR="006403CC" w:rsidRPr="00773884" w:rsidRDefault="006403CC" w:rsidP="003666C5">
            <w:pPr>
              <w:spacing w:after="0" w:line="240" w:lineRule="auto"/>
              <w:jc w:val="center"/>
              <w:rPr>
                <w:rFonts w:ascii="Times New Roman" w:eastAsia="Times New Roman" w:hAnsi="Times New Roman"/>
                <w:color w:val="000000"/>
              </w:rPr>
            </w:pPr>
            <w:r w:rsidRPr="00773884">
              <w:rPr>
                <w:rFonts w:ascii="Times New Roman" w:eastAsia="Times New Roman" w:hAnsi="Times New Roman"/>
                <w:color w:val="000000"/>
              </w:rPr>
              <w:t>0.0%</w:t>
            </w:r>
          </w:p>
        </w:tc>
        <w:tc>
          <w:tcPr>
            <w:tcW w:w="1042" w:type="dxa"/>
            <w:tcBorders>
              <w:top w:val="nil"/>
              <w:left w:val="nil"/>
              <w:bottom w:val="double" w:sz="6" w:space="0" w:color="auto"/>
              <w:right w:val="single" w:sz="4" w:space="0" w:color="auto"/>
            </w:tcBorders>
            <w:shd w:val="clear" w:color="auto" w:fill="auto"/>
            <w:noWrap/>
            <w:vAlign w:val="bottom"/>
            <w:hideMark/>
          </w:tcPr>
          <w:p w14:paraId="27002FEC" w14:textId="77777777" w:rsidR="006403CC" w:rsidRPr="00773884" w:rsidRDefault="006403CC" w:rsidP="003666C5">
            <w:pPr>
              <w:spacing w:after="0" w:line="240" w:lineRule="auto"/>
              <w:jc w:val="right"/>
              <w:rPr>
                <w:rFonts w:ascii="Times New Roman" w:eastAsia="Times New Roman" w:hAnsi="Times New Roman"/>
                <w:color w:val="000000"/>
              </w:rPr>
            </w:pPr>
            <w:r w:rsidRPr="00773884">
              <w:rPr>
                <w:rFonts w:ascii="Times New Roman" w:eastAsia="Times New Roman" w:hAnsi="Times New Roman"/>
                <w:color w:val="000000"/>
              </w:rPr>
              <w:t>0.1%</w:t>
            </w:r>
          </w:p>
        </w:tc>
      </w:tr>
    </w:tbl>
    <w:p w14:paraId="117A5917"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44DE511B" w14:textId="519BE553" w:rsidR="006403CC" w:rsidRPr="00773884" w:rsidRDefault="003666C5" w:rsidP="002A4612">
      <w:pPr>
        <w:spacing w:before="120" w:after="120" w:line="240" w:lineRule="auto"/>
        <w:rPr>
          <w:rFonts w:ascii="Times New Roman" w:eastAsia="Arial Unicode MS" w:hAnsi="Times New Roman"/>
          <w:b/>
        </w:rPr>
      </w:pPr>
      <w:bookmarkStart w:id="147" w:name="_Toc3505109"/>
      <w:r w:rsidRPr="00773884">
        <w:rPr>
          <w:rFonts w:ascii="Times New Roman" w:hAnsi="Times New Roman"/>
        </w:rPr>
        <w:t xml:space="preserve">Table </w:t>
      </w:r>
      <w:r w:rsidRPr="00773884">
        <w:rPr>
          <w:rFonts w:ascii="Times New Roman" w:hAnsi="Times New Roman"/>
        </w:rPr>
        <w:fldChar w:fldCharType="begin"/>
      </w:r>
      <w:r w:rsidRPr="00773884">
        <w:rPr>
          <w:rFonts w:ascii="Times New Roman" w:hAnsi="Times New Roman"/>
        </w:rPr>
        <w:instrText xml:space="preserve"> SEQ Table \* ARABIC </w:instrText>
      </w:r>
      <w:r w:rsidRPr="00773884">
        <w:rPr>
          <w:rFonts w:ascii="Times New Roman" w:hAnsi="Times New Roman"/>
        </w:rPr>
        <w:fldChar w:fldCharType="separate"/>
      </w:r>
      <w:r w:rsidR="006F31B1">
        <w:rPr>
          <w:rFonts w:ascii="Times New Roman" w:hAnsi="Times New Roman"/>
          <w:noProof/>
        </w:rPr>
        <w:t>12</w:t>
      </w:r>
      <w:r w:rsidRPr="00773884">
        <w:rPr>
          <w:rFonts w:ascii="Times New Roman" w:hAnsi="Times New Roman"/>
        </w:rPr>
        <w:fldChar w:fldCharType="end"/>
      </w:r>
      <w:r w:rsidRPr="00773884">
        <w:rPr>
          <w:rFonts w:ascii="Times New Roman" w:hAnsi="Times New Roman"/>
        </w:rPr>
        <w:t>:</w:t>
      </w:r>
      <w:r w:rsidR="002A4612" w:rsidRPr="00773884">
        <w:rPr>
          <w:rFonts w:ascii="Times New Roman" w:hAnsi="Times New Roman"/>
        </w:rPr>
        <w:t xml:space="preserve"> </w:t>
      </w:r>
      <w:r w:rsidR="006403CC" w:rsidRPr="00773884">
        <w:rPr>
          <w:rFonts w:ascii="Times New Roman" w:eastAsia="Arial Unicode MS" w:hAnsi="Times New Roman"/>
          <w:b/>
        </w:rPr>
        <w:t xml:space="preserve"> A Comparison of Planned and Actual MTEF Development Assistance Aid by Sector (USD m)</w:t>
      </w:r>
      <w:bookmarkEnd w:id="147"/>
    </w:p>
    <w:tbl>
      <w:tblPr>
        <w:tblW w:w="0" w:type="auto"/>
        <w:tblInd w:w="-23" w:type="dxa"/>
        <w:tblLook w:val="04A0" w:firstRow="1" w:lastRow="0" w:firstColumn="1" w:lastColumn="0" w:noHBand="0" w:noVBand="1"/>
      </w:tblPr>
      <w:tblGrid>
        <w:gridCol w:w="3849"/>
        <w:gridCol w:w="996"/>
        <w:gridCol w:w="954"/>
        <w:gridCol w:w="954"/>
        <w:gridCol w:w="954"/>
        <w:gridCol w:w="954"/>
        <w:gridCol w:w="954"/>
      </w:tblGrid>
      <w:tr w:rsidR="006403CC" w:rsidRPr="0043743B" w14:paraId="02EA506D" w14:textId="77777777" w:rsidTr="0043743B">
        <w:trPr>
          <w:trHeight w:val="291"/>
        </w:trPr>
        <w:tc>
          <w:tcPr>
            <w:tcW w:w="0" w:type="auto"/>
            <w:tcBorders>
              <w:top w:val="double" w:sz="6" w:space="0" w:color="auto"/>
              <w:left w:val="double" w:sz="6" w:space="0" w:color="auto"/>
              <w:bottom w:val="single" w:sz="4" w:space="0" w:color="auto"/>
              <w:right w:val="nil"/>
            </w:tcBorders>
            <w:shd w:val="clear" w:color="auto" w:fill="auto"/>
            <w:noWrap/>
            <w:vAlign w:val="bottom"/>
            <w:hideMark/>
          </w:tcPr>
          <w:p w14:paraId="1FDA43AA" w14:textId="77777777" w:rsidR="006403CC" w:rsidRPr="0043743B" w:rsidRDefault="006403CC" w:rsidP="003666C5">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Primary Sector</w:t>
            </w:r>
          </w:p>
        </w:tc>
        <w:tc>
          <w:tcPr>
            <w:tcW w:w="0" w:type="auto"/>
            <w:gridSpan w:val="2"/>
            <w:tcBorders>
              <w:top w:val="double" w:sz="6" w:space="0" w:color="auto"/>
              <w:left w:val="double" w:sz="6" w:space="0" w:color="auto"/>
              <w:bottom w:val="single" w:sz="4" w:space="0" w:color="auto"/>
              <w:right w:val="double" w:sz="6" w:space="0" w:color="000000"/>
            </w:tcBorders>
            <w:shd w:val="clear" w:color="auto" w:fill="auto"/>
            <w:noWrap/>
            <w:vAlign w:val="bottom"/>
            <w:hideMark/>
          </w:tcPr>
          <w:p w14:paraId="136295D8" w14:textId="77777777" w:rsidR="006403CC" w:rsidRPr="0043743B" w:rsidRDefault="006403CC" w:rsidP="003666C5">
            <w:pPr>
              <w:spacing w:after="0" w:line="240" w:lineRule="auto"/>
              <w:jc w:val="center"/>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FY2015/16</w:t>
            </w:r>
          </w:p>
        </w:tc>
        <w:tc>
          <w:tcPr>
            <w:tcW w:w="0" w:type="auto"/>
            <w:gridSpan w:val="2"/>
            <w:tcBorders>
              <w:top w:val="double" w:sz="6" w:space="0" w:color="auto"/>
              <w:left w:val="nil"/>
              <w:bottom w:val="single" w:sz="4" w:space="0" w:color="auto"/>
              <w:right w:val="double" w:sz="6" w:space="0" w:color="000000"/>
            </w:tcBorders>
            <w:shd w:val="clear" w:color="auto" w:fill="auto"/>
            <w:noWrap/>
            <w:vAlign w:val="bottom"/>
            <w:hideMark/>
          </w:tcPr>
          <w:p w14:paraId="481B4514" w14:textId="77777777" w:rsidR="006403CC" w:rsidRPr="0043743B" w:rsidRDefault="006403CC" w:rsidP="003666C5">
            <w:pPr>
              <w:spacing w:after="0" w:line="240" w:lineRule="auto"/>
              <w:jc w:val="center"/>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 2016/17</w:t>
            </w:r>
          </w:p>
        </w:tc>
        <w:tc>
          <w:tcPr>
            <w:tcW w:w="0" w:type="auto"/>
            <w:gridSpan w:val="2"/>
            <w:tcBorders>
              <w:top w:val="double" w:sz="6" w:space="0" w:color="auto"/>
              <w:left w:val="nil"/>
              <w:bottom w:val="single" w:sz="4" w:space="0" w:color="auto"/>
              <w:right w:val="double" w:sz="6" w:space="0" w:color="000000"/>
            </w:tcBorders>
            <w:shd w:val="clear" w:color="auto" w:fill="auto"/>
            <w:noWrap/>
            <w:vAlign w:val="bottom"/>
            <w:hideMark/>
          </w:tcPr>
          <w:p w14:paraId="5935E04A" w14:textId="77777777" w:rsidR="006403CC" w:rsidRPr="0043743B" w:rsidRDefault="006403CC" w:rsidP="003666C5">
            <w:pPr>
              <w:spacing w:after="0" w:line="240" w:lineRule="auto"/>
              <w:jc w:val="center"/>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FY2017/18</w:t>
            </w:r>
          </w:p>
        </w:tc>
      </w:tr>
      <w:tr w:rsidR="00207BB2" w:rsidRPr="0043743B" w14:paraId="4E49AFC0"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721C1B65" w14:textId="77777777" w:rsidR="00207BB2" w:rsidRPr="0043743B" w:rsidRDefault="00207BB2" w:rsidP="00207BB2">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B53DB91" w14:textId="77777777" w:rsidR="00207BB2" w:rsidRPr="0043743B" w:rsidRDefault="00207BB2" w:rsidP="00207BB2">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Budget</w:t>
            </w:r>
          </w:p>
        </w:tc>
        <w:tc>
          <w:tcPr>
            <w:tcW w:w="0" w:type="auto"/>
            <w:tcBorders>
              <w:top w:val="nil"/>
              <w:left w:val="nil"/>
              <w:bottom w:val="single" w:sz="4" w:space="0" w:color="auto"/>
              <w:right w:val="double" w:sz="6" w:space="0" w:color="auto"/>
            </w:tcBorders>
            <w:shd w:val="clear" w:color="000000" w:fill="E2EFDA"/>
            <w:noWrap/>
            <w:vAlign w:val="bottom"/>
            <w:hideMark/>
          </w:tcPr>
          <w:p w14:paraId="1B1B2D68" w14:textId="77777777" w:rsidR="00207BB2" w:rsidRPr="0043743B" w:rsidRDefault="00207BB2" w:rsidP="00207BB2">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Outturn</w:t>
            </w:r>
          </w:p>
        </w:tc>
        <w:tc>
          <w:tcPr>
            <w:tcW w:w="0" w:type="auto"/>
            <w:tcBorders>
              <w:top w:val="nil"/>
              <w:left w:val="nil"/>
              <w:bottom w:val="single" w:sz="4" w:space="0" w:color="auto"/>
              <w:right w:val="single" w:sz="4" w:space="0" w:color="auto"/>
            </w:tcBorders>
            <w:shd w:val="clear" w:color="auto" w:fill="auto"/>
            <w:noWrap/>
            <w:vAlign w:val="bottom"/>
            <w:hideMark/>
          </w:tcPr>
          <w:p w14:paraId="7CA9BF8D" w14:textId="77777777" w:rsidR="00207BB2" w:rsidRPr="0043743B" w:rsidRDefault="00207BB2" w:rsidP="00207BB2">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Budget</w:t>
            </w:r>
          </w:p>
        </w:tc>
        <w:tc>
          <w:tcPr>
            <w:tcW w:w="0" w:type="auto"/>
            <w:tcBorders>
              <w:top w:val="nil"/>
              <w:left w:val="nil"/>
              <w:bottom w:val="single" w:sz="4" w:space="0" w:color="auto"/>
              <w:right w:val="double" w:sz="6" w:space="0" w:color="auto"/>
            </w:tcBorders>
            <w:shd w:val="clear" w:color="000000" w:fill="E2EFDA"/>
            <w:noWrap/>
            <w:vAlign w:val="bottom"/>
            <w:hideMark/>
          </w:tcPr>
          <w:p w14:paraId="17267D16" w14:textId="77777777" w:rsidR="00207BB2" w:rsidRPr="0043743B" w:rsidRDefault="00207BB2" w:rsidP="00207BB2">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Outturn</w:t>
            </w:r>
          </w:p>
        </w:tc>
        <w:tc>
          <w:tcPr>
            <w:tcW w:w="0" w:type="auto"/>
            <w:tcBorders>
              <w:top w:val="nil"/>
              <w:left w:val="nil"/>
              <w:bottom w:val="single" w:sz="4" w:space="0" w:color="auto"/>
              <w:right w:val="single" w:sz="4" w:space="0" w:color="auto"/>
            </w:tcBorders>
            <w:shd w:val="clear" w:color="auto" w:fill="auto"/>
            <w:noWrap/>
            <w:vAlign w:val="bottom"/>
            <w:hideMark/>
          </w:tcPr>
          <w:p w14:paraId="3A996805" w14:textId="499F300A" w:rsidR="00207BB2" w:rsidRPr="0043743B" w:rsidRDefault="00207BB2" w:rsidP="00207BB2">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Budget</w:t>
            </w:r>
          </w:p>
        </w:tc>
        <w:tc>
          <w:tcPr>
            <w:tcW w:w="0" w:type="auto"/>
            <w:tcBorders>
              <w:top w:val="nil"/>
              <w:left w:val="nil"/>
              <w:bottom w:val="single" w:sz="4" w:space="0" w:color="auto"/>
              <w:right w:val="double" w:sz="6" w:space="0" w:color="auto"/>
            </w:tcBorders>
            <w:shd w:val="clear" w:color="000000" w:fill="E2EFDA"/>
            <w:noWrap/>
            <w:vAlign w:val="bottom"/>
            <w:hideMark/>
          </w:tcPr>
          <w:p w14:paraId="2A38560B" w14:textId="36C11B12" w:rsidR="00207BB2" w:rsidRPr="0043743B" w:rsidRDefault="00207BB2" w:rsidP="00207BB2">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Outturn</w:t>
            </w:r>
          </w:p>
        </w:tc>
      </w:tr>
      <w:tr w:rsidR="00207BB2" w:rsidRPr="0043743B" w14:paraId="302B38ED"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7BE824B9"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ACCOUNTABILITY</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3D5D475"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31.43 </w:t>
            </w:r>
          </w:p>
        </w:tc>
        <w:tc>
          <w:tcPr>
            <w:tcW w:w="0" w:type="auto"/>
            <w:tcBorders>
              <w:top w:val="nil"/>
              <w:left w:val="nil"/>
              <w:bottom w:val="single" w:sz="4" w:space="0" w:color="auto"/>
              <w:right w:val="double" w:sz="6" w:space="0" w:color="auto"/>
            </w:tcBorders>
            <w:shd w:val="clear" w:color="000000" w:fill="E2EFDA"/>
            <w:noWrap/>
            <w:vAlign w:val="bottom"/>
            <w:hideMark/>
          </w:tcPr>
          <w:p w14:paraId="0D443ABD"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24.76 </w:t>
            </w:r>
          </w:p>
        </w:tc>
        <w:tc>
          <w:tcPr>
            <w:tcW w:w="0" w:type="auto"/>
            <w:tcBorders>
              <w:top w:val="nil"/>
              <w:left w:val="nil"/>
              <w:bottom w:val="single" w:sz="4" w:space="0" w:color="auto"/>
              <w:right w:val="single" w:sz="4" w:space="0" w:color="auto"/>
            </w:tcBorders>
            <w:shd w:val="clear" w:color="auto" w:fill="auto"/>
            <w:noWrap/>
            <w:vAlign w:val="bottom"/>
            <w:hideMark/>
          </w:tcPr>
          <w:p w14:paraId="0D8E1AE9"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27.52 </w:t>
            </w:r>
          </w:p>
        </w:tc>
        <w:tc>
          <w:tcPr>
            <w:tcW w:w="0" w:type="auto"/>
            <w:tcBorders>
              <w:top w:val="nil"/>
              <w:left w:val="nil"/>
              <w:bottom w:val="single" w:sz="4" w:space="0" w:color="auto"/>
              <w:right w:val="double" w:sz="6" w:space="0" w:color="auto"/>
            </w:tcBorders>
            <w:shd w:val="clear" w:color="000000" w:fill="E2EFDA"/>
            <w:noWrap/>
            <w:vAlign w:val="bottom"/>
            <w:hideMark/>
          </w:tcPr>
          <w:p w14:paraId="1FAB239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33.54 </w:t>
            </w:r>
          </w:p>
        </w:tc>
        <w:tc>
          <w:tcPr>
            <w:tcW w:w="0" w:type="auto"/>
            <w:tcBorders>
              <w:top w:val="nil"/>
              <w:left w:val="nil"/>
              <w:bottom w:val="single" w:sz="4" w:space="0" w:color="auto"/>
              <w:right w:val="single" w:sz="4" w:space="0" w:color="auto"/>
            </w:tcBorders>
            <w:shd w:val="clear" w:color="auto" w:fill="auto"/>
            <w:noWrap/>
            <w:vAlign w:val="bottom"/>
            <w:hideMark/>
          </w:tcPr>
          <w:p w14:paraId="0381A550"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39.72 </w:t>
            </w:r>
          </w:p>
        </w:tc>
        <w:tc>
          <w:tcPr>
            <w:tcW w:w="0" w:type="auto"/>
            <w:tcBorders>
              <w:top w:val="nil"/>
              <w:left w:val="nil"/>
              <w:bottom w:val="single" w:sz="4" w:space="0" w:color="auto"/>
              <w:right w:val="double" w:sz="6" w:space="0" w:color="auto"/>
            </w:tcBorders>
            <w:shd w:val="clear" w:color="000000" w:fill="E2EFDA"/>
            <w:noWrap/>
            <w:vAlign w:val="bottom"/>
            <w:hideMark/>
          </w:tcPr>
          <w:p w14:paraId="1FAFA3CA"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32.64 </w:t>
            </w:r>
          </w:p>
        </w:tc>
      </w:tr>
      <w:tr w:rsidR="00207BB2" w:rsidRPr="0043743B" w14:paraId="63408536"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0533ACF3"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AGRICULTURE</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A7E9961"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27.01 </w:t>
            </w:r>
          </w:p>
        </w:tc>
        <w:tc>
          <w:tcPr>
            <w:tcW w:w="0" w:type="auto"/>
            <w:tcBorders>
              <w:top w:val="nil"/>
              <w:left w:val="nil"/>
              <w:bottom w:val="single" w:sz="4" w:space="0" w:color="auto"/>
              <w:right w:val="double" w:sz="6" w:space="0" w:color="auto"/>
            </w:tcBorders>
            <w:shd w:val="clear" w:color="000000" w:fill="E2EFDA"/>
            <w:noWrap/>
            <w:vAlign w:val="bottom"/>
            <w:hideMark/>
          </w:tcPr>
          <w:p w14:paraId="55CEF36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21.12 </w:t>
            </w:r>
          </w:p>
        </w:tc>
        <w:tc>
          <w:tcPr>
            <w:tcW w:w="0" w:type="auto"/>
            <w:tcBorders>
              <w:top w:val="nil"/>
              <w:left w:val="nil"/>
              <w:bottom w:val="single" w:sz="4" w:space="0" w:color="auto"/>
              <w:right w:val="single" w:sz="4" w:space="0" w:color="auto"/>
            </w:tcBorders>
            <w:shd w:val="clear" w:color="auto" w:fill="auto"/>
            <w:noWrap/>
            <w:vAlign w:val="bottom"/>
            <w:hideMark/>
          </w:tcPr>
          <w:p w14:paraId="7F5DB0F4"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53.87 </w:t>
            </w:r>
          </w:p>
        </w:tc>
        <w:tc>
          <w:tcPr>
            <w:tcW w:w="0" w:type="auto"/>
            <w:tcBorders>
              <w:top w:val="nil"/>
              <w:left w:val="nil"/>
              <w:bottom w:val="single" w:sz="4" w:space="0" w:color="auto"/>
              <w:right w:val="double" w:sz="6" w:space="0" w:color="auto"/>
            </w:tcBorders>
            <w:shd w:val="clear" w:color="000000" w:fill="E2EFDA"/>
            <w:noWrap/>
            <w:vAlign w:val="bottom"/>
            <w:hideMark/>
          </w:tcPr>
          <w:p w14:paraId="485A735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57.37 </w:t>
            </w:r>
          </w:p>
        </w:tc>
        <w:tc>
          <w:tcPr>
            <w:tcW w:w="0" w:type="auto"/>
            <w:tcBorders>
              <w:top w:val="nil"/>
              <w:left w:val="nil"/>
              <w:bottom w:val="single" w:sz="4" w:space="0" w:color="auto"/>
              <w:right w:val="single" w:sz="4" w:space="0" w:color="auto"/>
            </w:tcBorders>
            <w:shd w:val="clear" w:color="auto" w:fill="auto"/>
            <w:noWrap/>
            <w:vAlign w:val="bottom"/>
            <w:hideMark/>
          </w:tcPr>
          <w:p w14:paraId="5108477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45.18 </w:t>
            </w:r>
          </w:p>
        </w:tc>
        <w:tc>
          <w:tcPr>
            <w:tcW w:w="0" w:type="auto"/>
            <w:tcBorders>
              <w:top w:val="nil"/>
              <w:left w:val="nil"/>
              <w:bottom w:val="single" w:sz="4" w:space="0" w:color="auto"/>
              <w:right w:val="double" w:sz="6" w:space="0" w:color="auto"/>
            </w:tcBorders>
            <w:shd w:val="clear" w:color="000000" w:fill="E2EFDA"/>
            <w:noWrap/>
            <w:vAlign w:val="bottom"/>
            <w:hideMark/>
          </w:tcPr>
          <w:p w14:paraId="45AB9A05"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53.86 </w:t>
            </w:r>
          </w:p>
        </w:tc>
      </w:tr>
      <w:tr w:rsidR="00207BB2" w:rsidRPr="0043743B" w14:paraId="05AB2679"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3D4348D3"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BUDGET SUPPORT</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594DA92F"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16.70 </w:t>
            </w:r>
          </w:p>
        </w:tc>
        <w:tc>
          <w:tcPr>
            <w:tcW w:w="0" w:type="auto"/>
            <w:tcBorders>
              <w:top w:val="nil"/>
              <w:left w:val="nil"/>
              <w:bottom w:val="single" w:sz="4" w:space="0" w:color="auto"/>
              <w:right w:val="double" w:sz="6" w:space="0" w:color="auto"/>
            </w:tcBorders>
            <w:shd w:val="clear" w:color="000000" w:fill="E2EFDA"/>
            <w:noWrap/>
            <w:vAlign w:val="bottom"/>
            <w:hideMark/>
          </w:tcPr>
          <w:p w14:paraId="13604472"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35.59 </w:t>
            </w:r>
          </w:p>
        </w:tc>
        <w:tc>
          <w:tcPr>
            <w:tcW w:w="0" w:type="auto"/>
            <w:tcBorders>
              <w:top w:val="nil"/>
              <w:left w:val="nil"/>
              <w:bottom w:val="single" w:sz="4" w:space="0" w:color="auto"/>
              <w:right w:val="single" w:sz="4" w:space="0" w:color="auto"/>
            </w:tcBorders>
            <w:shd w:val="clear" w:color="auto" w:fill="auto"/>
            <w:noWrap/>
            <w:vAlign w:val="bottom"/>
            <w:hideMark/>
          </w:tcPr>
          <w:p w14:paraId="6F2E911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206.38 </w:t>
            </w:r>
          </w:p>
        </w:tc>
        <w:tc>
          <w:tcPr>
            <w:tcW w:w="0" w:type="auto"/>
            <w:tcBorders>
              <w:top w:val="nil"/>
              <w:left w:val="nil"/>
              <w:bottom w:val="single" w:sz="4" w:space="0" w:color="auto"/>
              <w:right w:val="double" w:sz="6" w:space="0" w:color="auto"/>
            </w:tcBorders>
            <w:shd w:val="clear" w:color="000000" w:fill="E2EFDA"/>
            <w:noWrap/>
            <w:vAlign w:val="bottom"/>
            <w:hideMark/>
          </w:tcPr>
          <w:p w14:paraId="68822594"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169.03 </w:t>
            </w:r>
          </w:p>
        </w:tc>
        <w:tc>
          <w:tcPr>
            <w:tcW w:w="0" w:type="auto"/>
            <w:tcBorders>
              <w:top w:val="nil"/>
              <w:left w:val="nil"/>
              <w:bottom w:val="single" w:sz="4" w:space="0" w:color="auto"/>
              <w:right w:val="single" w:sz="4" w:space="0" w:color="auto"/>
            </w:tcBorders>
            <w:shd w:val="clear" w:color="auto" w:fill="auto"/>
            <w:noWrap/>
            <w:vAlign w:val="bottom"/>
            <w:hideMark/>
          </w:tcPr>
          <w:p w14:paraId="63E89E5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6.22 </w:t>
            </w:r>
          </w:p>
        </w:tc>
        <w:tc>
          <w:tcPr>
            <w:tcW w:w="0" w:type="auto"/>
            <w:tcBorders>
              <w:top w:val="nil"/>
              <w:left w:val="nil"/>
              <w:bottom w:val="single" w:sz="4" w:space="0" w:color="auto"/>
              <w:right w:val="double" w:sz="6" w:space="0" w:color="auto"/>
            </w:tcBorders>
            <w:shd w:val="clear" w:color="000000" w:fill="E2EFDA"/>
            <w:noWrap/>
            <w:vAlign w:val="bottom"/>
            <w:hideMark/>
          </w:tcPr>
          <w:p w14:paraId="6E1062C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47.95 </w:t>
            </w:r>
          </w:p>
        </w:tc>
      </w:tr>
      <w:tr w:rsidR="00207BB2" w:rsidRPr="0043743B" w14:paraId="62A6CB6D"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11EF94E6"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EDUCATION</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F300416"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58.27 </w:t>
            </w:r>
          </w:p>
        </w:tc>
        <w:tc>
          <w:tcPr>
            <w:tcW w:w="0" w:type="auto"/>
            <w:tcBorders>
              <w:top w:val="nil"/>
              <w:left w:val="nil"/>
              <w:bottom w:val="single" w:sz="4" w:space="0" w:color="auto"/>
              <w:right w:val="double" w:sz="6" w:space="0" w:color="auto"/>
            </w:tcBorders>
            <w:shd w:val="clear" w:color="000000" w:fill="E2EFDA"/>
            <w:noWrap/>
            <w:vAlign w:val="bottom"/>
            <w:hideMark/>
          </w:tcPr>
          <w:p w14:paraId="6019933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68.22 </w:t>
            </w:r>
          </w:p>
        </w:tc>
        <w:tc>
          <w:tcPr>
            <w:tcW w:w="0" w:type="auto"/>
            <w:tcBorders>
              <w:top w:val="nil"/>
              <w:left w:val="nil"/>
              <w:bottom w:val="single" w:sz="4" w:space="0" w:color="auto"/>
              <w:right w:val="single" w:sz="4" w:space="0" w:color="auto"/>
            </w:tcBorders>
            <w:shd w:val="clear" w:color="auto" w:fill="auto"/>
            <w:noWrap/>
            <w:vAlign w:val="bottom"/>
            <w:hideMark/>
          </w:tcPr>
          <w:p w14:paraId="50325D6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102.47 </w:t>
            </w:r>
          </w:p>
        </w:tc>
        <w:tc>
          <w:tcPr>
            <w:tcW w:w="0" w:type="auto"/>
            <w:tcBorders>
              <w:top w:val="nil"/>
              <w:left w:val="nil"/>
              <w:bottom w:val="single" w:sz="4" w:space="0" w:color="auto"/>
              <w:right w:val="double" w:sz="6" w:space="0" w:color="auto"/>
            </w:tcBorders>
            <w:shd w:val="clear" w:color="000000" w:fill="E2EFDA"/>
            <w:noWrap/>
            <w:vAlign w:val="bottom"/>
            <w:hideMark/>
          </w:tcPr>
          <w:p w14:paraId="37372FB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62.85 </w:t>
            </w:r>
          </w:p>
        </w:tc>
        <w:tc>
          <w:tcPr>
            <w:tcW w:w="0" w:type="auto"/>
            <w:tcBorders>
              <w:top w:val="nil"/>
              <w:left w:val="nil"/>
              <w:bottom w:val="single" w:sz="4" w:space="0" w:color="auto"/>
              <w:right w:val="single" w:sz="4" w:space="0" w:color="auto"/>
            </w:tcBorders>
            <w:shd w:val="clear" w:color="auto" w:fill="auto"/>
            <w:noWrap/>
            <w:vAlign w:val="bottom"/>
            <w:hideMark/>
          </w:tcPr>
          <w:p w14:paraId="5B2F12EA"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96.66 </w:t>
            </w:r>
          </w:p>
        </w:tc>
        <w:tc>
          <w:tcPr>
            <w:tcW w:w="0" w:type="auto"/>
            <w:tcBorders>
              <w:top w:val="nil"/>
              <w:left w:val="nil"/>
              <w:bottom w:val="single" w:sz="4" w:space="0" w:color="auto"/>
              <w:right w:val="double" w:sz="6" w:space="0" w:color="auto"/>
            </w:tcBorders>
            <w:shd w:val="clear" w:color="000000" w:fill="E2EFDA"/>
            <w:noWrap/>
            <w:vAlign w:val="bottom"/>
            <w:hideMark/>
          </w:tcPr>
          <w:p w14:paraId="37F5901F"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58.01 </w:t>
            </w:r>
          </w:p>
        </w:tc>
      </w:tr>
      <w:tr w:rsidR="00207BB2" w:rsidRPr="0043743B" w14:paraId="33F2F7AF"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33D71075"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ENERGY AND MINERAL DEVELOPMENT</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5C9F15A5"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771.33 </w:t>
            </w:r>
          </w:p>
        </w:tc>
        <w:tc>
          <w:tcPr>
            <w:tcW w:w="0" w:type="auto"/>
            <w:tcBorders>
              <w:top w:val="nil"/>
              <w:left w:val="nil"/>
              <w:bottom w:val="single" w:sz="4" w:space="0" w:color="auto"/>
              <w:right w:val="double" w:sz="6" w:space="0" w:color="auto"/>
            </w:tcBorders>
            <w:shd w:val="clear" w:color="000000" w:fill="E2EFDA"/>
            <w:noWrap/>
            <w:vAlign w:val="bottom"/>
            <w:hideMark/>
          </w:tcPr>
          <w:p w14:paraId="5E0E3D2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555.31 </w:t>
            </w:r>
          </w:p>
        </w:tc>
        <w:tc>
          <w:tcPr>
            <w:tcW w:w="0" w:type="auto"/>
            <w:tcBorders>
              <w:top w:val="nil"/>
              <w:left w:val="nil"/>
              <w:bottom w:val="single" w:sz="4" w:space="0" w:color="auto"/>
              <w:right w:val="single" w:sz="4" w:space="0" w:color="auto"/>
            </w:tcBorders>
            <w:shd w:val="clear" w:color="auto" w:fill="auto"/>
            <w:noWrap/>
            <w:vAlign w:val="bottom"/>
            <w:hideMark/>
          </w:tcPr>
          <w:p w14:paraId="634D9FD7"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507.34 </w:t>
            </w:r>
          </w:p>
        </w:tc>
        <w:tc>
          <w:tcPr>
            <w:tcW w:w="0" w:type="auto"/>
            <w:tcBorders>
              <w:top w:val="nil"/>
              <w:left w:val="nil"/>
              <w:bottom w:val="single" w:sz="4" w:space="0" w:color="auto"/>
              <w:right w:val="double" w:sz="6" w:space="0" w:color="auto"/>
            </w:tcBorders>
            <w:shd w:val="clear" w:color="000000" w:fill="E2EFDA"/>
            <w:noWrap/>
            <w:vAlign w:val="bottom"/>
            <w:hideMark/>
          </w:tcPr>
          <w:p w14:paraId="33F9F9A9"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304.92 </w:t>
            </w:r>
          </w:p>
        </w:tc>
        <w:tc>
          <w:tcPr>
            <w:tcW w:w="0" w:type="auto"/>
            <w:tcBorders>
              <w:top w:val="nil"/>
              <w:left w:val="nil"/>
              <w:bottom w:val="single" w:sz="4" w:space="0" w:color="auto"/>
              <w:right w:val="single" w:sz="4" w:space="0" w:color="auto"/>
            </w:tcBorders>
            <w:shd w:val="clear" w:color="auto" w:fill="auto"/>
            <w:noWrap/>
            <w:vAlign w:val="bottom"/>
            <w:hideMark/>
          </w:tcPr>
          <w:p w14:paraId="17EB9A38"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469.89 </w:t>
            </w:r>
          </w:p>
        </w:tc>
        <w:tc>
          <w:tcPr>
            <w:tcW w:w="0" w:type="auto"/>
            <w:tcBorders>
              <w:top w:val="nil"/>
              <w:left w:val="nil"/>
              <w:bottom w:val="single" w:sz="4" w:space="0" w:color="auto"/>
              <w:right w:val="double" w:sz="6" w:space="0" w:color="auto"/>
            </w:tcBorders>
            <w:shd w:val="clear" w:color="000000" w:fill="E2EFDA"/>
            <w:noWrap/>
            <w:vAlign w:val="bottom"/>
            <w:hideMark/>
          </w:tcPr>
          <w:p w14:paraId="4488174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479.13 </w:t>
            </w:r>
          </w:p>
        </w:tc>
      </w:tr>
      <w:tr w:rsidR="00207BB2" w:rsidRPr="0043743B" w14:paraId="2C7195CA"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0B14C114"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HEALTH</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63FE133"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197.53 </w:t>
            </w:r>
          </w:p>
        </w:tc>
        <w:tc>
          <w:tcPr>
            <w:tcW w:w="0" w:type="auto"/>
            <w:tcBorders>
              <w:top w:val="nil"/>
              <w:left w:val="nil"/>
              <w:bottom w:val="single" w:sz="4" w:space="0" w:color="auto"/>
              <w:right w:val="double" w:sz="6" w:space="0" w:color="auto"/>
            </w:tcBorders>
            <w:shd w:val="clear" w:color="000000" w:fill="E2EFDA"/>
            <w:noWrap/>
            <w:vAlign w:val="bottom"/>
            <w:hideMark/>
          </w:tcPr>
          <w:p w14:paraId="4BAF3F90"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79.28 </w:t>
            </w:r>
          </w:p>
        </w:tc>
        <w:tc>
          <w:tcPr>
            <w:tcW w:w="0" w:type="auto"/>
            <w:tcBorders>
              <w:top w:val="nil"/>
              <w:left w:val="nil"/>
              <w:bottom w:val="single" w:sz="4" w:space="0" w:color="auto"/>
              <w:right w:val="single" w:sz="4" w:space="0" w:color="auto"/>
            </w:tcBorders>
            <w:shd w:val="clear" w:color="auto" w:fill="auto"/>
            <w:noWrap/>
            <w:vAlign w:val="bottom"/>
            <w:hideMark/>
          </w:tcPr>
          <w:p w14:paraId="1D264F95"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247.05 </w:t>
            </w:r>
          </w:p>
        </w:tc>
        <w:tc>
          <w:tcPr>
            <w:tcW w:w="0" w:type="auto"/>
            <w:tcBorders>
              <w:top w:val="nil"/>
              <w:left w:val="nil"/>
              <w:bottom w:val="single" w:sz="4" w:space="0" w:color="auto"/>
              <w:right w:val="double" w:sz="6" w:space="0" w:color="auto"/>
            </w:tcBorders>
            <w:shd w:val="clear" w:color="000000" w:fill="E2EFDA"/>
            <w:noWrap/>
            <w:vAlign w:val="bottom"/>
            <w:hideMark/>
          </w:tcPr>
          <w:p w14:paraId="61C7B98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56.89 </w:t>
            </w:r>
          </w:p>
        </w:tc>
        <w:tc>
          <w:tcPr>
            <w:tcW w:w="0" w:type="auto"/>
            <w:tcBorders>
              <w:top w:val="nil"/>
              <w:left w:val="nil"/>
              <w:bottom w:val="single" w:sz="4" w:space="0" w:color="auto"/>
              <w:right w:val="single" w:sz="4" w:space="0" w:color="auto"/>
            </w:tcBorders>
            <w:shd w:val="clear" w:color="auto" w:fill="auto"/>
            <w:noWrap/>
            <w:vAlign w:val="bottom"/>
            <w:hideMark/>
          </w:tcPr>
          <w:p w14:paraId="46265FCA"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243.00 </w:t>
            </w:r>
          </w:p>
        </w:tc>
        <w:tc>
          <w:tcPr>
            <w:tcW w:w="0" w:type="auto"/>
            <w:tcBorders>
              <w:top w:val="nil"/>
              <w:left w:val="nil"/>
              <w:bottom w:val="single" w:sz="4" w:space="0" w:color="auto"/>
              <w:right w:val="double" w:sz="6" w:space="0" w:color="auto"/>
            </w:tcBorders>
            <w:shd w:val="clear" w:color="000000" w:fill="E2EFDA"/>
            <w:noWrap/>
            <w:vAlign w:val="bottom"/>
            <w:hideMark/>
          </w:tcPr>
          <w:p w14:paraId="4935B51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48.49 </w:t>
            </w:r>
          </w:p>
        </w:tc>
      </w:tr>
      <w:tr w:rsidR="00207BB2" w:rsidRPr="0043743B" w14:paraId="6630AA4F"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1C8C3D14"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ICT AND NATIONAL GUIDANCE</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B0FE1CF"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14.24 </w:t>
            </w:r>
          </w:p>
        </w:tc>
        <w:tc>
          <w:tcPr>
            <w:tcW w:w="0" w:type="auto"/>
            <w:tcBorders>
              <w:top w:val="nil"/>
              <w:left w:val="nil"/>
              <w:bottom w:val="single" w:sz="4" w:space="0" w:color="auto"/>
              <w:right w:val="double" w:sz="6" w:space="0" w:color="auto"/>
            </w:tcBorders>
            <w:shd w:val="clear" w:color="000000" w:fill="E2EFDA"/>
            <w:noWrap/>
            <w:vAlign w:val="bottom"/>
            <w:hideMark/>
          </w:tcPr>
          <w:p w14:paraId="3B56AF38"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4.62 </w:t>
            </w:r>
          </w:p>
        </w:tc>
        <w:tc>
          <w:tcPr>
            <w:tcW w:w="0" w:type="auto"/>
            <w:tcBorders>
              <w:top w:val="nil"/>
              <w:left w:val="nil"/>
              <w:bottom w:val="single" w:sz="4" w:space="0" w:color="auto"/>
              <w:right w:val="single" w:sz="4" w:space="0" w:color="auto"/>
            </w:tcBorders>
            <w:shd w:val="clear" w:color="auto" w:fill="auto"/>
            <w:noWrap/>
            <w:vAlign w:val="bottom"/>
            <w:hideMark/>
          </w:tcPr>
          <w:p w14:paraId="078CDC33"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5.99 </w:t>
            </w:r>
          </w:p>
        </w:tc>
        <w:tc>
          <w:tcPr>
            <w:tcW w:w="0" w:type="auto"/>
            <w:tcBorders>
              <w:top w:val="nil"/>
              <w:left w:val="nil"/>
              <w:bottom w:val="single" w:sz="4" w:space="0" w:color="auto"/>
              <w:right w:val="double" w:sz="6" w:space="0" w:color="auto"/>
            </w:tcBorders>
            <w:shd w:val="clear" w:color="000000" w:fill="E2EFDA"/>
            <w:noWrap/>
            <w:vAlign w:val="bottom"/>
            <w:hideMark/>
          </w:tcPr>
          <w:p w14:paraId="41E856B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28.96 </w:t>
            </w:r>
          </w:p>
        </w:tc>
        <w:tc>
          <w:tcPr>
            <w:tcW w:w="0" w:type="auto"/>
            <w:tcBorders>
              <w:top w:val="nil"/>
              <w:left w:val="nil"/>
              <w:bottom w:val="single" w:sz="4" w:space="0" w:color="auto"/>
              <w:right w:val="single" w:sz="4" w:space="0" w:color="auto"/>
            </w:tcBorders>
            <w:shd w:val="clear" w:color="auto" w:fill="auto"/>
            <w:noWrap/>
            <w:vAlign w:val="bottom"/>
            <w:hideMark/>
          </w:tcPr>
          <w:p w14:paraId="09544BB5"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9.05 </w:t>
            </w:r>
          </w:p>
        </w:tc>
        <w:tc>
          <w:tcPr>
            <w:tcW w:w="0" w:type="auto"/>
            <w:tcBorders>
              <w:top w:val="nil"/>
              <w:left w:val="nil"/>
              <w:bottom w:val="single" w:sz="4" w:space="0" w:color="auto"/>
              <w:right w:val="double" w:sz="6" w:space="0" w:color="auto"/>
            </w:tcBorders>
            <w:shd w:val="clear" w:color="000000" w:fill="E2EFDA"/>
            <w:noWrap/>
            <w:vAlign w:val="bottom"/>
            <w:hideMark/>
          </w:tcPr>
          <w:p w14:paraId="01E91754"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6.36 </w:t>
            </w:r>
          </w:p>
        </w:tc>
      </w:tr>
      <w:tr w:rsidR="00207BB2" w:rsidRPr="0043743B" w14:paraId="00334624"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74028CC3"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JUSTICE LAW AND ORDER</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0DF138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28FD9B55"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0.04 </w:t>
            </w:r>
          </w:p>
        </w:tc>
        <w:tc>
          <w:tcPr>
            <w:tcW w:w="0" w:type="auto"/>
            <w:tcBorders>
              <w:top w:val="nil"/>
              <w:left w:val="nil"/>
              <w:bottom w:val="single" w:sz="4" w:space="0" w:color="auto"/>
              <w:right w:val="single" w:sz="4" w:space="0" w:color="auto"/>
            </w:tcBorders>
            <w:shd w:val="clear" w:color="auto" w:fill="auto"/>
            <w:noWrap/>
            <w:vAlign w:val="bottom"/>
            <w:hideMark/>
          </w:tcPr>
          <w:p w14:paraId="243CCB92"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4B5A62A6"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5876680"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1674216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r>
      <w:tr w:rsidR="00207BB2" w:rsidRPr="0043743B" w14:paraId="2FD249A1"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4A168A00"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LANDS, HOUSING AND URBAN DEVELOPMENT</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5DB9014F"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30.09 </w:t>
            </w:r>
          </w:p>
        </w:tc>
        <w:tc>
          <w:tcPr>
            <w:tcW w:w="0" w:type="auto"/>
            <w:tcBorders>
              <w:top w:val="nil"/>
              <w:left w:val="nil"/>
              <w:bottom w:val="single" w:sz="4" w:space="0" w:color="auto"/>
              <w:right w:val="double" w:sz="6" w:space="0" w:color="auto"/>
            </w:tcBorders>
            <w:shd w:val="clear" w:color="000000" w:fill="E2EFDA"/>
            <w:noWrap/>
            <w:vAlign w:val="bottom"/>
            <w:hideMark/>
          </w:tcPr>
          <w:p w14:paraId="1D741DBA"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43.87 </w:t>
            </w:r>
          </w:p>
        </w:tc>
        <w:tc>
          <w:tcPr>
            <w:tcW w:w="0" w:type="auto"/>
            <w:tcBorders>
              <w:top w:val="nil"/>
              <w:left w:val="nil"/>
              <w:bottom w:val="single" w:sz="4" w:space="0" w:color="auto"/>
              <w:right w:val="single" w:sz="4" w:space="0" w:color="auto"/>
            </w:tcBorders>
            <w:shd w:val="clear" w:color="auto" w:fill="auto"/>
            <w:noWrap/>
            <w:vAlign w:val="bottom"/>
            <w:hideMark/>
          </w:tcPr>
          <w:p w14:paraId="0AA51CE0"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53.41 </w:t>
            </w:r>
          </w:p>
        </w:tc>
        <w:tc>
          <w:tcPr>
            <w:tcW w:w="0" w:type="auto"/>
            <w:tcBorders>
              <w:top w:val="nil"/>
              <w:left w:val="nil"/>
              <w:bottom w:val="single" w:sz="4" w:space="0" w:color="auto"/>
              <w:right w:val="double" w:sz="6" w:space="0" w:color="auto"/>
            </w:tcBorders>
            <w:shd w:val="clear" w:color="000000" w:fill="E2EFDA"/>
            <w:noWrap/>
            <w:vAlign w:val="bottom"/>
            <w:hideMark/>
          </w:tcPr>
          <w:p w14:paraId="7B51689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40.10 </w:t>
            </w:r>
          </w:p>
        </w:tc>
        <w:tc>
          <w:tcPr>
            <w:tcW w:w="0" w:type="auto"/>
            <w:tcBorders>
              <w:top w:val="nil"/>
              <w:left w:val="nil"/>
              <w:bottom w:val="single" w:sz="4" w:space="0" w:color="auto"/>
              <w:right w:val="single" w:sz="4" w:space="0" w:color="auto"/>
            </w:tcBorders>
            <w:shd w:val="clear" w:color="auto" w:fill="auto"/>
            <w:noWrap/>
            <w:vAlign w:val="bottom"/>
            <w:hideMark/>
          </w:tcPr>
          <w:p w14:paraId="7D26FB17"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48.59 </w:t>
            </w:r>
          </w:p>
        </w:tc>
        <w:tc>
          <w:tcPr>
            <w:tcW w:w="0" w:type="auto"/>
            <w:tcBorders>
              <w:top w:val="nil"/>
              <w:left w:val="nil"/>
              <w:bottom w:val="single" w:sz="4" w:space="0" w:color="auto"/>
              <w:right w:val="double" w:sz="6" w:space="0" w:color="auto"/>
            </w:tcBorders>
            <w:shd w:val="clear" w:color="000000" w:fill="E2EFDA"/>
            <w:noWrap/>
            <w:vAlign w:val="bottom"/>
            <w:hideMark/>
          </w:tcPr>
          <w:p w14:paraId="5B7B9A10"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53.81 </w:t>
            </w:r>
          </w:p>
        </w:tc>
      </w:tr>
      <w:tr w:rsidR="00207BB2" w:rsidRPr="0043743B" w14:paraId="4B4F25C2"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315F7BF5"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ADMINISTRATION</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7233102"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5C1BECBF"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6563F1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25C032A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64C2F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0998F080"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r>
      <w:tr w:rsidR="00207BB2" w:rsidRPr="0043743B" w14:paraId="0433E811"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3668535A"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PUBLIC SECTOR MANAGEMENT</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5B526F4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57.16 </w:t>
            </w:r>
          </w:p>
        </w:tc>
        <w:tc>
          <w:tcPr>
            <w:tcW w:w="0" w:type="auto"/>
            <w:tcBorders>
              <w:top w:val="nil"/>
              <w:left w:val="nil"/>
              <w:bottom w:val="single" w:sz="4" w:space="0" w:color="auto"/>
              <w:right w:val="double" w:sz="6" w:space="0" w:color="auto"/>
            </w:tcBorders>
            <w:shd w:val="clear" w:color="000000" w:fill="E2EFDA"/>
            <w:noWrap/>
            <w:vAlign w:val="bottom"/>
            <w:hideMark/>
          </w:tcPr>
          <w:p w14:paraId="04849B04"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81.35 </w:t>
            </w:r>
          </w:p>
        </w:tc>
        <w:tc>
          <w:tcPr>
            <w:tcW w:w="0" w:type="auto"/>
            <w:tcBorders>
              <w:top w:val="nil"/>
              <w:left w:val="nil"/>
              <w:bottom w:val="single" w:sz="4" w:space="0" w:color="auto"/>
              <w:right w:val="single" w:sz="4" w:space="0" w:color="auto"/>
            </w:tcBorders>
            <w:shd w:val="clear" w:color="auto" w:fill="auto"/>
            <w:noWrap/>
            <w:vAlign w:val="bottom"/>
            <w:hideMark/>
          </w:tcPr>
          <w:p w14:paraId="6E3BAB36"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147.77 </w:t>
            </w:r>
          </w:p>
        </w:tc>
        <w:tc>
          <w:tcPr>
            <w:tcW w:w="0" w:type="auto"/>
            <w:tcBorders>
              <w:top w:val="nil"/>
              <w:left w:val="nil"/>
              <w:bottom w:val="single" w:sz="4" w:space="0" w:color="auto"/>
              <w:right w:val="double" w:sz="6" w:space="0" w:color="auto"/>
            </w:tcBorders>
            <w:shd w:val="clear" w:color="000000" w:fill="E2EFDA"/>
            <w:noWrap/>
            <w:vAlign w:val="bottom"/>
            <w:hideMark/>
          </w:tcPr>
          <w:p w14:paraId="022430C1"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86.14 </w:t>
            </w:r>
          </w:p>
        </w:tc>
        <w:tc>
          <w:tcPr>
            <w:tcW w:w="0" w:type="auto"/>
            <w:tcBorders>
              <w:top w:val="nil"/>
              <w:left w:val="nil"/>
              <w:bottom w:val="single" w:sz="4" w:space="0" w:color="auto"/>
              <w:right w:val="single" w:sz="4" w:space="0" w:color="auto"/>
            </w:tcBorders>
            <w:shd w:val="clear" w:color="auto" w:fill="auto"/>
            <w:noWrap/>
            <w:vAlign w:val="bottom"/>
            <w:hideMark/>
          </w:tcPr>
          <w:p w14:paraId="416F1296"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145.86 </w:t>
            </w:r>
          </w:p>
        </w:tc>
        <w:tc>
          <w:tcPr>
            <w:tcW w:w="0" w:type="auto"/>
            <w:tcBorders>
              <w:top w:val="nil"/>
              <w:left w:val="nil"/>
              <w:bottom w:val="single" w:sz="4" w:space="0" w:color="auto"/>
              <w:right w:val="double" w:sz="6" w:space="0" w:color="auto"/>
            </w:tcBorders>
            <w:shd w:val="clear" w:color="000000" w:fill="E2EFDA"/>
            <w:noWrap/>
            <w:vAlign w:val="bottom"/>
            <w:hideMark/>
          </w:tcPr>
          <w:p w14:paraId="5D28E05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68.56 </w:t>
            </w:r>
          </w:p>
        </w:tc>
      </w:tr>
      <w:tr w:rsidR="00207BB2" w:rsidRPr="0043743B" w14:paraId="291280F3"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565A81F5"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SECURITY</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9386D2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96.01 </w:t>
            </w:r>
          </w:p>
        </w:tc>
        <w:tc>
          <w:tcPr>
            <w:tcW w:w="0" w:type="auto"/>
            <w:tcBorders>
              <w:top w:val="nil"/>
              <w:left w:val="nil"/>
              <w:bottom w:val="single" w:sz="4" w:space="0" w:color="auto"/>
              <w:right w:val="double" w:sz="6" w:space="0" w:color="auto"/>
            </w:tcBorders>
            <w:shd w:val="clear" w:color="000000" w:fill="E2EFDA"/>
            <w:noWrap/>
            <w:vAlign w:val="bottom"/>
            <w:hideMark/>
          </w:tcPr>
          <w:p w14:paraId="34C0EA4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87.44 </w:t>
            </w:r>
          </w:p>
        </w:tc>
        <w:tc>
          <w:tcPr>
            <w:tcW w:w="0" w:type="auto"/>
            <w:tcBorders>
              <w:top w:val="nil"/>
              <w:left w:val="nil"/>
              <w:bottom w:val="single" w:sz="4" w:space="0" w:color="auto"/>
              <w:right w:val="single" w:sz="4" w:space="0" w:color="auto"/>
            </w:tcBorders>
            <w:shd w:val="clear" w:color="auto" w:fill="auto"/>
            <w:noWrap/>
            <w:vAlign w:val="bottom"/>
            <w:hideMark/>
          </w:tcPr>
          <w:p w14:paraId="67E98A73"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85.00 </w:t>
            </w:r>
          </w:p>
        </w:tc>
        <w:tc>
          <w:tcPr>
            <w:tcW w:w="0" w:type="auto"/>
            <w:tcBorders>
              <w:top w:val="nil"/>
              <w:left w:val="nil"/>
              <w:bottom w:val="single" w:sz="4" w:space="0" w:color="auto"/>
              <w:right w:val="double" w:sz="6" w:space="0" w:color="auto"/>
            </w:tcBorders>
            <w:shd w:val="clear" w:color="000000" w:fill="E2EFDA"/>
            <w:noWrap/>
            <w:vAlign w:val="bottom"/>
            <w:hideMark/>
          </w:tcPr>
          <w:p w14:paraId="05714EFF"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98.13 </w:t>
            </w:r>
          </w:p>
        </w:tc>
        <w:tc>
          <w:tcPr>
            <w:tcW w:w="0" w:type="auto"/>
            <w:tcBorders>
              <w:top w:val="nil"/>
              <w:left w:val="nil"/>
              <w:bottom w:val="single" w:sz="4" w:space="0" w:color="auto"/>
              <w:right w:val="single" w:sz="4" w:space="0" w:color="auto"/>
            </w:tcBorders>
            <w:shd w:val="clear" w:color="auto" w:fill="auto"/>
            <w:noWrap/>
            <w:vAlign w:val="bottom"/>
            <w:hideMark/>
          </w:tcPr>
          <w:p w14:paraId="66F051B8"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93.13 </w:t>
            </w:r>
          </w:p>
        </w:tc>
        <w:tc>
          <w:tcPr>
            <w:tcW w:w="0" w:type="auto"/>
            <w:tcBorders>
              <w:top w:val="nil"/>
              <w:left w:val="nil"/>
              <w:bottom w:val="single" w:sz="4" w:space="0" w:color="auto"/>
              <w:right w:val="double" w:sz="6" w:space="0" w:color="auto"/>
            </w:tcBorders>
            <w:shd w:val="clear" w:color="000000" w:fill="E2EFDA"/>
            <w:noWrap/>
            <w:vAlign w:val="bottom"/>
            <w:hideMark/>
          </w:tcPr>
          <w:p w14:paraId="2C7BEBD1"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82.86 </w:t>
            </w:r>
          </w:p>
        </w:tc>
      </w:tr>
      <w:tr w:rsidR="00207BB2" w:rsidRPr="0043743B" w14:paraId="6A63D22C"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45E9C3D1"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SOCIAL DEVELOPMENT</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40A0517"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7F7206DD"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47E3F60"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0A521FB8"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0.31 </w:t>
            </w:r>
          </w:p>
        </w:tc>
        <w:tc>
          <w:tcPr>
            <w:tcW w:w="0" w:type="auto"/>
            <w:tcBorders>
              <w:top w:val="nil"/>
              <w:left w:val="nil"/>
              <w:bottom w:val="single" w:sz="4" w:space="0" w:color="auto"/>
              <w:right w:val="single" w:sz="4" w:space="0" w:color="auto"/>
            </w:tcBorders>
            <w:shd w:val="clear" w:color="auto" w:fill="auto"/>
            <w:noWrap/>
            <w:vAlign w:val="bottom"/>
            <w:hideMark/>
          </w:tcPr>
          <w:p w14:paraId="0B978128"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4E428E8F"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0.15 </w:t>
            </w:r>
          </w:p>
        </w:tc>
      </w:tr>
      <w:tr w:rsidR="00207BB2" w:rsidRPr="0043743B" w14:paraId="6AF68DCC"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1282D41A"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TOURISM, TRADE AND INDUSTRY</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00FB56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0.25 </w:t>
            </w:r>
          </w:p>
        </w:tc>
        <w:tc>
          <w:tcPr>
            <w:tcW w:w="0" w:type="auto"/>
            <w:tcBorders>
              <w:top w:val="nil"/>
              <w:left w:val="nil"/>
              <w:bottom w:val="single" w:sz="4" w:space="0" w:color="auto"/>
              <w:right w:val="double" w:sz="6" w:space="0" w:color="auto"/>
            </w:tcBorders>
            <w:shd w:val="clear" w:color="000000" w:fill="E2EFDA"/>
            <w:noWrap/>
            <w:vAlign w:val="bottom"/>
            <w:hideMark/>
          </w:tcPr>
          <w:p w14:paraId="35AFD11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2.37 </w:t>
            </w:r>
          </w:p>
        </w:tc>
        <w:tc>
          <w:tcPr>
            <w:tcW w:w="0" w:type="auto"/>
            <w:tcBorders>
              <w:top w:val="nil"/>
              <w:left w:val="nil"/>
              <w:bottom w:val="single" w:sz="4" w:space="0" w:color="auto"/>
              <w:right w:val="single" w:sz="4" w:space="0" w:color="auto"/>
            </w:tcBorders>
            <w:shd w:val="clear" w:color="auto" w:fill="auto"/>
            <w:noWrap/>
            <w:vAlign w:val="bottom"/>
            <w:hideMark/>
          </w:tcPr>
          <w:p w14:paraId="34F6406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   </w:t>
            </w:r>
          </w:p>
        </w:tc>
        <w:tc>
          <w:tcPr>
            <w:tcW w:w="0" w:type="auto"/>
            <w:tcBorders>
              <w:top w:val="nil"/>
              <w:left w:val="nil"/>
              <w:bottom w:val="single" w:sz="4" w:space="0" w:color="auto"/>
              <w:right w:val="double" w:sz="6" w:space="0" w:color="auto"/>
            </w:tcBorders>
            <w:shd w:val="clear" w:color="000000" w:fill="E2EFDA"/>
            <w:noWrap/>
            <w:vAlign w:val="bottom"/>
            <w:hideMark/>
          </w:tcPr>
          <w:p w14:paraId="66121E83"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1.99 </w:t>
            </w:r>
          </w:p>
        </w:tc>
        <w:tc>
          <w:tcPr>
            <w:tcW w:w="0" w:type="auto"/>
            <w:tcBorders>
              <w:top w:val="nil"/>
              <w:left w:val="nil"/>
              <w:bottom w:val="single" w:sz="4" w:space="0" w:color="auto"/>
              <w:right w:val="single" w:sz="4" w:space="0" w:color="auto"/>
            </w:tcBorders>
            <w:shd w:val="clear" w:color="auto" w:fill="auto"/>
            <w:noWrap/>
            <w:vAlign w:val="bottom"/>
            <w:hideMark/>
          </w:tcPr>
          <w:p w14:paraId="60297908"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2.33 </w:t>
            </w:r>
          </w:p>
        </w:tc>
        <w:tc>
          <w:tcPr>
            <w:tcW w:w="0" w:type="auto"/>
            <w:tcBorders>
              <w:top w:val="nil"/>
              <w:left w:val="nil"/>
              <w:bottom w:val="single" w:sz="4" w:space="0" w:color="auto"/>
              <w:right w:val="double" w:sz="6" w:space="0" w:color="auto"/>
            </w:tcBorders>
            <w:shd w:val="clear" w:color="000000" w:fill="E2EFDA"/>
            <w:noWrap/>
            <w:vAlign w:val="bottom"/>
            <w:hideMark/>
          </w:tcPr>
          <w:p w14:paraId="321501E5"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2.28 </w:t>
            </w:r>
          </w:p>
        </w:tc>
      </w:tr>
      <w:tr w:rsidR="00207BB2" w:rsidRPr="0043743B" w14:paraId="47AAF00B"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0FAAC2A0"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WATER AND ENVIRONMENT</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4F91CD0"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71.41 </w:t>
            </w:r>
          </w:p>
        </w:tc>
        <w:tc>
          <w:tcPr>
            <w:tcW w:w="0" w:type="auto"/>
            <w:tcBorders>
              <w:top w:val="nil"/>
              <w:left w:val="nil"/>
              <w:bottom w:val="single" w:sz="4" w:space="0" w:color="auto"/>
              <w:right w:val="double" w:sz="6" w:space="0" w:color="auto"/>
            </w:tcBorders>
            <w:shd w:val="clear" w:color="000000" w:fill="E2EFDA"/>
            <w:noWrap/>
            <w:vAlign w:val="bottom"/>
            <w:hideMark/>
          </w:tcPr>
          <w:p w14:paraId="03D3233E"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119.60 </w:t>
            </w:r>
          </w:p>
        </w:tc>
        <w:tc>
          <w:tcPr>
            <w:tcW w:w="0" w:type="auto"/>
            <w:tcBorders>
              <w:top w:val="nil"/>
              <w:left w:val="nil"/>
              <w:bottom w:val="single" w:sz="4" w:space="0" w:color="auto"/>
              <w:right w:val="single" w:sz="4" w:space="0" w:color="auto"/>
            </w:tcBorders>
            <w:shd w:val="clear" w:color="auto" w:fill="auto"/>
            <w:noWrap/>
            <w:vAlign w:val="bottom"/>
            <w:hideMark/>
          </w:tcPr>
          <w:p w14:paraId="55FBC688"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71.79 </w:t>
            </w:r>
          </w:p>
        </w:tc>
        <w:tc>
          <w:tcPr>
            <w:tcW w:w="0" w:type="auto"/>
            <w:tcBorders>
              <w:top w:val="nil"/>
              <w:left w:val="nil"/>
              <w:bottom w:val="single" w:sz="4" w:space="0" w:color="auto"/>
              <w:right w:val="double" w:sz="6" w:space="0" w:color="auto"/>
            </w:tcBorders>
            <w:shd w:val="clear" w:color="000000" w:fill="E2EFDA"/>
            <w:noWrap/>
            <w:vAlign w:val="bottom"/>
            <w:hideMark/>
          </w:tcPr>
          <w:p w14:paraId="36FC3469"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85.45 </w:t>
            </w:r>
          </w:p>
        </w:tc>
        <w:tc>
          <w:tcPr>
            <w:tcW w:w="0" w:type="auto"/>
            <w:tcBorders>
              <w:top w:val="nil"/>
              <w:left w:val="nil"/>
              <w:bottom w:val="single" w:sz="4" w:space="0" w:color="auto"/>
              <w:right w:val="single" w:sz="4" w:space="0" w:color="auto"/>
            </w:tcBorders>
            <w:shd w:val="clear" w:color="auto" w:fill="auto"/>
            <w:noWrap/>
            <w:vAlign w:val="bottom"/>
            <w:hideMark/>
          </w:tcPr>
          <w:p w14:paraId="0473744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56.92 </w:t>
            </w:r>
          </w:p>
        </w:tc>
        <w:tc>
          <w:tcPr>
            <w:tcW w:w="0" w:type="auto"/>
            <w:tcBorders>
              <w:top w:val="nil"/>
              <w:left w:val="nil"/>
              <w:bottom w:val="single" w:sz="4" w:space="0" w:color="auto"/>
              <w:right w:val="double" w:sz="6" w:space="0" w:color="auto"/>
            </w:tcBorders>
            <w:shd w:val="clear" w:color="000000" w:fill="E2EFDA"/>
            <w:noWrap/>
            <w:vAlign w:val="bottom"/>
            <w:hideMark/>
          </w:tcPr>
          <w:p w14:paraId="5C41140C"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130.52 </w:t>
            </w:r>
          </w:p>
        </w:tc>
      </w:tr>
      <w:tr w:rsidR="00207BB2" w:rsidRPr="0043743B" w14:paraId="3B2EFA9A" w14:textId="77777777" w:rsidTr="0043743B">
        <w:trPr>
          <w:trHeight w:val="277"/>
        </w:trPr>
        <w:tc>
          <w:tcPr>
            <w:tcW w:w="0" w:type="auto"/>
            <w:tcBorders>
              <w:top w:val="nil"/>
              <w:left w:val="double" w:sz="6" w:space="0" w:color="auto"/>
              <w:bottom w:val="single" w:sz="4" w:space="0" w:color="auto"/>
              <w:right w:val="nil"/>
            </w:tcBorders>
            <w:shd w:val="clear" w:color="auto" w:fill="auto"/>
            <w:noWrap/>
            <w:vAlign w:val="bottom"/>
            <w:hideMark/>
          </w:tcPr>
          <w:p w14:paraId="03C7AE1E" w14:textId="77777777" w:rsidR="00207BB2" w:rsidRPr="0043743B" w:rsidRDefault="00207BB2" w:rsidP="00207BB2">
            <w:pPr>
              <w:spacing w:after="0" w:line="240" w:lineRule="auto"/>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WORKS AND TRANSPORT</w:t>
            </w:r>
          </w:p>
        </w:tc>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E6F5964"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354.69 </w:t>
            </w:r>
          </w:p>
        </w:tc>
        <w:tc>
          <w:tcPr>
            <w:tcW w:w="0" w:type="auto"/>
            <w:tcBorders>
              <w:top w:val="nil"/>
              <w:left w:val="nil"/>
              <w:bottom w:val="single" w:sz="4" w:space="0" w:color="auto"/>
              <w:right w:val="double" w:sz="6" w:space="0" w:color="auto"/>
            </w:tcBorders>
            <w:shd w:val="clear" w:color="000000" w:fill="E2EFDA"/>
            <w:noWrap/>
            <w:vAlign w:val="bottom"/>
            <w:hideMark/>
          </w:tcPr>
          <w:p w14:paraId="30C5166A"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153.11 </w:t>
            </w:r>
          </w:p>
        </w:tc>
        <w:tc>
          <w:tcPr>
            <w:tcW w:w="0" w:type="auto"/>
            <w:tcBorders>
              <w:top w:val="nil"/>
              <w:left w:val="nil"/>
              <w:bottom w:val="single" w:sz="4" w:space="0" w:color="auto"/>
              <w:right w:val="single" w:sz="4" w:space="0" w:color="auto"/>
            </w:tcBorders>
            <w:shd w:val="clear" w:color="auto" w:fill="auto"/>
            <w:noWrap/>
            <w:vAlign w:val="bottom"/>
            <w:hideMark/>
          </w:tcPr>
          <w:p w14:paraId="13F9A61F"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244.50 </w:t>
            </w:r>
          </w:p>
        </w:tc>
        <w:tc>
          <w:tcPr>
            <w:tcW w:w="0" w:type="auto"/>
            <w:tcBorders>
              <w:top w:val="nil"/>
              <w:left w:val="nil"/>
              <w:bottom w:val="single" w:sz="4" w:space="0" w:color="auto"/>
              <w:right w:val="double" w:sz="6" w:space="0" w:color="auto"/>
            </w:tcBorders>
            <w:shd w:val="clear" w:color="000000" w:fill="E2EFDA"/>
            <w:noWrap/>
            <w:vAlign w:val="bottom"/>
            <w:hideMark/>
          </w:tcPr>
          <w:p w14:paraId="6B669CE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178.70 </w:t>
            </w:r>
          </w:p>
        </w:tc>
        <w:tc>
          <w:tcPr>
            <w:tcW w:w="0" w:type="auto"/>
            <w:tcBorders>
              <w:top w:val="nil"/>
              <w:left w:val="nil"/>
              <w:bottom w:val="single" w:sz="4" w:space="0" w:color="auto"/>
              <w:right w:val="single" w:sz="4" w:space="0" w:color="auto"/>
            </w:tcBorders>
            <w:shd w:val="clear" w:color="auto" w:fill="auto"/>
            <w:noWrap/>
            <w:vAlign w:val="bottom"/>
            <w:hideMark/>
          </w:tcPr>
          <w:p w14:paraId="5A9EE346"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584.04 </w:t>
            </w:r>
          </w:p>
        </w:tc>
        <w:tc>
          <w:tcPr>
            <w:tcW w:w="0" w:type="auto"/>
            <w:tcBorders>
              <w:top w:val="nil"/>
              <w:left w:val="nil"/>
              <w:bottom w:val="single" w:sz="4" w:space="0" w:color="auto"/>
              <w:right w:val="double" w:sz="6" w:space="0" w:color="auto"/>
            </w:tcBorders>
            <w:shd w:val="clear" w:color="000000" w:fill="E2EFDA"/>
            <w:noWrap/>
            <w:vAlign w:val="bottom"/>
            <w:hideMark/>
          </w:tcPr>
          <w:p w14:paraId="1C81D0AB" w14:textId="77777777" w:rsidR="00207BB2" w:rsidRPr="0043743B" w:rsidRDefault="00207BB2" w:rsidP="00207BB2">
            <w:pPr>
              <w:spacing w:after="0" w:line="240" w:lineRule="auto"/>
              <w:jc w:val="right"/>
              <w:rPr>
                <w:rFonts w:ascii="Times New Roman" w:eastAsia="Times New Roman" w:hAnsi="Times New Roman"/>
                <w:color w:val="000000"/>
                <w:sz w:val="20"/>
                <w:szCs w:val="20"/>
              </w:rPr>
            </w:pPr>
            <w:r w:rsidRPr="0043743B">
              <w:rPr>
                <w:rFonts w:ascii="Times New Roman" w:eastAsia="Times New Roman" w:hAnsi="Times New Roman"/>
                <w:color w:val="000000"/>
                <w:sz w:val="20"/>
                <w:szCs w:val="20"/>
              </w:rPr>
              <w:t xml:space="preserve">      338.84 </w:t>
            </w:r>
          </w:p>
        </w:tc>
      </w:tr>
      <w:tr w:rsidR="00207BB2" w:rsidRPr="0043743B" w14:paraId="1BCD4AD3" w14:textId="77777777" w:rsidTr="0043743B">
        <w:trPr>
          <w:trHeight w:val="291"/>
        </w:trPr>
        <w:tc>
          <w:tcPr>
            <w:tcW w:w="0" w:type="auto"/>
            <w:tcBorders>
              <w:top w:val="nil"/>
              <w:left w:val="double" w:sz="6" w:space="0" w:color="auto"/>
              <w:bottom w:val="double" w:sz="6" w:space="0" w:color="auto"/>
              <w:right w:val="nil"/>
            </w:tcBorders>
            <w:shd w:val="clear" w:color="auto" w:fill="auto"/>
            <w:noWrap/>
            <w:vAlign w:val="bottom"/>
            <w:hideMark/>
          </w:tcPr>
          <w:p w14:paraId="1450AE8E" w14:textId="77777777" w:rsidR="00207BB2" w:rsidRPr="0043743B" w:rsidRDefault="00207BB2" w:rsidP="00207BB2">
            <w:pPr>
              <w:spacing w:after="0" w:line="240" w:lineRule="auto"/>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TOTAL</w:t>
            </w:r>
          </w:p>
        </w:tc>
        <w:tc>
          <w:tcPr>
            <w:tcW w:w="0" w:type="auto"/>
            <w:tcBorders>
              <w:top w:val="nil"/>
              <w:left w:val="double" w:sz="6" w:space="0" w:color="auto"/>
              <w:bottom w:val="double" w:sz="6" w:space="0" w:color="auto"/>
              <w:right w:val="single" w:sz="4" w:space="0" w:color="auto"/>
            </w:tcBorders>
            <w:shd w:val="clear" w:color="auto" w:fill="auto"/>
            <w:noWrap/>
            <w:vAlign w:val="bottom"/>
            <w:hideMark/>
          </w:tcPr>
          <w:p w14:paraId="7645316F" w14:textId="77777777" w:rsidR="00207BB2" w:rsidRPr="0043743B" w:rsidRDefault="00207BB2" w:rsidP="00207BB2">
            <w:pPr>
              <w:spacing w:after="0" w:line="240" w:lineRule="auto"/>
              <w:jc w:val="right"/>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1,726.13 </w:t>
            </w:r>
          </w:p>
        </w:tc>
        <w:tc>
          <w:tcPr>
            <w:tcW w:w="0" w:type="auto"/>
            <w:tcBorders>
              <w:top w:val="nil"/>
              <w:left w:val="nil"/>
              <w:bottom w:val="double" w:sz="6" w:space="0" w:color="auto"/>
              <w:right w:val="double" w:sz="6" w:space="0" w:color="auto"/>
            </w:tcBorders>
            <w:shd w:val="clear" w:color="000000" w:fill="E2EFDA"/>
            <w:noWrap/>
            <w:vAlign w:val="bottom"/>
            <w:hideMark/>
          </w:tcPr>
          <w:p w14:paraId="578663D6" w14:textId="77777777" w:rsidR="00207BB2" w:rsidRPr="0043743B" w:rsidRDefault="00207BB2" w:rsidP="00207BB2">
            <w:pPr>
              <w:spacing w:after="0" w:line="240" w:lineRule="auto"/>
              <w:jc w:val="right"/>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1,276.68 </w:t>
            </w:r>
          </w:p>
        </w:tc>
        <w:tc>
          <w:tcPr>
            <w:tcW w:w="0" w:type="auto"/>
            <w:tcBorders>
              <w:top w:val="nil"/>
              <w:left w:val="nil"/>
              <w:bottom w:val="double" w:sz="6" w:space="0" w:color="auto"/>
              <w:right w:val="single" w:sz="4" w:space="0" w:color="auto"/>
            </w:tcBorders>
            <w:shd w:val="clear" w:color="auto" w:fill="auto"/>
            <w:noWrap/>
            <w:vAlign w:val="bottom"/>
            <w:hideMark/>
          </w:tcPr>
          <w:p w14:paraId="59B0F3F7" w14:textId="77777777" w:rsidR="00207BB2" w:rsidRPr="0043743B" w:rsidRDefault="00207BB2" w:rsidP="00207BB2">
            <w:pPr>
              <w:spacing w:after="0" w:line="240" w:lineRule="auto"/>
              <w:jc w:val="right"/>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1,753.10 </w:t>
            </w:r>
          </w:p>
        </w:tc>
        <w:tc>
          <w:tcPr>
            <w:tcW w:w="0" w:type="auto"/>
            <w:tcBorders>
              <w:top w:val="nil"/>
              <w:left w:val="nil"/>
              <w:bottom w:val="double" w:sz="6" w:space="0" w:color="auto"/>
              <w:right w:val="double" w:sz="6" w:space="0" w:color="auto"/>
            </w:tcBorders>
            <w:shd w:val="clear" w:color="000000" w:fill="E2EFDA"/>
            <w:noWrap/>
            <w:vAlign w:val="bottom"/>
            <w:hideMark/>
          </w:tcPr>
          <w:p w14:paraId="748C21CB" w14:textId="77777777" w:rsidR="00207BB2" w:rsidRPr="0043743B" w:rsidRDefault="00207BB2" w:rsidP="00207BB2">
            <w:pPr>
              <w:spacing w:after="0" w:line="240" w:lineRule="auto"/>
              <w:jc w:val="right"/>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1,204.36 </w:t>
            </w:r>
          </w:p>
        </w:tc>
        <w:tc>
          <w:tcPr>
            <w:tcW w:w="0" w:type="auto"/>
            <w:tcBorders>
              <w:top w:val="nil"/>
              <w:left w:val="nil"/>
              <w:bottom w:val="double" w:sz="6" w:space="0" w:color="auto"/>
              <w:right w:val="single" w:sz="4" w:space="0" w:color="auto"/>
            </w:tcBorders>
            <w:shd w:val="clear" w:color="auto" w:fill="auto"/>
            <w:noWrap/>
            <w:vAlign w:val="bottom"/>
            <w:hideMark/>
          </w:tcPr>
          <w:p w14:paraId="3EF96B7F" w14:textId="77777777" w:rsidR="00207BB2" w:rsidRPr="0043743B" w:rsidRDefault="00207BB2" w:rsidP="00207BB2">
            <w:pPr>
              <w:spacing w:after="0" w:line="240" w:lineRule="auto"/>
              <w:jc w:val="right"/>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1,840.59 </w:t>
            </w:r>
          </w:p>
        </w:tc>
        <w:tc>
          <w:tcPr>
            <w:tcW w:w="0" w:type="auto"/>
            <w:tcBorders>
              <w:top w:val="nil"/>
              <w:left w:val="nil"/>
              <w:bottom w:val="double" w:sz="6" w:space="0" w:color="auto"/>
              <w:right w:val="double" w:sz="6" w:space="0" w:color="auto"/>
            </w:tcBorders>
            <w:shd w:val="clear" w:color="000000" w:fill="E2EFDA"/>
            <w:noWrap/>
            <w:vAlign w:val="bottom"/>
            <w:hideMark/>
          </w:tcPr>
          <w:p w14:paraId="019DBFA2" w14:textId="77777777" w:rsidR="00207BB2" w:rsidRPr="0043743B" w:rsidRDefault="00207BB2" w:rsidP="00207BB2">
            <w:pPr>
              <w:spacing w:after="0" w:line="240" w:lineRule="auto"/>
              <w:jc w:val="right"/>
              <w:rPr>
                <w:rFonts w:ascii="Times New Roman" w:eastAsia="Times New Roman" w:hAnsi="Times New Roman"/>
                <w:b/>
                <w:bCs/>
                <w:color w:val="000000"/>
                <w:sz w:val="20"/>
                <w:szCs w:val="20"/>
              </w:rPr>
            </w:pPr>
            <w:r w:rsidRPr="0043743B">
              <w:rPr>
                <w:rFonts w:ascii="Times New Roman" w:eastAsia="Times New Roman" w:hAnsi="Times New Roman"/>
                <w:b/>
                <w:bCs/>
                <w:color w:val="000000"/>
                <w:sz w:val="20"/>
                <w:szCs w:val="20"/>
              </w:rPr>
              <w:t xml:space="preserve">   1,403.48 </w:t>
            </w:r>
          </w:p>
        </w:tc>
      </w:tr>
    </w:tbl>
    <w:p w14:paraId="1DB888B3" w14:textId="77777777" w:rsidR="00207BB2" w:rsidRPr="00773884" w:rsidRDefault="00207BB2" w:rsidP="00207BB2">
      <w:pPr>
        <w:pStyle w:val="Caption"/>
        <w:rPr>
          <w:rFonts w:ascii="Times New Roman" w:hAnsi="Times New Roman"/>
        </w:rPr>
      </w:pPr>
      <w:r w:rsidRPr="00773884">
        <w:rPr>
          <w:rFonts w:ascii="Times New Roman" w:hAnsi="Times New Roman"/>
          <w:b/>
        </w:rPr>
        <w:t>Source:  MoFPED, 2018</w:t>
      </w:r>
    </w:p>
    <w:p w14:paraId="01709C71" w14:textId="77777777" w:rsidR="0043743B" w:rsidRDefault="0043743B">
      <w:pPr>
        <w:spacing w:after="0" w:line="240" w:lineRule="auto"/>
        <w:jc w:val="left"/>
        <w:rPr>
          <w:rFonts w:ascii="Times New Roman" w:hAnsi="Times New Roman"/>
          <w:b/>
          <w:bCs/>
          <w:iCs/>
          <w:color w:val="000000" w:themeColor="text1"/>
          <w:sz w:val="24"/>
          <w:szCs w:val="24"/>
          <w:lang w:val="x-none"/>
        </w:rPr>
      </w:pPr>
      <w:bookmarkStart w:id="148" w:name="_Toc534926875"/>
      <w:r>
        <w:rPr>
          <w:szCs w:val="24"/>
        </w:rPr>
        <w:br w:type="page"/>
      </w:r>
    </w:p>
    <w:p w14:paraId="6E3A325E" w14:textId="3E37E59D" w:rsidR="001945AD" w:rsidRPr="0043743B" w:rsidRDefault="001945AD" w:rsidP="00445BF9">
      <w:pPr>
        <w:pStyle w:val="Heading2"/>
        <w:numPr>
          <w:ilvl w:val="0"/>
          <w:numId w:val="0"/>
        </w:numPr>
      </w:pPr>
      <w:bookmarkStart w:id="149" w:name="_Toc3505187"/>
      <w:r w:rsidRPr="0043743B">
        <w:lastRenderedPageBreak/>
        <w:t xml:space="preserve">Annex </w:t>
      </w:r>
      <w:r w:rsidR="00FD56C0" w:rsidRPr="0043743B">
        <w:t>3</w:t>
      </w:r>
      <w:r w:rsidRPr="0043743B">
        <w:t xml:space="preserve">: </w:t>
      </w:r>
      <w:r w:rsidR="0048128A" w:rsidRPr="0043743B">
        <w:t xml:space="preserve">Evaluation </w:t>
      </w:r>
      <w:r w:rsidR="00FD56C0" w:rsidRPr="0043743B">
        <w:t>Questions</w:t>
      </w:r>
      <w:bookmarkEnd w:id="148"/>
      <w:bookmarkEnd w:id="149"/>
      <w:r w:rsidRPr="0043743B">
        <w:t xml:space="preserve"> </w:t>
      </w:r>
    </w:p>
    <w:p w14:paraId="39D1DB5F" w14:textId="0D395C51" w:rsidR="00ED061D" w:rsidRPr="00773884" w:rsidRDefault="0048128A" w:rsidP="0048128A">
      <w:pPr>
        <w:spacing w:before="120" w:after="120" w:line="240" w:lineRule="auto"/>
        <w:rPr>
          <w:rFonts w:ascii="Times New Roman" w:hAnsi="Times New Roman"/>
        </w:rPr>
      </w:pPr>
      <w:r w:rsidRPr="00773884">
        <w:rPr>
          <w:rFonts w:ascii="Times New Roman" w:hAnsi="Times New Roman"/>
        </w:rPr>
        <w:t>It was agreed as part of the inception report that the Development Partnerships thematic report will cover a range of review/evaluation questions. Further details on the areas of enquiry are contained in able below</w:t>
      </w:r>
      <w:r w:rsidR="00ED061D" w:rsidRPr="00773884">
        <w:rPr>
          <w:rFonts w:ascii="Times New Roman" w:hAnsi="Times New Roman"/>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8580"/>
      </w:tblGrid>
      <w:tr w:rsidR="009D340D" w:rsidRPr="0043743B" w14:paraId="7D68913A"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25469D32" w14:textId="3DFACE0F" w:rsidR="00426599"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DP1</w:t>
            </w:r>
          </w:p>
        </w:tc>
        <w:tc>
          <w:tcPr>
            <w:tcW w:w="8580" w:type="dxa"/>
            <w:tcBorders>
              <w:top w:val="single" w:sz="4" w:space="0" w:color="000000"/>
              <w:left w:val="single" w:sz="4" w:space="0" w:color="000000"/>
              <w:bottom w:val="single" w:sz="4" w:space="0" w:color="000000"/>
              <w:right w:val="single" w:sz="4" w:space="0" w:color="000000"/>
            </w:tcBorders>
            <w:hideMark/>
          </w:tcPr>
          <w:p w14:paraId="210950AC"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The extent to which donor support has been aligned to the NDP II financing so far?</w:t>
            </w:r>
          </w:p>
        </w:tc>
      </w:tr>
      <w:tr w:rsidR="009D340D" w:rsidRPr="0043743B" w14:paraId="72AF60F1"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2F98477F"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DP2</w:t>
            </w:r>
          </w:p>
        </w:tc>
        <w:tc>
          <w:tcPr>
            <w:tcW w:w="8580" w:type="dxa"/>
            <w:tcBorders>
              <w:top w:val="single" w:sz="4" w:space="0" w:color="000000"/>
              <w:left w:val="single" w:sz="4" w:space="0" w:color="000000"/>
              <w:bottom w:val="single" w:sz="4" w:space="0" w:color="000000"/>
              <w:right w:val="single" w:sz="4" w:space="0" w:color="000000"/>
            </w:tcBorders>
            <w:hideMark/>
          </w:tcPr>
          <w:p w14:paraId="7FFB9C7D"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 xml:space="preserve">The extent to which the NDP II has provided a basis for mutual accountability; </w:t>
            </w:r>
          </w:p>
        </w:tc>
      </w:tr>
      <w:tr w:rsidR="009D340D" w:rsidRPr="0043743B" w14:paraId="15FBBB46"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4D26EF5E"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DP3</w:t>
            </w:r>
          </w:p>
        </w:tc>
        <w:tc>
          <w:tcPr>
            <w:tcW w:w="8580" w:type="dxa"/>
            <w:tcBorders>
              <w:top w:val="single" w:sz="4" w:space="0" w:color="000000"/>
              <w:left w:val="single" w:sz="4" w:space="0" w:color="000000"/>
              <w:bottom w:val="single" w:sz="4" w:space="0" w:color="000000"/>
              <w:right w:val="single" w:sz="4" w:space="0" w:color="000000"/>
            </w:tcBorders>
            <w:hideMark/>
          </w:tcPr>
          <w:p w14:paraId="69B9BFB0"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To what extent has donor support to NDP II priorities contributed to the countries ownership of the results and achievement of the planned targets?</w:t>
            </w:r>
          </w:p>
        </w:tc>
      </w:tr>
      <w:tr w:rsidR="009D340D" w:rsidRPr="0043743B" w14:paraId="20EB4604"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754C3B54"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DP4</w:t>
            </w:r>
          </w:p>
        </w:tc>
        <w:tc>
          <w:tcPr>
            <w:tcW w:w="8580" w:type="dxa"/>
            <w:tcBorders>
              <w:top w:val="single" w:sz="4" w:space="0" w:color="000000"/>
              <w:left w:val="single" w:sz="4" w:space="0" w:color="000000"/>
              <w:bottom w:val="single" w:sz="4" w:space="0" w:color="000000"/>
              <w:right w:val="single" w:sz="4" w:space="0" w:color="000000"/>
            </w:tcBorders>
            <w:hideMark/>
          </w:tcPr>
          <w:p w14:paraId="088CE9A0"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To what extent has government been transparent in utilizing donor support?</w:t>
            </w:r>
          </w:p>
        </w:tc>
      </w:tr>
      <w:tr w:rsidR="009D340D" w:rsidRPr="0043743B" w14:paraId="7627869D"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7CE9C557"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DP5</w:t>
            </w:r>
          </w:p>
        </w:tc>
        <w:tc>
          <w:tcPr>
            <w:tcW w:w="8580" w:type="dxa"/>
            <w:tcBorders>
              <w:top w:val="single" w:sz="4" w:space="0" w:color="000000"/>
              <w:left w:val="single" w:sz="4" w:space="0" w:color="000000"/>
              <w:bottom w:val="single" w:sz="4" w:space="0" w:color="000000"/>
              <w:right w:val="single" w:sz="4" w:space="0" w:color="000000"/>
            </w:tcBorders>
            <w:hideMark/>
          </w:tcPr>
          <w:p w14:paraId="2F449C28"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To what extent has Uganda implemented the donor partnership policy?</w:t>
            </w:r>
          </w:p>
        </w:tc>
      </w:tr>
      <w:tr w:rsidR="009D340D" w:rsidRPr="0043743B" w14:paraId="759B6F89"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65643E4D"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DP6</w:t>
            </w:r>
          </w:p>
        </w:tc>
        <w:tc>
          <w:tcPr>
            <w:tcW w:w="8580" w:type="dxa"/>
            <w:tcBorders>
              <w:top w:val="single" w:sz="4" w:space="0" w:color="000000"/>
              <w:left w:val="single" w:sz="4" w:space="0" w:color="000000"/>
              <w:bottom w:val="single" w:sz="4" w:space="0" w:color="000000"/>
              <w:right w:val="single" w:sz="4" w:space="0" w:color="000000"/>
            </w:tcBorders>
            <w:hideMark/>
          </w:tcPr>
          <w:p w14:paraId="51B7072F"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What have been the trends in recent years in the amount and modalities of development partner resource allocation (traditional and non-traditional donors) to fund elements of the NDP II?</w:t>
            </w:r>
          </w:p>
        </w:tc>
      </w:tr>
      <w:tr w:rsidR="009D340D" w:rsidRPr="0043743B" w14:paraId="37088A07"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6712D653"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DP7</w:t>
            </w:r>
          </w:p>
        </w:tc>
        <w:tc>
          <w:tcPr>
            <w:tcW w:w="8580" w:type="dxa"/>
            <w:tcBorders>
              <w:top w:val="single" w:sz="4" w:space="0" w:color="000000"/>
              <w:left w:val="single" w:sz="4" w:space="0" w:color="000000"/>
              <w:bottom w:val="single" w:sz="4" w:space="0" w:color="000000"/>
              <w:right w:val="single" w:sz="4" w:space="0" w:color="000000"/>
            </w:tcBorders>
            <w:hideMark/>
          </w:tcPr>
          <w:p w14:paraId="58B51C39"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To what extent have donor priorities changed significantly in the course of NDP II implementation so far and how well are DP strategies aligned to the Plan?</w:t>
            </w:r>
          </w:p>
        </w:tc>
      </w:tr>
      <w:tr w:rsidR="009D340D" w:rsidRPr="0043743B" w14:paraId="2EBA2CB2" w14:textId="77777777" w:rsidTr="00E41259">
        <w:trPr>
          <w:trHeight w:val="508"/>
        </w:trPr>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5DA407C8"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DP8</w:t>
            </w:r>
          </w:p>
        </w:tc>
        <w:tc>
          <w:tcPr>
            <w:tcW w:w="8580" w:type="dxa"/>
            <w:tcBorders>
              <w:top w:val="single" w:sz="4" w:space="0" w:color="000000"/>
              <w:left w:val="single" w:sz="4" w:space="0" w:color="000000"/>
              <w:bottom w:val="single" w:sz="4" w:space="0" w:color="000000"/>
              <w:right w:val="single" w:sz="4" w:space="0" w:color="000000"/>
            </w:tcBorders>
            <w:hideMark/>
          </w:tcPr>
          <w:p w14:paraId="78CB6A4E"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What mechanisms does GoU use to ensure that DP support is aligned with NDP II priorities?</w:t>
            </w:r>
          </w:p>
        </w:tc>
      </w:tr>
      <w:tr w:rsidR="009D340D" w:rsidRPr="0043743B" w14:paraId="4410025F" w14:textId="77777777" w:rsidTr="00822C41">
        <w:trPr>
          <w:trHeight w:val="794"/>
        </w:trPr>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375173F8"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DP9</w:t>
            </w:r>
          </w:p>
        </w:tc>
        <w:tc>
          <w:tcPr>
            <w:tcW w:w="8580" w:type="dxa"/>
            <w:tcBorders>
              <w:top w:val="single" w:sz="4" w:space="0" w:color="000000"/>
              <w:left w:val="single" w:sz="4" w:space="0" w:color="000000"/>
              <w:bottom w:val="single" w:sz="4" w:space="0" w:color="000000"/>
              <w:right w:val="single" w:sz="4" w:space="0" w:color="000000"/>
            </w:tcBorders>
            <w:hideMark/>
          </w:tcPr>
          <w:p w14:paraId="4ADAB9A0"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How have donor programmes tangibly / measurably contributed to achievement of NDP II progress?</w:t>
            </w:r>
          </w:p>
        </w:tc>
      </w:tr>
      <w:tr w:rsidR="009D340D" w:rsidRPr="0043743B" w14:paraId="06D7CE96"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3537C8C9"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DP10</w:t>
            </w:r>
          </w:p>
        </w:tc>
        <w:tc>
          <w:tcPr>
            <w:tcW w:w="8580" w:type="dxa"/>
            <w:tcBorders>
              <w:top w:val="single" w:sz="4" w:space="0" w:color="000000"/>
              <w:left w:val="single" w:sz="4" w:space="0" w:color="000000"/>
              <w:bottom w:val="single" w:sz="4" w:space="0" w:color="000000"/>
              <w:right w:val="single" w:sz="4" w:space="0" w:color="000000"/>
            </w:tcBorders>
            <w:hideMark/>
          </w:tcPr>
          <w:p w14:paraId="381E8B6E"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To what extent has NDP II provided a framework for improved harmonisation and reduced transaction costs in dealing with different development partners?</w:t>
            </w:r>
          </w:p>
        </w:tc>
      </w:tr>
      <w:tr w:rsidR="009D340D" w:rsidRPr="0043743B" w14:paraId="05DD8AC7"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201CF8E1"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DP11</w:t>
            </w:r>
          </w:p>
        </w:tc>
        <w:tc>
          <w:tcPr>
            <w:tcW w:w="8580" w:type="dxa"/>
            <w:tcBorders>
              <w:top w:val="single" w:sz="4" w:space="0" w:color="000000"/>
              <w:left w:val="single" w:sz="4" w:space="0" w:color="000000"/>
              <w:bottom w:val="single" w:sz="4" w:space="0" w:color="000000"/>
              <w:right w:val="single" w:sz="4" w:space="0" w:color="000000"/>
            </w:tcBorders>
            <w:hideMark/>
          </w:tcPr>
          <w:p w14:paraId="1284A5E9" w14:textId="77777777" w:rsidR="009D340D" w:rsidRPr="0043743B" w:rsidRDefault="009D340D" w:rsidP="0043743B">
            <w:pPr>
              <w:spacing w:after="80" w:line="240" w:lineRule="auto"/>
              <w:rPr>
                <w:rFonts w:ascii="Times New Roman" w:hAnsi="Times New Roman"/>
                <w:color w:val="000000"/>
                <w:sz w:val="20"/>
                <w:szCs w:val="20"/>
              </w:rPr>
            </w:pPr>
            <w:r w:rsidRPr="0043743B">
              <w:rPr>
                <w:rFonts w:ascii="Times New Roman" w:hAnsi="Times New Roman"/>
                <w:color w:val="000000"/>
                <w:sz w:val="20"/>
                <w:szCs w:val="20"/>
              </w:rPr>
              <w:t>To what extent has the NDP II provided a basis for mutual accountability between GoU and DPs</w:t>
            </w:r>
          </w:p>
        </w:tc>
      </w:tr>
      <w:tr w:rsidR="009D340D" w:rsidRPr="0043743B" w14:paraId="69BAD49A" w14:textId="77777777" w:rsidTr="00E41259">
        <w:trPr>
          <w:trHeight w:val="746"/>
        </w:trPr>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1F21B170"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DP12</w:t>
            </w:r>
          </w:p>
        </w:tc>
        <w:tc>
          <w:tcPr>
            <w:tcW w:w="8580" w:type="dxa"/>
            <w:tcBorders>
              <w:top w:val="single" w:sz="4" w:space="0" w:color="000000"/>
              <w:left w:val="single" w:sz="4" w:space="0" w:color="000000"/>
              <w:bottom w:val="single" w:sz="4" w:space="0" w:color="000000"/>
              <w:right w:val="single" w:sz="4" w:space="0" w:color="000000"/>
            </w:tcBorders>
            <w:hideMark/>
          </w:tcPr>
          <w:p w14:paraId="6AA0D18E"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How effective have GoU-donor partnerships been in the course of NDP implementation?</w:t>
            </w:r>
          </w:p>
          <w:p w14:paraId="36941372"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Extent of pursuance of Public/Private Partnerships (PPPs) for sustainable development;</w:t>
            </w:r>
          </w:p>
        </w:tc>
      </w:tr>
      <w:tr w:rsidR="009D340D" w:rsidRPr="0043743B" w14:paraId="393A4E69"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3F7B1021"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DP13</w:t>
            </w:r>
          </w:p>
        </w:tc>
        <w:tc>
          <w:tcPr>
            <w:tcW w:w="8580" w:type="dxa"/>
            <w:tcBorders>
              <w:top w:val="single" w:sz="4" w:space="0" w:color="000000"/>
              <w:left w:val="single" w:sz="4" w:space="0" w:color="000000"/>
              <w:bottom w:val="single" w:sz="4" w:space="0" w:color="000000"/>
              <w:right w:val="single" w:sz="4" w:space="0" w:color="000000"/>
            </w:tcBorders>
            <w:hideMark/>
          </w:tcPr>
          <w:p w14:paraId="6F26A950"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How can GoU / DP relations be strengthened so that the efficient and effective implementation of the NDP is enhanced?</w:t>
            </w:r>
          </w:p>
        </w:tc>
      </w:tr>
      <w:tr w:rsidR="009D340D" w:rsidRPr="0043743B" w14:paraId="31B014FA"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hideMark/>
          </w:tcPr>
          <w:p w14:paraId="0CDEDECD"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DP14</w:t>
            </w:r>
          </w:p>
        </w:tc>
        <w:tc>
          <w:tcPr>
            <w:tcW w:w="8580" w:type="dxa"/>
            <w:tcBorders>
              <w:top w:val="single" w:sz="4" w:space="0" w:color="000000"/>
              <w:left w:val="single" w:sz="4" w:space="0" w:color="000000"/>
              <w:bottom w:val="single" w:sz="4" w:space="0" w:color="000000"/>
              <w:right w:val="single" w:sz="4" w:space="0" w:color="000000"/>
            </w:tcBorders>
            <w:hideMark/>
          </w:tcPr>
          <w:p w14:paraId="5D160AFB"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 xml:space="preserve">What is the scope for effective collaboration with non-traditional donors? </w:t>
            </w:r>
          </w:p>
        </w:tc>
      </w:tr>
      <w:tr w:rsidR="009D340D" w:rsidRPr="0043743B" w14:paraId="18037DC5" w14:textId="77777777" w:rsidTr="00822C41">
        <w:tc>
          <w:tcPr>
            <w:tcW w:w="742" w:type="dxa"/>
            <w:tcBorders>
              <w:top w:val="single" w:sz="4" w:space="0" w:color="000000"/>
              <w:left w:val="single" w:sz="4" w:space="0" w:color="000000"/>
              <w:bottom w:val="single" w:sz="4" w:space="0" w:color="000000"/>
              <w:right w:val="single" w:sz="4" w:space="0" w:color="000000"/>
            </w:tcBorders>
            <w:shd w:val="clear" w:color="auto" w:fill="FFF2CC"/>
          </w:tcPr>
          <w:p w14:paraId="4B2193D6" w14:textId="77777777" w:rsidR="009D340D" w:rsidRPr="0043743B" w:rsidRDefault="009D340D" w:rsidP="0043743B">
            <w:pPr>
              <w:spacing w:after="80" w:line="240" w:lineRule="auto"/>
              <w:jc w:val="left"/>
              <w:rPr>
                <w:rFonts w:ascii="Times New Roman" w:hAnsi="Times New Roman"/>
                <w:b/>
                <w:color w:val="000000"/>
                <w:sz w:val="20"/>
                <w:szCs w:val="20"/>
              </w:rPr>
            </w:pPr>
            <w:r w:rsidRPr="0043743B">
              <w:rPr>
                <w:rFonts w:ascii="Times New Roman" w:hAnsi="Times New Roman"/>
                <w:b/>
                <w:color w:val="000000"/>
                <w:sz w:val="20"/>
                <w:szCs w:val="20"/>
              </w:rPr>
              <w:t>DP15</w:t>
            </w:r>
          </w:p>
        </w:tc>
        <w:tc>
          <w:tcPr>
            <w:tcW w:w="8580" w:type="dxa"/>
            <w:tcBorders>
              <w:top w:val="single" w:sz="4" w:space="0" w:color="000000"/>
              <w:left w:val="single" w:sz="4" w:space="0" w:color="000000"/>
              <w:bottom w:val="single" w:sz="4" w:space="0" w:color="000000"/>
              <w:right w:val="single" w:sz="4" w:space="0" w:color="000000"/>
            </w:tcBorders>
          </w:tcPr>
          <w:p w14:paraId="62314A7D" w14:textId="77777777" w:rsidR="009D340D" w:rsidRPr="0043743B" w:rsidRDefault="009D340D" w:rsidP="0043743B">
            <w:pPr>
              <w:spacing w:after="80" w:line="240" w:lineRule="auto"/>
              <w:jc w:val="left"/>
              <w:rPr>
                <w:rFonts w:ascii="Times New Roman" w:hAnsi="Times New Roman"/>
                <w:color w:val="000000"/>
                <w:sz w:val="20"/>
                <w:szCs w:val="20"/>
              </w:rPr>
            </w:pPr>
            <w:r w:rsidRPr="0043743B">
              <w:rPr>
                <w:rFonts w:ascii="Times New Roman" w:hAnsi="Times New Roman"/>
                <w:color w:val="000000"/>
                <w:sz w:val="20"/>
                <w:szCs w:val="20"/>
              </w:rPr>
              <w:t>What has been the role of DP in development of local governments?</w:t>
            </w:r>
          </w:p>
        </w:tc>
      </w:tr>
    </w:tbl>
    <w:p w14:paraId="00DFDC62" w14:textId="14450F21" w:rsidR="00E93F83" w:rsidRPr="00773884" w:rsidRDefault="00E93F83" w:rsidP="00ED061D">
      <w:pPr>
        <w:spacing w:before="120" w:after="120" w:line="240" w:lineRule="auto"/>
        <w:rPr>
          <w:rFonts w:ascii="Times New Roman" w:hAnsi="Times New Roman"/>
        </w:rPr>
      </w:pPr>
    </w:p>
    <w:p w14:paraId="386233AA" w14:textId="44E10882" w:rsidR="00A968EB" w:rsidRPr="00773884" w:rsidRDefault="00A968EB">
      <w:pPr>
        <w:spacing w:after="0" w:line="240" w:lineRule="auto"/>
        <w:jc w:val="left"/>
        <w:rPr>
          <w:rFonts w:ascii="Times New Roman" w:hAnsi="Times New Roman"/>
        </w:rPr>
      </w:pPr>
      <w:r w:rsidRPr="00773884">
        <w:rPr>
          <w:rFonts w:ascii="Times New Roman" w:hAnsi="Times New Roman"/>
        </w:rPr>
        <w:br w:type="page"/>
      </w:r>
    </w:p>
    <w:p w14:paraId="7B9603A7" w14:textId="23CEF83A" w:rsidR="009D340D" w:rsidRPr="0043743B" w:rsidRDefault="009D340D" w:rsidP="00445BF9">
      <w:pPr>
        <w:pStyle w:val="Heading2"/>
        <w:numPr>
          <w:ilvl w:val="0"/>
          <w:numId w:val="0"/>
        </w:numPr>
      </w:pPr>
      <w:bookmarkStart w:id="150" w:name="_Toc534926876"/>
      <w:bookmarkStart w:id="151" w:name="_Toc3505188"/>
      <w:r w:rsidRPr="0043743B">
        <w:lastRenderedPageBreak/>
        <w:t xml:space="preserve">Annex </w:t>
      </w:r>
      <w:r w:rsidR="00E40A4A" w:rsidRPr="0043743B">
        <w:t>4</w:t>
      </w:r>
      <w:r w:rsidRPr="0043743B">
        <w:t xml:space="preserve">: </w:t>
      </w:r>
      <w:r w:rsidR="00E40A4A" w:rsidRPr="0043743B">
        <w:t>Results of DP’s Workshop</w:t>
      </w:r>
      <w:bookmarkEnd w:id="150"/>
      <w:bookmarkEnd w:id="151"/>
      <w:r w:rsidRPr="0043743B">
        <w:t xml:space="preserve"> </w:t>
      </w:r>
    </w:p>
    <w:p w14:paraId="6C9D54CF" w14:textId="77777777" w:rsidR="00ED6294" w:rsidRPr="00773884" w:rsidRDefault="00ED6294" w:rsidP="00ED6294">
      <w:pPr>
        <w:spacing w:before="60" w:after="60" w:line="240" w:lineRule="auto"/>
        <w:rPr>
          <w:rFonts w:ascii="Times New Roman" w:hAnsi="Times New Roman"/>
          <w:b/>
        </w:rPr>
      </w:pPr>
      <w:r w:rsidRPr="00773884">
        <w:rPr>
          <w:rFonts w:ascii="Times New Roman" w:hAnsi="Times New Roman"/>
          <w:b/>
        </w:rPr>
        <w:t>UGANDA DEVELOPMENT PARTNERSHIP WORKSHOP</w:t>
      </w:r>
    </w:p>
    <w:p w14:paraId="6ACB7DC9" w14:textId="77777777" w:rsidR="00ED6294" w:rsidRPr="00773884" w:rsidRDefault="00ED6294" w:rsidP="00ED6294">
      <w:pPr>
        <w:spacing w:before="60" w:after="60" w:line="240" w:lineRule="auto"/>
        <w:rPr>
          <w:rFonts w:ascii="Times New Roman" w:hAnsi="Times New Roman"/>
          <w:b/>
        </w:rPr>
      </w:pPr>
      <w:r w:rsidRPr="00773884">
        <w:rPr>
          <w:rFonts w:ascii="Times New Roman" w:hAnsi="Times New Roman"/>
        </w:rPr>
        <w:t>A round table discussion with the joint Local Development Partner Group</w:t>
      </w:r>
    </w:p>
    <w:p w14:paraId="1BA57A23" w14:textId="77777777" w:rsidR="00ED6294" w:rsidRPr="00773884" w:rsidRDefault="00ED6294" w:rsidP="00ED6294">
      <w:pPr>
        <w:spacing w:before="60" w:after="60" w:line="240" w:lineRule="auto"/>
        <w:rPr>
          <w:rFonts w:ascii="Times New Roman" w:hAnsi="Times New Roman"/>
          <w:b/>
        </w:rPr>
      </w:pPr>
      <w:r w:rsidRPr="00773884">
        <w:rPr>
          <w:rFonts w:ascii="Times New Roman" w:hAnsi="Times New Roman"/>
          <w:b/>
        </w:rPr>
        <w:t>Evaluation of Development Partnership Theme of the National Development Plan</w:t>
      </w:r>
    </w:p>
    <w:p w14:paraId="364B5CC5" w14:textId="77777777" w:rsidR="00ED6294" w:rsidRPr="00773884" w:rsidRDefault="00ED6294" w:rsidP="00ED6294">
      <w:pPr>
        <w:spacing w:before="60" w:after="60" w:line="240" w:lineRule="auto"/>
        <w:rPr>
          <w:rFonts w:ascii="Times New Roman" w:hAnsi="Times New Roman"/>
          <w:b/>
        </w:rPr>
      </w:pPr>
    </w:p>
    <w:p w14:paraId="0432B30F" w14:textId="77777777" w:rsidR="00ED6294" w:rsidRPr="00773884" w:rsidRDefault="00ED6294" w:rsidP="00ED6294">
      <w:pPr>
        <w:spacing w:before="60" w:after="60" w:line="240" w:lineRule="auto"/>
        <w:rPr>
          <w:rFonts w:ascii="Times New Roman" w:hAnsi="Times New Roman"/>
        </w:rPr>
      </w:pPr>
      <w:r w:rsidRPr="00773884">
        <w:rPr>
          <w:rFonts w:ascii="Times New Roman" w:hAnsi="Times New Roman"/>
        </w:rPr>
        <w:t>12-Dec-2018</w:t>
      </w:r>
    </w:p>
    <w:p w14:paraId="280BF07C" w14:textId="77777777" w:rsidR="00ED6294" w:rsidRPr="00773884" w:rsidRDefault="00ED6294" w:rsidP="00ED6294">
      <w:pPr>
        <w:spacing w:before="60" w:after="60" w:line="240" w:lineRule="auto"/>
        <w:rPr>
          <w:rFonts w:ascii="Times New Roman" w:hAnsi="Times New Roman"/>
        </w:rPr>
      </w:pPr>
      <w:r w:rsidRPr="00773884">
        <w:rPr>
          <w:rFonts w:ascii="Times New Roman" w:hAnsi="Times New Roman"/>
        </w:rPr>
        <w:t>Results of group discussions.</w:t>
      </w:r>
    </w:p>
    <w:p w14:paraId="6D159B10" w14:textId="77777777" w:rsidR="00ED6294" w:rsidRPr="00773884" w:rsidRDefault="00ED6294" w:rsidP="00ED6294">
      <w:pPr>
        <w:spacing w:before="60" w:after="60" w:line="24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ED6294" w:rsidRPr="00773884" w14:paraId="4CA293A3"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0EAA2BB" w14:textId="77777777" w:rsidR="00ED6294" w:rsidRPr="00773884" w:rsidRDefault="00ED6294" w:rsidP="00773884">
            <w:pPr>
              <w:pStyle w:val="DeltaBodytext"/>
              <w:spacing w:before="60" w:after="60" w:line="240" w:lineRule="auto"/>
              <w:rPr>
                <w:rFonts w:ascii="Times New Roman" w:eastAsia="Arial Unicode MS" w:hAnsi="Times New Roman"/>
                <w:b/>
              </w:rPr>
            </w:pPr>
            <w:r w:rsidRPr="00773884">
              <w:rPr>
                <w:rFonts w:ascii="Times New Roman" w:eastAsia="Arial Unicode MS" w:hAnsi="Times New Roman"/>
                <w:b/>
              </w:rPr>
              <w:t>TOPIC-1: Development Partnership Policy</w:t>
            </w:r>
          </w:p>
          <w:p w14:paraId="7471CBC1"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 xml:space="preserve">(covering Uganda Partnership Policy; Framework for the Partnership Dialogue; MOUs, Performance Framework; Global Partnership for Effective Development Co-operation (GPEDC); Nairobi Outcome Document; </w:t>
            </w:r>
            <w:r w:rsidRPr="00773884">
              <w:rPr>
                <w:rFonts w:ascii="Times New Roman" w:hAnsi="Times New Roman"/>
              </w:rPr>
              <w:t xml:space="preserve">Vision 2040; </w:t>
            </w:r>
            <w:r w:rsidRPr="00773884">
              <w:rPr>
                <w:rFonts w:ascii="Times New Roman" w:eastAsia="Arial Unicode MS" w:hAnsi="Times New Roman"/>
              </w:rPr>
              <w:t>etc …).</w:t>
            </w:r>
          </w:p>
        </w:tc>
      </w:tr>
      <w:tr w:rsidR="00ED6294" w:rsidRPr="00773884" w14:paraId="47084600"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00B050"/>
            <w:hideMark/>
          </w:tcPr>
          <w:p w14:paraId="1406BD0B"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Strength or Positive Developments</w:t>
            </w:r>
          </w:p>
        </w:tc>
        <w:tc>
          <w:tcPr>
            <w:tcW w:w="4675" w:type="dxa"/>
            <w:tcBorders>
              <w:top w:val="single" w:sz="4" w:space="0" w:color="000000"/>
              <w:left w:val="single" w:sz="4" w:space="0" w:color="000000"/>
              <w:bottom w:val="single" w:sz="4" w:space="0" w:color="000000"/>
              <w:right w:val="single" w:sz="4" w:space="0" w:color="000000"/>
            </w:tcBorders>
            <w:shd w:val="clear" w:color="auto" w:fill="FF0000"/>
            <w:hideMark/>
          </w:tcPr>
          <w:p w14:paraId="618F06E4"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Weaknesses or Negative Developments</w:t>
            </w:r>
          </w:p>
        </w:tc>
      </w:tr>
      <w:tr w:rsidR="00ED6294" w:rsidRPr="00773884" w14:paraId="6D37AC01"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23723A6E"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70384BED"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Acknowledge need for partnership</w:t>
            </w:r>
          </w:p>
          <w:p w14:paraId="3AC5A541"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South-south cooperation.</w:t>
            </w:r>
          </w:p>
          <w:p w14:paraId="4B6186A7"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Private Sector engagement (42%).</w:t>
            </w:r>
          </w:p>
          <w:p w14:paraId="77779EEA"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Refugees inclusion (Compulsory Refugee Response Framework).</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43186694" w14:textId="77777777" w:rsidR="00ED6294" w:rsidRPr="00773884" w:rsidRDefault="00ED6294" w:rsidP="0043743B">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1A240114"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Few weaknesses in development aid effectiveness (GPEDC), NESS</w:t>
            </w:r>
          </w:p>
          <w:p w14:paraId="724A106A"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Delivering results not clear.</w:t>
            </w:r>
          </w:p>
          <w:p w14:paraId="1E649C89"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 xml:space="preserve">Not clear how to engage private sector and their (42%) contribution. </w:t>
            </w:r>
          </w:p>
          <w:p w14:paraId="14D5E826"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DPGs disconnected from GoU led processes.</w:t>
            </w:r>
          </w:p>
        </w:tc>
      </w:tr>
      <w:tr w:rsidR="00ED6294" w:rsidRPr="00773884" w14:paraId="6E814C7F"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0BCE9708"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0F84BA58"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Same as NDP-I.</w:t>
            </w:r>
          </w:p>
          <w:p w14:paraId="71ED6A6D"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Embedded early SDGs.</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3C18DB19"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209A1F88"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Same as NDP-I.</w:t>
            </w:r>
          </w:p>
          <w:p w14:paraId="53B868E4"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Partnership Policy predated NDP-II.</w:t>
            </w:r>
          </w:p>
          <w:p w14:paraId="649CCD6A"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Humanitarian-Development Divide: CRRF needs to be focused into NDP-III (complementary programme).</w:t>
            </w:r>
          </w:p>
        </w:tc>
      </w:tr>
      <w:tr w:rsidR="00ED6294" w:rsidRPr="00773884" w14:paraId="2075B818"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160A10A"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Recommendations for NDP-III</w:t>
            </w:r>
          </w:p>
          <w:p w14:paraId="230EF50B"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 xml:space="preserve">Harmonise partnership and Development Cooperation policies. To have one integrated policy. Policies to local level considerations. </w:t>
            </w:r>
          </w:p>
          <w:p w14:paraId="0FDB7CF1"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Develop clear guidelines for private sector engagement.</w:t>
            </w:r>
          </w:p>
          <w:p w14:paraId="7254EA23"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Strengthen monitoring and reporting capacity of the government relating to development cooperation.</w:t>
            </w:r>
          </w:p>
          <w:p w14:paraId="3EA73095"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Strengthen NDP prioritisation processes of the GOU (including Human Capacity Development theme of NDP), and harmonisation between NDA and MoFPED.</w:t>
            </w:r>
          </w:p>
          <w:p w14:paraId="2EFFA550"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CRRF to be folded into NDP-III. Closing humanitarian-development divide (complementary programme).</w:t>
            </w:r>
          </w:p>
        </w:tc>
      </w:tr>
    </w:tbl>
    <w:p w14:paraId="5F2435E0" w14:textId="77777777" w:rsidR="00ED6294" w:rsidRPr="00773884" w:rsidRDefault="00ED6294" w:rsidP="00ED6294">
      <w:pPr>
        <w:spacing w:before="60" w:after="60" w:line="240" w:lineRule="auto"/>
        <w:rPr>
          <w:rFonts w:ascii="Times New Roman" w:hAnsi="Times New Roman"/>
        </w:rPr>
      </w:pPr>
    </w:p>
    <w:p w14:paraId="0B33C552" w14:textId="77777777" w:rsidR="00ED6294" w:rsidRPr="00773884" w:rsidRDefault="00ED6294" w:rsidP="00ED6294">
      <w:pPr>
        <w:spacing w:before="60" w:after="60" w:line="24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ED6294" w:rsidRPr="00773884" w14:paraId="42EC849A"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C258054" w14:textId="77777777" w:rsidR="00ED6294" w:rsidRPr="00773884" w:rsidRDefault="00ED6294" w:rsidP="00773884">
            <w:pPr>
              <w:pStyle w:val="DeltaBodytext"/>
              <w:spacing w:before="60" w:after="60" w:line="240" w:lineRule="auto"/>
              <w:rPr>
                <w:rFonts w:ascii="Times New Roman" w:eastAsia="Arial Unicode MS" w:hAnsi="Times New Roman"/>
                <w:b/>
              </w:rPr>
            </w:pPr>
            <w:r w:rsidRPr="00773884">
              <w:rPr>
                <w:rFonts w:ascii="Times New Roman" w:eastAsia="Arial Unicode MS" w:hAnsi="Times New Roman"/>
                <w:b/>
              </w:rPr>
              <w:t>TOPIC-2: Institutional Framework</w:t>
            </w:r>
          </w:p>
          <w:p w14:paraId="25B8F06E"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(covering LDPG; National Partnership Forum (NPF); Partnership Task Force; OPM; MoFPED; NPA; SWG; SWAP; cooperation platforms; donor coordination matrix; etc …)</w:t>
            </w:r>
          </w:p>
        </w:tc>
      </w:tr>
      <w:tr w:rsidR="00ED6294" w:rsidRPr="00773884" w14:paraId="1C85FD5D"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00B050"/>
            <w:hideMark/>
          </w:tcPr>
          <w:p w14:paraId="06A7DD38"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Strength or Positive Developments</w:t>
            </w:r>
          </w:p>
        </w:tc>
        <w:tc>
          <w:tcPr>
            <w:tcW w:w="4675" w:type="dxa"/>
            <w:tcBorders>
              <w:top w:val="single" w:sz="4" w:space="0" w:color="000000"/>
              <w:left w:val="single" w:sz="4" w:space="0" w:color="000000"/>
              <w:bottom w:val="single" w:sz="4" w:space="0" w:color="000000"/>
              <w:right w:val="single" w:sz="4" w:space="0" w:color="000000"/>
            </w:tcBorders>
            <w:shd w:val="clear" w:color="auto" w:fill="FF0000"/>
            <w:hideMark/>
          </w:tcPr>
          <w:p w14:paraId="70DE5594"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Weaknesses or Negative Developments</w:t>
            </w:r>
          </w:p>
        </w:tc>
      </w:tr>
      <w:tr w:rsidR="00ED6294" w:rsidRPr="00773884" w14:paraId="28C072F5"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5B559028"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7C883149"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‘’Door is open’’ for ongoing dialogue.</w:t>
            </w:r>
          </w:p>
          <w:p w14:paraId="0FD7A6CC"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lastRenderedPageBreak/>
              <w:t>Regular dialogue in place. Functional LDPG, NPF</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5F269B87"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lastRenderedPageBreak/>
              <w:t>NDP-I: FY 10/11-14/15</w:t>
            </w:r>
          </w:p>
          <w:p w14:paraId="67296574"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Development Partnership dialogue does not include all DPs.</w:t>
            </w:r>
          </w:p>
          <w:p w14:paraId="3A26040F"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lastRenderedPageBreak/>
              <w:t>DP division of labour not existing.</w:t>
            </w:r>
          </w:p>
          <w:p w14:paraId="5F768305"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Not strong GoU leadership. Weak coordination.</w:t>
            </w:r>
          </w:p>
          <w:p w14:paraId="608D5345"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SWGs, NPF requires streamlining.</w:t>
            </w:r>
          </w:p>
        </w:tc>
      </w:tr>
      <w:tr w:rsidR="00ED6294" w:rsidRPr="00773884" w14:paraId="7EB21FF4"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7A06E243"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lastRenderedPageBreak/>
              <w:t>NDP-II: FY 15/16-17/18</w:t>
            </w:r>
          </w:p>
          <w:p w14:paraId="75232C8E"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i/>
              </w:rPr>
              <w:t>Same as NDP-I</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61714C7A"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528FDF21"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Effective dialogue is challenged post Joint Budget Support era.</w:t>
            </w:r>
          </w:p>
          <w:p w14:paraId="746FC3A9"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i/>
              </w:rPr>
            </w:pPr>
            <w:r w:rsidRPr="00773884">
              <w:rPr>
                <w:rFonts w:ascii="Times New Roman" w:eastAsia="Arial Unicode MS" w:hAnsi="Times New Roman"/>
                <w:i/>
              </w:rPr>
              <w:t>Same as NDP-I</w:t>
            </w:r>
          </w:p>
        </w:tc>
      </w:tr>
      <w:tr w:rsidR="00ED6294" w:rsidRPr="00773884" w14:paraId="64D705AD"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280D3B2"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Recommendations for NDP-III</w:t>
            </w:r>
          </w:p>
          <w:p w14:paraId="73461779" w14:textId="77777777" w:rsidR="00ED6294" w:rsidRPr="0043743B"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43743B">
              <w:rPr>
                <w:rFonts w:ascii="Times New Roman" w:eastAsia="Arial Unicode MS" w:hAnsi="Times New Roman"/>
              </w:rPr>
              <w:t>Include refugee needs in refugee hosting districts (institutional aspects)</w:t>
            </w:r>
          </w:p>
          <w:p w14:paraId="62FF658E" w14:textId="77777777" w:rsidR="00ED6294" w:rsidRPr="0043743B"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43743B">
              <w:rPr>
                <w:rFonts w:ascii="Times New Roman" w:eastAsia="Arial Unicode MS" w:hAnsi="Times New Roman"/>
              </w:rPr>
              <w:t>Stronger government leadership and coordination (one entity).</w:t>
            </w:r>
          </w:p>
          <w:p w14:paraId="7AE7E84D" w14:textId="77777777" w:rsidR="00ED6294" w:rsidRPr="0043743B"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43743B">
              <w:rPr>
                <w:rFonts w:ascii="Times New Roman" w:eastAsia="Arial Unicode MS" w:hAnsi="Times New Roman"/>
              </w:rPr>
              <w:t>Reactive and streamline SWGs in line with NDP-III priority areas.</w:t>
            </w:r>
          </w:p>
          <w:p w14:paraId="2DC7CB82"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43743B">
              <w:rPr>
                <w:rFonts w:ascii="Times New Roman" w:eastAsia="Arial Unicode MS" w:hAnsi="Times New Roman"/>
              </w:rPr>
              <w:t>More effective dialogue (which is inclusive and effective throughout the entire cycle).</w:t>
            </w:r>
          </w:p>
        </w:tc>
      </w:tr>
    </w:tbl>
    <w:p w14:paraId="2801BAAE" w14:textId="77777777" w:rsidR="00ED6294" w:rsidRPr="00773884" w:rsidRDefault="00ED6294" w:rsidP="00ED6294">
      <w:pPr>
        <w:spacing w:before="60" w:after="60" w:line="240" w:lineRule="auto"/>
        <w:rPr>
          <w:rFonts w:ascii="Times New Roman" w:hAnsi="Times New Roman"/>
        </w:rPr>
      </w:pPr>
    </w:p>
    <w:p w14:paraId="65637036" w14:textId="77777777" w:rsidR="00ED6294" w:rsidRPr="00773884" w:rsidRDefault="00ED6294" w:rsidP="00ED6294">
      <w:pPr>
        <w:spacing w:before="60" w:after="60" w:line="24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ED6294" w:rsidRPr="00773884" w14:paraId="5311D6B5"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2D4C101"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b/>
              </w:rPr>
              <w:t>TOPIC-3: Trends in the development partnership</w:t>
            </w:r>
          </w:p>
          <w:p w14:paraId="26FD00BB"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(covering Trends in the volume and direction of aid; Budget Support; JBSF; Project Support; off-budget; Sector aid; global trends; non-traditional DPs; loans vs grants; debts; etc…)</w:t>
            </w:r>
          </w:p>
        </w:tc>
      </w:tr>
      <w:tr w:rsidR="00ED6294" w:rsidRPr="00773884" w14:paraId="157961EF"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00B050"/>
            <w:hideMark/>
          </w:tcPr>
          <w:p w14:paraId="6E66B03F"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Strength or Positive Developments</w:t>
            </w:r>
          </w:p>
        </w:tc>
        <w:tc>
          <w:tcPr>
            <w:tcW w:w="4675" w:type="dxa"/>
            <w:tcBorders>
              <w:top w:val="single" w:sz="4" w:space="0" w:color="000000"/>
              <w:left w:val="single" w:sz="4" w:space="0" w:color="000000"/>
              <w:bottom w:val="single" w:sz="4" w:space="0" w:color="000000"/>
              <w:right w:val="single" w:sz="4" w:space="0" w:color="000000"/>
            </w:tcBorders>
            <w:shd w:val="clear" w:color="auto" w:fill="FF0000"/>
            <w:hideMark/>
          </w:tcPr>
          <w:p w14:paraId="74846090"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Weaknesses or Negative Developments</w:t>
            </w:r>
          </w:p>
        </w:tc>
      </w:tr>
      <w:tr w:rsidR="00ED6294" w:rsidRPr="00773884" w14:paraId="3ED36625"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6CAEDDC5"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0B7EC781"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 xml:space="preserve">More efficiency and equitable </w:t>
            </w:r>
            <w:r w:rsidRPr="00773884">
              <w:rPr>
                <w:rFonts w:ascii="Times New Roman" w:eastAsia="Times New Roman" w:hAnsi="Times New Roman"/>
              </w:rPr>
              <w:t>due to more direct budget support</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19B859EF"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505EF6E5" w14:textId="77777777" w:rsidR="00ED6294" w:rsidRPr="0043743B"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43743B">
              <w:rPr>
                <w:rFonts w:ascii="Times New Roman" w:eastAsia="Arial Unicode MS" w:hAnsi="Times New Roman"/>
              </w:rPr>
              <w:t>Less accountable</w:t>
            </w:r>
          </w:p>
          <w:p w14:paraId="66329D8F"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43743B">
              <w:rPr>
                <w:rFonts w:ascii="Times New Roman" w:eastAsia="Arial Unicode MS" w:hAnsi="Times New Roman"/>
              </w:rPr>
              <w:t>Creates islands of excellence</w:t>
            </w:r>
            <w:r w:rsidRPr="00773884">
              <w:rPr>
                <w:rFonts w:ascii="Times New Roman" w:eastAsia="Times New Roman" w:hAnsi="Times New Roman"/>
              </w:rPr>
              <w:t>.</w:t>
            </w:r>
          </w:p>
        </w:tc>
      </w:tr>
      <w:tr w:rsidR="00ED6294" w:rsidRPr="00773884" w14:paraId="06A7A710"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4F026232"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297E0051"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 xml:space="preserve">Increased accountability </w:t>
            </w:r>
            <w:r w:rsidRPr="0043743B">
              <w:rPr>
                <w:rFonts w:ascii="Times New Roman" w:eastAsia="Arial Unicode MS" w:hAnsi="Times New Roman"/>
              </w:rPr>
              <w:t>due to increased project funding.</w:t>
            </w:r>
          </w:p>
          <w:p w14:paraId="61DEE955"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Sustainability</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3FAA4DC7"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0376945A"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Less efficiency and effectiveness</w:t>
            </w:r>
          </w:p>
          <w:p w14:paraId="7725F7FD"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43743B">
              <w:rPr>
                <w:rFonts w:ascii="Times New Roman" w:eastAsia="Arial Unicode MS" w:hAnsi="Times New Roman"/>
              </w:rPr>
              <w:t>Increased indebtedness.</w:t>
            </w:r>
          </w:p>
        </w:tc>
      </w:tr>
      <w:tr w:rsidR="00ED6294" w:rsidRPr="00773884" w14:paraId="1C62F62C"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8C0D7EB"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Recommendations for NDP-III</w:t>
            </w:r>
          </w:p>
          <w:p w14:paraId="49283AAC"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 xml:space="preserve">To identify other financing sources to address global declining ODA </w:t>
            </w:r>
          </w:p>
          <w:p w14:paraId="275FAC55" w14:textId="77777777" w:rsidR="00ED6294" w:rsidRPr="00773884" w:rsidRDefault="00ED6294" w:rsidP="003D56D1">
            <w:pPr>
              <w:pStyle w:val="DeltaBodytext"/>
              <w:numPr>
                <w:ilvl w:val="0"/>
                <w:numId w:val="10"/>
              </w:numPr>
              <w:spacing w:before="60" w:after="60" w:line="240" w:lineRule="auto"/>
              <w:ind w:left="306" w:hanging="306"/>
              <w:rPr>
                <w:rFonts w:ascii="Times New Roman" w:eastAsia="Arial Unicode MS" w:hAnsi="Times New Roman"/>
              </w:rPr>
            </w:pPr>
            <w:r w:rsidRPr="00773884">
              <w:rPr>
                <w:rFonts w:ascii="Times New Roman" w:eastAsia="Arial Unicode MS" w:hAnsi="Times New Roman"/>
              </w:rPr>
              <w:t xml:space="preserve">Strengthen AMP to capture comprehensive data. </w:t>
            </w:r>
          </w:p>
        </w:tc>
      </w:tr>
    </w:tbl>
    <w:p w14:paraId="1B8ABFCB" w14:textId="77777777" w:rsidR="00ED6294" w:rsidRPr="00773884" w:rsidRDefault="00ED6294" w:rsidP="00ED6294">
      <w:pPr>
        <w:spacing w:before="60" w:after="60" w:line="240" w:lineRule="auto"/>
        <w:rPr>
          <w:rFonts w:ascii="Times New Roman" w:hAnsi="Times New Roman"/>
        </w:rPr>
      </w:pPr>
    </w:p>
    <w:p w14:paraId="34EC7F00" w14:textId="77777777" w:rsidR="00ED6294" w:rsidRPr="00773884" w:rsidRDefault="00ED6294" w:rsidP="00ED6294">
      <w:pPr>
        <w:spacing w:before="60" w:after="60" w:line="24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ED6294" w:rsidRPr="00773884" w14:paraId="17B1D626"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FD0FBF0"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b/>
              </w:rPr>
              <w:t>TOPIC - 4: Development partner alignment with the NDP</w:t>
            </w:r>
          </w:p>
          <w:p w14:paraId="3F5E1754"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 xml:space="preserve">(covering NDP priorities; </w:t>
            </w:r>
            <w:r w:rsidRPr="00773884">
              <w:rPr>
                <w:rFonts w:ascii="Times New Roman" w:hAnsi="Times New Roman"/>
              </w:rPr>
              <w:t xml:space="preserve">Vision 2040; </w:t>
            </w:r>
            <w:r w:rsidRPr="00773884">
              <w:rPr>
                <w:rFonts w:ascii="Times New Roman" w:eastAsia="Arial Unicode MS" w:hAnsi="Times New Roman"/>
              </w:rPr>
              <w:t>DP’s priorities; alignment; DPs contribution made to NDP results and priority projects, etc …)</w:t>
            </w:r>
          </w:p>
        </w:tc>
      </w:tr>
      <w:tr w:rsidR="00ED6294" w:rsidRPr="00773884" w14:paraId="6E736993"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00B050"/>
            <w:hideMark/>
          </w:tcPr>
          <w:p w14:paraId="1C71211C"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Strength or Positive Developments</w:t>
            </w:r>
          </w:p>
        </w:tc>
        <w:tc>
          <w:tcPr>
            <w:tcW w:w="4675" w:type="dxa"/>
            <w:tcBorders>
              <w:top w:val="single" w:sz="4" w:space="0" w:color="000000"/>
              <w:left w:val="single" w:sz="4" w:space="0" w:color="000000"/>
              <w:bottom w:val="single" w:sz="4" w:space="0" w:color="000000"/>
              <w:right w:val="single" w:sz="4" w:space="0" w:color="000000"/>
            </w:tcBorders>
            <w:shd w:val="clear" w:color="auto" w:fill="FF0000"/>
            <w:hideMark/>
          </w:tcPr>
          <w:p w14:paraId="3B0FF694"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Weaknesses or Negative Developments</w:t>
            </w:r>
          </w:p>
        </w:tc>
      </w:tr>
      <w:tr w:rsidR="00ED6294" w:rsidRPr="00773884" w14:paraId="6D44FB8D"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5CA61620"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6AABAEDA"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Times New Roman" w:hAnsi="Times New Roman"/>
              </w:rPr>
              <w:t>More budget support.</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575FCA3E"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10DE9FB1"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Times New Roman" w:hAnsi="Times New Roman"/>
              </w:rPr>
            </w:pPr>
            <w:r w:rsidRPr="00773884">
              <w:rPr>
                <w:rFonts w:ascii="Times New Roman" w:eastAsia="Times New Roman" w:hAnsi="Times New Roman"/>
              </w:rPr>
              <w:t>Less aligned to global goals (NDP I &amp; sectoral plans)</w:t>
            </w:r>
          </w:p>
          <w:p w14:paraId="47A103BF"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Times New Roman" w:hAnsi="Times New Roman"/>
              </w:rPr>
            </w:pPr>
            <w:r w:rsidRPr="00773884">
              <w:rPr>
                <w:rFonts w:ascii="Times New Roman" w:eastAsia="Times New Roman" w:hAnsi="Times New Roman"/>
              </w:rPr>
              <w:t>Poor aligned to SDGs</w:t>
            </w:r>
          </w:p>
          <w:p w14:paraId="071983F1"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Times New Roman" w:hAnsi="Times New Roman"/>
              </w:rPr>
            </w:pPr>
            <w:r w:rsidRPr="00773884">
              <w:rPr>
                <w:rFonts w:ascii="Times New Roman" w:eastAsia="Times New Roman" w:hAnsi="Times New Roman"/>
              </w:rPr>
              <w:t xml:space="preserve">Less focus on system strengthening </w:t>
            </w:r>
          </w:p>
          <w:p w14:paraId="78E767F3"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Times New Roman" w:hAnsi="Times New Roman"/>
              </w:rPr>
            </w:pPr>
            <w:r w:rsidRPr="00773884">
              <w:rPr>
                <w:rFonts w:ascii="Times New Roman" w:eastAsia="Times New Roman" w:hAnsi="Times New Roman"/>
              </w:rPr>
              <w:t>More project funding</w:t>
            </w:r>
          </w:p>
          <w:p w14:paraId="608BC658"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Times New Roman" w:hAnsi="Times New Roman"/>
              </w:rPr>
              <w:t>No system building</w:t>
            </w:r>
          </w:p>
        </w:tc>
      </w:tr>
      <w:tr w:rsidR="00ED6294" w:rsidRPr="00773884" w14:paraId="4DDC750A"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0A734B69"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04209FF0"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lastRenderedPageBreak/>
              <w:t>Increased alignment to SDGs</w:t>
            </w:r>
          </w:p>
        </w:tc>
        <w:tc>
          <w:tcPr>
            <w:tcW w:w="4675" w:type="dxa"/>
            <w:tcBorders>
              <w:top w:val="single" w:sz="4" w:space="0" w:color="000000"/>
              <w:left w:val="single" w:sz="4" w:space="0" w:color="000000"/>
              <w:bottom w:val="single" w:sz="4" w:space="0" w:color="000000"/>
              <w:right w:val="single" w:sz="4" w:space="0" w:color="000000"/>
            </w:tcBorders>
            <w:shd w:val="clear" w:color="auto" w:fill="FBE4D5"/>
          </w:tcPr>
          <w:p w14:paraId="72A474C7"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lastRenderedPageBreak/>
              <w:t>NDP-II: FY 15/16-17/18</w:t>
            </w:r>
          </w:p>
          <w:p w14:paraId="2A20F825"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p>
        </w:tc>
      </w:tr>
      <w:tr w:rsidR="00ED6294" w:rsidRPr="00773884" w14:paraId="317C10F4"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D82D30E"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lastRenderedPageBreak/>
              <w:t>Recommendations for NDP-III</w:t>
            </w:r>
          </w:p>
          <w:p w14:paraId="3EE7926F"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Alignment of Development Partners’ priorities to GoU/NDP priorities.</w:t>
            </w:r>
          </w:p>
          <w:p w14:paraId="54E977B3"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To have a common framework for Alignment of DP’s priorities to GoU/NDP priorities. Increased Development Partners’ budget support (or other modality aligned to country), reduced off-budget support.</w:t>
            </w:r>
          </w:p>
          <w:p w14:paraId="1BA203E4"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Increased demand by Development</w:t>
            </w:r>
            <w:r w:rsidRPr="00773884">
              <w:rPr>
                <w:rFonts w:ascii="Times New Roman" w:eastAsia="Times New Roman" w:hAnsi="Times New Roman"/>
                <w:lang w:val="en-US"/>
              </w:rPr>
              <w:t xml:space="preserve"> Partners, for accountability on NDP performance.</w:t>
            </w:r>
          </w:p>
        </w:tc>
      </w:tr>
    </w:tbl>
    <w:p w14:paraId="7FA33348" w14:textId="77777777" w:rsidR="00ED6294" w:rsidRPr="00773884" w:rsidRDefault="00ED6294" w:rsidP="00ED6294">
      <w:pPr>
        <w:spacing w:before="60" w:after="60" w:line="24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ED6294" w:rsidRPr="00773884" w14:paraId="763A9A78"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D879118"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b/>
              </w:rPr>
              <w:t>TOPIC - 5: Harmonisation, reduced transaction costs and mutual accountability</w:t>
            </w:r>
          </w:p>
          <w:p w14:paraId="14D62448"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(covering: Using Country Systems (on-budget; on-treasury; on-procurement; on-audit); JBSF; joint programme-based approaches; donor coordination matrix; uniform disbursement and accountability rules; common indicators; reporting systems; joint missions; MEL; indicators of progress/performance framework; learning and knowledge sharing; development impact; analytical work; publication/sharing/transparency; etc …  )</w:t>
            </w:r>
          </w:p>
        </w:tc>
      </w:tr>
      <w:tr w:rsidR="00ED6294" w:rsidRPr="00773884" w14:paraId="0CCB9BB2"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00B050"/>
            <w:hideMark/>
          </w:tcPr>
          <w:p w14:paraId="4144F643"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Strength or Positive Developments</w:t>
            </w:r>
          </w:p>
        </w:tc>
        <w:tc>
          <w:tcPr>
            <w:tcW w:w="4675" w:type="dxa"/>
            <w:tcBorders>
              <w:top w:val="single" w:sz="4" w:space="0" w:color="000000"/>
              <w:left w:val="single" w:sz="4" w:space="0" w:color="000000"/>
              <w:bottom w:val="single" w:sz="4" w:space="0" w:color="000000"/>
              <w:right w:val="single" w:sz="4" w:space="0" w:color="000000"/>
            </w:tcBorders>
            <w:shd w:val="clear" w:color="auto" w:fill="FF0000"/>
            <w:hideMark/>
          </w:tcPr>
          <w:p w14:paraId="0DA84E2C"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Weaknesses or Negative Developments</w:t>
            </w:r>
          </w:p>
        </w:tc>
      </w:tr>
      <w:tr w:rsidR="00ED6294" w:rsidRPr="00773884" w14:paraId="22166959"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7A20A77E"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51C696F1" w14:textId="77777777" w:rsidR="00ED6294" w:rsidRPr="00773884" w:rsidRDefault="00ED6294" w:rsidP="003D56D1">
            <w:pPr>
              <w:pStyle w:val="DeltaBodytext"/>
              <w:numPr>
                <w:ilvl w:val="0"/>
                <w:numId w:val="10"/>
              </w:numPr>
              <w:spacing w:before="60" w:after="60" w:line="240" w:lineRule="auto"/>
              <w:ind w:left="461" w:hanging="283"/>
              <w:jc w:val="left"/>
              <w:rPr>
                <w:rFonts w:ascii="Times New Roman" w:eastAsia="Arial Unicode MS" w:hAnsi="Times New Roman"/>
              </w:rPr>
            </w:pPr>
            <w:r w:rsidRPr="00773884">
              <w:rPr>
                <w:rFonts w:ascii="Times New Roman" w:eastAsia="Arial Unicode MS" w:hAnsi="Times New Roman"/>
              </w:rPr>
              <w:t xml:space="preserve">There was JBSF, with a lot of coordination, harmonisation and use of country systems. DPs were more involved in monitoring accountability because of the </w:t>
            </w:r>
            <w:r w:rsidRPr="00773884">
              <w:rPr>
                <w:rFonts w:ascii="Times New Roman" w:hAnsi="Times New Roman"/>
                <w:lang w:val="en-IE"/>
              </w:rPr>
              <w:t>Joint Budget Support Framework (JBSF)</w:t>
            </w:r>
            <w:r w:rsidRPr="00773884">
              <w:rPr>
                <w:rFonts w:ascii="Times New Roman" w:eastAsia="Arial Unicode MS" w:hAnsi="Times New Roman"/>
              </w:rPr>
              <w:t>.</w:t>
            </w:r>
          </w:p>
          <w:p w14:paraId="4A99734B"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There was a Joint Accountability and Monitoring of Performance.</w:t>
            </w:r>
          </w:p>
          <w:p w14:paraId="7BE8D29E"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There were joint programme-based approaches.</w:t>
            </w:r>
          </w:p>
          <w:p w14:paraId="2DE4F774"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There was a Joint Assessment Framework (JAF) – a common framework.</w:t>
            </w:r>
          </w:p>
          <w:p w14:paraId="43F5E0F3"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Through the JAF there was agreement among DPs on common principles for disbursement and accountability.</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4AC3B2E0"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50B22B18"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high level scandals</w:t>
            </w:r>
          </w:p>
          <w:p w14:paraId="5E2C0AE3"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there were serious accountability and transparency issues that led to the demise of the JBSF.</w:t>
            </w:r>
          </w:p>
          <w:p w14:paraId="5AAA9821" w14:textId="77777777" w:rsidR="00ED6294" w:rsidRPr="00773884" w:rsidRDefault="00ED6294" w:rsidP="003D56D1">
            <w:pPr>
              <w:numPr>
                <w:ilvl w:val="0"/>
                <w:numId w:val="10"/>
              </w:numPr>
              <w:spacing w:before="60" w:after="60" w:line="240" w:lineRule="auto"/>
              <w:jc w:val="left"/>
              <w:rPr>
                <w:rFonts w:ascii="Times New Roman" w:hAnsi="Times New Roman"/>
                <w:lang w:val="en-IE"/>
              </w:rPr>
            </w:pPr>
            <w:r w:rsidRPr="00773884">
              <w:rPr>
                <w:rFonts w:ascii="Times New Roman" w:hAnsi="Times New Roman"/>
                <w:lang w:val="en-IE"/>
              </w:rPr>
              <w:t>Despite the existence of a JAF, the final disbursement decisions after the joint assessment were left to each individual donor in consultation with its HQ.</w:t>
            </w:r>
          </w:p>
          <w:p w14:paraId="5D9B18E1"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As a result, some commitments were not met.</w:t>
            </w:r>
          </w:p>
        </w:tc>
      </w:tr>
      <w:tr w:rsidR="00ED6294" w:rsidRPr="00773884" w14:paraId="07F03E02"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50D44D9A"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7BB1F7B7"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*Challenging to identify.</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75792176"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4305A0FB"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All the strengths in NDP turned into weaknesses in NDP II</w:t>
            </w:r>
          </w:p>
          <w:p w14:paraId="49FD936D"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Lack of JBSF and JAF</w:t>
            </w:r>
          </w:p>
          <w:p w14:paraId="200D9910"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There is no JAF common framework</w:t>
            </w:r>
          </w:p>
          <w:p w14:paraId="44B5B3D5"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Challenge for GoU to hold DPs to account.</w:t>
            </w:r>
          </w:p>
          <w:p w14:paraId="09C0D4FD"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Coordination and planning framework at the sector.</w:t>
            </w:r>
          </w:p>
          <w:p w14:paraId="45B7A2E2"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 xml:space="preserve">Annual progress report was replaced by GAPR. </w:t>
            </w:r>
          </w:p>
          <w:p w14:paraId="30F0A20D"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No joint programme-based approaches</w:t>
            </w:r>
          </w:p>
          <w:p w14:paraId="1A85A06C"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No agreement among DPs on common principles for disbursement and accountability</w:t>
            </w:r>
          </w:p>
          <w:p w14:paraId="1367FE98"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The Government has been finding it hard to hold DPs to account as most funding is off budget.</w:t>
            </w:r>
          </w:p>
          <w:p w14:paraId="179EB8E8" w14:textId="77777777" w:rsidR="00ED6294" w:rsidRPr="00773884" w:rsidRDefault="00ED6294" w:rsidP="003D56D1">
            <w:pPr>
              <w:pStyle w:val="DeltaBodytext"/>
              <w:numPr>
                <w:ilvl w:val="0"/>
                <w:numId w:val="10"/>
              </w:numPr>
              <w:spacing w:before="60" w:after="60" w:line="240" w:lineRule="auto"/>
              <w:rPr>
                <w:rFonts w:ascii="Times New Roman" w:eastAsia="Arial Unicode MS" w:hAnsi="Times New Roman"/>
              </w:rPr>
            </w:pPr>
            <w:r w:rsidRPr="00773884">
              <w:rPr>
                <w:rFonts w:ascii="Times New Roman" w:eastAsia="Arial Unicode MS" w:hAnsi="Times New Roman"/>
              </w:rPr>
              <w:t>No joint monitoring missions</w:t>
            </w:r>
          </w:p>
          <w:p w14:paraId="3F284BC9" w14:textId="77777777" w:rsidR="00ED6294" w:rsidRPr="00773884" w:rsidRDefault="00ED6294" w:rsidP="003D56D1">
            <w:pPr>
              <w:pStyle w:val="DeltaBodytext"/>
              <w:numPr>
                <w:ilvl w:val="0"/>
                <w:numId w:val="10"/>
              </w:numPr>
              <w:spacing w:before="60" w:after="60" w:line="240" w:lineRule="auto"/>
              <w:rPr>
                <w:rFonts w:ascii="Times New Roman" w:hAnsi="Times New Roman"/>
                <w:color w:val="000000"/>
                <w:lang w:val="en-IE"/>
              </w:rPr>
            </w:pPr>
            <w:r w:rsidRPr="00773884">
              <w:rPr>
                <w:rFonts w:ascii="Times New Roman" w:eastAsia="Arial Unicode MS" w:hAnsi="Times New Roman"/>
              </w:rPr>
              <w:lastRenderedPageBreak/>
              <w:t>Some of the DP working groups and coordination frameworks are dormant.</w:t>
            </w:r>
          </w:p>
        </w:tc>
      </w:tr>
      <w:tr w:rsidR="00ED6294" w:rsidRPr="00773884" w14:paraId="619CC965"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68779FE"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lastRenderedPageBreak/>
              <w:t>Recommendations for NDP-III</w:t>
            </w:r>
          </w:p>
          <w:p w14:paraId="365FBFA5"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 xml:space="preserve">Collaboration framework, BS to be encouraged. </w:t>
            </w:r>
          </w:p>
          <w:p w14:paraId="1247E387"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The Government and DPs should come back to the table and agree on the appropriate mode of collaboration and support</w:t>
            </w:r>
          </w:p>
          <w:p w14:paraId="6AF06990"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Strengthen, monitor and popularise the implementation of the agreed actions of the National Partnerships Forum</w:t>
            </w:r>
          </w:p>
          <w:p w14:paraId="240EAA02" w14:textId="77777777" w:rsidR="00ED6294" w:rsidRPr="00773884" w:rsidRDefault="00ED6294" w:rsidP="003D56D1">
            <w:pPr>
              <w:pStyle w:val="DeltaBodytext"/>
              <w:numPr>
                <w:ilvl w:val="0"/>
                <w:numId w:val="10"/>
              </w:numPr>
              <w:spacing w:before="60" w:after="60" w:line="240" w:lineRule="auto"/>
              <w:ind w:left="461" w:hanging="283"/>
              <w:rPr>
                <w:rFonts w:ascii="Times New Roman" w:hAnsi="Times New Roman"/>
                <w:color w:val="000000"/>
              </w:rPr>
            </w:pPr>
            <w:r w:rsidRPr="00773884">
              <w:rPr>
                <w:rFonts w:ascii="Times New Roman" w:eastAsia="Arial Unicode MS" w:hAnsi="Times New Roman"/>
              </w:rPr>
              <w:t>Strengthen the coordination function of the Government and DPs. This will include strengthening the role of NPA in designing developments plans for regions (PRDP, KIDP) etc.</w:t>
            </w:r>
          </w:p>
        </w:tc>
      </w:tr>
    </w:tbl>
    <w:p w14:paraId="56E70A25" w14:textId="77777777" w:rsidR="00ED6294" w:rsidRPr="00773884" w:rsidRDefault="00ED6294" w:rsidP="00ED6294">
      <w:pPr>
        <w:spacing w:before="60" w:after="60" w:line="240" w:lineRule="auto"/>
        <w:rPr>
          <w:rFonts w:ascii="Times New Roman" w:hAnsi="Times New Roman"/>
        </w:rPr>
      </w:pPr>
    </w:p>
    <w:p w14:paraId="787D2134" w14:textId="77777777" w:rsidR="00ED6294" w:rsidRPr="00773884" w:rsidRDefault="00ED6294" w:rsidP="00ED6294">
      <w:pPr>
        <w:spacing w:before="60" w:after="60" w:line="24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ED6294" w:rsidRPr="00773884" w14:paraId="33CB063D"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36FBA14"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b/>
              </w:rPr>
              <w:t>TOPIC - 6: Non-traditional development partners</w:t>
            </w:r>
          </w:p>
          <w:p w14:paraId="20428A94"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(covering: ‘tied’ aid; loans vs grants; private vs social gain; development impact; capacity/ownership development; Social and Environmental Impact Assessments (SEIA); alignment/ harmonisation/mutual accountability; etc …)</w:t>
            </w:r>
          </w:p>
        </w:tc>
      </w:tr>
      <w:tr w:rsidR="00ED6294" w:rsidRPr="00773884" w14:paraId="0BB343ED"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00B050"/>
            <w:hideMark/>
          </w:tcPr>
          <w:p w14:paraId="0EBB2E07"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Strength or Positive Developments</w:t>
            </w:r>
          </w:p>
        </w:tc>
        <w:tc>
          <w:tcPr>
            <w:tcW w:w="4675" w:type="dxa"/>
            <w:tcBorders>
              <w:top w:val="single" w:sz="4" w:space="0" w:color="000000"/>
              <w:left w:val="single" w:sz="4" w:space="0" w:color="000000"/>
              <w:bottom w:val="single" w:sz="4" w:space="0" w:color="000000"/>
              <w:right w:val="single" w:sz="4" w:space="0" w:color="000000"/>
            </w:tcBorders>
            <w:shd w:val="clear" w:color="auto" w:fill="FF0000"/>
            <w:hideMark/>
          </w:tcPr>
          <w:p w14:paraId="3DE16A2E" w14:textId="77777777" w:rsidR="00ED6294" w:rsidRPr="00773884" w:rsidRDefault="00ED6294" w:rsidP="00773884">
            <w:pPr>
              <w:pStyle w:val="DeltaBodytext"/>
              <w:spacing w:before="60" w:after="60" w:line="240" w:lineRule="auto"/>
              <w:jc w:val="center"/>
              <w:rPr>
                <w:rFonts w:ascii="Times New Roman" w:eastAsia="Arial Unicode MS" w:hAnsi="Times New Roman"/>
              </w:rPr>
            </w:pPr>
            <w:r w:rsidRPr="00773884">
              <w:rPr>
                <w:rFonts w:ascii="Times New Roman" w:eastAsia="Arial Unicode MS" w:hAnsi="Times New Roman"/>
              </w:rPr>
              <w:t>Weaknesses or Negative Developments</w:t>
            </w:r>
          </w:p>
        </w:tc>
      </w:tr>
      <w:tr w:rsidR="00ED6294" w:rsidRPr="00773884" w14:paraId="034C0D1E"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77418D12"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28CDF1AA"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7FBCBFA0"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 FY 10/11-14/15</w:t>
            </w:r>
          </w:p>
          <w:p w14:paraId="07105829"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Tied aid</w:t>
            </w:r>
          </w:p>
          <w:p w14:paraId="1912DA43"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More loans than grants</w:t>
            </w:r>
          </w:p>
        </w:tc>
      </w:tr>
      <w:tr w:rsidR="00ED6294" w:rsidRPr="00773884" w14:paraId="127B6217" w14:textId="77777777" w:rsidTr="00773884">
        <w:tc>
          <w:tcPr>
            <w:tcW w:w="4675" w:type="dxa"/>
            <w:tcBorders>
              <w:top w:val="single" w:sz="4" w:space="0" w:color="000000"/>
              <w:left w:val="single" w:sz="4" w:space="0" w:color="000000"/>
              <w:bottom w:val="single" w:sz="4" w:space="0" w:color="000000"/>
              <w:right w:val="single" w:sz="4" w:space="0" w:color="000000"/>
            </w:tcBorders>
            <w:shd w:val="clear" w:color="auto" w:fill="E2EFD9"/>
            <w:hideMark/>
          </w:tcPr>
          <w:p w14:paraId="179FE409"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6BFBE039"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w:t>
            </w:r>
          </w:p>
        </w:tc>
        <w:tc>
          <w:tcPr>
            <w:tcW w:w="4675" w:type="dxa"/>
            <w:tcBorders>
              <w:top w:val="single" w:sz="4" w:space="0" w:color="000000"/>
              <w:left w:val="single" w:sz="4" w:space="0" w:color="000000"/>
              <w:bottom w:val="single" w:sz="4" w:space="0" w:color="000000"/>
              <w:right w:val="single" w:sz="4" w:space="0" w:color="000000"/>
            </w:tcBorders>
            <w:shd w:val="clear" w:color="auto" w:fill="FBE4D5"/>
            <w:hideMark/>
          </w:tcPr>
          <w:p w14:paraId="38D5C8F8"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NDP-II: FY 15/16-17/18</w:t>
            </w:r>
          </w:p>
          <w:p w14:paraId="7C8B990C"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Same as above</w:t>
            </w:r>
          </w:p>
        </w:tc>
      </w:tr>
      <w:tr w:rsidR="00ED6294" w:rsidRPr="00773884" w14:paraId="0A4E6941" w14:textId="77777777" w:rsidTr="00773884">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26EC23B" w14:textId="77777777" w:rsidR="00ED6294" w:rsidRPr="00773884" w:rsidRDefault="00ED6294" w:rsidP="00773884">
            <w:pPr>
              <w:pStyle w:val="DeltaBodytext"/>
              <w:spacing w:before="60" w:after="60" w:line="240" w:lineRule="auto"/>
              <w:rPr>
                <w:rFonts w:ascii="Times New Roman" w:eastAsia="Arial Unicode MS" w:hAnsi="Times New Roman"/>
              </w:rPr>
            </w:pPr>
            <w:r w:rsidRPr="00773884">
              <w:rPr>
                <w:rFonts w:ascii="Times New Roman" w:eastAsia="Arial Unicode MS" w:hAnsi="Times New Roman"/>
              </w:rPr>
              <w:t>Recommendations for NDP-III</w:t>
            </w:r>
          </w:p>
          <w:p w14:paraId="0E1E1BEA"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Integrate known non-traditional partners and identify and strengthen outreach to the emerging ones.</w:t>
            </w:r>
          </w:p>
          <w:p w14:paraId="3421A89D" w14:textId="77777777" w:rsidR="00ED6294" w:rsidRPr="00773884" w:rsidRDefault="00ED6294" w:rsidP="003D56D1">
            <w:pPr>
              <w:pStyle w:val="DeltaBodytext"/>
              <w:numPr>
                <w:ilvl w:val="0"/>
                <w:numId w:val="10"/>
              </w:numPr>
              <w:spacing w:before="60" w:after="60" w:line="240" w:lineRule="auto"/>
              <w:ind w:left="461" w:hanging="283"/>
              <w:rPr>
                <w:rFonts w:ascii="Times New Roman" w:eastAsia="Arial Unicode MS" w:hAnsi="Times New Roman"/>
              </w:rPr>
            </w:pPr>
            <w:r w:rsidRPr="00773884">
              <w:rPr>
                <w:rFonts w:ascii="Times New Roman" w:eastAsia="Arial Unicode MS" w:hAnsi="Times New Roman"/>
              </w:rPr>
              <w:t>Scrutinise the appetite for non-concessional loans.</w:t>
            </w:r>
          </w:p>
        </w:tc>
      </w:tr>
    </w:tbl>
    <w:p w14:paraId="228F1BC7" w14:textId="77777777" w:rsidR="009C69FE" w:rsidRPr="00773884" w:rsidRDefault="009C69FE" w:rsidP="00ED6294">
      <w:pPr>
        <w:spacing w:after="0" w:line="240" w:lineRule="auto"/>
        <w:rPr>
          <w:rFonts w:ascii="Times New Roman" w:hAnsi="Times New Roman"/>
        </w:rPr>
      </w:pPr>
    </w:p>
    <w:sectPr w:rsidR="009C69FE" w:rsidRPr="00773884" w:rsidSect="0043743B">
      <w:pgSz w:w="11906" w:h="16838"/>
      <w:pgMar w:top="1134" w:right="1134" w:bottom="1134" w:left="1134" w:header="709" w:footer="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196F2" w14:textId="77777777" w:rsidR="00CB551A" w:rsidRDefault="00CB551A" w:rsidP="008C2E92">
      <w:r>
        <w:separator/>
      </w:r>
    </w:p>
  </w:endnote>
  <w:endnote w:type="continuationSeparator" w:id="0">
    <w:p w14:paraId="0EEF2479" w14:textId="77777777" w:rsidR="00CB551A" w:rsidRDefault="00CB551A" w:rsidP="008C2E92">
      <w:r>
        <w:continuationSeparator/>
      </w:r>
    </w:p>
  </w:endnote>
  <w:endnote w:type="continuationNotice" w:id="1">
    <w:p w14:paraId="2B3DA4E5" w14:textId="77777777" w:rsidR="00CB551A" w:rsidRDefault="00CB5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AD143" w14:textId="311E8F4A" w:rsidR="00EF20A9" w:rsidRPr="00D7317D" w:rsidRDefault="00EF20A9" w:rsidP="00317EB6">
    <w:pPr>
      <w:pStyle w:val="Footer"/>
      <w:jc w:val="right"/>
      <w:rPr>
        <w:i/>
        <w:iCs/>
        <w:color w:val="8C8C8C"/>
      </w:rPr>
    </w:pPr>
    <w:r>
      <w:t xml:space="preserve">Page | </w:t>
    </w:r>
    <w:r>
      <w:fldChar w:fldCharType="begin"/>
    </w:r>
    <w:r>
      <w:instrText xml:space="preserve"> PAGE   \* MERGEFORMAT </w:instrText>
    </w:r>
    <w:r>
      <w:fldChar w:fldCharType="separate"/>
    </w:r>
    <w:r w:rsidR="006F31B1">
      <w:rPr>
        <w:noProof/>
      </w:rPr>
      <w:t>12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288D8" w14:textId="77777777" w:rsidR="00CB551A" w:rsidRDefault="00CB551A" w:rsidP="008C2E92">
      <w:r>
        <w:separator/>
      </w:r>
    </w:p>
  </w:footnote>
  <w:footnote w:type="continuationSeparator" w:id="0">
    <w:p w14:paraId="5B2683EB" w14:textId="77777777" w:rsidR="00CB551A" w:rsidRDefault="00CB551A" w:rsidP="008C2E92">
      <w:r>
        <w:continuationSeparator/>
      </w:r>
    </w:p>
  </w:footnote>
  <w:footnote w:type="continuationNotice" w:id="1">
    <w:p w14:paraId="5A4459F4" w14:textId="77777777" w:rsidR="00CB551A" w:rsidRDefault="00CB551A">
      <w:pPr>
        <w:spacing w:after="0" w:line="240" w:lineRule="auto"/>
      </w:pPr>
    </w:p>
  </w:footnote>
  <w:footnote w:id="2">
    <w:p w14:paraId="2E7D7ED1" w14:textId="323B02A9" w:rsidR="00EF20A9" w:rsidRPr="0014681A" w:rsidRDefault="00EF20A9" w:rsidP="0014681A">
      <w:pPr>
        <w:spacing w:before="60" w:after="60" w:line="240" w:lineRule="auto"/>
        <w:rPr>
          <w:rFonts w:asciiTheme="minorHAnsi" w:eastAsia="Arial Unicode MS" w:hAnsiTheme="minorHAnsi" w:cstheme="minorHAnsi"/>
          <w:color w:val="666666"/>
          <w:sz w:val="18"/>
          <w:szCs w:val="18"/>
          <w:lang w:eastAsia="en-GB"/>
        </w:rPr>
      </w:pPr>
      <w:r w:rsidRPr="0014681A">
        <w:rPr>
          <w:rStyle w:val="FootnoteReference"/>
          <w:rFonts w:asciiTheme="minorHAnsi" w:eastAsia="Arial Unicode MS" w:hAnsiTheme="minorHAnsi" w:cstheme="minorHAnsi"/>
          <w:sz w:val="18"/>
          <w:szCs w:val="18"/>
        </w:rPr>
        <w:footnoteRef/>
      </w:r>
      <w:r w:rsidRPr="0014681A">
        <w:rPr>
          <w:rFonts w:asciiTheme="minorHAnsi" w:eastAsia="Arial Unicode MS" w:hAnsiTheme="minorHAnsi" w:cstheme="minorHAnsi"/>
          <w:sz w:val="18"/>
          <w:szCs w:val="18"/>
        </w:rPr>
        <w:t xml:space="preserve"> </w:t>
      </w:r>
      <w:r w:rsidRPr="0014681A">
        <w:rPr>
          <w:rFonts w:asciiTheme="minorHAnsi" w:eastAsia="Arial Unicode MS" w:hAnsiTheme="minorHAnsi" w:cstheme="minorHAnsi"/>
          <w:color w:val="666666"/>
          <w:sz w:val="18"/>
          <w:szCs w:val="18"/>
          <w:lang w:eastAsia="en-GB"/>
        </w:rPr>
        <w:t xml:space="preserve">OECD DAC defines official development assistance as financial flows </w:t>
      </w:r>
      <w:r w:rsidRPr="0014681A">
        <w:rPr>
          <w:rFonts w:asciiTheme="minorHAnsi" w:eastAsia="Arial Unicode MS" w:hAnsiTheme="minorHAnsi" w:cstheme="minorHAnsi"/>
          <w:bCs/>
          <w:iCs/>
          <w:color w:val="666666"/>
          <w:sz w:val="18"/>
          <w:szCs w:val="18"/>
          <w:lang w:eastAsia="en-GB"/>
        </w:rPr>
        <w:t>from official agencies</w:t>
      </w:r>
      <w:r w:rsidRPr="0014681A">
        <w:rPr>
          <w:rFonts w:asciiTheme="minorHAnsi" w:eastAsia="Arial Unicode MS" w:hAnsiTheme="minorHAnsi" w:cstheme="minorHAnsi"/>
          <w:color w:val="666666"/>
          <w:sz w:val="18"/>
          <w:szCs w:val="18"/>
          <w:lang w:eastAsia="en-GB"/>
        </w:rPr>
        <w:t xml:space="preserve">, which are administered with the </w:t>
      </w:r>
      <w:r w:rsidRPr="0014681A">
        <w:rPr>
          <w:rFonts w:asciiTheme="minorHAnsi" w:eastAsia="Arial Unicode MS" w:hAnsiTheme="minorHAnsi" w:cstheme="minorHAnsi"/>
          <w:i/>
          <w:color w:val="666666"/>
          <w:sz w:val="18"/>
          <w:szCs w:val="18"/>
          <w:lang w:eastAsia="en-GB"/>
        </w:rPr>
        <w:t xml:space="preserve">promotion of the </w:t>
      </w:r>
      <w:r w:rsidRPr="0014681A">
        <w:rPr>
          <w:rFonts w:asciiTheme="minorHAnsi" w:eastAsia="Arial Unicode MS" w:hAnsiTheme="minorHAnsi" w:cstheme="minorHAnsi"/>
          <w:bCs/>
          <w:i/>
          <w:iCs/>
          <w:color w:val="666666"/>
          <w:sz w:val="18"/>
          <w:szCs w:val="18"/>
          <w:lang w:eastAsia="en-GB"/>
        </w:rPr>
        <w:t>economic development and welfare of developing countries</w:t>
      </w:r>
      <w:r w:rsidRPr="0014681A">
        <w:rPr>
          <w:rFonts w:asciiTheme="minorHAnsi" w:eastAsia="Arial Unicode MS" w:hAnsiTheme="minorHAnsi" w:cstheme="minorHAnsi"/>
          <w:color w:val="666666"/>
          <w:sz w:val="18"/>
          <w:szCs w:val="18"/>
          <w:lang w:eastAsia="en-GB"/>
        </w:rPr>
        <w:t xml:space="preserve"> as their main objective; and which are </w:t>
      </w:r>
      <w:r w:rsidRPr="0014681A">
        <w:rPr>
          <w:rFonts w:asciiTheme="minorHAnsi" w:eastAsia="Arial Unicode MS" w:hAnsiTheme="minorHAnsi" w:cstheme="minorHAnsi"/>
          <w:bCs/>
          <w:i/>
          <w:iCs/>
          <w:color w:val="666666"/>
          <w:sz w:val="18"/>
          <w:szCs w:val="18"/>
          <w:lang w:eastAsia="en-GB"/>
        </w:rPr>
        <w:t>concessional in character</w:t>
      </w:r>
      <w:r w:rsidRPr="0014681A">
        <w:rPr>
          <w:rFonts w:asciiTheme="minorHAnsi" w:eastAsia="Arial Unicode MS" w:hAnsiTheme="minorHAnsi" w:cstheme="minorHAnsi"/>
          <w:color w:val="666666"/>
          <w:sz w:val="18"/>
          <w:szCs w:val="18"/>
          <w:lang w:eastAsia="en-GB"/>
        </w:rPr>
        <w:t xml:space="preserve"> and convey a grant element of at least 25 per cent (calculated at a rate of discount of 10 per cent).</w:t>
      </w:r>
    </w:p>
  </w:footnote>
  <w:footnote w:id="3">
    <w:p w14:paraId="180BBA69" w14:textId="203732A3" w:rsidR="00EF20A9" w:rsidRPr="0014681A" w:rsidRDefault="00EF20A9" w:rsidP="0014681A">
      <w:pPr>
        <w:pStyle w:val="FootnoteText"/>
        <w:spacing w:before="60" w:after="60"/>
        <w:rPr>
          <w:rFonts w:asciiTheme="minorHAnsi" w:hAnsiTheme="minorHAnsi" w:cstheme="minorHAnsi"/>
          <w:sz w:val="18"/>
          <w:szCs w:val="18"/>
          <w:lang w:val="en-GB"/>
        </w:rPr>
      </w:pPr>
      <w:r w:rsidRPr="0014681A">
        <w:rPr>
          <w:rStyle w:val="FootnoteReference"/>
          <w:rFonts w:asciiTheme="minorHAnsi" w:hAnsiTheme="minorHAnsi" w:cstheme="minorHAnsi"/>
          <w:sz w:val="18"/>
          <w:szCs w:val="18"/>
        </w:rPr>
        <w:footnoteRef/>
      </w:r>
      <w:r w:rsidRPr="0014681A">
        <w:rPr>
          <w:rFonts w:asciiTheme="minorHAnsi" w:hAnsiTheme="minorHAnsi" w:cstheme="minorHAnsi"/>
          <w:sz w:val="18"/>
          <w:szCs w:val="18"/>
        </w:rPr>
        <w:t xml:space="preserve"> </w:t>
      </w:r>
      <w:r w:rsidRPr="000938F3">
        <w:rPr>
          <w:sz w:val="18"/>
          <w:szCs w:val="18"/>
          <w:lang w:val="en-US"/>
        </w:rPr>
        <w:t>The OECD date is based on Calendar years while the MoFPED data is based on Fiscal Years. The OECD data includes support expensed at the DPs’ HQs that the MoFPED is not privy to, hence is higher.</w:t>
      </w:r>
    </w:p>
  </w:footnote>
  <w:footnote w:id="4">
    <w:p w14:paraId="225B2B52" w14:textId="77777777" w:rsidR="00EF20A9" w:rsidRPr="0014681A" w:rsidRDefault="00EF20A9" w:rsidP="0014681A">
      <w:pPr>
        <w:pStyle w:val="FootnoteText"/>
        <w:spacing w:before="60" w:after="60" w:line="240" w:lineRule="auto"/>
        <w:rPr>
          <w:rFonts w:asciiTheme="minorHAnsi" w:hAnsiTheme="minorHAnsi" w:cstheme="minorHAnsi"/>
          <w:sz w:val="18"/>
          <w:szCs w:val="18"/>
          <w:lang w:val="en-US"/>
        </w:rPr>
      </w:pPr>
      <w:r w:rsidRPr="0014681A">
        <w:rPr>
          <w:rStyle w:val="FootnoteReference"/>
          <w:rFonts w:asciiTheme="minorHAnsi" w:hAnsiTheme="minorHAnsi" w:cstheme="minorHAnsi"/>
          <w:sz w:val="18"/>
          <w:szCs w:val="18"/>
        </w:rPr>
        <w:footnoteRef/>
      </w:r>
      <w:r w:rsidRPr="0014681A">
        <w:rPr>
          <w:rFonts w:asciiTheme="minorHAnsi" w:hAnsiTheme="minorHAnsi" w:cstheme="minorHAnsi"/>
          <w:sz w:val="18"/>
          <w:szCs w:val="18"/>
        </w:rPr>
        <w:t xml:space="preserve"> </w:t>
      </w:r>
      <w:r w:rsidRPr="0014681A">
        <w:rPr>
          <w:rFonts w:asciiTheme="minorHAnsi" w:hAnsiTheme="minorHAnsi" w:cstheme="minorHAnsi"/>
          <w:sz w:val="18"/>
          <w:szCs w:val="18"/>
          <w:lang w:val="en-US"/>
        </w:rPr>
        <w:t xml:space="preserve">Off-budget figures are based on submission by Development Partners, MoFPED has no means of verifying the numbers. </w:t>
      </w:r>
    </w:p>
  </w:footnote>
  <w:footnote w:id="5">
    <w:p w14:paraId="49912A25" w14:textId="2B03A675" w:rsidR="00EF20A9" w:rsidRPr="0014681A" w:rsidRDefault="00EF20A9" w:rsidP="0014681A">
      <w:pPr>
        <w:pStyle w:val="PlainText"/>
        <w:spacing w:before="60" w:after="60"/>
        <w:rPr>
          <w:rFonts w:asciiTheme="minorHAnsi" w:eastAsiaTheme="minorHAnsi" w:hAnsiTheme="minorHAnsi" w:cstheme="minorHAnsi"/>
          <w:sz w:val="18"/>
          <w:szCs w:val="18"/>
        </w:rPr>
      </w:pPr>
      <w:r w:rsidRPr="0014681A">
        <w:rPr>
          <w:rStyle w:val="FootnoteReference"/>
          <w:rFonts w:asciiTheme="minorHAnsi" w:hAnsiTheme="minorHAnsi" w:cstheme="minorHAnsi"/>
          <w:sz w:val="18"/>
          <w:szCs w:val="18"/>
        </w:rPr>
        <w:footnoteRef/>
      </w:r>
      <w:r w:rsidRPr="0014681A">
        <w:rPr>
          <w:rFonts w:asciiTheme="minorHAnsi" w:hAnsiTheme="minorHAnsi" w:cstheme="minorHAnsi"/>
          <w:sz w:val="18"/>
          <w:szCs w:val="18"/>
        </w:rPr>
        <w:t xml:space="preserve"> Also noted by the Report, 2017: Office of the Prime Minister, Government of Uganda, ''Strengthening the Coordination Function at the Office of The Prime Minister and Sector Working Groups''.</w:t>
      </w:r>
    </w:p>
  </w:footnote>
  <w:footnote w:id="6">
    <w:p w14:paraId="4EAAFE1E" w14:textId="77777777" w:rsidR="00EF20A9" w:rsidRPr="0014681A" w:rsidRDefault="00EF20A9" w:rsidP="0014681A">
      <w:pPr>
        <w:pStyle w:val="FootnoteText"/>
        <w:spacing w:before="60" w:after="60" w:line="240" w:lineRule="auto"/>
        <w:rPr>
          <w:rFonts w:asciiTheme="minorHAnsi" w:eastAsia="Arial Unicode MS" w:hAnsiTheme="minorHAnsi" w:cstheme="minorHAnsi"/>
          <w:sz w:val="18"/>
          <w:szCs w:val="18"/>
        </w:rPr>
      </w:pPr>
      <w:r w:rsidRPr="0014681A">
        <w:rPr>
          <w:rStyle w:val="FootnoteReference"/>
          <w:rFonts w:asciiTheme="minorHAnsi" w:eastAsia="Arial Unicode MS" w:hAnsiTheme="minorHAnsi" w:cstheme="minorHAnsi"/>
          <w:sz w:val="18"/>
          <w:szCs w:val="18"/>
        </w:rPr>
        <w:footnoteRef/>
      </w:r>
      <w:r w:rsidRPr="0014681A">
        <w:rPr>
          <w:rFonts w:asciiTheme="minorHAnsi" w:eastAsia="Arial Unicode MS" w:hAnsiTheme="minorHAnsi" w:cstheme="minorHAnsi"/>
          <w:sz w:val="18"/>
          <w:szCs w:val="18"/>
        </w:rPr>
        <w:t xml:space="preserve"> </w:t>
      </w:r>
      <w:r w:rsidRPr="0014681A">
        <w:rPr>
          <w:rFonts w:asciiTheme="minorHAnsi" w:eastAsia="Arial Unicode MS" w:hAnsiTheme="minorHAnsi" w:cstheme="minorHAnsi"/>
          <w:sz w:val="18"/>
          <w:szCs w:val="18"/>
          <w:lang w:val="en-GB"/>
        </w:rPr>
        <w:t>These are the Sector Working Groups for Agriculture, Water and Environment, Energy and Mineral Development, Works and Transport, Accountability, Social Development, Health, Education and Justice, Law and Order.</w:t>
      </w:r>
    </w:p>
  </w:footnote>
  <w:footnote w:id="7">
    <w:p w14:paraId="3D111ED7" w14:textId="2BBCD0D2" w:rsidR="00EF20A9" w:rsidRPr="0014681A" w:rsidRDefault="00EF20A9" w:rsidP="0014681A">
      <w:pPr>
        <w:pStyle w:val="PlainText"/>
        <w:spacing w:before="60" w:after="60"/>
        <w:rPr>
          <w:rFonts w:asciiTheme="minorHAnsi" w:eastAsiaTheme="minorHAnsi" w:hAnsiTheme="minorHAnsi" w:cstheme="minorHAnsi"/>
          <w:sz w:val="18"/>
          <w:szCs w:val="18"/>
        </w:rPr>
      </w:pPr>
      <w:r w:rsidRPr="0014681A">
        <w:rPr>
          <w:rStyle w:val="FootnoteReference"/>
          <w:rFonts w:asciiTheme="minorHAnsi" w:hAnsiTheme="minorHAnsi" w:cstheme="minorHAnsi"/>
          <w:sz w:val="18"/>
          <w:szCs w:val="18"/>
        </w:rPr>
        <w:footnoteRef/>
      </w:r>
      <w:r w:rsidRPr="0014681A">
        <w:rPr>
          <w:rFonts w:asciiTheme="minorHAnsi" w:hAnsiTheme="minorHAnsi" w:cstheme="minorHAnsi"/>
          <w:sz w:val="18"/>
          <w:szCs w:val="18"/>
        </w:rPr>
        <w:t xml:space="preserve"> Report, 2017: Office of the Prime Minister, Government of Uganda, ''Strengthening the Coordination Function at the Office of The Prime Minister and Sector Working Groups''.</w:t>
      </w:r>
    </w:p>
  </w:footnote>
  <w:footnote w:id="8">
    <w:p w14:paraId="198DFECB" w14:textId="4E312C7A" w:rsidR="00EF20A9" w:rsidRPr="0014681A" w:rsidRDefault="00EF20A9" w:rsidP="0014681A">
      <w:pPr>
        <w:pStyle w:val="FootnoteText"/>
        <w:spacing w:before="60" w:after="60"/>
        <w:rPr>
          <w:rFonts w:asciiTheme="minorHAnsi" w:hAnsiTheme="minorHAnsi" w:cstheme="minorHAnsi"/>
          <w:sz w:val="18"/>
          <w:szCs w:val="18"/>
          <w:lang w:val="en-GB"/>
        </w:rPr>
      </w:pPr>
      <w:r w:rsidRPr="0014681A">
        <w:rPr>
          <w:rStyle w:val="FootnoteReference"/>
          <w:rFonts w:asciiTheme="minorHAnsi" w:hAnsiTheme="minorHAnsi" w:cstheme="minorHAnsi"/>
          <w:sz w:val="18"/>
          <w:szCs w:val="18"/>
        </w:rPr>
        <w:footnoteRef/>
      </w:r>
      <w:r w:rsidRPr="0014681A">
        <w:rPr>
          <w:rFonts w:asciiTheme="minorHAnsi" w:hAnsiTheme="minorHAnsi" w:cstheme="minorHAnsi"/>
          <w:sz w:val="18"/>
          <w:szCs w:val="18"/>
        </w:rPr>
        <w:t xml:space="preserve"> </w:t>
      </w:r>
      <w:r w:rsidRPr="0014681A">
        <w:rPr>
          <w:rFonts w:asciiTheme="minorHAnsi" w:hAnsiTheme="minorHAnsi" w:cstheme="minorHAnsi"/>
          <w:sz w:val="18"/>
          <w:szCs w:val="18"/>
          <w:lang w:val="en-GB"/>
        </w:rPr>
        <w:t>German Institute for Development Evaluation (</w:t>
      </w:r>
      <w:r w:rsidRPr="0014681A">
        <w:rPr>
          <w:rFonts w:asciiTheme="minorHAnsi" w:hAnsiTheme="minorHAnsi" w:cstheme="minorHAnsi"/>
          <w:color w:val="242021"/>
          <w:sz w:val="18"/>
          <w:szCs w:val="18"/>
          <w:lang w:val="en-GB"/>
        </w:rPr>
        <w:t xml:space="preserve">DEval), </w:t>
      </w:r>
      <w:r w:rsidRPr="0014681A">
        <w:rPr>
          <w:rFonts w:asciiTheme="minorHAnsi" w:hAnsiTheme="minorHAnsi" w:cstheme="minorHAnsi"/>
          <w:sz w:val="18"/>
          <w:szCs w:val="18"/>
          <w:lang w:val="en-GB"/>
        </w:rPr>
        <w:t>Uganda, Country Sheet, 3/2018.</w:t>
      </w:r>
    </w:p>
  </w:footnote>
  <w:footnote w:id="9">
    <w:p w14:paraId="11931913" w14:textId="77777777" w:rsidR="00EF20A9" w:rsidRPr="0014681A" w:rsidRDefault="00EF20A9" w:rsidP="0014681A">
      <w:pPr>
        <w:pStyle w:val="FootnoteText"/>
        <w:spacing w:before="60" w:after="60" w:line="240" w:lineRule="auto"/>
        <w:rPr>
          <w:rFonts w:asciiTheme="minorHAnsi" w:eastAsia="Arial Unicode MS" w:hAnsiTheme="minorHAnsi" w:cstheme="minorHAnsi"/>
          <w:sz w:val="18"/>
          <w:szCs w:val="18"/>
        </w:rPr>
      </w:pPr>
      <w:r w:rsidRPr="0014681A">
        <w:rPr>
          <w:rStyle w:val="FootnoteReference"/>
          <w:rFonts w:asciiTheme="minorHAnsi" w:eastAsia="Arial Unicode MS" w:hAnsiTheme="minorHAnsi" w:cstheme="minorHAnsi"/>
          <w:sz w:val="18"/>
          <w:szCs w:val="18"/>
        </w:rPr>
        <w:footnoteRef/>
      </w:r>
      <w:r w:rsidRPr="0014681A">
        <w:rPr>
          <w:rFonts w:asciiTheme="minorHAnsi" w:eastAsia="Arial Unicode MS" w:hAnsiTheme="minorHAnsi" w:cstheme="minorHAnsi"/>
          <w:sz w:val="18"/>
          <w:szCs w:val="18"/>
        </w:rPr>
        <w:t xml:space="preserve"> The World Bank, the Africa Development Bank, the EU </w:t>
      </w:r>
      <w:r w:rsidRPr="0014681A">
        <w:rPr>
          <w:rFonts w:asciiTheme="minorHAnsi" w:eastAsia="Arial Unicode MS" w:hAnsiTheme="minorHAnsi" w:cstheme="minorHAnsi"/>
          <w:sz w:val="18"/>
          <w:szCs w:val="18"/>
          <w:lang w:val="en-US"/>
        </w:rPr>
        <w:t xml:space="preserve">, China </w:t>
      </w:r>
      <w:r w:rsidRPr="0014681A">
        <w:rPr>
          <w:rFonts w:asciiTheme="minorHAnsi" w:eastAsia="Arial Unicode MS" w:hAnsiTheme="minorHAnsi" w:cstheme="minorHAnsi"/>
          <w:sz w:val="18"/>
          <w:szCs w:val="18"/>
        </w:rPr>
        <w:t>and Japan.</w:t>
      </w:r>
    </w:p>
  </w:footnote>
  <w:footnote w:id="10">
    <w:p w14:paraId="4361FDD2" w14:textId="77777777" w:rsidR="00EF20A9" w:rsidRPr="0014681A" w:rsidRDefault="00EF20A9" w:rsidP="0014681A">
      <w:pPr>
        <w:pStyle w:val="FootnoteText"/>
        <w:spacing w:before="60" w:after="60"/>
        <w:rPr>
          <w:rFonts w:asciiTheme="minorHAnsi" w:hAnsiTheme="minorHAnsi" w:cstheme="minorHAnsi"/>
          <w:sz w:val="18"/>
          <w:szCs w:val="18"/>
          <w:lang w:val="en-GB"/>
        </w:rPr>
      </w:pPr>
      <w:r w:rsidRPr="0014681A">
        <w:rPr>
          <w:rStyle w:val="FootnoteReference"/>
          <w:rFonts w:asciiTheme="minorHAnsi" w:hAnsiTheme="minorHAnsi" w:cstheme="minorHAnsi"/>
          <w:sz w:val="18"/>
          <w:szCs w:val="18"/>
        </w:rPr>
        <w:footnoteRef/>
      </w:r>
      <w:r w:rsidRPr="0014681A">
        <w:rPr>
          <w:rFonts w:asciiTheme="minorHAnsi" w:hAnsiTheme="minorHAnsi" w:cstheme="minorHAnsi"/>
          <w:sz w:val="18"/>
          <w:szCs w:val="18"/>
        </w:rPr>
        <w:t xml:space="preserve"> http://www.oag.go.ug/wp-content/uploads/2016/01/Perfomance-Report-30th-June-2015.pdf</w:t>
      </w:r>
    </w:p>
  </w:footnote>
  <w:footnote w:id="11">
    <w:p w14:paraId="36629401" w14:textId="77777777" w:rsidR="00EF20A9" w:rsidRPr="0014681A" w:rsidRDefault="00EF20A9" w:rsidP="0014681A">
      <w:pPr>
        <w:pStyle w:val="FootnoteText"/>
        <w:spacing w:before="60" w:after="60" w:line="240" w:lineRule="auto"/>
        <w:rPr>
          <w:rFonts w:asciiTheme="minorHAnsi" w:eastAsia="Arial Unicode MS" w:hAnsiTheme="minorHAnsi" w:cstheme="minorHAnsi"/>
          <w:sz w:val="18"/>
          <w:szCs w:val="18"/>
        </w:rPr>
      </w:pPr>
      <w:r w:rsidRPr="0014681A">
        <w:rPr>
          <w:rStyle w:val="FootnoteReference"/>
          <w:rFonts w:asciiTheme="minorHAnsi" w:eastAsia="Arial Unicode MS" w:hAnsiTheme="minorHAnsi" w:cstheme="minorHAnsi"/>
          <w:sz w:val="18"/>
          <w:szCs w:val="18"/>
        </w:rPr>
        <w:footnoteRef/>
      </w:r>
      <w:r w:rsidRPr="0014681A">
        <w:rPr>
          <w:rFonts w:asciiTheme="minorHAnsi" w:eastAsia="Arial Unicode MS" w:hAnsiTheme="minorHAnsi" w:cstheme="minorHAnsi"/>
          <w:sz w:val="18"/>
          <w:szCs w:val="18"/>
        </w:rPr>
        <w:t xml:space="preserve"> Donor practices resulting in poor predictability of budget support and shortcomings in the financial information provided for budgeting and reporting have consistently attracted low markings in assessments of Uganda’s public financial management systems using the Public Expenditure and Financial Accountability (PEFA) Measurement Framework.</w:t>
      </w:r>
    </w:p>
  </w:footnote>
  <w:footnote w:id="12">
    <w:p w14:paraId="74B5B7B0" w14:textId="77777777" w:rsidR="00EF20A9" w:rsidRPr="0014681A" w:rsidRDefault="00EF20A9" w:rsidP="0014681A">
      <w:pPr>
        <w:pStyle w:val="FootnoteText"/>
        <w:spacing w:before="60" w:after="60" w:line="240" w:lineRule="auto"/>
        <w:rPr>
          <w:rFonts w:asciiTheme="minorHAnsi" w:eastAsia="Arial Unicode MS" w:hAnsiTheme="minorHAnsi" w:cstheme="minorHAnsi"/>
          <w:sz w:val="18"/>
          <w:szCs w:val="18"/>
        </w:rPr>
      </w:pPr>
      <w:r w:rsidRPr="0014681A">
        <w:rPr>
          <w:rStyle w:val="FootnoteReference"/>
          <w:rFonts w:asciiTheme="minorHAnsi" w:eastAsia="Arial Unicode MS" w:hAnsiTheme="minorHAnsi" w:cstheme="minorHAnsi"/>
          <w:sz w:val="18"/>
          <w:szCs w:val="18"/>
        </w:rPr>
        <w:footnoteRef/>
      </w:r>
      <w:r w:rsidRPr="0014681A">
        <w:rPr>
          <w:rFonts w:asciiTheme="minorHAnsi" w:eastAsia="Arial Unicode MS" w:hAnsiTheme="minorHAnsi" w:cstheme="minorHAnsi"/>
          <w:sz w:val="18"/>
          <w:szCs w:val="18"/>
        </w:rPr>
        <w:t xml:space="preserve"> This group comprises Brazil, Russia, India China, Korea and South Africa.</w:t>
      </w:r>
    </w:p>
  </w:footnote>
  <w:footnote w:id="13">
    <w:p w14:paraId="23BFAC87" w14:textId="77777777" w:rsidR="00EF20A9" w:rsidRPr="00445BF9" w:rsidRDefault="00EF20A9" w:rsidP="0014681A">
      <w:pPr>
        <w:pStyle w:val="FootnoteText"/>
        <w:spacing w:before="60" w:after="60" w:line="240" w:lineRule="auto"/>
        <w:rPr>
          <w:rFonts w:eastAsia="Arial Unicode MS"/>
          <w:szCs w:val="18"/>
        </w:rPr>
      </w:pPr>
      <w:r w:rsidRPr="0014681A">
        <w:rPr>
          <w:rStyle w:val="FootnoteReference"/>
          <w:rFonts w:asciiTheme="minorHAnsi" w:eastAsia="Arial Unicode MS" w:hAnsiTheme="minorHAnsi" w:cstheme="minorHAnsi"/>
          <w:sz w:val="18"/>
          <w:szCs w:val="18"/>
        </w:rPr>
        <w:footnoteRef/>
      </w:r>
      <w:r w:rsidRPr="0014681A">
        <w:rPr>
          <w:rFonts w:asciiTheme="minorHAnsi" w:eastAsia="Arial Unicode MS" w:hAnsiTheme="minorHAnsi" w:cstheme="minorHAnsi"/>
          <w:sz w:val="18"/>
          <w:szCs w:val="18"/>
        </w:rPr>
        <w:t xml:space="preserve"> </w:t>
      </w:r>
      <w:r w:rsidRPr="00445BF9">
        <w:rPr>
          <w:rFonts w:eastAsia="Arial Unicode MS"/>
          <w:szCs w:val="18"/>
        </w:rPr>
        <w:t>The government has convened preliminary discussions with the EXIM Bank of India about the possibility of investing in the energy sector.</w:t>
      </w:r>
    </w:p>
  </w:footnote>
  <w:footnote w:id="14">
    <w:p w14:paraId="5F17E9DF" w14:textId="77777777" w:rsidR="00EF20A9" w:rsidRPr="0014681A" w:rsidRDefault="00EF20A9" w:rsidP="0014681A">
      <w:pPr>
        <w:pStyle w:val="FootnoteText"/>
        <w:spacing w:before="60" w:after="60" w:line="240" w:lineRule="auto"/>
        <w:rPr>
          <w:rFonts w:asciiTheme="minorHAnsi" w:eastAsia="Arial Unicode MS" w:hAnsiTheme="minorHAnsi" w:cstheme="minorHAnsi"/>
          <w:sz w:val="18"/>
          <w:szCs w:val="18"/>
        </w:rPr>
      </w:pPr>
      <w:r w:rsidRPr="00445BF9">
        <w:rPr>
          <w:rStyle w:val="FootnoteReference"/>
          <w:rFonts w:eastAsia="Arial Unicode MS"/>
          <w:szCs w:val="18"/>
        </w:rPr>
        <w:footnoteRef/>
      </w:r>
      <w:r w:rsidRPr="00445BF9">
        <w:rPr>
          <w:rFonts w:eastAsia="Arial Unicode MS"/>
          <w:szCs w:val="18"/>
        </w:rPr>
        <w:t xml:space="preserve"> Chinese loans for example are typically provided at interest rates of 2-3 per cent with a 20 year repayment period</w:t>
      </w:r>
      <w:r w:rsidRPr="0014681A">
        <w:rPr>
          <w:rFonts w:asciiTheme="minorHAnsi" w:eastAsia="Arial Unicode MS" w:hAnsiTheme="minorHAnsi" w:cstheme="minorHAns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7D67"/>
    <w:multiLevelType w:val="hybridMultilevel"/>
    <w:tmpl w:val="E7147B9C"/>
    <w:lvl w:ilvl="0" w:tplc="90768DE0">
      <w:start w:val="1"/>
      <w:numFmt w:val="decimal"/>
      <w:lvlText w:val="(%1)"/>
      <w:lvlJc w:val="left"/>
      <w:pPr>
        <w:ind w:left="1026" w:hanging="720"/>
      </w:pPr>
      <w:rPr>
        <w:rFonts w:ascii="Times New Roman" w:eastAsia="Calibri" w:hAnsi="Times New Roman" w:cs="Times New Roman"/>
        <w:b w:val="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 w15:restartNumberingAfterBreak="0">
    <w:nsid w:val="02AA620D"/>
    <w:multiLevelType w:val="hybridMultilevel"/>
    <w:tmpl w:val="44F60952"/>
    <w:lvl w:ilvl="0" w:tplc="C93E0066">
      <w:start w:val="1"/>
      <w:numFmt w:val="lowerRoman"/>
      <w:lvlText w:val="(%1)"/>
      <w:lvlJc w:val="left"/>
      <w:pPr>
        <w:ind w:left="1287" w:hanging="72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3381AF7"/>
    <w:multiLevelType w:val="hybridMultilevel"/>
    <w:tmpl w:val="7D5CD68A"/>
    <w:lvl w:ilvl="0" w:tplc="ECC6F656">
      <w:start w:val="1"/>
      <w:numFmt w:val="lowerRoman"/>
      <w:lvlText w:val="(%1)"/>
      <w:lvlJc w:val="left"/>
      <w:pPr>
        <w:ind w:left="360" w:hanging="360"/>
      </w:pPr>
      <w:rPr>
        <w:rFonts w:ascii="Times New Roman" w:eastAsia="Calibri"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3D3C7D"/>
    <w:multiLevelType w:val="multilevel"/>
    <w:tmpl w:val="07D0308A"/>
    <w:styleLink w:val="DeltaAnnexhednumbering"/>
    <w:lvl w:ilvl="0">
      <w:start w:val="1"/>
      <w:numFmt w:val="decimal"/>
      <w:pStyle w:val="DeltaAnnexhed1"/>
      <w:lvlText w:val="Annex %1."/>
      <w:lvlJc w:val="left"/>
      <w:pPr>
        <w:ind w:left="1701" w:hanging="170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A982032"/>
    <w:multiLevelType w:val="hybridMultilevel"/>
    <w:tmpl w:val="8B40C268"/>
    <w:lvl w:ilvl="0" w:tplc="D99A604E">
      <w:start w:val="1"/>
      <w:numFmt w:val="bullet"/>
      <w:pStyle w:val="Deltadoctitle"/>
      <w:lvlText w:val="•"/>
      <w:lvlJc w:val="left"/>
      <w:pPr>
        <w:ind w:left="720" w:hanging="360"/>
      </w:pPr>
      <w:rPr>
        <w:rFonts w:ascii="Arial Bold" w:hAnsi="Arial Bold" w:hint="default"/>
        <w:b/>
        <w:i w:val="0"/>
        <w:color w:val="F1A42B"/>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23FBE"/>
    <w:multiLevelType w:val="hybridMultilevel"/>
    <w:tmpl w:val="22AEC8AC"/>
    <w:lvl w:ilvl="0" w:tplc="F11A2994">
      <w:start w:val="1"/>
      <w:numFmt w:val="lowerRoman"/>
      <w:lvlText w:val="(%1)"/>
      <w:lvlJc w:val="left"/>
      <w:pPr>
        <w:ind w:left="1287" w:hanging="72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32B04F8"/>
    <w:multiLevelType w:val="multilevel"/>
    <w:tmpl w:val="AB569414"/>
    <w:lvl w:ilvl="0">
      <w:start w:val="1"/>
      <w:numFmt w:val="decimal"/>
      <w:pStyle w:val="DeltaSeched1"/>
      <w:lvlText w:val="%1"/>
      <w:lvlJc w:val="left"/>
      <w:pPr>
        <w:ind w:left="432" w:hanging="432"/>
      </w:pPr>
    </w:lvl>
    <w:lvl w:ilvl="1">
      <w:start w:val="1"/>
      <w:numFmt w:val="decimal"/>
      <w:lvlText w:val="%1.%2"/>
      <w:lvlJc w:val="left"/>
      <w:pPr>
        <w:ind w:left="576" w:hanging="576"/>
      </w:pPr>
    </w:lvl>
    <w:lvl w:ilvl="2">
      <w:start w:val="1"/>
      <w:numFmt w:val="decimal"/>
      <w:pStyle w:val="Headline3"/>
      <w:lvlText w:val="%1.%2.%3"/>
      <w:lvlJc w:val="left"/>
      <w:pPr>
        <w:ind w:left="720"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523E31"/>
    <w:multiLevelType w:val="hybridMultilevel"/>
    <w:tmpl w:val="7C122536"/>
    <w:lvl w:ilvl="0" w:tplc="FC1088A6">
      <w:start w:val="1"/>
      <w:numFmt w:val="bullet"/>
      <w:pStyle w:val="bulletedlistendoftask"/>
      <w:lvlText w:val=""/>
      <w:lvlJc w:val="left"/>
      <w:pPr>
        <w:tabs>
          <w:tab w:val="num" w:pos="360"/>
        </w:tabs>
        <w:ind w:left="360" w:hanging="360"/>
      </w:pPr>
      <w:rPr>
        <w:rFonts w:ascii="Symbol" w:hAnsi="Symbol" w:hint="default"/>
        <w:sz w:val="24"/>
      </w:rPr>
    </w:lvl>
    <w:lvl w:ilvl="1" w:tplc="08090003">
      <w:start w:val="1"/>
      <w:numFmt w:val="bullet"/>
      <w:lvlText w:val=""/>
      <w:lvlJc w:val="left"/>
      <w:pPr>
        <w:tabs>
          <w:tab w:val="num" w:pos="360"/>
        </w:tabs>
        <w:ind w:left="360" w:hanging="360"/>
      </w:pPr>
      <w:rPr>
        <w:rFonts w:ascii="Symbol" w:hAnsi="Symbol" w:hint="default"/>
        <w:sz w:val="24"/>
      </w:rPr>
    </w:lvl>
    <w:lvl w:ilvl="2" w:tplc="08090005">
      <w:start w:val="1"/>
      <w:numFmt w:val="bullet"/>
      <w:lvlText w:val="o"/>
      <w:lvlJc w:val="left"/>
      <w:pPr>
        <w:tabs>
          <w:tab w:val="num" w:pos="1980"/>
        </w:tabs>
        <w:ind w:left="1980" w:hanging="360"/>
      </w:pPr>
      <w:rPr>
        <w:rFonts w:ascii="Courier New" w:hAnsi="Courier New" w:cs="Verdana" w:hint="default"/>
        <w:sz w:val="24"/>
      </w:rPr>
    </w:lvl>
    <w:lvl w:ilvl="3" w:tplc="08090001">
      <w:start w:val="1"/>
      <w:numFmt w:val="lowerRoman"/>
      <w:lvlText w:val="%4)"/>
      <w:lvlJc w:val="left"/>
      <w:pPr>
        <w:tabs>
          <w:tab w:val="num" w:pos="2880"/>
        </w:tabs>
        <w:ind w:left="2880" w:hanging="720"/>
      </w:pPr>
      <w:rPr>
        <w:rFonts w:hint="default"/>
      </w:r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8" w15:restartNumberingAfterBreak="0">
    <w:nsid w:val="1E265E74"/>
    <w:multiLevelType w:val="hybridMultilevel"/>
    <w:tmpl w:val="1DC8DC20"/>
    <w:lvl w:ilvl="0" w:tplc="FD24D0DE">
      <w:start w:val="1"/>
      <w:numFmt w:val="lowerRoman"/>
      <w:lvlText w:val="(%1)"/>
      <w:lvlJc w:val="left"/>
      <w:pPr>
        <w:ind w:left="1287" w:hanging="72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3E95863"/>
    <w:multiLevelType w:val="hybridMultilevel"/>
    <w:tmpl w:val="B074D0B0"/>
    <w:lvl w:ilvl="0" w:tplc="7A360E2C">
      <w:start w:val="1"/>
      <w:numFmt w:val="lowerRoman"/>
      <w:lvlText w:val="(%1)"/>
      <w:lvlJc w:val="left"/>
      <w:pPr>
        <w:ind w:left="927" w:hanging="360"/>
      </w:pPr>
      <w:rPr>
        <w:rFonts w:ascii="Times New Roman" w:eastAsia="Arial Unicode MS"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31C34F1A"/>
    <w:multiLevelType w:val="hybridMultilevel"/>
    <w:tmpl w:val="76482718"/>
    <w:lvl w:ilvl="0" w:tplc="FD24D0DE">
      <w:start w:val="1"/>
      <w:numFmt w:val="lowerRoman"/>
      <w:lvlText w:val="(%1)"/>
      <w:lvlJc w:val="left"/>
      <w:pPr>
        <w:ind w:left="1287" w:hanging="72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3B02EDC"/>
    <w:multiLevelType w:val="hybridMultilevel"/>
    <w:tmpl w:val="B074D0B0"/>
    <w:lvl w:ilvl="0" w:tplc="7A360E2C">
      <w:start w:val="1"/>
      <w:numFmt w:val="lowerRoman"/>
      <w:lvlText w:val="(%1)"/>
      <w:lvlJc w:val="left"/>
      <w:pPr>
        <w:ind w:left="927" w:hanging="360"/>
      </w:pPr>
      <w:rPr>
        <w:rFonts w:ascii="Times New Roman" w:eastAsia="Arial Unicode MS"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352516D3"/>
    <w:multiLevelType w:val="hybridMultilevel"/>
    <w:tmpl w:val="7D5CD68A"/>
    <w:lvl w:ilvl="0" w:tplc="ECC6F656">
      <w:start w:val="1"/>
      <w:numFmt w:val="lowerRoman"/>
      <w:lvlText w:val="(%1)"/>
      <w:lvlJc w:val="left"/>
      <w:pPr>
        <w:ind w:left="360" w:hanging="360"/>
      </w:pPr>
      <w:rPr>
        <w:rFonts w:ascii="Times New Roman" w:eastAsia="Calibri"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496E14"/>
    <w:multiLevelType w:val="hybridMultilevel"/>
    <w:tmpl w:val="C090DEEC"/>
    <w:lvl w:ilvl="0" w:tplc="9710C768">
      <w:start w:val="1"/>
      <w:numFmt w:val="lowerRoman"/>
      <w:lvlText w:val="(%1)"/>
      <w:lvlJc w:val="left"/>
      <w:pPr>
        <w:ind w:left="720" w:hanging="360"/>
      </w:pPr>
      <w:rPr>
        <w:rFonts w:ascii="Times New Roman" w:eastAsia="Calibri"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97525C"/>
    <w:multiLevelType w:val="hybridMultilevel"/>
    <w:tmpl w:val="76482718"/>
    <w:lvl w:ilvl="0" w:tplc="FD24D0DE">
      <w:start w:val="1"/>
      <w:numFmt w:val="lowerRoman"/>
      <w:lvlText w:val="(%1)"/>
      <w:lvlJc w:val="left"/>
      <w:pPr>
        <w:ind w:left="1287" w:hanging="72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3D147ADD"/>
    <w:multiLevelType w:val="multilevel"/>
    <w:tmpl w:val="07D0308A"/>
    <w:numStyleLink w:val="DeltaAnnexhednumbering"/>
  </w:abstractNum>
  <w:abstractNum w:abstractNumId="16" w15:restartNumberingAfterBreak="0">
    <w:nsid w:val="41702911"/>
    <w:multiLevelType w:val="hybridMultilevel"/>
    <w:tmpl w:val="F95E15B2"/>
    <w:lvl w:ilvl="0" w:tplc="CDC83114">
      <w:start w:val="1"/>
      <w:numFmt w:val="bullet"/>
      <w:pStyle w:val="DeltaBox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478E6933"/>
    <w:multiLevelType w:val="hybridMultilevel"/>
    <w:tmpl w:val="1026F908"/>
    <w:lvl w:ilvl="0" w:tplc="2A28B9FA">
      <w:start w:val="1"/>
      <w:numFmt w:val="decimal"/>
      <w:lvlText w:val="(%1)"/>
      <w:lvlJc w:val="left"/>
      <w:pPr>
        <w:ind w:left="1026" w:hanging="720"/>
      </w:pPr>
      <w:rPr>
        <w:rFonts w:ascii="Times New Roman" w:eastAsia="Calibri" w:hAnsi="Times New Roman" w:cs="Times New Roman"/>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8" w15:restartNumberingAfterBreak="0">
    <w:nsid w:val="4C732E3A"/>
    <w:multiLevelType w:val="hybridMultilevel"/>
    <w:tmpl w:val="B074D0B0"/>
    <w:lvl w:ilvl="0" w:tplc="7A360E2C">
      <w:start w:val="1"/>
      <w:numFmt w:val="lowerRoman"/>
      <w:lvlText w:val="(%1)"/>
      <w:lvlJc w:val="left"/>
      <w:pPr>
        <w:ind w:left="927" w:hanging="360"/>
      </w:pPr>
      <w:rPr>
        <w:rFonts w:ascii="Times New Roman" w:eastAsia="Arial Unicode MS"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ECF194F"/>
    <w:multiLevelType w:val="multilevel"/>
    <w:tmpl w:val="8F6ED7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2456AC9"/>
    <w:multiLevelType w:val="hybridMultilevel"/>
    <w:tmpl w:val="FD7E8D38"/>
    <w:lvl w:ilvl="0" w:tplc="08090001">
      <w:start w:val="1"/>
      <w:numFmt w:val="bullet"/>
      <w:lvlText w:val=""/>
      <w:lvlJc w:val="left"/>
      <w:pPr>
        <w:ind w:left="542" w:hanging="360"/>
      </w:pPr>
      <w:rPr>
        <w:rFonts w:ascii="Symbol" w:hAnsi="Symbol" w:hint="default"/>
      </w:rPr>
    </w:lvl>
    <w:lvl w:ilvl="1" w:tplc="08090003" w:tentative="1">
      <w:start w:val="1"/>
      <w:numFmt w:val="bullet"/>
      <w:lvlText w:val="o"/>
      <w:lvlJc w:val="left"/>
      <w:pPr>
        <w:ind w:left="1262" w:hanging="360"/>
      </w:pPr>
      <w:rPr>
        <w:rFonts w:ascii="Courier New" w:hAnsi="Courier New" w:cs="Courier New" w:hint="default"/>
      </w:rPr>
    </w:lvl>
    <w:lvl w:ilvl="2" w:tplc="08090005" w:tentative="1">
      <w:start w:val="1"/>
      <w:numFmt w:val="bullet"/>
      <w:lvlText w:val=""/>
      <w:lvlJc w:val="left"/>
      <w:pPr>
        <w:ind w:left="1982" w:hanging="360"/>
      </w:pPr>
      <w:rPr>
        <w:rFonts w:ascii="Wingdings" w:hAnsi="Wingdings" w:hint="default"/>
      </w:rPr>
    </w:lvl>
    <w:lvl w:ilvl="3" w:tplc="08090001" w:tentative="1">
      <w:start w:val="1"/>
      <w:numFmt w:val="bullet"/>
      <w:lvlText w:val=""/>
      <w:lvlJc w:val="left"/>
      <w:pPr>
        <w:ind w:left="2702" w:hanging="360"/>
      </w:pPr>
      <w:rPr>
        <w:rFonts w:ascii="Symbol" w:hAnsi="Symbol" w:hint="default"/>
      </w:rPr>
    </w:lvl>
    <w:lvl w:ilvl="4" w:tplc="08090003" w:tentative="1">
      <w:start w:val="1"/>
      <w:numFmt w:val="bullet"/>
      <w:lvlText w:val="o"/>
      <w:lvlJc w:val="left"/>
      <w:pPr>
        <w:ind w:left="3422" w:hanging="360"/>
      </w:pPr>
      <w:rPr>
        <w:rFonts w:ascii="Courier New" w:hAnsi="Courier New" w:cs="Courier New" w:hint="default"/>
      </w:rPr>
    </w:lvl>
    <w:lvl w:ilvl="5" w:tplc="08090005" w:tentative="1">
      <w:start w:val="1"/>
      <w:numFmt w:val="bullet"/>
      <w:lvlText w:val=""/>
      <w:lvlJc w:val="left"/>
      <w:pPr>
        <w:ind w:left="4142" w:hanging="360"/>
      </w:pPr>
      <w:rPr>
        <w:rFonts w:ascii="Wingdings" w:hAnsi="Wingdings" w:hint="default"/>
      </w:rPr>
    </w:lvl>
    <w:lvl w:ilvl="6" w:tplc="08090001" w:tentative="1">
      <w:start w:val="1"/>
      <w:numFmt w:val="bullet"/>
      <w:lvlText w:val=""/>
      <w:lvlJc w:val="left"/>
      <w:pPr>
        <w:ind w:left="4862" w:hanging="360"/>
      </w:pPr>
      <w:rPr>
        <w:rFonts w:ascii="Symbol" w:hAnsi="Symbol" w:hint="default"/>
      </w:rPr>
    </w:lvl>
    <w:lvl w:ilvl="7" w:tplc="08090003" w:tentative="1">
      <w:start w:val="1"/>
      <w:numFmt w:val="bullet"/>
      <w:lvlText w:val="o"/>
      <w:lvlJc w:val="left"/>
      <w:pPr>
        <w:ind w:left="5582" w:hanging="360"/>
      </w:pPr>
      <w:rPr>
        <w:rFonts w:ascii="Courier New" w:hAnsi="Courier New" w:cs="Courier New" w:hint="default"/>
      </w:rPr>
    </w:lvl>
    <w:lvl w:ilvl="8" w:tplc="08090005" w:tentative="1">
      <w:start w:val="1"/>
      <w:numFmt w:val="bullet"/>
      <w:lvlText w:val=""/>
      <w:lvlJc w:val="left"/>
      <w:pPr>
        <w:ind w:left="6302" w:hanging="360"/>
      </w:pPr>
      <w:rPr>
        <w:rFonts w:ascii="Wingdings" w:hAnsi="Wingdings" w:hint="default"/>
      </w:rPr>
    </w:lvl>
  </w:abstractNum>
  <w:abstractNum w:abstractNumId="21" w15:restartNumberingAfterBreak="0">
    <w:nsid w:val="56F832CB"/>
    <w:multiLevelType w:val="hybridMultilevel"/>
    <w:tmpl w:val="B074D0B0"/>
    <w:lvl w:ilvl="0" w:tplc="7A360E2C">
      <w:start w:val="1"/>
      <w:numFmt w:val="lowerRoman"/>
      <w:lvlText w:val="(%1)"/>
      <w:lvlJc w:val="left"/>
      <w:pPr>
        <w:ind w:left="927" w:hanging="360"/>
      </w:pPr>
      <w:rPr>
        <w:rFonts w:ascii="Times New Roman" w:eastAsia="Arial Unicode MS"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60EC09FF"/>
    <w:multiLevelType w:val="hybridMultilevel"/>
    <w:tmpl w:val="7D5CD68A"/>
    <w:lvl w:ilvl="0" w:tplc="ECC6F656">
      <w:start w:val="1"/>
      <w:numFmt w:val="lowerRoman"/>
      <w:lvlText w:val="(%1)"/>
      <w:lvlJc w:val="left"/>
      <w:pPr>
        <w:ind w:left="360" w:hanging="360"/>
      </w:pPr>
      <w:rPr>
        <w:rFonts w:ascii="Times New Roman" w:eastAsia="Calibri"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432563"/>
    <w:multiLevelType w:val="hybridMultilevel"/>
    <w:tmpl w:val="71BA70AE"/>
    <w:lvl w:ilvl="0" w:tplc="3D7E6872">
      <w:start w:val="1"/>
      <w:numFmt w:val="lowerRoman"/>
      <w:lvlText w:val="(%1)"/>
      <w:lvlJc w:val="left"/>
      <w:pPr>
        <w:ind w:left="1287" w:hanging="72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6A2F6929"/>
    <w:multiLevelType w:val="hybridMultilevel"/>
    <w:tmpl w:val="76482718"/>
    <w:lvl w:ilvl="0" w:tplc="FD24D0DE">
      <w:start w:val="1"/>
      <w:numFmt w:val="lowerRoman"/>
      <w:lvlText w:val="(%1)"/>
      <w:lvlJc w:val="left"/>
      <w:pPr>
        <w:ind w:left="1287" w:hanging="72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6B59150D"/>
    <w:multiLevelType w:val="hybridMultilevel"/>
    <w:tmpl w:val="7D5CD68A"/>
    <w:lvl w:ilvl="0" w:tplc="ECC6F656">
      <w:start w:val="1"/>
      <w:numFmt w:val="lowerRoman"/>
      <w:lvlText w:val="(%1)"/>
      <w:lvlJc w:val="left"/>
      <w:pPr>
        <w:ind w:left="360" w:hanging="360"/>
      </w:pPr>
      <w:rPr>
        <w:rFonts w:ascii="Times New Roman" w:eastAsia="Calibri"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CCF7FB4"/>
    <w:multiLevelType w:val="hybridMultilevel"/>
    <w:tmpl w:val="5E2AE1D8"/>
    <w:lvl w:ilvl="0" w:tplc="156C45A8">
      <w:start w:val="1"/>
      <w:numFmt w:val="decimal"/>
      <w:lvlText w:val="%1."/>
      <w:lvlJc w:val="left"/>
      <w:pPr>
        <w:ind w:left="360" w:hanging="360"/>
      </w:pPr>
      <w:rPr>
        <w:b w:val="0"/>
      </w:rPr>
    </w:lvl>
    <w:lvl w:ilvl="1" w:tplc="CFC8AC60">
      <w:start w:val="1"/>
      <w:numFmt w:val="lowerRoman"/>
      <w:lvlText w:val="(%2)"/>
      <w:lvlJc w:val="left"/>
      <w:pPr>
        <w:ind w:left="1080" w:hanging="360"/>
      </w:pPr>
      <w:rPr>
        <w:rFonts w:ascii="Times New Roman" w:eastAsia="Arial Unicode MS" w:hAnsi="Times New Roman" w:cs="Times New Roman"/>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6518BA"/>
    <w:multiLevelType w:val="hybridMultilevel"/>
    <w:tmpl w:val="623622E4"/>
    <w:lvl w:ilvl="0" w:tplc="079C3AA8">
      <w:start w:val="1"/>
      <w:numFmt w:val="bullet"/>
      <w:pStyle w:val="DeltaBullet"/>
      <w:lvlText w:val="•"/>
      <w:lvlJc w:val="left"/>
      <w:pPr>
        <w:ind w:left="360" w:hanging="360"/>
      </w:pPr>
      <w:rPr>
        <w:rFonts w:ascii="Arial Bold" w:hAnsi="Arial Bold" w:hint="default"/>
        <w:b/>
        <w:i w:val="0"/>
        <w:color w:val="F1A42B"/>
        <w:sz w:val="2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220602"/>
    <w:multiLevelType w:val="hybridMultilevel"/>
    <w:tmpl w:val="A5FE861A"/>
    <w:lvl w:ilvl="0" w:tplc="110C4486">
      <w:start w:val="1"/>
      <w:numFmt w:val="decimal"/>
      <w:lvlText w:val="(%1)"/>
      <w:lvlJc w:val="left"/>
      <w:pPr>
        <w:ind w:left="1026" w:hanging="720"/>
      </w:pPr>
      <w:rPr>
        <w:rFonts w:ascii="Times New Roman" w:eastAsia="Calibri" w:hAnsi="Times New Roman" w:cs="Times New Roman"/>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29" w15:restartNumberingAfterBreak="0">
    <w:nsid w:val="73DF7FB4"/>
    <w:multiLevelType w:val="hybridMultilevel"/>
    <w:tmpl w:val="B074D0B0"/>
    <w:lvl w:ilvl="0" w:tplc="7A360E2C">
      <w:start w:val="1"/>
      <w:numFmt w:val="lowerRoman"/>
      <w:lvlText w:val="(%1)"/>
      <w:lvlJc w:val="left"/>
      <w:pPr>
        <w:ind w:left="927" w:hanging="360"/>
      </w:pPr>
      <w:rPr>
        <w:rFonts w:ascii="Times New Roman" w:eastAsia="Arial Unicode MS"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742C1186"/>
    <w:multiLevelType w:val="hybridMultilevel"/>
    <w:tmpl w:val="D94A684C"/>
    <w:lvl w:ilvl="0" w:tplc="9F0047DA">
      <w:start w:val="1"/>
      <w:numFmt w:val="lowerRoman"/>
      <w:lvlText w:val="(%1)"/>
      <w:lvlJc w:val="left"/>
      <w:pPr>
        <w:ind w:left="1287" w:hanging="72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7A960CC7"/>
    <w:multiLevelType w:val="multilevel"/>
    <w:tmpl w:val="92705BB8"/>
    <w:lvl w:ilvl="0">
      <w:start w:val="1"/>
      <w:numFmt w:val="decimal"/>
      <w:lvlText w:val="%1.0"/>
      <w:lvlJc w:val="left"/>
      <w:pPr>
        <w:ind w:left="420" w:hanging="420"/>
      </w:pPr>
      <w:rPr>
        <w:rFonts w:hint="default"/>
      </w:rPr>
    </w:lvl>
    <w:lvl w:ilvl="1">
      <w:start w:val="1"/>
      <w:numFmt w:val="decimal"/>
      <w:pStyle w:val="Heading2"/>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7FFD70B2"/>
    <w:multiLevelType w:val="hybridMultilevel"/>
    <w:tmpl w:val="18CA4340"/>
    <w:lvl w:ilvl="0" w:tplc="476E9AFE">
      <w:start w:val="1"/>
      <w:numFmt w:val="decimal"/>
      <w:lvlText w:val="(%1)"/>
      <w:lvlJc w:val="left"/>
      <w:pPr>
        <w:ind w:left="1026" w:hanging="720"/>
      </w:pPr>
      <w:rPr>
        <w:rFonts w:ascii="Times New Roman" w:eastAsia="Calibri" w:hAnsi="Times New Roman" w:cs="Times New Roman"/>
        <w:b w:val="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num w:numId="1">
    <w:abstractNumId w:val="27"/>
  </w:num>
  <w:num w:numId="2">
    <w:abstractNumId w:val="19"/>
  </w:num>
  <w:num w:numId="3">
    <w:abstractNumId w:val="4"/>
  </w:num>
  <w:num w:numId="4">
    <w:abstractNumId w:val="16"/>
  </w:num>
  <w:num w:numId="5">
    <w:abstractNumId w:val="3"/>
  </w:num>
  <w:num w:numId="6">
    <w:abstractNumId w:val="15"/>
  </w:num>
  <w:num w:numId="7">
    <w:abstractNumId w:val="6"/>
  </w:num>
  <w:num w:numId="8">
    <w:abstractNumId w:val="7"/>
  </w:num>
  <w:num w:numId="9">
    <w:abstractNumId w:val="29"/>
  </w:num>
  <w:num w:numId="10">
    <w:abstractNumId w:val="20"/>
  </w:num>
  <w:num w:numId="11">
    <w:abstractNumId w:val="13"/>
  </w:num>
  <w:num w:numId="12">
    <w:abstractNumId w:val="22"/>
  </w:num>
  <w:num w:numId="13">
    <w:abstractNumId w:val="31"/>
  </w:num>
  <w:num w:numId="14">
    <w:abstractNumId w:val="26"/>
  </w:num>
  <w:num w:numId="15">
    <w:abstractNumId w:val="1"/>
  </w:num>
  <w:num w:numId="16">
    <w:abstractNumId w:val="23"/>
  </w:num>
  <w:num w:numId="17">
    <w:abstractNumId w:val="30"/>
  </w:num>
  <w:num w:numId="18">
    <w:abstractNumId w:val="10"/>
  </w:num>
  <w:num w:numId="19">
    <w:abstractNumId w:val="5"/>
  </w:num>
  <w:num w:numId="20">
    <w:abstractNumId w:val="24"/>
  </w:num>
  <w:num w:numId="21">
    <w:abstractNumId w:val="14"/>
  </w:num>
  <w:num w:numId="22">
    <w:abstractNumId w:val="8"/>
  </w:num>
  <w:num w:numId="23">
    <w:abstractNumId w:val="12"/>
  </w:num>
  <w:num w:numId="24">
    <w:abstractNumId w:val="25"/>
  </w:num>
  <w:num w:numId="25">
    <w:abstractNumId w:val="2"/>
  </w:num>
  <w:num w:numId="26">
    <w:abstractNumId w:val="28"/>
  </w:num>
  <w:num w:numId="27">
    <w:abstractNumId w:val="0"/>
  </w:num>
  <w:num w:numId="28">
    <w:abstractNumId w:val="32"/>
  </w:num>
  <w:num w:numId="29">
    <w:abstractNumId w:val="17"/>
  </w:num>
  <w:num w:numId="30">
    <w:abstractNumId w:val="18"/>
  </w:num>
  <w:num w:numId="31">
    <w:abstractNumId w:val="21"/>
  </w:num>
  <w:num w:numId="32">
    <w:abstractNumId w:val="9"/>
  </w:num>
  <w:num w:numId="33">
    <w:abstractNumId w:val="11"/>
  </w:num>
  <w:num w:numId="34">
    <w:abstractNumId w:val="31"/>
    <w:lvlOverride w:ilvl="0">
      <w:startOverride w:val="1"/>
    </w:lvlOverride>
    <w:lvlOverride w:ilv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defaultTabStop w:val="720"/>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609"/>
    <w:rsid w:val="00001069"/>
    <w:rsid w:val="0000182E"/>
    <w:rsid w:val="000019EA"/>
    <w:rsid w:val="00001D05"/>
    <w:rsid w:val="0000351A"/>
    <w:rsid w:val="000037E7"/>
    <w:rsid w:val="00003908"/>
    <w:rsid w:val="00003AEE"/>
    <w:rsid w:val="000040C4"/>
    <w:rsid w:val="00004778"/>
    <w:rsid w:val="00004A01"/>
    <w:rsid w:val="00004FB2"/>
    <w:rsid w:val="0000504F"/>
    <w:rsid w:val="000051CB"/>
    <w:rsid w:val="0000625D"/>
    <w:rsid w:val="0000703F"/>
    <w:rsid w:val="00010AB0"/>
    <w:rsid w:val="0001196B"/>
    <w:rsid w:val="00011B73"/>
    <w:rsid w:val="000126F6"/>
    <w:rsid w:val="00012D04"/>
    <w:rsid w:val="00012DD3"/>
    <w:rsid w:val="00014843"/>
    <w:rsid w:val="00015ABF"/>
    <w:rsid w:val="00016682"/>
    <w:rsid w:val="00016D68"/>
    <w:rsid w:val="000201B9"/>
    <w:rsid w:val="00020789"/>
    <w:rsid w:val="00021B1D"/>
    <w:rsid w:val="000221DE"/>
    <w:rsid w:val="00022860"/>
    <w:rsid w:val="0002297E"/>
    <w:rsid w:val="00022A3E"/>
    <w:rsid w:val="00022D26"/>
    <w:rsid w:val="000248AF"/>
    <w:rsid w:val="00024E54"/>
    <w:rsid w:val="00024F17"/>
    <w:rsid w:val="00025665"/>
    <w:rsid w:val="00026332"/>
    <w:rsid w:val="000272E1"/>
    <w:rsid w:val="00027EBA"/>
    <w:rsid w:val="00027EC2"/>
    <w:rsid w:val="00027F97"/>
    <w:rsid w:val="0003015B"/>
    <w:rsid w:val="00030798"/>
    <w:rsid w:val="00030D0A"/>
    <w:rsid w:val="00031919"/>
    <w:rsid w:val="00031EC9"/>
    <w:rsid w:val="00032932"/>
    <w:rsid w:val="00032AD3"/>
    <w:rsid w:val="00032F9F"/>
    <w:rsid w:val="000338D5"/>
    <w:rsid w:val="00033CDF"/>
    <w:rsid w:val="00033DA1"/>
    <w:rsid w:val="000353C0"/>
    <w:rsid w:val="00036613"/>
    <w:rsid w:val="000405E7"/>
    <w:rsid w:val="00040F09"/>
    <w:rsid w:val="000414FF"/>
    <w:rsid w:val="000417C1"/>
    <w:rsid w:val="00041BCC"/>
    <w:rsid w:val="00042052"/>
    <w:rsid w:val="0004245C"/>
    <w:rsid w:val="00043C4F"/>
    <w:rsid w:val="00043D1B"/>
    <w:rsid w:val="00043ECF"/>
    <w:rsid w:val="000446F6"/>
    <w:rsid w:val="000456DD"/>
    <w:rsid w:val="00046EF9"/>
    <w:rsid w:val="00047703"/>
    <w:rsid w:val="000501C7"/>
    <w:rsid w:val="00050433"/>
    <w:rsid w:val="00050920"/>
    <w:rsid w:val="00050CAD"/>
    <w:rsid w:val="00050DE3"/>
    <w:rsid w:val="00052A60"/>
    <w:rsid w:val="00052FD8"/>
    <w:rsid w:val="000533BA"/>
    <w:rsid w:val="00053489"/>
    <w:rsid w:val="00054B75"/>
    <w:rsid w:val="00054EA8"/>
    <w:rsid w:val="000556E6"/>
    <w:rsid w:val="000561F7"/>
    <w:rsid w:val="0005622C"/>
    <w:rsid w:val="00056453"/>
    <w:rsid w:val="0005712D"/>
    <w:rsid w:val="00057391"/>
    <w:rsid w:val="0006032B"/>
    <w:rsid w:val="00060F6C"/>
    <w:rsid w:val="00062DB5"/>
    <w:rsid w:val="000636FB"/>
    <w:rsid w:val="00064FC7"/>
    <w:rsid w:val="00070D86"/>
    <w:rsid w:val="00071279"/>
    <w:rsid w:val="00071440"/>
    <w:rsid w:val="0007175A"/>
    <w:rsid w:val="00071A11"/>
    <w:rsid w:val="00072547"/>
    <w:rsid w:val="00072A33"/>
    <w:rsid w:val="00072F33"/>
    <w:rsid w:val="00073669"/>
    <w:rsid w:val="00074189"/>
    <w:rsid w:val="00074527"/>
    <w:rsid w:val="0007487B"/>
    <w:rsid w:val="00075481"/>
    <w:rsid w:val="00075BC6"/>
    <w:rsid w:val="000761CB"/>
    <w:rsid w:val="000804E4"/>
    <w:rsid w:val="00080AE3"/>
    <w:rsid w:val="00081C99"/>
    <w:rsid w:val="00082D7F"/>
    <w:rsid w:val="00084150"/>
    <w:rsid w:val="0008497E"/>
    <w:rsid w:val="00084ED9"/>
    <w:rsid w:val="000867C5"/>
    <w:rsid w:val="0008707A"/>
    <w:rsid w:val="000875F7"/>
    <w:rsid w:val="00087BCC"/>
    <w:rsid w:val="00092008"/>
    <w:rsid w:val="0009272D"/>
    <w:rsid w:val="000938F3"/>
    <w:rsid w:val="00094015"/>
    <w:rsid w:val="000943D9"/>
    <w:rsid w:val="00095131"/>
    <w:rsid w:val="00095709"/>
    <w:rsid w:val="00096512"/>
    <w:rsid w:val="0009687E"/>
    <w:rsid w:val="000A059F"/>
    <w:rsid w:val="000A087B"/>
    <w:rsid w:val="000A23F0"/>
    <w:rsid w:val="000A2576"/>
    <w:rsid w:val="000A529F"/>
    <w:rsid w:val="000A580B"/>
    <w:rsid w:val="000A5C44"/>
    <w:rsid w:val="000A6399"/>
    <w:rsid w:val="000A6567"/>
    <w:rsid w:val="000A6D6A"/>
    <w:rsid w:val="000B0423"/>
    <w:rsid w:val="000B0784"/>
    <w:rsid w:val="000B0B9D"/>
    <w:rsid w:val="000B2106"/>
    <w:rsid w:val="000B214C"/>
    <w:rsid w:val="000B2DB1"/>
    <w:rsid w:val="000B2E9D"/>
    <w:rsid w:val="000B2F4B"/>
    <w:rsid w:val="000B2F85"/>
    <w:rsid w:val="000B3624"/>
    <w:rsid w:val="000B4798"/>
    <w:rsid w:val="000B4B82"/>
    <w:rsid w:val="000B4DB9"/>
    <w:rsid w:val="000B4F7B"/>
    <w:rsid w:val="000B5784"/>
    <w:rsid w:val="000B59F8"/>
    <w:rsid w:val="000B6777"/>
    <w:rsid w:val="000B70B5"/>
    <w:rsid w:val="000C079E"/>
    <w:rsid w:val="000C1405"/>
    <w:rsid w:val="000C3B14"/>
    <w:rsid w:val="000C639B"/>
    <w:rsid w:val="000C72A7"/>
    <w:rsid w:val="000C7602"/>
    <w:rsid w:val="000C7B64"/>
    <w:rsid w:val="000D03A3"/>
    <w:rsid w:val="000D0B4D"/>
    <w:rsid w:val="000D18A3"/>
    <w:rsid w:val="000D1C7B"/>
    <w:rsid w:val="000D1CCD"/>
    <w:rsid w:val="000D1E25"/>
    <w:rsid w:val="000D2A0B"/>
    <w:rsid w:val="000D326E"/>
    <w:rsid w:val="000D3997"/>
    <w:rsid w:val="000D3F1C"/>
    <w:rsid w:val="000D5B02"/>
    <w:rsid w:val="000D7297"/>
    <w:rsid w:val="000D7449"/>
    <w:rsid w:val="000D7516"/>
    <w:rsid w:val="000D7EE1"/>
    <w:rsid w:val="000E03FE"/>
    <w:rsid w:val="000E0571"/>
    <w:rsid w:val="000E0727"/>
    <w:rsid w:val="000E137B"/>
    <w:rsid w:val="000E1D6A"/>
    <w:rsid w:val="000E3619"/>
    <w:rsid w:val="000E3626"/>
    <w:rsid w:val="000E3CB7"/>
    <w:rsid w:val="000E3E3C"/>
    <w:rsid w:val="000E4155"/>
    <w:rsid w:val="000E495E"/>
    <w:rsid w:val="000E4FFD"/>
    <w:rsid w:val="000E5399"/>
    <w:rsid w:val="000E567C"/>
    <w:rsid w:val="000E5823"/>
    <w:rsid w:val="000E5FA9"/>
    <w:rsid w:val="000E6FE6"/>
    <w:rsid w:val="000E7055"/>
    <w:rsid w:val="000E73E3"/>
    <w:rsid w:val="000E744E"/>
    <w:rsid w:val="000E791D"/>
    <w:rsid w:val="000E7FF5"/>
    <w:rsid w:val="000F0CC3"/>
    <w:rsid w:val="000F45FE"/>
    <w:rsid w:val="000F4CE5"/>
    <w:rsid w:val="000F4D29"/>
    <w:rsid w:val="000F5BC8"/>
    <w:rsid w:val="000F6DE1"/>
    <w:rsid w:val="000F7B9B"/>
    <w:rsid w:val="00100DCC"/>
    <w:rsid w:val="0010149A"/>
    <w:rsid w:val="00101631"/>
    <w:rsid w:val="001046EF"/>
    <w:rsid w:val="001047FD"/>
    <w:rsid w:val="00104A0E"/>
    <w:rsid w:val="001066DA"/>
    <w:rsid w:val="001069F9"/>
    <w:rsid w:val="001101AE"/>
    <w:rsid w:val="00111109"/>
    <w:rsid w:val="00111CB2"/>
    <w:rsid w:val="001120E9"/>
    <w:rsid w:val="001122D7"/>
    <w:rsid w:val="0011285A"/>
    <w:rsid w:val="00112915"/>
    <w:rsid w:val="001130FA"/>
    <w:rsid w:val="001133CC"/>
    <w:rsid w:val="00113D3F"/>
    <w:rsid w:val="00113DA5"/>
    <w:rsid w:val="00115F38"/>
    <w:rsid w:val="00116D50"/>
    <w:rsid w:val="00116EE9"/>
    <w:rsid w:val="001175C4"/>
    <w:rsid w:val="001178B4"/>
    <w:rsid w:val="0012406E"/>
    <w:rsid w:val="00124B55"/>
    <w:rsid w:val="00124DBF"/>
    <w:rsid w:val="00124DD0"/>
    <w:rsid w:val="00127183"/>
    <w:rsid w:val="0012777C"/>
    <w:rsid w:val="00127AF4"/>
    <w:rsid w:val="001310A6"/>
    <w:rsid w:val="00131A19"/>
    <w:rsid w:val="0013217B"/>
    <w:rsid w:val="0013298B"/>
    <w:rsid w:val="00132B85"/>
    <w:rsid w:val="00133681"/>
    <w:rsid w:val="001340DD"/>
    <w:rsid w:val="0013494A"/>
    <w:rsid w:val="00136241"/>
    <w:rsid w:val="001365D4"/>
    <w:rsid w:val="00136A03"/>
    <w:rsid w:val="001400F8"/>
    <w:rsid w:val="001415C2"/>
    <w:rsid w:val="001418C8"/>
    <w:rsid w:val="00143051"/>
    <w:rsid w:val="00145A23"/>
    <w:rsid w:val="00146166"/>
    <w:rsid w:val="0014681A"/>
    <w:rsid w:val="00146C46"/>
    <w:rsid w:val="0014792C"/>
    <w:rsid w:val="001506F8"/>
    <w:rsid w:val="00150D6E"/>
    <w:rsid w:val="0015181A"/>
    <w:rsid w:val="001519B8"/>
    <w:rsid w:val="001519F2"/>
    <w:rsid w:val="00151FB6"/>
    <w:rsid w:val="00152486"/>
    <w:rsid w:val="0015350C"/>
    <w:rsid w:val="00153C86"/>
    <w:rsid w:val="00155BC2"/>
    <w:rsid w:val="00156179"/>
    <w:rsid w:val="0015716A"/>
    <w:rsid w:val="00157B60"/>
    <w:rsid w:val="00160294"/>
    <w:rsid w:val="001605E7"/>
    <w:rsid w:val="0016063B"/>
    <w:rsid w:val="00161055"/>
    <w:rsid w:val="0016130D"/>
    <w:rsid w:val="00161442"/>
    <w:rsid w:val="001619FA"/>
    <w:rsid w:val="00162600"/>
    <w:rsid w:val="00162D0C"/>
    <w:rsid w:val="00163079"/>
    <w:rsid w:val="00163693"/>
    <w:rsid w:val="00163D2F"/>
    <w:rsid w:val="00165B26"/>
    <w:rsid w:val="00166456"/>
    <w:rsid w:val="001675DE"/>
    <w:rsid w:val="00167F39"/>
    <w:rsid w:val="001705B2"/>
    <w:rsid w:val="00170D9A"/>
    <w:rsid w:val="00171208"/>
    <w:rsid w:val="001713D3"/>
    <w:rsid w:val="00171A6C"/>
    <w:rsid w:val="001733BD"/>
    <w:rsid w:val="00173571"/>
    <w:rsid w:val="00173CEE"/>
    <w:rsid w:val="0017450C"/>
    <w:rsid w:val="001747FD"/>
    <w:rsid w:val="0017482A"/>
    <w:rsid w:val="00174DD2"/>
    <w:rsid w:val="00175101"/>
    <w:rsid w:val="001752EB"/>
    <w:rsid w:val="0017634C"/>
    <w:rsid w:val="001764E2"/>
    <w:rsid w:val="001765BF"/>
    <w:rsid w:val="001766EB"/>
    <w:rsid w:val="0017675B"/>
    <w:rsid w:val="00176E8C"/>
    <w:rsid w:val="001801A8"/>
    <w:rsid w:val="00180338"/>
    <w:rsid w:val="00180C1D"/>
    <w:rsid w:val="00180DCE"/>
    <w:rsid w:val="00180E21"/>
    <w:rsid w:val="0018201D"/>
    <w:rsid w:val="00182343"/>
    <w:rsid w:val="0018312D"/>
    <w:rsid w:val="00183E74"/>
    <w:rsid w:val="00184E36"/>
    <w:rsid w:val="001860F3"/>
    <w:rsid w:val="00186343"/>
    <w:rsid w:val="00186A24"/>
    <w:rsid w:val="00187E93"/>
    <w:rsid w:val="00191478"/>
    <w:rsid w:val="00191E26"/>
    <w:rsid w:val="00192EC9"/>
    <w:rsid w:val="00193C44"/>
    <w:rsid w:val="001943DC"/>
    <w:rsid w:val="001945AD"/>
    <w:rsid w:val="0019497A"/>
    <w:rsid w:val="001953F4"/>
    <w:rsid w:val="00195863"/>
    <w:rsid w:val="00195D70"/>
    <w:rsid w:val="0019620B"/>
    <w:rsid w:val="0019774B"/>
    <w:rsid w:val="00197CA9"/>
    <w:rsid w:val="001A0D83"/>
    <w:rsid w:val="001A12C6"/>
    <w:rsid w:val="001A1F36"/>
    <w:rsid w:val="001A3465"/>
    <w:rsid w:val="001A394C"/>
    <w:rsid w:val="001A3FA5"/>
    <w:rsid w:val="001A5271"/>
    <w:rsid w:val="001A799E"/>
    <w:rsid w:val="001B0FC5"/>
    <w:rsid w:val="001B10D3"/>
    <w:rsid w:val="001B1855"/>
    <w:rsid w:val="001B1E91"/>
    <w:rsid w:val="001B21B9"/>
    <w:rsid w:val="001B2852"/>
    <w:rsid w:val="001B3048"/>
    <w:rsid w:val="001B3349"/>
    <w:rsid w:val="001B4CC2"/>
    <w:rsid w:val="001B5271"/>
    <w:rsid w:val="001B5AD0"/>
    <w:rsid w:val="001B5B95"/>
    <w:rsid w:val="001B6E0F"/>
    <w:rsid w:val="001B7470"/>
    <w:rsid w:val="001B7AF9"/>
    <w:rsid w:val="001C0587"/>
    <w:rsid w:val="001C0AB8"/>
    <w:rsid w:val="001C0C96"/>
    <w:rsid w:val="001C21BB"/>
    <w:rsid w:val="001C2248"/>
    <w:rsid w:val="001C2B10"/>
    <w:rsid w:val="001C2C28"/>
    <w:rsid w:val="001C2FB3"/>
    <w:rsid w:val="001C351D"/>
    <w:rsid w:val="001C353D"/>
    <w:rsid w:val="001C390B"/>
    <w:rsid w:val="001C4634"/>
    <w:rsid w:val="001C4E3F"/>
    <w:rsid w:val="001C57CE"/>
    <w:rsid w:val="001C60B1"/>
    <w:rsid w:val="001C6E20"/>
    <w:rsid w:val="001C7AF9"/>
    <w:rsid w:val="001D0976"/>
    <w:rsid w:val="001D0C60"/>
    <w:rsid w:val="001D0F3E"/>
    <w:rsid w:val="001D15FE"/>
    <w:rsid w:val="001D24B6"/>
    <w:rsid w:val="001D2871"/>
    <w:rsid w:val="001D3123"/>
    <w:rsid w:val="001D3966"/>
    <w:rsid w:val="001D4126"/>
    <w:rsid w:val="001D4660"/>
    <w:rsid w:val="001D4F7A"/>
    <w:rsid w:val="001D57A2"/>
    <w:rsid w:val="001D5B24"/>
    <w:rsid w:val="001D5D2C"/>
    <w:rsid w:val="001D6225"/>
    <w:rsid w:val="001D64C2"/>
    <w:rsid w:val="001D64F0"/>
    <w:rsid w:val="001D67C6"/>
    <w:rsid w:val="001D7121"/>
    <w:rsid w:val="001D7B2F"/>
    <w:rsid w:val="001E0213"/>
    <w:rsid w:val="001E1B7F"/>
    <w:rsid w:val="001E1DF9"/>
    <w:rsid w:val="001E2A86"/>
    <w:rsid w:val="001E3511"/>
    <w:rsid w:val="001E3C4D"/>
    <w:rsid w:val="001E43CD"/>
    <w:rsid w:val="001E44C9"/>
    <w:rsid w:val="001E5FFE"/>
    <w:rsid w:val="001E6059"/>
    <w:rsid w:val="001E6F46"/>
    <w:rsid w:val="001F0543"/>
    <w:rsid w:val="001F1CBE"/>
    <w:rsid w:val="001F290C"/>
    <w:rsid w:val="001F384F"/>
    <w:rsid w:val="001F4149"/>
    <w:rsid w:val="001F43B0"/>
    <w:rsid w:val="001F5785"/>
    <w:rsid w:val="001F6023"/>
    <w:rsid w:val="001F6503"/>
    <w:rsid w:val="001F6A21"/>
    <w:rsid w:val="001F6CCA"/>
    <w:rsid w:val="001F7BC1"/>
    <w:rsid w:val="002004F6"/>
    <w:rsid w:val="00200577"/>
    <w:rsid w:val="00200C19"/>
    <w:rsid w:val="00200FAF"/>
    <w:rsid w:val="00201E16"/>
    <w:rsid w:val="0020212A"/>
    <w:rsid w:val="0020222D"/>
    <w:rsid w:val="00202E92"/>
    <w:rsid w:val="00204349"/>
    <w:rsid w:val="002043B8"/>
    <w:rsid w:val="00204514"/>
    <w:rsid w:val="00205308"/>
    <w:rsid w:val="0020688D"/>
    <w:rsid w:val="00206F3C"/>
    <w:rsid w:val="00207489"/>
    <w:rsid w:val="002076DF"/>
    <w:rsid w:val="00207BB2"/>
    <w:rsid w:val="00210234"/>
    <w:rsid w:val="002105B5"/>
    <w:rsid w:val="002106BB"/>
    <w:rsid w:val="00210BBC"/>
    <w:rsid w:val="00210F01"/>
    <w:rsid w:val="00210F45"/>
    <w:rsid w:val="0021139B"/>
    <w:rsid w:val="002128BB"/>
    <w:rsid w:val="002128D1"/>
    <w:rsid w:val="002136B2"/>
    <w:rsid w:val="0021381E"/>
    <w:rsid w:val="00214808"/>
    <w:rsid w:val="002175FD"/>
    <w:rsid w:val="002177A0"/>
    <w:rsid w:val="00217C55"/>
    <w:rsid w:val="002200D8"/>
    <w:rsid w:val="00220B13"/>
    <w:rsid w:val="00221096"/>
    <w:rsid w:val="00222DDD"/>
    <w:rsid w:val="002230EB"/>
    <w:rsid w:val="00223BE4"/>
    <w:rsid w:val="002245F6"/>
    <w:rsid w:val="00224C3B"/>
    <w:rsid w:val="0022524F"/>
    <w:rsid w:val="0022527A"/>
    <w:rsid w:val="00225427"/>
    <w:rsid w:val="00225B00"/>
    <w:rsid w:val="00226692"/>
    <w:rsid w:val="00230136"/>
    <w:rsid w:val="00230141"/>
    <w:rsid w:val="0023091D"/>
    <w:rsid w:val="00232557"/>
    <w:rsid w:val="0023291E"/>
    <w:rsid w:val="002335DD"/>
    <w:rsid w:val="00234AA4"/>
    <w:rsid w:val="00234EC1"/>
    <w:rsid w:val="002353EA"/>
    <w:rsid w:val="00235AD9"/>
    <w:rsid w:val="002372E6"/>
    <w:rsid w:val="00237DF6"/>
    <w:rsid w:val="00237F95"/>
    <w:rsid w:val="002408C6"/>
    <w:rsid w:val="00240EA3"/>
    <w:rsid w:val="002411FB"/>
    <w:rsid w:val="002412DA"/>
    <w:rsid w:val="00241BF7"/>
    <w:rsid w:val="00242BA3"/>
    <w:rsid w:val="0024359C"/>
    <w:rsid w:val="00244A5A"/>
    <w:rsid w:val="00244ECE"/>
    <w:rsid w:val="00244F10"/>
    <w:rsid w:val="002468B9"/>
    <w:rsid w:val="0025068B"/>
    <w:rsid w:val="00250A5C"/>
    <w:rsid w:val="00250D83"/>
    <w:rsid w:val="002518C6"/>
    <w:rsid w:val="0025269E"/>
    <w:rsid w:val="0025322A"/>
    <w:rsid w:val="00253FE0"/>
    <w:rsid w:val="0025429A"/>
    <w:rsid w:val="0025583F"/>
    <w:rsid w:val="00256007"/>
    <w:rsid w:val="0026048E"/>
    <w:rsid w:val="00261EE4"/>
    <w:rsid w:val="00262C8F"/>
    <w:rsid w:val="00262F88"/>
    <w:rsid w:val="00262FFD"/>
    <w:rsid w:val="00263397"/>
    <w:rsid w:val="00263AD6"/>
    <w:rsid w:val="0026486E"/>
    <w:rsid w:val="00264C1B"/>
    <w:rsid w:val="002657C1"/>
    <w:rsid w:val="0026581D"/>
    <w:rsid w:val="002658FA"/>
    <w:rsid w:val="00266722"/>
    <w:rsid w:val="0026723C"/>
    <w:rsid w:val="00270EEE"/>
    <w:rsid w:val="00271B34"/>
    <w:rsid w:val="002722CD"/>
    <w:rsid w:val="00272AD0"/>
    <w:rsid w:val="00274184"/>
    <w:rsid w:val="002745F7"/>
    <w:rsid w:val="00275765"/>
    <w:rsid w:val="002764D0"/>
    <w:rsid w:val="00276D8F"/>
    <w:rsid w:val="00277DFB"/>
    <w:rsid w:val="00280CCB"/>
    <w:rsid w:val="00280EDD"/>
    <w:rsid w:val="00282552"/>
    <w:rsid w:val="0028275F"/>
    <w:rsid w:val="00282867"/>
    <w:rsid w:val="00282B8A"/>
    <w:rsid w:val="00285153"/>
    <w:rsid w:val="002852C8"/>
    <w:rsid w:val="0028564B"/>
    <w:rsid w:val="002856C0"/>
    <w:rsid w:val="00285A90"/>
    <w:rsid w:val="002871E1"/>
    <w:rsid w:val="002876B6"/>
    <w:rsid w:val="0029072D"/>
    <w:rsid w:val="00291731"/>
    <w:rsid w:val="002918B3"/>
    <w:rsid w:val="00293746"/>
    <w:rsid w:val="00293F47"/>
    <w:rsid w:val="00293FE5"/>
    <w:rsid w:val="00294047"/>
    <w:rsid w:val="00294A35"/>
    <w:rsid w:val="0029529A"/>
    <w:rsid w:val="002962E3"/>
    <w:rsid w:val="00297215"/>
    <w:rsid w:val="002974F3"/>
    <w:rsid w:val="00297E4C"/>
    <w:rsid w:val="00297EEE"/>
    <w:rsid w:val="002A0981"/>
    <w:rsid w:val="002A09E2"/>
    <w:rsid w:val="002A2750"/>
    <w:rsid w:val="002A3112"/>
    <w:rsid w:val="002A35A3"/>
    <w:rsid w:val="002A4612"/>
    <w:rsid w:val="002A4FAD"/>
    <w:rsid w:val="002A7EAB"/>
    <w:rsid w:val="002B009B"/>
    <w:rsid w:val="002B010C"/>
    <w:rsid w:val="002B0E15"/>
    <w:rsid w:val="002B17BF"/>
    <w:rsid w:val="002B18E2"/>
    <w:rsid w:val="002B1EB9"/>
    <w:rsid w:val="002B34C4"/>
    <w:rsid w:val="002B4CE9"/>
    <w:rsid w:val="002B5897"/>
    <w:rsid w:val="002B5BC2"/>
    <w:rsid w:val="002B63DD"/>
    <w:rsid w:val="002B7145"/>
    <w:rsid w:val="002B767F"/>
    <w:rsid w:val="002B7A7C"/>
    <w:rsid w:val="002C0C91"/>
    <w:rsid w:val="002C452D"/>
    <w:rsid w:val="002C50DB"/>
    <w:rsid w:val="002C552D"/>
    <w:rsid w:val="002C61FC"/>
    <w:rsid w:val="002C629D"/>
    <w:rsid w:val="002C697D"/>
    <w:rsid w:val="002D0187"/>
    <w:rsid w:val="002D03EA"/>
    <w:rsid w:val="002D097F"/>
    <w:rsid w:val="002D1484"/>
    <w:rsid w:val="002D1DCB"/>
    <w:rsid w:val="002D2CDE"/>
    <w:rsid w:val="002D3223"/>
    <w:rsid w:val="002D39A5"/>
    <w:rsid w:val="002D3CC6"/>
    <w:rsid w:val="002D3FB4"/>
    <w:rsid w:val="002D40FF"/>
    <w:rsid w:val="002D5BFD"/>
    <w:rsid w:val="002D5FC0"/>
    <w:rsid w:val="002D6821"/>
    <w:rsid w:val="002D74AA"/>
    <w:rsid w:val="002E0AB2"/>
    <w:rsid w:val="002E0ED4"/>
    <w:rsid w:val="002E101D"/>
    <w:rsid w:val="002E12B6"/>
    <w:rsid w:val="002E198D"/>
    <w:rsid w:val="002E2E9C"/>
    <w:rsid w:val="002E37BE"/>
    <w:rsid w:val="002E4163"/>
    <w:rsid w:val="002E42CF"/>
    <w:rsid w:val="002E5D9E"/>
    <w:rsid w:val="002E6295"/>
    <w:rsid w:val="002E6B1A"/>
    <w:rsid w:val="002E6BC3"/>
    <w:rsid w:val="002E6E34"/>
    <w:rsid w:val="002F0496"/>
    <w:rsid w:val="002F0BD3"/>
    <w:rsid w:val="002F0F4B"/>
    <w:rsid w:val="002F172A"/>
    <w:rsid w:val="002F1EAE"/>
    <w:rsid w:val="002F32D6"/>
    <w:rsid w:val="002F3389"/>
    <w:rsid w:val="002F5AD2"/>
    <w:rsid w:val="002F5D6D"/>
    <w:rsid w:val="002F64A0"/>
    <w:rsid w:val="002F64EC"/>
    <w:rsid w:val="002F68CD"/>
    <w:rsid w:val="002F6A3F"/>
    <w:rsid w:val="002F76C3"/>
    <w:rsid w:val="0030021E"/>
    <w:rsid w:val="00300C45"/>
    <w:rsid w:val="00301421"/>
    <w:rsid w:val="003017CD"/>
    <w:rsid w:val="00302F40"/>
    <w:rsid w:val="003032EF"/>
    <w:rsid w:val="00304054"/>
    <w:rsid w:val="003055DF"/>
    <w:rsid w:val="00307195"/>
    <w:rsid w:val="00310C51"/>
    <w:rsid w:val="00312B9E"/>
    <w:rsid w:val="0031459E"/>
    <w:rsid w:val="003147CB"/>
    <w:rsid w:val="00314F10"/>
    <w:rsid w:val="0031558C"/>
    <w:rsid w:val="00315750"/>
    <w:rsid w:val="00315897"/>
    <w:rsid w:val="00315EB4"/>
    <w:rsid w:val="003174E5"/>
    <w:rsid w:val="00317E31"/>
    <w:rsid w:val="00317EB6"/>
    <w:rsid w:val="003200C0"/>
    <w:rsid w:val="003204F2"/>
    <w:rsid w:val="00320528"/>
    <w:rsid w:val="00320582"/>
    <w:rsid w:val="00320980"/>
    <w:rsid w:val="00321473"/>
    <w:rsid w:val="00322722"/>
    <w:rsid w:val="00322D20"/>
    <w:rsid w:val="00324106"/>
    <w:rsid w:val="0032441E"/>
    <w:rsid w:val="00325A74"/>
    <w:rsid w:val="00326779"/>
    <w:rsid w:val="00326AE1"/>
    <w:rsid w:val="00330C09"/>
    <w:rsid w:val="00330D6F"/>
    <w:rsid w:val="0033134C"/>
    <w:rsid w:val="003322F1"/>
    <w:rsid w:val="0033242C"/>
    <w:rsid w:val="0033263A"/>
    <w:rsid w:val="003332C5"/>
    <w:rsid w:val="00333956"/>
    <w:rsid w:val="0033437F"/>
    <w:rsid w:val="00334E8E"/>
    <w:rsid w:val="003354EB"/>
    <w:rsid w:val="00335655"/>
    <w:rsid w:val="00336FD3"/>
    <w:rsid w:val="0033701A"/>
    <w:rsid w:val="00337A1C"/>
    <w:rsid w:val="00337BB2"/>
    <w:rsid w:val="00340927"/>
    <w:rsid w:val="00340D78"/>
    <w:rsid w:val="00341E4E"/>
    <w:rsid w:val="0034385C"/>
    <w:rsid w:val="00343977"/>
    <w:rsid w:val="0034399C"/>
    <w:rsid w:val="003445FC"/>
    <w:rsid w:val="0034493E"/>
    <w:rsid w:val="00344A61"/>
    <w:rsid w:val="00344C35"/>
    <w:rsid w:val="00345284"/>
    <w:rsid w:val="00345C6B"/>
    <w:rsid w:val="00350972"/>
    <w:rsid w:val="00350E76"/>
    <w:rsid w:val="00352637"/>
    <w:rsid w:val="00352A93"/>
    <w:rsid w:val="00352C8F"/>
    <w:rsid w:val="00352FE9"/>
    <w:rsid w:val="003546C7"/>
    <w:rsid w:val="00355FEB"/>
    <w:rsid w:val="003600C3"/>
    <w:rsid w:val="0036018E"/>
    <w:rsid w:val="00360787"/>
    <w:rsid w:val="00360A9B"/>
    <w:rsid w:val="00362BF4"/>
    <w:rsid w:val="003640F8"/>
    <w:rsid w:val="003641C4"/>
    <w:rsid w:val="003666C5"/>
    <w:rsid w:val="00366EA4"/>
    <w:rsid w:val="00367476"/>
    <w:rsid w:val="0036762A"/>
    <w:rsid w:val="00370950"/>
    <w:rsid w:val="003711F1"/>
    <w:rsid w:val="003718D3"/>
    <w:rsid w:val="003728DB"/>
    <w:rsid w:val="00372D70"/>
    <w:rsid w:val="0037499E"/>
    <w:rsid w:val="00374CC1"/>
    <w:rsid w:val="00374EE3"/>
    <w:rsid w:val="0037500E"/>
    <w:rsid w:val="0037574A"/>
    <w:rsid w:val="0037790E"/>
    <w:rsid w:val="003803C5"/>
    <w:rsid w:val="00380481"/>
    <w:rsid w:val="00380506"/>
    <w:rsid w:val="003810F5"/>
    <w:rsid w:val="00381890"/>
    <w:rsid w:val="00381D8D"/>
    <w:rsid w:val="0038209A"/>
    <w:rsid w:val="003822FD"/>
    <w:rsid w:val="00383A60"/>
    <w:rsid w:val="00383F84"/>
    <w:rsid w:val="0038457E"/>
    <w:rsid w:val="00385672"/>
    <w:rsid w:val="0038666F"/>
    <w:rsid w:val="00387104"/>
    <w:rsid w:val="00387FA0"/>
    <w:rsid w:val="00391D31"/>
    <w:rsid w:val="00392026"/>
    <w:rsid w:val="00392AA8"/>
    <w:rsid w:val="00393606"/>
    <w:rsid w:val="00394352"/>
    <w:rsid w:val="0039440B"/>
    <w:rsid w:val="0039510F"/>
    <w:rsid w:val="00396839"/>
    <w:rsid w:val="00396BF9"/>
    <w:rsid w:val="00396EC3"/>
    <w:rsid w:val="003973EF"/>
    <w:rsid w:val="003974AF"/>
    <w:rsid w:val="003A049D"/>
    <w:rsid w:val="003A0758"/>
    <w:rsid w:val="003A0CBF"/>
    <w:rsid w:val="003A0E49"/>
    <w:rsid w:val="003A15F0"/>
    <w:rsid w:val="003A2788"/>
    <w:rsid w:val="003A2A6A"/>
    <w:rsid w:val="003A2CAA"/>
    <w:rsid w:val="003A358E"/>
    <w:rsid w:val="003A4E77"/>
    <w:rsid w:val="003A57DB"/>
    <w:rsid w:val="003A5B0A"/>
    <w:rsid w:val="003A7D43"/>
    <w:rsid w:val="003A7FAD"/>
    <w:rsid w:val="003B1637"/>
    <w:rsid w:val="003B297A"/>
    <w:rsid w:val="003B3BA9"/>
    <w:rsid w:val="003B3C13"/>
    <w:rsid w:val="003B3CE9"/>
    <w:rsid w:val="003B43CE"/>
    <w:rsid w:val="003B6C3E"/>
    <w:rsid w:val="003B7335"/>
    <w:rsid w:val="003B73D5"/>
    <w:rsid w:val="003B7DE0"/>
    <w:rsid w:val="003C01B9"/>
    <w:rsid w:val="003C01C7"/>
    <w:rsid w:val="003C0A92"/>
    <w:rsid w:val="003C1618"/>
    <w:rsid w:val="003C1A1C"/>
    <w:rsid w:val="003C38B5"/>
    <w:rsid w:val="003C40E0"/>
    <w:rsid w:val="003C4694"/>
    <w:rsid w:val="003C50E8"/>
    <w:rsid w:val="003C5657"/>
    <w:rsid w:val="003C63B0"/>
    <w:rsid w:val="003C6CF3"/>
    <w:rsid w:val="003C6F70"/>
    <w:rsid w:val="003C7E0C"/>
    <w:rsid w:val="003D0F20"/>
    <w:rsid w:val="003D17DD"/>
    <w:rsid w:val="003D46EA"/>
    <w:rsid w:val="003D4D5C"/>
    <w:rsid w:val="003D4DB7"/>
    <w:rsid w:val="003D4E4C"/>
    <w:rsid w:val="003D56D1"/>
    <w:rsid w:val="003D63F5"/>
    <w:rsid w:val="003D67F0"/>
    <w:rsid w:val="003D74E7"/>
    <w:rsid w:val="003D7AA9"/>
    <w:rsid w:val="003D7C75"/>
    <w:rsid w:val="003E0FF7"/>
    <w:rsid w:val="003E1E33"/>
    <w:rsid w:val="003E2304"/>
    <w:rsid w:val="003E3CC3"/>
    <w:rsid w:val="003E4643"/>
    <w:rsid w:val="003E4FAC"/>
    <w:rsid w:val="003E5747"/>
    <w:rsid w:val="003E5BED"/>
    <w:rsid w:val="003E728B"/>
    <w:rsid w:val="003E72DF"/>
    <w:rsid w:val="003E77C3"/>
    <w:rsid w:val="003E7DA2"/>
    <w:rsid w:val="003F0494"/>
    <w:rsid w:val="003F0C10"/>
    <w:rsid w:val="003F0D7D"/>
    <w:rsid w:val="003F100C"/>
    <w:rsid w:val="003F11BA"/>
    <w:rsid w:val="003F1346"/>
    <w:rsid w:val="003F192C"/>
    <w:rsid w:val="003F276E"/>
    <w:rsid w:val="003F298F"/>
    <w:rsid w:val="003F2A05"/>
    <w:rsid w:val="003F2BD3"/>
    <w:rsid w:val="003F2E1C"/>
    <w:rsid w:val="003F3086"/>
    <w:rsid w:val="003F39BD"/>
    <w:rsid w:val="003F3F14"/>
    <w:rsid w:val="003F402C"/>
    <w:rsid w:val="003F6CBA"/>
    <w:rsid w:val="003F7B85"/>
    <w:rsid w:val="00400190"/>
    <w:rsid w:val="00400A30"/>
    <w:rsid w:val="0040100E"/>
    <w:rsid w:val="00401136"/>
    <w:rsid w:val="004017A6"/>
    <w:rsid w:val="004018A5"/>
    <w:rsid w:val="004018F7"/>
    <w:rsid w:val="00401F05"/>
    <w:rsid w:val="00402196"/>
    <w:rsid w:val="00402C81"/>
    <w:rsid w:val="004032F4"/>
    <w:rsid w:val="00406AAF"/>
    <w:rsid w:val="00407142"/>
    <w:rsid w:val="0040739F"/>
    <w:rsid w:val="00410C20"/>
    <w:rsid w:val="0041264A"/>
    <w:rsid w:val="0041264F"/>
    <w:rsid w:val="0041304E"/>
    <w:rsid w:val="00413875"/>
    <w:rsid w:val="004140FD"/>
    <w:rsid w:val="00414456"/>
    <w:rsid w:val="004149A5"/>
    <w:rsid w:val="00414EDF"/>
    <w:rsid w:val="004156DF"/>
    <w:rsid w:val="00416144"/>
    <w:rsid w:val="0041615D"/>
    <w:rsid w:val="00416AE9"/>
    <w:rsid w:val="00417DEB"/>
    <w:rsid w:val="004201A9"/>
    <w:rsid w:val="00422AA4"/>
    <w:rsid w:val="00422BB4"/>
    <w:rsid w:val="004233EE"/>
    <w:rsid w:val="0042353E"/>
    <w:rsid w:val="0042450D"/>
    <w:rsid w:val="00424FE8"/>
    <w:rsid w:val="00426066"/>
    <w:rsid w:val="00426599"/>
    <w:rsid w:val="0042660A"/>
    <w:rsid w:val="00426D20"/>
    <w:rsid w:val="00427181"/>
    <w:rsid w:val="0042770A"/>
    <w:rsid w:val="00427932"/>
    <w:rsid w:val="004303D7"/>
    <w:rsid w:val="004309E8"/>
    <w:rsid w:val="00431216"/>
    <w:rsid w:val="00431F47"/>
    <w:rsid w:val="004336DB"/>
    <w:rsid w:val="00433808"/>
    <w:rsid w:val="00434542"/>
    <w:rsid w:val="0043580F"/>
    <w:rsid w:val="0043665A"/>
    <w:rsid w:val="004369DF"/>
    <w:rsid w:val="004373AE"/>
    <w:rsid w:val="0043743B"/>
    <w:rsid w:val="004377E4"/>
    <w:rsid w:val="0044007E"/>
    <w:rsid w:val="004402B4"/>
    <w:rsid w:val="00440EAC"/>
    <w:rsid w:val="00442195"/>
    <w:rsid w:val="004429BA"/>
    <w:rsid w:val="00443024"/>
    <w:rsid w:val="004437BF"/>
    <w:rsid w:val="0044415C"/>
    <w:rsid w:val="00444841"/>
    <w:rsid w:val="00445BF9"/>
    <w:rsid w:val="0044622E"/>
    <w:rsid w:val="004475D1"/>
    <w:rsid w:val="004503AC"/>
    <w:rsid w:val="00450580"/>
    <w:rsid w:val="00451E1B"/>
    <w:rsid w:val="004528CE"/>
    <w:rsid w:val="00454FA4"/>
    <w:rsid w:val="0045580A"/>
    <w:rsid w:val="0045591D"/>
    <w:rsid w:val="00457229"/>
    <w:rsid w:val="004604C6"/>
    <w:rsid w:val="00460505"/>
    <w:rsid w:val="00461317"/>
    <w:rsid w:val="004615CF"/>
    <w:rsid w:val="00461BBA"/>
    <w:rsid w:val="00461BDD"/>
    <w:rsid w:val="0046201E"/>
    <w:rsid w:val="004623A2"/>
    <w:rsid w:val="004623F8"/>
    <w:rsid w:val="00463E5B"/>
    <w:rsid w:val="00464232"/>
    <w:rsid w:val="00464E8F"/>
    <w:rsid w:val="004654FE"/>
    <w:rsid w:val="004655A2"/>
    <w:rsid w:val="00465BA2"/>
    <w:rsid w:val="00466915"/>
    <w:rsid w:val="004675EF"/>
    <w:rsid w:val="00467D06"/>
    <w:rsid w:val="00467FDE"/>
    <w:rsid w:val="0047122D"/>
    <w:rsid w:val="00473C03"/>
    <w:rsid w:val="00474CC7"/>
    <w:rsid w:val="004757C1"/>
    <w:rsid w:val="00475E0A"/>
    <w:rsid w:val="004765A1"/>
    <w:rsid w:val="004774F0"/>
    <w:rsid w:val="00477F99"/>
    <w:rsid w:val="0048035F"/>
    <w:rsid w:val="0048100A"/>
    <w:rsid w:val="004811FE"/>
    <w:rsid w:val="0048128A"/>
    <w:rsid w:val="004813A7"/>
    <w:rsid w:val="00482BAF"/>
    <w:rsid w:val="00484535"/>
    <w:rsid w:val="00485B47"/>
    <w:rsid w:val="00486BD2"/>
    <w:rsid w:val="00486CCE"/>
    <w:rsid w:val="00486DDF"/>
    <w:rsid w:val="00486E25"/>
    <w:rsid w:val="00486FFD"/>
    <w:rsid w:val="00487C9C"/>
    <w:rsid w:val="0049043B"/>
    <w:rsid w:val="004907C7"/>
    <w:rsid w:val="0049171D"/>
    <w:rsid w:val="00491E41"/>
    <w:rsid w:val="00492CD5"/>
    <w:rsid w:val="00494404"/>
    <w:rsid w:val="00494609"/>
    <w:rsid w:val="00494984"/>
    <w:rsid w:val="0049498D"/>
    <w:rsid w:val="00494C51"/>
    <w:rsid w:val="004965F3"/>
    <w:rsid w:val="00496822"/>
    <w:rsid w:val="00496A0D"/>
    <w:rsid w:val="00497BC1"/>
    <w:rsid w:val="004A2226"/>
    <w:rsid w:val="004A2C64"/>
    <w:rsid w:val="004A3923"/>
    <w:rsid w:val="004A45AF"/>
    <w:rsid w:val="004A4934"/>
    <w:rsid w:val="004A5905"/>
    <w:rsid w:val="004A5CB7"/>
    <w:rsid w:val="004A6C47"/>
    <w:rsid w:val="004B0444"/>
    <w:rsid w:val="004B059D"/>
    <w:rsid w:val="004B118C"/>
    <w:rsid w:val="004B1535"/>
    <w:rsid w:val="004B168E"/>
    <w:rsid w:val="004B1A1A"/>
    <w:rsid w:val="004B1C4D"/>
    <w:rsid w:val="004B3820"/>
    <w:rsid w:val="004B4882"/>
    <w:rsid w:val="004B6089"/>
    <w:rsid w:val="004B66CA"/>
    <w:rsid w:val="004B7152"/>
    <w:rsid w:val="004C015D"/>
    <w:rsid w:val="004C0B2D"/>
    <w:rsid w:val="004C125B"/>
    <w:rsid w:val="004C2198"/>
    <w:rsid w:val="004C2C3F"/>
    <w:rsid w:val="004C2E33"/>
    <w:rsid w:val="004C446B"/>
    <w:rsid w:val="004C5649"/>
    <w:rsid w:val="004C5A1A"/>
    <w:rsid w:val="004C5F77"/>
    <w:rsid w:val="004C6CE0"/>
    <w:rsid w:val="004C7DA7"/>
    <w:rsid w:val="004D0069"/>
    <w:rsid w:val="004D0D09"/>
    <w:rsid w:val="004D1C16"/>
    <w:rsid w:val="004D276E"/>
    <w:rsid w:val="004D2C58"/>
    <w:rsid w:val="004D3817"/>
    <w:rsid w:val="004D444B"/>
    <w:rsid w:val="004D56A2"/>
    <w:rsid w:val="004D5978"/>
    <w:rsid w:val="004D59D1"/>
    <w:rsid w:val="004D7A2B"/>
    <w:rsid w:val="004E2130"/>
    <w:rsid w:val="004E22C5"/>
    <w:rsid w:val="004E26BD"/>
    <w:rsid w:val="004E316F"/>
    <w:rsid w:val="004E3B0B"/>
    <w:rsid w:val="004E3CFA"/>
    <w:rsid w:val="004E41A0"/>
    <w:rsid w:val="004E4EA9"/>
    <w:rsid w:val="004E4F60"/>
    <w:rsid w:val="004E518D"/>
    <w:rsid w:val="004E52A0"/>
    <w:rsid w:val="004E5956"/>
    <w:rsid w:val="004E5A25"/>
    <w:rsid w:val="004E6C88"/>
    <w:rsid w:val="004E7236"/>
    <w:rsid w:val="004E7296"/>
    <w:rsid w:val="004F0275"/>
    <w:rsid w:val="004F112F"/>
    <w:rsid w:val="004F157F"/>
    <w:rsid w:val="004F2460"/>
    <w:rsid w:val="004F37BF"/>
    <w:rsid w:val="004F3DD0"/>
    <w:rsid w:val="004F5EE6"/>
    <w:rsid w:val="0050088E"/>
    <w:rsid w:val="00500A5D"/>
    <w:rsid w:val="00500C68"/>
    <w:rsid w:val="00501C28"/>
    <w:rsid w:val="0050216C"/>
    <w:rsid w:val="005028C5"/>
    <w:rsid w:val="00502902"/>
    <w:rsid w:val="00502936"/>
    <w:rsid w:val="00503009"/>
    <w:rsid w:val="005047FC"/>
    <w:rsid w:val="005060C2"/>
    <w:rsid w:val="005064F8"/>
    <w:rsid w:val="005071F8"/>
    <w:rsid w:val="005102A5"/>
    <w:rsid w:val="0051047F"/>
    <w:rsid w:val="00512641"/>
    <w:rsid w:val="00512DB7"/>
    <w:rsid w:val="00512F7E"/>
    <w:rsid w:val="00513259"/>
    <w:rsid w:val="005132FE"/>
    <w:rsid w:val="005138D9"/>
    <w:rsid w:val="0051405B"/>
    <w:rsid w:val="00514C7D"/>
    <w:rsid w:val="00515258"/>
    <w:rsid w:val="00515CA2"/>
    <w:rsid w:val="00515E7B"/>
    <w:rsid w:val="00516107"/>
    <w:rsid w:val="00516357"/>
    <w:rsid w:val="00516938"/>
    <w:rsid w:val="00517A54"/>
    <w:rsid w:val="00517C4E"/>
    <w:rsid w:val="005214F8"/>
    <w:rsid w:val="00521714"/>
    <w:rsid w:val="00524BE1"/>
    <w:rsid w:val="00524C3A"/>
    <w:rsid w:val="00525ADA"/>
    <w:rsid w:val="00525F3E"/>
    <w:rsid w:val="0052640E"/>
    <w:rsid w:val="00526679"/>
    <w:rsid w:val="00527D49"/>
    <w:rsid w:val="005303DA"/>
    <w:rsid w:val="0053153F"/>
    <w:rsid w:val="005322E3"/>
    <w:rsid w:val="0053230A"/>
    <w:rsid w:val="00532444"/>
    <w:rsid w:val="0053278D"/>
    <w:rsid w:val="0053305D"/>
    <w:rsid w:val="0053409B"/>
    <w:rsid w:val="005357FF"/>
    <w:rsid w:val="00535DC0"/>
    <w:rsid w:val="00536372"/>
    <w:rsid w:val="00536615"/>
    <w:rsid w:val="00536641"/>
    <w:rsid w:val="00537149"/>
    <w:rsid w:val="005376C0"/>
    <w:rsid w:val="00540B16"/>
    <w:rsid w:val="0054173E"/>
    <w:rsid w:val="005417C9"/>
    <w:rsid w:val="00542407"/>
    <w:rsid w:val="00542730"/>
    <w:rsid w:val="00542A14"/>
    <w:rsid w:val="005431E1"/>
    <w:rsid w:val="00543E46"/>
    <w:rsid w:val="00544403"/>
    <w:rsid w:val="00544910"/>
    <w:rsid w:val="00544C43"/>
    <w:rsid w:val="005457B5"/>
    <w:rsid w:val="00545D99"/>
    <w:rsid w:val="005467DD"/>
    <w:rsid w:val="0054711E"/>
    <w:rsid w:val="00547F37"/>
    <w:rsid w:val="00550139"/>
    <w:rsid w:val="00552C08"/>
    <w:rsid w:val="005533D2"/>
    <w:rsid w:val="005542A4"/>
    <w:rsid w:val="00554990"/>
    <w:rsid w:val="00554F6A"/>
    <w:rsid w:val="00555101"/>
    <w:rsid w:val="005560B0"/>
    <w:rsid w:val="005566C3"/>
    <w:rsid w:val="0055761F"/>
    <w:rsid w:val="005608A8"/>
    <w:rsid w:val="00561296"/>
    <w:rsid w:val="005612BA"/>
    <w:rsid w:val="00561C1F"/>
    <w:rsid w:val="005624B8"/>
    <w:rsid w:val="005627DA"/>
    <w:rsid w:val="00563144"/>
    <w:rsid w:val="00564077"/>
    <w:rsid w:val="005641FB"/>
    <w:rsid w:val="00564673"/>
    <w:rsid w:val="00564EAE"/>
    <w:rsid w:val="00565D6F"/>
    <w:rsid w:val="00566D2B"/>
    <w:rsid w:val="00570DF0"/>
    <w:rsid w:val="00570EF9"/>
    <w:rsid w:val="00571D43"/>
    <w:rsid w:val="0057232A"/>
    <w:rsid w:val="00572C9E"/>
    <w:rsid w:val="0057319E"/>
    <w:rsid w:val="0057340C"/>
    <w:rsid w:val="00573C5B"/>
    <w:rsid w:val="00574281"/>
    <w:rsid w:val="005742D2"/>
    <w:rsid w:val="00574629"/>
    <w:rsid w:val="00574A92"/>
    <w:rsid w:val="0057569A"/>
    <w:rsid w:val="00575B69"/>
    <w:rsid w:val="00575C3C"/>
    <w:rsid w:val="00575F95"/>
    <w:rsid w:val="00576376"/>
    <w:rsid w:val="00576D4A"/>
    <w:rsid w:val="00577BB7"/>
    <w:rsid w:val="00577F14"/>
    <w:rsid w:val="00577FBB"/>
    <w:rsid w:val="00580171"/>
    <w:rsid w:val="005805F7"/>
    <w:rsid w:val="005808B6"/>
    <w:rsid w:val="00580B58"/>
    <w:rsid w:val="0058230E"/>
    <w:rsid w:val="005826AE"/>
    <w:rsid w:val="005829DD"/>
    <w:rsid w:val="00583F71"/>
    <w:rsid w:val="00584ACF"/>
    <w:rsid w:val="00586487"/>
    <w:rsid w:val="005865B4"/>
    <w:rsid w:val="005868F3"/>
    <w:rsid w:val="0058694C"/>
    <w:rsid w:val="00590347"/>
    <w:rsid w:val="00590CC9"/>
    <w:rsid w:val="00590CFF"/>
    <w:rsid w:val="00590FE5"/>
    <w:rsid w:val="0059128B"/>
    <w:rsid w:val="005913AF"/>
    <w:rsid w:val="005914B3"/>
    <w:rsid w:val="00591858"/>
    <w:rsid w:val="00591D81"/>
    <w:rsid w:val="00592AF1"/>
    <w:rsid w:val="0059406A"/>
    <w:rsid w:val="005940AF"/>
    <w:rsid w:val="00594E4A"/>
    <w:rsid w:val="00596250"/>
    <w:rsid w:val="00597B3C"/>
    <w:rsid w:val="005A1C95"/>
    <w:rsid w:val="005A4469"/>
    <w:rsid w:val="005A5F03"/>
    <w:rsid w:val="005A61C8"/>
    <w:rsid w:val="005A6C39"/>
    <w:rsid w:val="005B02C8"/>
    <w:rsid w:val="005B0391"/>
    <w:rsid w:val="005B1539"/>
    <w:rsid w:val="005B2387"/>
    <w:rsid w:val="005B2B46"/>
    <w:rsid w:val="005B32C3"/>
    <w:rsid w:val="005B3516"/>
    <w:rsid w:val="005B3D18"/>
    <w:rsid w:val="005B57A7"/>
    <w:rsid w:val="005B5AF4"/>
    <w:rsid w:val="005B5AFB"/>
    <w:rsid w:val="005B7A37"/>
    <w:rsid w:val="005B7BE7"/>
    <w:rsid w:val="005C06AB"/>
    <w:rsid w:val="005C2965"/>
    <w:rsid w:val="005C2BE7"/>
    <w:rsid w:val="005C32B5"/>
    <w:rsid w:val="005C33CD"/>
    <w:rsid w:val="005C38C9"/>
    <w:rsid w:val="005C38DB"/>
    <w:rsid w:val="005C3C2C"/>
    <w:rsid w:val="005C75C5"/>
    <w:rsid w:val="005C78C8"/>
    <w:rsid w:val="005C7AD5"/>
    <w:rsid w:val="005C7ED9"/>
    <w:rsid w:val="005D0640"/>
    <w:rsid w:val="005D0DEC"/>
    <w:rsid w:val="005D154C"/>
    <w:rsid w:val="005D1956"/>
    <w:rsid w:val="005D22A1"/>
    <w:rsid w:val="005D26DB"/>
    <w:rsid w:val="005D2DD7"/>
    <w:rsid w:val="005D332D"/>
    <w:rsid w:val="005D3DA0"/>
    <w:rsid w:val="005D42B4"/>
    <w:rsid w:val="005D4482"/>
    <w:rsid w:val="005D45C2"/>
    <w:rsid w:val="005D473E"/>
    <w:rsid w:val="005D49AB"/>
    <w:rsid w:val="005D4D15"/>
    <w:rsid w:val="005D6BF0"/>
    <w:rsid w:val="005D6D32"/>
    <w:rsid w:val="005D6FF3"/>
    <w:rsid w:val="005D72A4"/>
    <w:rsid w:val="005D75DD"/>
    <w:rsid w:val="005E0B6A"/>
    <w:rsid w:val="005E0C83"/>
    <w:rsid w:val="005E1778"/>
    <w:rsid w:val="005E1789"/>
    <w:rsid w:val="005E2BB8"/>
    <w:rsid w:val="005E3238"/>
    <w:rsid w:val="005E374D"/>
    <w:rsid w:val="005E3C23"/>
    <w:rsid w:val="005E4183"/>
    <w:rsid w:val="005E444D"/>
    <w:rsid w:val="005E4A7B"/>
    <w:rsid w:val="005E6464"/>
    <w:rsid w:val="005E6543"/>
    <w:rsid w:val="005E6D40"/>
    <w:rsid w:val="005E6F14"/>
    <w:rsid w:val="005E7227"/>
    <w:rsid w:val="005E7B4B"/>
    <w:rsid w:val="005F0E6F"/>
    <w:rsid w:val="005F1A0C"/>
    <w:rsid w:val="005F1C62"/>
    <w:rsid w:val="005F2B0C"/>
    <w:rsid w:val="005F3D6D"/>
    <w:rsid w:val="005F3F76"/>
    <w:rsid w:val="005F40E7"/>
    <w:rsid w:val="005F5E09"/>
    <w:rsid w:val="005F65BD"/>
    <w:rsid w:val="005F67D1"/>
    <w:rsid w:val="005F71C6"/>
    <w:rsid w:val="005F790E"/>
    <w:rsid w:val="00601218"/>
    <w:rsid w:val="00601995"/>
    <w:rsid w:val="00602993"/>
    <w:rsid w:val="00602B08"/>
    <w:rsid w:val="00603629"/>
    <w:rsid w:val="00603686"/>
    <w:rsid w:val="0060469C"/>
    <w:rsid w:val="006059D7"/>
    <w:rsid w:val="0060682F"/>
    <w:rsid w:val="00607398"/>
    <w:rsid w:val="006108C6"/>
    <w:rsid w:val="006113F9"/>
    <w:rsid w:val="0061182B"/>
    <w:rsid w:val="00612912"/>
    <w:rsid w:val="00612988"/>
    <w:rsid w:val="00612B9D"/>
    <w:rsid w:val="00612DEB"/>
    <w:rsid w:val="00613453"/>
    <w:rsid w:val="006134B6"/>
    <w:rsid w:val="00614433"/>
    <w:rsid w:val="00614A20"/>
    <w:rsid w:val="00614E92"/>
    <w:rsid w:val="00615098"/>
    <w:rsid w:val="00615412"/>
    <w:rsid w:val="006158B3"/>
    <w:rsid w:val="00615CDF"/>
    <w:rsid w:val="00616ED2"/>
    <w:rsid w:val="00617355"/>
    <w:rsid w:val="00617C5B"/>
    <w:rsid w:val="006209D1"/>
    <w:rsid w:val="0062288B"/>
    <w:rsid w:val="00622F95"/>
    <w:rsid w:val="00623373"/>
    <w:rsid w:val="006236F4"/>
    <w:rsid w:val="00623BFE"/>
    <w:rsid w:val="00623C34"/>
    <w:rsid w:val="0062417B"/>
    <w:rsid w:val="00626301"/>
    <w:rsid w:val="0062660A"/>
    <w:rsid w:val="00630A84"/>
    <w:rsid w:val="00633481"/>
    <w:rsid w:val="00633EEE"/>
    <w:rsid w:val="006344B8"/>
    <w:rsid w:val="0063451D"/>
    <w:rsid w:val="00634C3D"/>
    <w:rsid w:val="00634EEF"/>
    <w:rsid w:val="0063622B"/>
    <w:rsid w:val="00636559"/>
    <w:rsid w:val="006370A4"/>
    <w:rsid w:val="006370C2"/>
    <w:rsid w:val="006374AB"/>
    <w:rsid w:val="00637C36"/>
    <w:rsid w:val="00640343"/>
    <w:rsid w:val="006403CC"/>
    <w:rsid w:val="006405C7"/>
    <w:rsid w:val="0064066E"/>
    <w:rsid w:val="00640D8B"/>
    <w:rsid w:val="0064198B"/>
    <w:rsid w:val="00641B7D"/>
    <w:rsid w:val="006427D6"/>
    <w:rsid w:val="00642F75"/>
    <w:rsid w:val="006438C0"/>
    <w:rsid w:val="00643A9F"/>
    <w:rsid w:val="00643BE8"/>
    <w:rsid w:val="00644495"/>
    <w:rsid w:val="00645363"/>
    <w:rsid w:val="0064559B"/>
    <w:rsid w:val="00645EA4"/>
    <w:rsid w:val="006466C3"/>
    <w:rsid w:val="00646C91"/>
    <w:rsid w:val="0064712B"/>
    <w:rsid w:val="0065019F"/>
    <w:rsid w:val="0065045B"/>
    <w:rsid w:val="00650DC9"/>
    <w:rsid w:val="00650E0A"/>
    <w:rsid w:val="006512A2"/>
    <w:rsid w:val="006519DB"/>
    <w:rsid w:val="006520C8"/>
    <w:rsid w:val="00652555"/>
    <w:rsid w:val="00652653"/>
    <w:rsid w:val="00652A61"/>
    <w:rsid w:val="0065326C"/>
    <w:rsid w:val="00653C55"/>
    <w:rsid w:val="00654229"/>
    <w:rsid w:val="00654589"/>
    <w:rsid w:val="00655FA5"/>
    <w:rsid w:val="0065614D"/>
    <w:rsid w:val="00656262"/>
    <w:rsid w:val="0065758C"/>
    <w:rsid w:val="00657D8D"/>
    <w:rsid w:val="00660764"/>
    <w:rsid w:val="00663CA9"/>
    <w:rsid w:val="00664BE0"/>
    <w:rsid w:val="00665AC4"/>
    <w:rsid w:val="00665E63"/>
    <w:rsid w:val="00666987"/>
    <w:rsid w:val="0066755C"/>
    <w:rsid w:val="0067149F"/>
    <w:rsid w:val="00671AAC"/>
    <w:rsid w:val="0067211A"/>
    <w:rsid w:val="00672D3B"/>
    <w:rsid w:val="00672DE9"/>
    <w:rsid w:val="0067300B"/>
    <w:rsid w:val="006742F8"/>
    <w:rsid w:val="0067565F"/>
    <w:rsid w:val="006758BC"/>
    <w:rsid w:val="006765BC"/>
    <w:rsid w:val="0067735B"/>
    <w:rsid w:val="00677831"/>
    <w:rsid w:val="00677874"/>
    <w:rsid w:val="0068020D"/>
    <w:rsid w:val="00680A4E"/>
    <w:rsid w:val="00681C5F"/>
    <w:rsid w:val="0068248C"/>
    <w:rsid w:val="00682963"/>
    <w:rsid w:val="00682E5C"/>
    <w:rsid w:val="0068343C"/>
    <w:rsid w:val="006842EA"/>
    <w:rsid w:val="006845CA"/>
    <w:rsid w:val="00684B22"/>
    <w:rsid w:val="00684E52"/>
    <w:rsid w:val="00685147"/>
    <w:rsid w:val="00685793"/>
    <w:rsid w:val="00686913"/>
    <w:rsid w:val="00686C01"/>
    <w:rsid w:val="006908CE"/>
    <w:rsid w:val="00690B78"/>
    <w:rsid w:val="006916A7"/>
    <w:rsid w:val="00692724"/>
    <w:rsid w:val="006928CA"/>
    <w:rsid w:val="006928E6"/>
    <w:rsid w:val="00693498"/>
    <w:rsid w:val="006936CB"/>
    <w:rsid w:val="00693C7A"/>
    <w:rsid w:val="00693CA0"/>
    <w:rsid w:val="006941EA"/>
    <w:rsid w:val="006942E4"/>
    <w:rsid w:val="00694300"/>
    <w:rsid w:val="00694309"/>
    <w:rsid w:val="00694EB4"/>
    <w:rsid w:val="00695F08"/>
    <w:rsid w:val="006969D8"/>
    <w:rsid w:val="0069786D"/>
    <w:rsid w:val="006A0CEC"/>
    <w:rsid w:val="006A10FC"/>
    <w:rsid w:val="006A1786"/>
    <w:rsid w:val="006A1BE1"/>
    <w:rsid w:val="006A27B8"/>
    <w:rsid w:val="006A337C"/>
    <w:rsid w:val="006A3664"/>
    <w:rsid w:val="006A3744"/>
    <w:rsid w:val="006A3A35"/>
    <w:rsid w:val="006A490E"/>
    <w:rsid w:val="006A5A9C"/>
    <w:rsid w:val="006A70C5"/>
    <w:rsid w:val="006B00A2"/>
    <w:rsid w:val="006B0514"/>
    <w:rsid w:val="006B0C9C"/>
    <w:rsid w:val="006B0EF8"/>
    <w:rsid w:val="006B1B10"/>
    <w:rsid w:val="006B1CAE"/>
    <w:rsid w:val="006B21B2"/>
    <w:rsid w:val="006B2DAD"/>
    <w:rsid w:val="006B44E6"/>
    <w:rsid w:val="006B5321"/>
    <w:rsid w:val="006B5530"/>
    <w:rsid w:val="006B5701"/>
    <w:rsid w:val="006B5762"/>
    <w:rsid w:val="006B647E"/>
    <w:rsid w:val="006B6611"/>
    <w:rsid w:val="006B760A"/>
    <w:rsid w:val="006C1EFB"/>
    <w:rsid w:val="006C1F52"/>
    <w:rsid w:val="006C2994"/>
    <w:rsid w:val="006C4FE0"/>
    <w:rsid w:val="006C55DA"/>
    <w:rsid w:val="006C680F"/>
    <w:rsid w:val="006C7475"/>
    <w:rsid w:val="006C7804"/>
    <w:rsid w:val="006D15DA"/>
    <w:rsid w:val="006D20B4"/>
    <w:rsid w:val="006D258C"/>
    <w:rsid w:val="006D2B40"/>
    <w:rsid w:val="006D3791"/>
    <w:rsid w:val="006D454C"/>
    <w:rsid w:val="006D4E71"/>
    <w:rsid w:val="006D5AB8"/>
    <w:rsid w:val="006D5F7E"/>
    <w:rsid w:val="006D6898"/>
    <w:rsid w:val="006E266D"/>
    <w:rsid w:val="006E26A1"/>
    <w:rsid w:val="006E31F0"/>
    <w:rsid w:val="006E59EC"/>
    <w:rsid w:val="006E670F"/>
    <w:rsid w:val="006E6BB9"/>
    <w:rsid w:val="006E6DFF"/>
    <w:rsid w:val="006F04E4"/>
    <w:rsid w:val="006F09BE"/>
    <w:rsid w:val="006F1BE1"/>
    <w:rsid w:val="006F31B1"/>
    <w:rsid w:val="006F3B40"/>
    <w:rsid w:val="006F636A"/>
    <w:rsid w:val="006F6DE1"/>
    <w:rsid w:val="00700261"/>
    <w:rsid w:val="0070125E"/>
    <w:rsid w:val="00701CFD"/>
    <w:rsid w:val="007037BC"/>
    <w:rsid w:val="007046F1"/>
    <w:rsid w:val="0070588D"/>
    <w:rsid w:val="00705A29"/>
    <w:rsid w:val="00705EED"/>
    <w:rsid w:val="0070659C"/>
    <w:rsid w:val="00707B2B"/>
    <w:rsid w:val="0071028A"/>
    <w:rsid w:val="00710640"/>
    <w:rsid w:val="00710729"/>
    <w:rsid w:val="0071139F"/>
    <w:rsid w:val="00711536"/>
    <w:rsid w:val="00713860"/>
    <w:rsid w:val="00713CA4"/>
    <w:rsid w:val="007151C4"/>
    <w:rsid w:val="007157F2"/>
    <w:rsid w:val="00716D53"/>
    <w:rsid w:val="0071739A"/>
    <w:rsid w:val="0071756F"/>
    <w:rsid w:val="00717714"/>
    <w:rsid w:val="007178C7"/>
    <w:rsid w:val="007205E6"/>
    <w:rsid w:val="007224DE"/>
    <w:rsid w:val="00723100"/>
    <w:rsid w:val="00724AEB"/>
    <w:rsid w:val="00724C89"/>
    <w:rsid w:val="007271BD"/>
    <w:rsid w:val="00727BC7"/>
    <w:rsid w:val="00730010"/>
    <w:rsid w:val="007300D2"/>
    <w:rsid w:val="007318E7"/>
    <w:rsid w:val="00731F4D"/>
    <w:rsid w:val="0073314C"/>
    <w:rsid w:val="00733326"/>
    <w:rsid w:val="007334DA"/>
    <w:rsid w:val="00733AE1"/>
    <w:rsid w:val="00733D84"/>
    <w:rsid w:val="00734564"/>
    <w:rsid w:val="00734E0D"/>
    <w:rsid w:val="00734EFC"/>
    <w:rsid w:val="00735297"/>
    <w:rsid w:val="007355E3"/>
    <w:rsid w:val="00737198"/>
    <w:rsid w:val="00737670"/>
    <w:rsid w:val="00737A14"/>
    <w:rsid w:val="007400BA"/>
    <w:rsid w:val="00740189"/>
    <w:rsid w:val="00741106"/>
    <w:rsid w:val="00741230"/>
    <w:rsid w:val="00741512"/>
    <w:rsid w:val="007424CC"/>
    <w:rsid w:val="0074398C"/>
    <w:rsid w:val="00743BFF"/>
    <w:rsid w:val="00744448"/>
    <w:rsid w:val="00744768"/>
    <w:rsid w:val="00746952"/>
    <w:rsid w:val="00746B3B"/>
    <w:rsid w:val="0074793F"/>
    <w:rsid w:val="00752201"/>
    <w:rsid w:val="00753115"/>
    <w:rsid w:val="00754F1E"/>
    <w:rsid w:val="0075620E"/>
    <w:rsid w:val="007564EE"/>
    <w:rsid w:val="00756B1B"/>
    <w:rsid w:val="00757A0D"/>
    <w:rsid w:val="00757BAA"/>
    <w:rsid w:val="0076061E"/>
    <w:rsid w:val="00760874"/>
    <w:rsid w:val="00760B80"/>
    <w:rsid w:val="00761983"/>
    <w:rsid w:val="00761A1B"/>
    <w:rsid w:val="007635AF"/>
    <w:rsid w:val="00763B26"/>
    <w:rsid w:val="00763BA4"/>
    <w:rsid w:val="00763D53"/>
    <w:rsid w:val="00763DB2"/>
    <w:rsid w:val="00764EB0"/>
    <w:rsid w:val="0076521A"/>
    <w:rsid w:val="007660FE"/>
    <w:rsid w:val="00766F2D"/>
    <w:rsid w:val="00767F5E"/>
    <w:rsid w:val="007700AA"/>
    <w:rsid w:val="007701EE"/>
    <w:rsid w:val="00770A6B"/>
    <w:rsid w:val="00770BDF"/>
    <w:rsid w:val="0077120C"/>
    <w:rsid w:val="0077179B"/>
    <w:rsid w:val="007727A0"/>
    <w:rsid w:val="0077294E"/>
    <w:rsid w:val="00772ABD"/>
    <w:rsid w:val="00772CB5"/>
    <w:rsid w:val="00772DCF"/>
    <w:rsid w:val="00773824"/>
    <w:rsid w:val="00773884"/>
    <w:rsid w:val="00773A3A"/>
    <w:rsid w:val="00773A62"/>
    <w:rsid w:val="00773CA2"/>
    <w:rsid w:val="007765F2"/>
    <w:rsid w:val="007774CB"/>
    <w:rsid w:val="00780BD7"/>
    <w:rsid w:val="00781276"/>
    <w:rsid w:val="00781A10"/>
    <w:rsid w:val="00781C06"/>
    <w:rsid w:val="00783528"/>
    <w:rsid w:val="0078491C"/>
    <w:rsid w:val="00785F99"/>
    <w:rsid w:val="0078654C"/>
    <w:rsid w:val="00787B40"/>
    <w:rsid w:val="00787C84"/>
    <w:rsid w:val="00787F70"/>
    <w:rsid w:val="007901D4"/>
    <w:rsid w:val="0079052D"/>
    <w:rsid w:val="00790CEC"/>
    <w:rsid w:val="007913AF"/>
    <w:rsid w:val="0079194C"/>
    <w:rsid w:val="007919E2"/>
    <w:rsid w:val="00792200"/>
    <w:rsid w:val="007935C1"/>
    <w:rsid w:val="0079482D"/>
    <w:rsid w:val="0079493F"/>
    <w:rsid w:val="00797B65"/>
    <w:rsid w:val="007A025E"/>
    <w:rsid w:val="007A1860"/>
    <w:rsid w:val="007A19F7"/>
    <w:rsid w:val="007A1CFD"/>
    <w:rsid w:val="007A385D"/>
    <w:rsid w:val="007A3E26"/>
    <w:rsid w:val="007A4B6D"/>
    <w:rsid w:val="007A4BC1"/>
    <w:rsid w:val="007A57B9"/>
    <w:rsid w:val="007A6987"/>
    <w:rsid w:val="007A6AD8"/>
    <w:rsid w:val="007A7C4C"/>
    <w:rsid w:val="007B0570"/>
    <w:rsid w:val="007B090D"/>
    <w:rsid w:val="007B0C7F"/>
    <w:rsid w:val="007B1E6A"/>
    <w:rsid w:val="007B257B"/>
    <w:rsid w:val="007B2775"/>
    <w:rsid w:val="007B2861"/>
    <w:rsid w:val="007B2BCD"/>
    <w:rsid w:val="007B315B"/>
    <w:rsid w:val="007B5486"/>
    <w:rsid w:val="007B5902"/>
    <w:rsid w:val="007B60C1"/>
    <w:rsid w:val="007B6737"/>
    <w:rsid w:val="007C0968"/>
    <w:rsid w:val="007C0C00"/>
    <w:rsid w:val="007C154E"/>
    <w:rsid w:val="007C180D"/>
    <w:rsid w:val="007C185B"/>
    <w:rsid w:val="007C2C99"/>
    <w:rsid w:val="007C36E0"/>
    <w:rsid w:val="007C5400"/>
    <w:rsid w:val="007C6EE3"/>
    <w:rsid w:val="007C7071"/>
    <w:rsid w:val="007C7E62"/>
    <w:rsid w:val="007C7E86"/>
    <w:rsid w:val="007D0735"/>
    <w:rsid w:val="007D197F"/>
    <w:rsid w:val="007D19D2"/>
    <w:rsid w:val="007D202E"/>
    <w:rsid w:val="007D23EA"/>
    <w:rsid w:val="007D25C3"/>
    <w:rsid w:val="007D2961"/>
    <w:rsid w:val="007D33EC"/>
    <w:rsid w:val="007D4C8A"/>
    <w:rsid w:val="007D5348"/>
    <w:rsid w:val="007D5665"/>
    <w:rsid w:val="007D67A1"/>
    <w:rsid w:val="007D6B1B"/>
    <w:rsid w:val="007D6C0A"/>
    <w:rsid w:val="007D78C6"/>
    <w:rsid w:val="007E056A"/>
    <w:rsid w:val="007E13F3"/>
    <w:rsid w:val="007E1751"/>
    <w:rsid w:val="007E183F"/>
    <w:rsid w:val="007E1C00"/>
    <w:rsid w:val="007E48C4"/>
    <w:rsid w:val="007E4DCF"/>
    <w:rsid w:val="007E699C"/>
    <w:rsid w:val="007E77A3"/>
    <w:rsid w:val="007F0F79"/>
    <w:rsid w:val="007F0FFD"/>
    <w:rsid w:val="007F22F4"/>
    <w:rsid w:val="007F2BB7"/>
    <w:rsid w:val="007F31D1"/>
    <w:rsid w:val="007F3F24"/>
    <w:rsid w:val="007F41FA"/>
    <w:rsid w:val="007F479E"/>
    <w:rsid w:val="007F57E5"/>
    <w:rsid w:val="007F655E"/>
    <w:rsid w:val="007F74F9"/>
    <w:rsid w:val="007F7F7A"/>
    <w:rsid w:val="00800F51"/>
    <w:rsid w:val="008019FF"/>
    <w:rsid w:val="008022C7"/>
    <w:rsid w:val="0080262C"/>
    <w:rsid w:val="00802B63"/>
    <w:rsid w:val="00803B54"/>
    <w:rsid w:val="00803DFA"/>
    <w:rsid w:val="00804DC1"/>
    <w:rsid w:val="008075CB"/>
    <w:rsid w:val="00807850"/>
    <w:rsid w:val="00807F3C"/>
    <w:rsid w:val="0081118E"/>
    <w:rsid w:val="00811B81"/>
    <w:rsid w:val="00812B01"/>
    <w:rsid w:val="00812D92"/>
    <w:rsid w:val="00813A64"/>
    <w:rsid w:val="00813A71"/>
    <w:rsid w:val="0081420F"/>
    <w:rsid w:val="00814533"/>
    <w:rsid w:val="00815023"/>
    <w:rsid w:val="00816915"/>
    <w:rsid w:val="00820866"/>
    <w:rsid w:val="00822716"/>
    <w:rsid w:val="00822C41"/>
    <w:rsid w:val="008231E5"/>
    <w:rsid w:val="0082320A"/>
    <w:rsid w:val="00824EFA"/>
    <w:rsid w:val="0082526F"/>
    <w:rsid w:val="00825D5D"/>
    <w:rsid w:val="008272B5"/>
    <w:rsid w:val="008278E4"/>
    <w:rsid w:val="00827BDE"/>
    <w:rsid w:val="00830ADA"/>
    <w:rsid w:val="00830B6A"/>
    <w:rsid w:val="00831C8B"/>
    <w:rsid w:val="008322FC"/>
    <w:rsid w:val="0083243B"/>
    <w:rsid w:val="00832BD4"/>
    <w:rsid w:val="00833CAE"/>
    <w:rsid w:val="00833E84"/>
    <w:rsid w:val="008340CD"/>
    <w:rsid w:val="00834531"/>
    <w:rsid w:val="00835A71"/>
    <w:rsid w:val="00836E84"/>
    <w:rsid w:val="00840283"/>
    <w:rsid w:val="008408C5"/>
    <w:rsid w:val="008413D1"/>
    <w:rsid w:val="00841C3B"/>
    <w:rsid w:val="0084208F"/>
    <w:rsid w:val="008422DA"/>
    <w:rsid w:val="0084234A"/>
    <w:rsid w:val="00842718"/>
    <w:rsid w:val="008427DA"/>
    <w:rsid w:val="0084319E"/>
    <w:rsid w:val="008431FE"/>
    <w:rsid w:val="0084490E"/>
    <w:rsid w:val="0084586C"/>
    <w:rsid w:val="00846345"/>
    <w:rsid w:val="0084656F"/>
    <w:rsid w:val="008465BF"/>
    <w:rsid w:val="008471BB"/>
    <w:rsid w:val="00847408"/>
    <w:rsid w:val="0084742B"/>
    <w:rsid w:val="00850488"/>
    <w:rsid w:val="008512F1"/>
    <w:rsid w:val="008524D1"/>
    <w:rsid w:val="00852B4C"/>
    <w:rsid w:val="00852B94"/>
    <w:rsid w:val="008537DA"/>
    <w:rsid w:val="0085445A"/>
    <w:rsid w:val="00855035"/>
    <w:rsid w:val="00855246"/>
    <w:rsid w:val="00857033"/>
    <w:rsid w:val="008572CC"/>
    <w:rsid w:val="008573C2"/>
    <w:rsid w:val="00857E14"/>
    <w:rsid w:val="00860D1F"/>
    <w:rsid w:val="0086104B"/>
    <w:rsid w:val="00862B65"/>
    <w:rsid w:val="00863355"/>
    <w:rsid w:val="00863D7F"/>
    <w:rsid w:val="008648E2"/>
    <w:rsid w:val="00864A5A"/>
    <w:rsid w:val="00865097"/>
    <w:rsid w:val="00866383"/>
    <w:rsid w:val="00866411"/>
    <w:rsid w:val="00866E21"/>
    <w:rsid w:val="00867B1B"/>
    <w:rsid w:val="00871637"/>
    <w:rsid w:val="008723C9"/>
    <w:rsid w:val="008724B1"/>
    <w:rsid w:val="00872CCC"/>
    <w:rsid w:val="00873000"/>
    <w:rsid w:val="00874C7B"/>
    <w:rsid w:val="00875D29"/>
    <w:rsid w:val="008768D3"/>
    <w:rsid w:val="00876984"/>
    <w:rsid w:val="0087786E"/>
    <w:rsid w:val="00877E9F"/>
    <w:rsid w:val="008811F3"/>
    <w:rsid w:val="00881204"/>
    <w:rsid w:val="00881974"/>
    <w:rsid w:val="00882D9D"/>
    <w:rsid w:val="00883A02"/>
    <w:rsid w:val="00884144"/>
    <w:rsid w:val="0088558B"/>
    <w:rsid w:val="00887790"/>
    <w:rsid w:val="0089118F"/>
    <w:rsid w:val="00891FEF"/>
    <w:rsid w:val="00892CCF"/>
    <w:rsid w:val="00892E6C"/>
    <w:rsid w:val="00892E6D"/>
    <w:rsid w:val="00893FAC"/>
    <w:rsid w:val="00894096"/>
    <w:rsid w:val="0089561A"/>
    <w:rsid w:val="008962B0"/>
    <w:rsid w:val="008969EB"/>
    <w:rsid w:val="00896AD7"/>
    <w:rsid w:val="00897547"/>
    <w:rsid w:val="008978AD"/>
    <w:rsid w:val="00897DA1"/>
    <w:rsid w:val="008A0259"/>
    <w:rsid w:val="008A04EB"/>
    <w:rsid w:val="008A1C30"/>
    <w:rsid w:val="008A2A1B"/>
    <w:rsid w:val="008A3395"/>
    <w:rsid w:val="008A4C21"/>
    <w:rsid w:val="008A504D"/>
    <w:rsid w:val="008A6503"/>
    <w:rsid w:val="008B0862"/>
    <w:rsid w:val="008B204F"/>
    <w:rsid w:val="008B256D"/>
    <w:rsid w:val="008B28BC"/>
    <w:rsid w:val="008B28FA"/>
    <w:rsid w:val="008B2B19"/>
    <w:rsid w:val="008B3EFC"/>
    <w:rsid w:val="008B4E2E"/>
    <w:rsid w:val="008B601F"/>
    <w:rsid w:val="008B6512"/>
    <w:rsid w:val="008B722F"/>
    <w:rsid w:val="008B79BB"/>
    <w:rsid w:val="008C0271"/>
    <w:rsid w:val="008C0738"/>
    <w:rsid w:val="008C0B66"/>
    <w:rsid w:val="008C0D83"/>
    <w:rsid w:val="008C1009"/>
    <w:rsid w:val="008C11F1"/>
    <w:rsid w:val="008C1329"/>
    <w:rsid w:val="008C1648"/>
    <w:rsid w:val="008C1EC0"/>
    <w:rsid w:val="008C28F9"/>
    <w:rsid w:val="008C2E92"/>
    <w:rsid w:val="008C389C"/>
    <w:rsid w:val="008C3C34"/>
    <w:rsid w:val="008C5FBE"/>
    <w:rsid w:val="008C675D"/>
    <w:rsid w:val="008C6CE3"/>
    <w:rsid w:val="008C78B1"/>
    <w:rsid w:val="008C7FB8"/>
    <w:rsid w:val="008D1336"/>
    <w:rsid w:val="008D1B2E"/>
    <w:rsid w:val="008D2BC4"/>
    <w:rsid w:val="008D356F"/>
    <w:rsid w:val="008D3F4F"/>
    <w:rsid w:val="008D43A5"/>
    <w:rsid w:val="008D4A01"/>
    <w:rsid w:val="008D4D55"/>
    <w:rsid w:val="008D63BA"/>
    <w:rsid w:val="008D6558"/>
    <w:rsid w:val="008E0154"/>
    <w:rsid w:val="008E0F71"/>
    <w:rsid w:val="008E240A"/>
    <w:rsid w:val="008E37F0"/>
    <w:rsid w:val="008E3A80"/>
    <w:rsid w:val="008E5123"/>
    <w:rsid w:val="008E56AC"/>
    <w:rsid w:val="008E5F00"/>
    <w:rsid w:val="008F0527"/>
    <w:rsid w:val="008F0D52"/>
    <w:rsid w:val="008F1A83"/>
    <w:rsid w:val="008F1D2A"/>
    <w:rsid w:val="008F3042"/>
    <w:rsid w:val="008F3CEA"/>
    <w:rsid w:val="008F4002"/>
    <w:rsid w:val="008F6452"/>
    <w:rsid w:val="008F7133"/>
    <w:rsid w:val="008F729D"/>
    <w:rsid w:val="008F7471"/>
    <w:rsid w:val="008F7A26"/>
    <w:rsid w:val="0090049E"/>
    <w:rsid w:val="00900957"/>
    <w:rsid w:val="009015FA"/>
    <w:rsid w:val="0090221E"/>
    <w:rsid w:val="0090285F"/>
    <w:rsid w:val="00902989"/>
    <w:rsid w:val="00903012"/>
    <w:rsid w:val="00903523"/>
    <w:rsid w:val="00904567"/>
    <w:rsid w:val="00907ABD"/>
    <w:rsid w:val="00907BB5"/>
    <w:rsid w:val="00907F9C"/>
    <w:rsid w:val="00907FEF"/>
    <w:rsid w:val="009101C6"/>
    <w:rsid w:val="00910365"/>
    <w:rsid w:val="009112F2"/>
    <w:rsid w:val="00911A2A"/>
    <w:rsid w:val="00911C6D"/>
    <w:rsid w:val="0091208F"/>
    <w:rsid w:val="009127DB"/>
    <w:rsid w:val="00913636"/>
    <w:rsid w:val="00914C82"/>
    <w:rsid w:val="009152C8"/>
    <w:rsid w:val="00915F16"/>
    <w:rsid w:val="00920444"/>
    <w:rsid w:val="009205CA"/>
    <w:rsid w:val="009208A4"/>
    <w:rsid w:val="00920E59"/>
    <w:rsid w:val="00921B61"/>
    <w:rsid w:val="00923455"/>
    <w:rsid w:val="009239D2"/>
    <w:rsid w:val="0092419F"/>
    <w:rsid w:val="0092476E"/>
    <w:rsid w:val="00924A43"/>
    <w:rsid w:val="00924C67"/>
    <w:rsid w:val="00925CB9"/>
    <w:rsid w:val="00925E51"/>
    <w:rsid w:val="00926B6A"/>
    <w:rsid w:val="009270A2"/>
    <w:rsid w:val="0092778A"/>
    <w:rsid w:val="0093020B"/>
    <w:rsid w:val="009304CA"/>
    <w:rsid w:val="009319C2"/>
    <w:rsid w:val="00932C1C"/>
    <w:rsid w:val="0093353C"/>
    <w:rsid w:val="009346E0"/>
    <w:rsid w:val="00934BDD"/>
    <w:rsid w:val="00934E85"/>
    <w:rsid w:val="009352E9"/>
    <w:rsid w:val="00935660"/>
    <w:rsid w:val="00935792"/>
    <w:rsid w:val="00936AC2"/>
    <w:rsid w:val="00936B92"/>
    <w:rsid w:val="0093743C"/>
    <w:rsid w:val="009374E8"/>
    <w:rsid w:val="00940A64"/>
    <w:rsid w:val="00940DE0"/>
    <w:rsid w:val="00941B5B"/>
    <w:rsid w:val="00942DDB"/>
    <w:rsid w:val="00944751"/>
    <w:rsid w:val="009447AD"/>
    <w:rsid w:val="00945142"/>
    <w:rsid w:val="009454D0"/>
    <w:rsid w:val="00945A92"/>
    <w:rsid w:val="0094702A"/>
    <w:rsid w:val="00947524"/>
    <w:rsid w:val="009509C3"/>
    <w:rsid w:val="00950ADE"/>
    <w:rsid w:val="009511D9"/>
    <w:rsid w:val="00952426"/>
    <w:rsid w:val="009525AF"/>
    <w:rsid w:val="00952942"/>
    <w:rsid w:val="009535CC"/>
    <w:rsid w:val="00953696"/>
    <w:rsid w:val="009536AA"/>
    <w:rsid w:val="00953949"/>
    <w:rsid w:val="00953BDC"/>
    <w:rsid w:val="00953CAC"/>
    <w:rsid w:val="00954514"/>
    <w:rsid w:val="0095467C"/>
    <w:rsid w:val="0095478F"/>
    <w:rsid w:val="00954CAD"/>
    <w:rsid w:val="00955667"/>
    <w:rsid w:val="00955DD3"/>
    <w:rsid w:val="00955F88"/>
    <w:rsid w:val="009567BC"/>
    <w:rsid w:val="00956E37"/>
    <w:rsid w:val="00960D61"/>
    <w:rsid w:val="00961B6F"/>
    <w:rsid w:val="009629C5"/>
    <w:rsid w:val="0096427A"/>
    <w:rsid w:val="009647B3"/>
    <w:rsid w:val="009657AA"/>
    <w:rsid w:val="00965D14"/>
    <w:rsid w:val="00966CF2"/>
    <w:rsid w:val="00967918"/>
    <w:rsid w:val="00967ACF"/>
    <w:rsid w:val="00967F0C"/>
    <w:rsid w:val="00967F37"/>
    <w:rsid w:val="009700B4"/>
    <w:rsid w:val="0097022A"/>
    <w:rsid w:val="009707A6"/>
    <w:rsid w:val="00970D2D"/>
    <w:rsid w:val="00970ED1"/>
    <w:rsid w:val="0097126D"/>
    <w:rsid w:val="009715A9"/>
    <w:rsid w:val="009725A1"/>
    <w:rsid w:val="00972944"/>
    <w:rsid w:val="009745AA"/>
    <w:rsid w:val="009767D3"/>
    <w:rsid w:val="00980EA4"/>
    <w:rsid w:val="00981041"/>
    <w:rsid w:val="009814F1"/>
    <w:rsid w:val="00981585"/>
    <w:rsid w:val="009817AF"/>
    <w:rsid w:val="00981C5C"/>
    <w:rsid w:val="00982597"/>
    <w:rsid w:val="00983EF9"/>
    <w:rsid w:val="00984242"/>
    <w:rsid w:val="00984356"/>
    <w:rsid w:val="009849BF"/>
    <w:rsid w:val="00985379"/>
    <w:rsid w:val="00986C40"/>
    <w:rsid w:val="00987102"/>
    <w:rsid w:val="009871BC"/>
    <w:rsid w:val="0098732A"/>
    <w:rsid w:val="00987422"/>
    <w:rsid w:val="00987634"/>
    <w:rsid w:val="00990BB4"/>
    <w:rsid w:val="00990C1C"/>
    <w:rsid w:val="00991062"/>
    <w:rsid w:val="009915E7"/>
    <w:rsid w:val="00991881"/>
    <w:rsid w:val="00991C1A"/>
    <w:rsid w:val="0099238E"/>
    <w:rsid w:val="00992D17"/>
    <w:rsid w:val="00994043"/>
    <w:rsid w:val="009949D1"/>
    <w:rsid w:val="00994B52"/>
    <w:rsid w:val="00995610"/>
    <w:rsid w:val="00995760"/>
    <w:rsid w:val="00995962"/>
    <w:rsid w:val="00997B19"/>
    <w:rsid w:val="009A0B6A"/>
    <w:rsid w:val="009A0BA9"/>
    <w:rsid w:val="009A14D7"/>
    <w:rsid w:val="009A166F"/>
    <w:rsid w:val="009A16D4"/>
    <w:rsid w:val="009A1799"/>
    <w:rsid w:val="009A1839"/>
    <w:rsid w:val="009A37DD"/>
    <w:rsid w:val="009A41C7"/>
    <w:rsid w:val="009A44E9"/>
    <w:rsid w:val="009A5F04"/>
    <w:rsid w:val="009A60D0"/>
    <w:rsid w:val="009A6105"/>
    <w:rsid w:val="009A6E9F"/>
    <w:rsid w:val="009A713F"/>
    <w:rsid w:val="009A7348"/>
    <w:rsid w:val="009B03E3"/>
    <w:rsid w:val="009B245A"/>
    <w:rsid w:val="009B273B"/>
    <w:rsid w:val="009B466F"/>
    <w:rsid w:val="009B490E"/>
    <w:rsid w:val="009B5EFF"/>
    <w:rsid w:val="009B702E"/>
    <w:rsid w:val="009B734A"/>
    <w:rsid w:val="009B7556"/>
    <w:rsid w:val="009B7C55"/>
    <w:rsid w:val="009C11C9"/>
    <w:rsid w:val="009C1895"/>
    <w:rsid w:val="009C1FDC"/>
    <w:rsid w:val="009C2D5E"/>
    <w:rsid w:val="009C2EF9"/>
    <w:rsid w:val="009C3848"/>
    <w:rsid w:val="009C5107"/>
    <w:rsid w:val="009C69FE"/>
    <w:rsid w:val="009C7572"/>
    <w:rsid w:val="009D0929"/>
    <w:rsid w:val="009D2173"/>
    <w:rsid w:val="009D257E"/>
    <w:rsid w:val="009D25B6"/>
    <w:rsid w:val="009D2917"/>
    <w:rsid w:val="009D2937"/>
    <w:rsid w:val="009D340D"/>
    <w:rsid w:val="009D3897"/>
    <w:rsid w:val="009D41C6"/>
    <w:rsid w:val="009D46B6"/>
    <w:rsid w:val="009D474C"/>
    <w:rsid w:val="009D51BE"/>
    <w:rsid w:val="009D62D4"/>
    <w:rsid w:val="009D682E"/>
    <w:rsid w:val="009D6BCE"/>
    <w:rsid w:val="009D7650"/>
    <w:rsid w:val="009D7994"/>
    <w:rsid w:val="009D7F7B"/>
    <w:rsid w:val="009E14F3"/>
    <w:rsid w:val="009E16F4"/>
    <w:rsid w:val="009E1764"/>
    <w:rsid w:val="009E2074"/>
    <w:rsid w:val="009E2CF0"/>
    <w:rsid w:val="009E46BC"/>
    <w:rsid w:val="009E484F"/>
    <w:rsid w:val="009E5149"/>
    <w:rsid w:val="009E51EA"/>
    <w:rsid w:val="009E5FB0"/>
    <w:rsid w:val="009E6909"/>
    <w:rsid w:val="009E6AB7"/>
    <w:rsid w:val="009E70A1"/>
    <w:rsid w:val="009F0A7B"/>
    <w:rsid w:val="009F105E"/>
    <w:rsid w:val="009F11AB"/>
    <w:rsid w:val="009F1CD7"/>
    <w:rsid w:val="009F2E84"/>
    <w:rsid w:val="009F31B1"/>
    <w:rsid w:val="009F357E"/>
    <w:rsid w:val="009F3FD1"/>
    <w:rsid w:val="009F4D69"/>
    <w:rsid w:val="009F50BF"/>
    <w:rsid w:val="009F5742"/>
    <w:rsid w:val="009F6312"/>
    <w:rsid w:val="009F7673"/>
    <w:rsid w:val="00A004BD"/>
    <w:rsid w:val="00A00F2B"/>
    <w:rsid w:val="00A02FCF"/>
    <w:rsid w:val="00A03266"/>
    <w:rsid w:val="00A033E2"/>
    <w:rsid w:val="00A04DAD"/>
    <w:rsid w:val="00A056BC"/>
    <w:rsid w:val="00A058FA"/>
    <w:rsid w:val="00A05B0F"/>
    <w:rsid w:val="00A05C3E"/>
    <w:rsid w:val="00A05FDE"/>
    <w:rsid w:val="00A06C0D"/>
    <w:rsid w:val="00A0731D"/>
    <w:rsid w:val="00A079EE"/>
    <w:rsid w:val="00A07A67"/>
    <w:rsid w:val="00A07E60"/>
    <w:rsid w:val="00A100B7"/>
    <w:rsid w:val="00A10314"/>
    <w:rsid w:val="00A11958"/>
    <w:rsid w:val="00A13911"/>
    <w:rsid w:val="00A13C0E"/>
    <w:rsid w:val="00A14BC6"/>
    <w:rsid w:val="00A14D84"/>
    <w:rsid w:val="00A14DE5"/>
    <w:rsid w:val="00A16887"/>
    <w:rsid w:val="00A17262"/>
    <w:rsid w:val="00A17682"/>
    <w:rsid w:val="00A17801"/>
    <w:rsid w:val="00A20F3B"/>
    <w:rsid w:val="00A21AEC"/>
    <w:rsid w:val="00A21B84"/>
    <w:rsid w:val="00A2210C"/>
    <w:rsid w:val="00A223B6"/>
    <w:rsid w:val="00A22A3D"/>
    <w:rsid w:val="00A23912"/>
    <w:rsid w:val="00A23D69"/>
    <w:rsid w:val="00A2439E"/>
    <w:rsid w:val="00A26E65"/>
    <w:rsid w:val="00A27123"/>
    <w:rsid w:val="00A3041B"/>
    <w:rsid w:val="00A30C1B"/>
    <w:rsid w:val="00A31836"/>
    <w:rsid w:val="00A31CF0"/>
    <w:rsid w:val="00A32064"/>
    <w:rsid w:val="00A328D5"/>
    <w:rsid w:val="00A32D42"/>
    <w:rsid w:val="00A33D79"/>
    <w:rsid w:val="00A343EA"/>
    <w:rsid w:val="00A34772"/>
    <w:rsid w:val="00A352C3"/>
    <w:rsid w:val="00A354CA"/>
    <w:rsid w:val="00A35A8A"/>
    <w:rsid w:val="00A35AA5"/>
    <w:rsid w:val="00A36538"/>
    <w:rsid w:val="00A40E06"/>
    <w:rsid w:val="00A412C4"/>
    <w:rsid w:val="00A41FAA"/>
    <w:rsid w:val="00A41FD0"/>
    <w:rsid w:val="00A42B85"/>
    <w:rsid w:val="00A42CD8"/>
    <w:rsid w:val="00A43139"/>
    <w:rsid w:val="00A43722"/>
    <w:rsid w:val="00A440C1"/>
    <w:rsid w:val="00A443B7"/>
    <w:rsid w:val="00A44528"/>
    <w:rsid w:val="00A44B93"/>
    <w:rsid w:val="00A45636"/>
    <w:rsid w:val="00A45DA6"/>
    <w:rsid w:val="00A46AA4"/>
    <w:rsid w:val="00A47042"/>
    <w:rsid w:val="00A479CA"/>
    <w:rsid w:val="00A504A0"/>
    <w:rsid w:val="00A50D0C"/>
    <w:rsid w:val="00A51253"/>
    <w:rsid w:val="00A5152C"/>
    <w:rsid w:val="00A52C53"/>
    <w:rsid w:val="00A542E0"/>
    <w:rsid w:val="00A54419"/>
    <w:rsid w:val="00A54E47"/>
    <w:rsid w:val="00A552C2"/>
    <w:rsid w:val="00A56786"/>
    <w:rsid w:val="00A571C6"/>
    <w:rsid w:val="00A573D4"/>
    <w:rsid w:val="00A57F02"/>
    <w:rsid w:val="00A60BFF"/>
    <w:rsid w:val="00A61590"/>
    <w:rsid w:val="00A634C3"/>
    <w:rsid w:val="00A640F2"/>
    <w:rsid w:val="00A655D0"/>
    <w:rsid w:val="00A65684"/>
    <w:rsid w:val="00A6570C"/>
    <w:rsid w:val="00A659E8"/>
    <w:rsid w:val="00A6724A"/>
    <w:rsid w:val="00A67431"/>
    <w:rsid w:val="00A67616"/>
    <w:rsid w:val="00A70148"/>
    <w:rsid w:val="00A70318"/>
    <w:rsid w:val="00A70607"/>
    <w:rsid w:val="00A7071E"/>
    <w:rsid w:val="00A70831"/>
    <w:rsid w:val="00A71B05"/>
    <w:rsid w:val="00A72522"/>
    <w:rsid w:val="00A72E38"/>
    <w:rsid w:val="00A7312C"/>
    <w:rsid w:val="00A7331A"/>
    <w:rsid w:val="00A74E68"/>
    <w:rsid w:val="00A77BB3"/>
    <w:rsid w:val="00A8177F"/>
    <w:rsid w:val="00A81E1B"/>
    <w:rsid w:val="00A832EA"/>
    <w:rsid w:val="00A83541"/>
    <w:rsid w:val="00A83BC2"/>
    <w:rsid w:val="00A84133"/>
    <w:rsid w:val="00A84300"/>
    <w:rsid w:val="00A843C7"/>
    <w:rsid w:val="00A84B0F"/>
    <w:rsid w:val="00A85633"/>
    <w:rsid w:val="00A85AB8"/>
    <w:rsid w:val="00A85B9F"/>
    <w:rsid w:val="00A85D69"/>
    <w:rsid w:val="00A86225"/>
    <w:rsid w:val="00A866B4"/>
    <w:rsid w:val="00A868B8"/>
    <w:rsid w:val="00A86B9D"/>
    <w:rsid w:val="00A8790F"/>
    <w:rsid w:val="00A9146B"/>
    <w:rsid w:val="00A9159C"/>
    <w:rsid w:val="00A92662"/>
    <w:rsid w:val="00A92DD8"/>
    <w:rsid w:val="00A93759"/>
    <w:rsid w:val="00A93CE6"/>
    <w:rsid w:val="00A953F9"/>
    <w:rsid w:val="00A968EB"/>
    <w:rsid w:val="00A97C1E"/>
    <w:rsid w:val="00AA0340"/>
    <w:rsid w:val="00AA0D2B"/>
    <w:rsid w:val="00AA1215"/>
    <w:rsid w:val="00AA15A1"/>
    <w:rsid w:val="00AA1C27"/>
    <w:rsid w:val="00AA269A"/>
    <w:rsid w:val="00AA2749"/>
    <w:rsid w:val="00AA3800"/>
    <w:rsid w:val="00AA3CF0"/>
    <w:rsid w:val="00AA5FF3"/>
    <w:rsid w:val="00AA6519"/>
    <w:rsid w:val="00AA7A22"/>
    <w:rsid w:val="00AA7D66"/>
    <w:rsid w:val="00AA7F0C"/>
    <w:rsid w:val="00AB0BC0"/>
    <w:rsid w:val="00AB13F0"/>
    <w:rsid w:val="00AB1A8B"/>
    <w:rsid w:val="00AB2385"/>
    <w:rsid w:val="00AB2502"/>
    <w:rsid w:val="00AB267D"/>
    <w:rsid w:val="00AB2738"/>
    <w:rsid w:val="00AB348E"/>
    <w:rsid w:val="00AB383E"/>
    <w:rsid w:val="00AB43AC"/>
    <w:rsid w:val="00AB4536"/>
    <w:rsid w:val="00AB5E3A"/>
    <w:rsid w:val="00AB5FFA"/>
    <w:rsid w:val="00AB6985"/>
    <w:rsid w:val="00AB6F3C"/>
    <w:rsid w:val="00AB7531"/>
    <w:rsid w:val="00AC1DA7"/>
    <w:rsid w:val="00AC228C"/>
    <w:rsid w:val="00AC2AF5"/>
    <w:rsid w:val="00AC2B4B"/>
    <w:rsid w:val="00AC2DC5"/>
    <w:rsid w:val="00AC31B1"/>
    <w:rsid w:val="00AC3DD5"/>
    <w:rsid w:val="00AC427A"/>
    <w:rsid w:val="00AC42FA"/>
    <w:rsid w:val="00AC460F"/>
    <w:rsid w:val="00AC4772"/>
    <w:rsid w:val="00AC56F5"/>
    <w:rsid w:val="00AC57E5"/>
    <w:rsid w:val="00AC6100"/>
    <w:rsid w:val="00AC6A1C"/>
    <w:rsid w:val="00AC6C6B"/>
    <w:rsid w:val="00AD06EC"/>
    <w:rsid w:val="00AD0977"/>
    <w:rsid w:val="00AD1529"/>
    <w:rsid w:val="00AD19CD"/>
    <w:rsid w:val="00AD1D0D"/>
    <w:rsid w:val="00AD1DAF"/>
    <w:rsid w:val="00AD244A"/>
    <w:rsid w:val="00AD27ED"/>
    <w:rsid w:val="00AD2BD9"/>
    <w:rsid w:val="00AD347C"/>
    <w:rsid w:val="00AD4276"/>
    <w:rsid w:val="00AD55C7"/>
    <w:rsid w:val="00AD5D43"/>
    <w:rsid w:val="00AD6007"/>
    <w:rsid w:val="00AD6649"/>
    <w:rsid w:val="00AD6B47"/>
    <w:rsid w:val="00AD744D"/>
    <w:rsid w:val="00AD7777"/>
    <w:rsid w:val="00AE08AE"/>
    <w:rsid w:val="00AE0984"/>
    <w:rsid w:val="00AE0EAE"/>
    <w:rsid w:val="00AE15D9"/>
    <w:rsid w:val="00AE2050"/>
    <w:rsid w:val="00AE21E0"/>
    <w:rsid w:val="00AE2258"/>
    <w:rsid w:val="00AE274A"/>
    <w:rsid w:val="00AE30EE"/>
    <w:rsid w:val="00AE5EE4"/>
    <w:rsid w:val="00AE5F09"/>
    <w:rsid w:val="00AE65BA"/>
    <w:rsid w:val="00AE65E2"/>
    <w:rsid w:val="00AE6918"/>
    <w:rsid w:val="00AE6CFD"/>
    <w:rsid w:val="00AE71B9"/>
    <w:rsid w:val="00AE7347"/>
    <w:rsid w:val="00AF02FC"/>
    <w:rsid w:val="00AF18E4"/>
    <w:rsid w:val="00AF21F0"/>
    <w:rsid w:val="00AF37AA"/>
    <w:rsid w:val="00AF3D98"/>
    <w:rsid w:val="00AF4F7A"/>
    <w:rsid w:val="00AF546E"/>
    <w:rsid w:val="00AF55B8"/>
    <w:rsid w:val="00AF5729"/>
    <w:rsid w:val="00AF6EF1"/>
    <w:rsid w:val="00AF7243"/>
    <w:rsid w:val="00B00487"/>
    <w:rsid w:val="00B00607"/>
    <w:rsid w:val="00B00C01"/>
    <w:rsid w:val="00B00D99"/>
    <w:rsid w:val="00B0261D"/>
    <w:rsid w:val="00B02952"/>
    <w:rsid w:val="00B02DFE"/>
    <w:rsid w:val="00B0394F"/>
    <w:rsid w:val="00B04CC9"/>
    <w:rsid w:val="00B05C36"/>
    <w:rsid w:val="00B06986"/>
    <w:rsid w:val="00B07E38"/>
    <w:rsid w:val="00B07F76"/>
    <w:rsid w:val="00B110D2"/>
    <w:rsid w:val="00B13CA1"/>
    <w:rsid w:val="00B15DDB"/>
    <w:rsid w:val="00B171E4"/>
    <w:rsid w:val="00B17811"/>
    <w:rsid w:val="00B17844"/>
    <w:rsid w:val="00B17F7A"/>
    <w:rsid w:val="00B20F81"/>
    <w:rsid w:val="00B21631"/>
    <w:rsid w:val="00B2190D"/>
    <w:rsid w:val="00B21AB7"/>
    <w:rsid w:val="00B227FA"/>
    <w:rsid w:val="00B22CC1"/>
    <w:rsid w:val="00B23E42"/>
    <w:rsid w:val="00B247F6"/>
    <w:rsid w:val="00B24AEE"/>
    <w:rsid w:val="00B24E41"/>
    <w:rsid w:val="00B2581D"/>
    <w:rsid w:val="00B25829"/>
    <w:rsid w:val="00B25D7E"/>
    <w:rsid w:val="00B26D82"/>
    <w:rsid w:val="00B26E9F"/>
    <w:rsid w:val="00B302F1"/>
    <w:rsid w:val="00B30F57"/>
    <w:rsid w:val="00B31012"/>
    <w:rsid w:val="00B31216"/>
    <w:rsid w:val="00B3359C"/>
    <w:rsid w:val="00B3388C"/>
    <w:rsid w:val="00B341A3"/>
    <w:rsid w:val="00B34434"/>
    <w:rsid w:val="00B34B8C"/>
    <w:rsid w:val="00B34CFA"/>
    <w:rsid w:val="00B352CA"/>
    <w:rsid w:val="00B35467"/>
    <w:rsid w:val="00B35DBE"/>
    <w:rsid w:val="00B3619C"/>
    <w:rsid w:val="00B3656B"/>
    <w:rsid w:val="00B36EE1"/>
    <w:rsid w:val="00B37464"/>
    <w:rsid w:val="00B37596"/>
    <w:rsid w:val="00B40C20"/>
    <w:rsid w:val="00B40DCD"/>
    <w:rsid w:val="00B41AEA"/>
    <w:rsid w:val="00B42CD8"/>
    <w:rsid w:val="00B42E32"/>
    <w:rsid w:val="00B42E89"/>
    <w:rsid w:val="00B43646"/>
    <w:rsid w:val="00B43B97"/>
    <w:rsid w:val="00B43EBC"/>
    <w:rsid w:val="00B43F8D"/>
    <w:rsid w:val="00B44868"/>
    <w:rsid w:val="00B44C38"/>
    <w:rsid w:val="00B45257"/>
    <w:rsid w:val="00B45983"/>
    <w:rsid w:val="00B45B8F"/>
    <w:rsid w:val="00B46932"/>
    <w:rsid w:val="00B47F5C"/>
    <w:rsid w:val="00B50704"/>
    <w:rsid w:val="00B51052"/>
    <w:rsid w:val="00B51C39"/>
    <w:rsid w:val="00B53476"/>
    <w:rsid w:val="00B535C6"/>
    <w:rsid w:val="00B54781"/>
    <w:rsid w:val="00B54FC6"/>
    <w:rsid w:val="00B550CC"/>
    <w:rsid w:val="00B55356"/>
    <w:rsid w:val="00B5607C"/>
    <w:rsid w:val="00B57056"/>
    <w:rsid w:val="00B570F3"/>
    <w:rsid w:val="00B609AE"/>
    <w:rsid w:val="00B617B5"/>
    <w:rsid w:val="00B631EA"/>
    <w:rsid w:val="00B639CB"/>
    <w:rsid w:val="00B63AB5"/>
    <w:rsid w:val="00B65D1C"/>
    <w:rsid w:val="00B67C6A"/>
    <w:rsid w:val="00B67E8F"/>
    <w:rsid w:val="00B67FD5"/>
    <w:rsid w:val="00B70390"/>
    <w:rsid w:val="00B711AE"/>
    <w:rsid w:val="00B71D49"/>
    <w:rsid w:val="00B71DD7"/>
    <w:rsid w:val="00B71EB7"/>
    <w:rsid w:val="00B721EB"/>
    <w:rsid w:val="00B75171"/>
    <w:rsid w:val="00B755CF"/>
    <w:rsid w:val="00B758E6"/>
    <w:rsid w:val="00B75930"/>
    <w:rsid w:val="00B760AE"/>
    <w:rsid w:val="00B76F08"/>
    <w:rsid w:val="00B8047F"/>
    <w:rsid w:val="00B80A7B"/>
    <w:rsid w:val="00B80FEA"/>
    <w:rsid w:val="00B81318"/>
    <w:rsid w:val="00B81566"/>
    <w:rsid w:val="00B82328"/>
    <w:rsid w:val="00B8251D"/>
    <w:rsid w:val="00B82A6D"/>
    <w:rsid w:val="00B82AFE"/>
    <w:rsid w:val="00B82C90"/>
    <w:rsid w:val="00B83179"/>
    <w:rsid w:val="00B83F8A"/>
    <w:rsid w:val="00B84BEC"/>
    <w:rsid w:val="00B85772"/>
    <w:rsid w:val="00B8585B"/>
    <w:rsid w:val="00B875DC"/>
    <w:rsid w:val="00B901C9"/>
    <w:rsid w:val="00B9153C"/>
    <w:rsid w:val="00B9195D"/>
    <w:rsid w:val="00B91A25"/>
    <w:rsid w:val="00B91DE8"/>
    <w:rsid w:val="00B925DB"/>
    <w:rsid w:val="00B9283F"/>
    <w:rsid w:val="00B92D12"/>
    <w:rsid w:val="00B93538"/>
    <w:rsid w:val="00B93AA7"/>
    <w:rsid w:val="00B93B0B"/>
    <w:rsid w:val="00B93FA5"/>
    <w:rsid w:val="00B95F71"/>
    <w:rsid w:val="00B961BA"/>
    <w:rsid w:val="00B97113"/>
    <w:rsid w:val="00B97C84"/>
    <w:rsid w:val="00BA0832"/>
    <w:rsid w:val="00BA187B"/>
    <w:rsid w:val="00BA24FA"/>
    <w:rsid w:val="00BA2F53"/>
    <w:rsid w:val="00BA30C3"/>
    <w:rsid w:val="00BA316D"/>
    <w:rsid w:val="00BA3D79"/>
    <w:rsid w:val="00BA4108"/>
    <w:rsid w:val="00BA4981"/>
    <w:rsid w:val="00BA51B7"/>
    <w:rsid w:val="00BA553A"/>
    <w:rsid w:val="00BA5D08"/>
    <w:rsid w:val="00BA6C7F"/>
    <w:rsid w:val="00BA6CEC"/>
    <w:rsid w:val="00BA7374"/>
    <w:rsid w:val="00BA78AC"/>
    <w:rsid w:val="00BA7DC4"/>
    <w:rsid w:val="00BB0B69"/>
    <w:rsid w:val="00BB0F28"/>
    <w:rsid w:val="00BB10F4"/>
    <w:rsid w:val="00BB138D"/>
    <w:rsid w:val="00BB153E"/>
    <w:rsid w:val="00BB1CD9"/>
    <w:rsid w:val="00BB25C2"/>
    <w:rsid w:val="00BB29A3"/>
    <w:rsid w:val="00BB3114"/>
    <w:rsid w:val="00BB346A"/>
    <w:rsid w:val="00BB50FE"/>
    <w:rsid w:val="00BB5729"/>
    <w:rsid w:val="00BB5A60"/>
    <w:rsid w:val="00BB5B34"/>
    <w:rsid w:val="00BB5E59"/>
    <w:rsid w:val="00BB629D"/>
    <w:rsid w:val="00BB7CFB"/>
    <w:rsid w:val="00BC1BDB"/>
    <w:rsid w:val="00BC2DB3"/>
    <w:rsid w:val="00BC5712"/>
    <w:rsid w:val="00BC6AA0"/>
    <w:rsid w:val="00BC71D9"/>
    <w:rsid w:val="00BC74DD"/>
    <w:rsid w:val="00BD03E8"/>
    <w:rsid w:val="00BD07BC"/>
    <w:rsid w:val="00BD0A11"/>
    <w:rsid w:val="00BD0FC3"/>
    <w:rsid w:val="00BD112D"/>
    <w:rsid w:val="00BD1F30"/>
    <w:rsid w:val="00BD26FC"/>
    <w:rsid w:val="00BD2989"/>
    <w:rsid w:val="00BD2F61"/>
    <w:rsid w:val="00BD31F7"/>
    <w:rsid w:val="00BD3DDF"/>
    <w:rsid w:val="00BD48D4"/>
    <w:rsid w:val="00BD540F"/>
    <w:rsid w:val="00BD5894"/>
    <w:rsid w:val="00BD5D41"/>
    <w:rsid w:val="00BD614F"/>
    <w:rsid w:val="00BD67EF"/>
    <w:rsid w:val="00BD6B60"/>
    <w:rsid w:val="00BD6BA4"/>
    <w:rsid w:val="00BE1EAB"/>
    <w:rsid w:val="00BE30FE"/>
    <w:rsid w:val="00BE33C6"/>
    <w:rsid w:val="00BE40EC"/>
    <w:rsid w:val="00BE5D60"/>
    <w:rsid w:val="00BE604D"/>
    <w:rsid w:val="00BE6902"/>
    <w:rsid w:val="00BE696E"/>
    <w:rsid w:val="00BF1071"/>
    <w:rsid w:val="00BF1C35"/>
    <w:rsid w:val="00BF2449"/>
    <w:rsid w:val="00BF2748"/>
    <w:rsid w:val="00BF2F60"/>
    <w:rsid w:val="00BF312A"/>
    <w:rsid w:val="00BF3CFD"/>
    <w:rsid w:val="00BF3E95"/>
    <w:rsid w:val="00BF5085"/>
    <w:rsid w:val="00BF664C"/>
    <w:rsid w:val="00BF7136"/>
    <w:rsid w:val="00BF7CAE"/>
    <w:rsid w:val="00BF7FFD"/>
    <w:rsid w:val="00C01987"/>
    <w:rsid w:val="00C01A90"/>
    <w:rsid w:val="00C01F94"/>
    <w:rsid w:val="00C02778"/>
    <w:rsid w:val="00C02FF9"/>
    <w:rsid w:val="00C032ED"/>
    <w:rsid w:val="00C0362E"/>
    <w:rsid w:val="00C036E7"/>
    <w:rsid w:val="00C03A1E"/>
    <w:rsid w:val="00C06A74"/>
    <w:rsid w:val="00C072E7"/>
    <w:rsid w:val="00C142FB"/>
    <w:rsid w:val="00C160CC"/>
    <w:rsid w:val="00C16258"/>
    <w:rsid w:val="00C168EA"/>
    <w:rsid w:val="00C16EB1"/>
    <w:rsid w:val="00C16FD2"/>
    <w:rsid w:val="00C170C5"/>
    <w:rsid w:val="00C17DAD"/>
    <w:rsid w:val="00C20718"/>
    <w:rsid w:val="00C21414"/>
    <w:rsid w:val="00C21441"/>
    <w:rsid w:val="00C2193F"/>
    <w:rsid w:val="00C21DAB"/>
    <w:rsid w:val="00C23F7E"/>
    <w:rsid w:val="00C2422A"/>
    <w:rsid w:val="00C24395"/>
    <w:rsid w:val="00C24914"/>
    <w:rsid w:val="00C25818"/>
    <w:rsid w:val="00C259E2"/>
    <w:rsid w:val="00C25AD0"/>
    <w:rsid w:val="00C25FAB"/>
    <w:rsid w:val="00C26B58"/>
    <w:rsid w:val="00C26B7B"/>
    <w:rsid w:val="00C27123"/>
    <w:rsid w:val="00C27818"/>
    <w:rsid w:val="00C27934"/>
    <w:rsid w:val="00C3110C"/>
    <w:rsid w:val="00C318D4"/>
    <w:rsid w:val="00C33927"/>
    <w:rsid w:val="00C33C77"/>
    <w:rsid w:val="00C3413D"/>
    <w:rsid w:val="00C34CE9"/>
    <w:rsid w:val="00C35046"/>
    <w:rsid w:val="00C3527A"/>
    <w:rsid w:val="00C35C47"/>
    <w:rsid w:val="00C37627"/>
    <w:rsid w:val="00C37E4C"/>
    <w:rsid w:val="00C37F90"/>
    <w:rsid w:val="00C405CB"/>
    <w:rsid w:val="00C41042"/>
    <w:rsid w:val="00C419C9"/>
    <w:rsid w:val="00C41B1E"/>
    <w:rsid w:val="00C43065"/>
    <w:rsid w:val="00C43100"/>
    <w:rsid w:val="00C43309"/>
    <w:rsid w:val="00C43715"/>
    <w:rsid w:val="00C43E7C"/>
    <w:rsid w:val="00C43EFB"/>
    <w:rsid w:val="00C45D16"/>
    <w:rsid w:val="00C4700F"/>
    <w:rsid w:val="00C47FB5"/>
    <w:rsid w:val="00C510EC"/>
    <w:rsid w:val="00C51399"/>
    <w:rsid w:val="00C51651"/>
    <w:rsid w:val="00C52132"/>
    <w:rsid w:val="00C52A89"/>
    <w:rsid w:val="00C5338F"/>
    <w:rsid w:val="00C53605"/>
    <w:rsid w:val="00C53E9A"/>
    <w:rsid w:val="00C549F7"/>
    <w:rsid w:val="00C55187"/>
    <w:rsid w:val="00C57FA5"/>
    <w:rsid w:val="00C61210"/>
    <w:rsid w:val="00C614E9"/>
    <w:rsid w:val="00C628FB"/>
    <w:rsid w:val="00C6402A"/>
    <w:rsid w:val="00C64689"/>
    <w:rsid w:val="00C649C4"/>
    <w:rsid w:val="00C661D3"/>
    <w:rsid w:val="00C67B4B"/>
    <w:rsid w:val="00C67EF6"/>
    <w:rsid w:val="00C7013D"/>
    <w:rsid w:val="00C71042"/>
    <w:rsid w:val="00C71422"/>
    <w:rsid w:val="00C71F43"/>
    <w:rsid w:val="00C75516"/>
    <w:rsid w:val="00C7573D"/>
    <w:rsid w:val="00C75C77"/>
    <w:rsid w:val="00C7603A"/>
    <w:rsid w:val="00C7666E"/>
    <w:rsid w:val="00C76BF3"/>
    <w:rsid w:val="00C76F50"/>
    <w:rsid w:val="00C777DA"/>
    <w:rsid w:val="00C80728"/>
    <w:rsid w:val="00C80C9E"/>
    <w:rsid w:val="00C8135D"/>
    <w:rsid w:val="00C81A00"/>
    <w:rsid w:val="00C81F30"/>
    <w:rsid w:val="00C8301F"/>
    <w:rsid w:val="00C84844"/>
    <w:rsid w:val="00C850B7"/>
    <w:rsid w:val="00C85179"/>
    <w:rsid w:val="00C85210"/>
    <w:rsid w:val="00C8568D"/>
    <w:rsid w:val="00C85FBD"/>
    <w:rsid w:val="00C865BF"/>
    <w:rsid w:val="00C870C2"/>
    <w:rsid w:val="00C87343"/>
    <w:rsid w:val="00C90A1D"/>
    <w:rsid w:val="00C90D12"/>
    <w:rsid w:val="00C9210F"/>
    <w:rsid w:val="00C922E1"/>
    <w:rsid w:val="00C9234E"/>
    <w:rsid w:val="00C92749"/>
    <w:rsid w:val="00C93176"/>
    <w:rsid w:val="00C940E7"/>
    <w:rsid w:val="00C95AE0"/>
    <w:rsid w:val="00C970A5"/>
    <w:rsid w:val="00C974CF"/>
    <w:rsid w:val="00C97CCD"/>
    <w:rsid w:val="00C97D1F"/>
    <w:rsid w:val="00C97E9F"/>
    <w:rsid w:val="00CA0548"/>
    <w:rsid w:val="00CA12E6"/>
    <w:rsid w:val="00CA23E4"/>
    <w:rsid w:val="00CA26E3"/>
    <w:rsid w:val="00CA30B1"/>
    <w:rsid w:val="00CA3782"/>
    <w:rsid w:val="00CA3B1D"/>
    <w:rsid w:val="00CA4406"/>
    <w:rsid w:val="00CA65B5"/>
    <w:rsid w:val="00CA67CD"/>
    <w:rsid w:val="00CA680A"/>
    <w:rsid w:val="00CA7485"/>
    <w:rsid w:val="00CB03D4"/>
    <w:rsid w:val="00CB1D23"/>
    <w:rsid w:val="00CB2020"/>
    <w:rsid w:val="00CB2814"/>
    <w:rsid w:val="00CB29E6"/>
    <w:rsid w:val="00CB321D"/>
    <w:rsid w:val="00CB3512"/>
    <w:rsid w:val="00CB3B1E"/>
    <w:rsid w:val="00CB3D73"/>
    <w:rsid w:val="00CB551A"/>
    <w:rsid w:val="00CB69C1"/>
    <w:rsid w:val="00CB72F7"/>
    <w:rsid w:val="00CC11D7"/>
    <w:rsid w:val="00CC1A21"/>
    <w:rsid w:val="00CC1B65"/>
    <w:rsid w:val="00CC2029"/>
    <w:rsid w:val="00CC2478"/>
    <w:rsid w:val="00CC34DA"/>
    <w:rsid w:val="00CC3AA8"/>
    <w:rsid w:val="00CC3CB4"/>
    <w:rsid w:val="00CC612C"/>
    <w:rsid w:val="00CC648F"/>
    <w:rsid w:val="00CC6771"/>
    <w:rsid w:val="00CC6F05"/>
    <w:rsid w:val="00CC72E0"/>
    <w:rsid w:val="00CC7887"/>
    <w:rsid w:val="00CD0107"/>
    <w:rsid w:val="00CD0303"/>
    <w:rsid w:val="00CD0978"/>
    <w:rsid w:val="00CD1486"/>
    <w:rsid w:val="00CD27C9"/>
    <w:rsid w:val="00CD2D50"/>
    <w:rsid w:val="00CD32EE"/>
    <w:rsid w:val="00CD33BE"/>
    <w:rsid w:val="00CD344F"/>
    <w:rsid w:val="00CD44EB"/>
    <w:rsid w:val="00CD5CCB"/>
    <w:rsid w:val="00CD5CE7"/>
    <w:rsid w:val="00CD636E"/>
    <w:rsid w:val="00CD6A7F"/>
    <w:rsid w:val="00CD7BB3"/>
    <w:rsid w:val="00CE0119"/>
    <w:rsid w:val="00CE07F9"/>
    <w:rsid w:val="00CE1151"/>
    <w:rsid w:val="00CE14DF"/>
    <w:rsid w:val="00CE1E94"/>
    <w:rsid w:val="00CE24EA"/>
    <w:rsid w:val="00CE2C87"/>
    <w:rsid w:val="00CE492C"/>
    <w:rsid w:val="00CE4EBA"/>
    <w:rsid w:val="00CE4F3C"/>
    <w:rsid w:val="00CE6B11"/>
    <w:rsid w:val="00CE723B"/>
    <w:rsid w:val="00CF0124"/>
    <w:rsid w:val="00CF0287"/>
    <w:rsid w:val="00CF06EA"/>
    <w:rsid w:val="00CF0D05"/>
    <w:rsid w:val="00CF1DB0"/>
    <w:rsid w:val="00CF2824"/>
    <w:rsid w:val="00CF37AA"/>
    <w:rsid w:val="00CF4A96"/>
    <w:rsid w:val="00CF4EBB"/>
    <w:rsid w:val="00CF4FD6"/>
    <w:rsid w:val="00CF5078"/>
    <w:rsid w:val="00CF50E4"/>
    <w:rsid w:val="00CF62CA"/>
    <w:rsid w:val="00CF77C4"/>
    <w:rsid w:val="00D00557"/>
    <w:rsid w:val="00D02BCC"/>
    <w:rsid w:val="00D0386D"/>
    <w:rsid w:val="00D03E62"/>
    <w:rsid w:val="00D0441A"/>
    <w:rsid w:val="00D05DCE"/>
    <w:rsid w:val="00D05FD7"/>
    <w:rsid w:val="00D06037"/>
    <w:rsid w:val="00D0615E"/>
    <w:rsid w:val="00D067AF"/>
    <w:rsid w:val="00D06E4B"/>
    <w:rsid w:val="00D07630"/>
    <w:rsid w:val="00D07F1D"/>
    <w:rsid w:val="00D10286"/>
    <w:rsid w:val="00D1389A"/>
    <w:rsid w:val="00D13CD9"/>
    <w:rsid w:val="00D14D89"/>
    <w:rsid w:val="00D15B47"/>
    <w:rsid w:val="00D162DD"/>
    <w:rsid w:val="00D16565"/>
    <w:rsid w:val="00D165F3"/>
    <w:rsid w:val="00D16FBE"/>
    <w:rsid w:val="00D20EBC"/>
    <w:rsid w:val="00D219DD"/>
    <w:rsid w:val="00D22176"/>
    <w:rsid w:val="00D22643"/>
    <w:rsid w:val="00D22AC4"/>
    <w:rsid w:val="00D23975"/>
    <w:rsid w:val="00D239F2"/>
    <w:rsid w:val="00D24D0D"/>
    <w:rsid w:val="00D252F1"/>
    <w:rsid w:val="00D25CC3"/>
    <w:rsid w:val="00D260CD"/>
    <w:rsid w:val="00D26404"/>
    <w:rsid w:val="00D27255"/>
    <w:rsid w:val="00D27DB7"/>
    <w:rsid w:val="00D3190B"/>
    <w:rsid w:val="00D31CEF"/>
    <w:rsid w:val="00D32A09"/>
    <w:rsid w:val="00D3517B"/>
    <w:rsid w:val="00D35D21"/>
    <w:rsid w:val="00D36AF9"/>
    <w:rsid w:val="00D37626"/>
    <w:rsid w:val="00D37897"/>
    <w:rsid w:val="00D379DB"/>
    <w:rsid w:val="00D4046F"/>
    <w:rsid w:val="00D40C3F"/>
    <w:rsid w:val="00D41D7F"/>
    <w:rsid w:val="00D42570"/>
    <w:rsid w:val="00D42B83"/>
    <w:rsid w:val="00D42ECB"/>
    <w:rsid w:val="00D44453"/>
    <w:rsid w:val="00D44D1A"/>
    <w:rsid w:val="00D450E6"/>
    <w:rsid w:val="00D46916"/>
    <w:rsid w:val="00D478E3"/>
    <w:rsid w:val="00D500F3"/>
    <w:rsid w:val="00D501E4"/>
    <w:rsid w:val="00D509C1"/>
    <w:rsid w:val="00D50DD9"/>
    <w:rsid w:val="00D51056"/>
    <w:rsid w:val="00D512B9"/>
    <w:rsid w:val="00D51A8A"/>
    <w:rsid w:val="00D51D7E"/>
    <w:rsid w:val="00D53223"/>
    <w:rsid w:val="00D54510"/>
    <w:rsid w:val="00D54DBC"/>
    <w:rsid w:val="00D55717"/>
    <w:rsid w:val="00D55A09"/>
    <w:rsid w:val="00D563E5"/>
    <w:rsid w:val="00D61162"/>
    <w:rsid w:val="00D61E91"/>
    <w:rsid w:val="00D62016"/>
    <w:rsid w:val="00D62D55"/>
    <w:rsid w:val="00D63522"/>
    <w:rsid w:val="00D63874"/>
    <w:rsid w:val="00D65C5F"/>
    <w:rsid w:val="00D6609B"/>
    <w:rsid w:val="00D661B7"/>
    <w:rsid w:val="00D668A6"/>
    <w:rsid w:val="00D679D8"/>
    <w:rsid w:val="00D67CED"/>
    <w:rsid w:val="00D70A78"/>
    <w:rsid w:val="00D720CC"/>
    <w:rsid w:val="00D72D87"/>
    <w:rsid w:val="00D7317D"/>
    <w:rsid w:val="00D7331D"/>
    <w:rsid w:val="00D7375C"/>
    <w:rsid w:val="00D73BFB"/>
    <w:rsid w:val="00D744AE"/>
    <w:rsid w:val="00D746C0"/>
    <w:rsid w:val="00D75E1B"/>
    <w:rsid w:val="00D8067A"/>
    <w:rsid w:val="00D806D5"/>
    <w:rsid w:val="00D80AD4"/>
    <w:rsid w:val="00D80B80"/>
    <w:rsid w:val="00D80DF1"/>
    <w:rsid w:val="00D80FDF"/>
    <w:rsid w:val="00D8113B"/>
    <w:rsid w:val="00D824DD"/>
    <w:rsid w:val="00D846B8"/>
    <w:rsid w:val="00D84DDE"/>
    <w:rsid w:val="00D84F25"/>
    <w:rsid w:val="00D85993"/>
    <w:rsid w:val="00D86029"/>
    <w:rsid w:val="00D86266"/>
    <w:rsid w:val="00D8696D"/>
    <w:rsid w:val="00D86995"/>
    <w:rsid w:val="00D87BBE"/>
    <w:rsid w:val="00D91891"/>
    <w:rsid w:val="00D91E96"/>
    <w:rsid w:val="00D928C7"/>
    <w:rsid w:val="00D949B3"/>
    <w:rsid w:val="00D95535"/>
    <w:rsid w:val="00D9562A"/>
    <w:rsid w:val="00D96461"/>
    <w:rsid w:val="00D966F7"/>
    <w:rsid w:val="00D97916"/>
    <w:rsid w:val="00D97F0A"/>
    <w:rsid w:val="00DA0264"/>
    <w:rsid w:val="00DA06BF"/>
    <w:rsid w:val="00DA09C4"/>
    <w:rsid w:val="00DA140C"/>
    <w:rsid w:val="00DA28DC"/>
    <w:rsid w:val="00DA3685"/>
    <w:rsid w:val="00DA410F"/>
    <w:rsid w:val="00DA451F"/>
    <w:rsid w:val="00DA4CBE"/>
    <w:rsid w:val="00DA5147"/>
    <w:rsid w:val="00DA5224"/>
    <w:rsid w:val="00DA531D"/>
    <w:rsid w:val="00DA6C31"/>
    <w:rsid w:val="00DB042E"/>
    <w:rsid w:val="00DB0479"/>
    <w:rsid w:val="00DB0694"/>
    <w:rsid w:val="00DB0B2C"/>
    <w:rsid w:val="00DB2317"/>
    <w:rsid w:val="00DB2C1D"/>
    <w:rsid w:val="00DB3646"/>
    <w:rsid w:val="00DB4810"/>
    <w:rsid w:val="00DB5C54"/>
    <w:rsid w:val="00DB769A"/>
    <w:rsid w:val="00DB77A4"/>
    <w:rsid w:val="00DC0875"/>
    <w:rsid w:val="00DC094D"/>
    <w:rsid w:val="00DC0E58"/>
    <w:rsid w:val="00DC202D"/>
    <w:rsid w:val="00DC2108"/>
    <w:rsid w:val="00DC2545"/>
    <w:rsid w:val="00DC2B7F"/>
    <w:rsid w:val="00DC2E1C"/>
    <w:rsid w:val="00DC2E67"/>
    <w:rsid w:val="00DC4577"/>
    <w:rsid w:val="00DC475D"/>
    <w:rsid w:val="00DC5614"/>
    <w:rsid w:val="00DC7291"/>
    <w:rsid w:val="00DC7E41"/>
    <w:rsid w:val="00DC7FFD"/>
    <w:rsid w:val="00DD130C"/>
    <w:rsid w:val="00DD202E"/>
    <w:rsid w:val="00DD323D"/>
    <w:rsid w:val="00DD3288"/>
    <w:rsid w:val="00DD4DAC"/>
    <w:rsid w:val="00DD5FD3"/>
    <w:rsid w:val="00DD6C16"/>
    <w:rsid w:val="00DD6FC7"/>
    <w:rsid w:val="00DD71FD"/>
    <w:rsid w:val="00DD7294"/>
    <w:rsid w:val="00DD76F0"/>
    <w:rsid w:val="00DD7A34"/>
    <w:rsid w:val="00DE01E5"/>
    <w:rsid w:val="00DE0587"/>
    <w:rsid w:val="00DE0B95"/>
    <w:rsid w:val="00DE2601"/>
    <w:rsid w:val="00DE2E4D"/>
    <w:rsid w:val="00DE3516"/>
    <w:rsid w:val="00DE394D"/>
    <w:rsid w:val="00DE44A4"/>
    <w:rsid w:val="00DE50FC"/>
    <w:rsid w:val="00DE5744"/>
    <w:rsid w:val="00DE61C6"/>
    <w:rsid w:val="00DE7306"/>
    <w:rsid w:val="00DE78D0"/>
    <w:rsid w:val="00DF07F3"/>
    <w:rsid w:val="00DF11B7"/>
    <w:rsid w:val="00DF1684"/>
    <w:rsid w:val="00DF25CD"/>
    <w:rsid w:val="00DF3B27"/>
    <w:rsid w:val="00DF3CAB"/>
    <w:rsid w:val="00DF4E56"/>
    <w:rsid w:val="00DF5711"/>
    <w:rsid w:val="00DF66BF"/>
    <w:rsid w:val="00DF6874"/>
    <w:rsid w:val="00DF73F3"/>
    <w:rsid w:val="00DF77B6"/>
    <w:rsid w:val="00DF7DA2"/>
    <w:rsid w:val="00E0043A"/>
    <w:rsid w:val="00E008AC"/>
    <w:rsid w:val="00E00B35"/>
    <w:rsid w:val="00E01020"/>
    <w:rsid w:val="00E017B4"/>
    <w:rsid w:val="00E02330"/>
    <w:rsid w:val="00E02600"/>
    <w:rsid w:val="00E0266F"/>
    <w:rsid w:val="00E029A9"/>
    <w:rsid w:val="00E03742"/>
    <w:rsid w:val="00E03A5F"/>
    <w:rsid w:val="00E0440D"/>
    <w:rsid w:val="00E04787"/>
    <w:rsid w:val="00E05E71"/>
    <w:rsid w:val="00E05ED4"/>
    <w:rsid w:val="00E06374"/>
    <w:rsid w:val="00E0640F"/>
    <w:rsid w:val="00E06BBA"/>
    <w:rsid w:val="00E0751D"/>
    <w:rsid w:val="00E102F0"/>
    <w:rsid w:val="00E1038E"/>
    <w:rsid w:val="00E10938"/>
    <w:rsid w:val="00E10F2B"/>
    <w:rsid w:val="00E119A1"/>
    <w:rsid w:val="00E125FD"/>
    <w:rsid w:val="00E126D2"/>
    <w:rsid w:val="00E14188"/>
    <w:rsid w:val="00E14925"/>
    <w:rsid w:val="00E15724"/>
    <w:rsid w:val="00E15B56"/>
    <w:rsid w:val="00E15CC2"/>
    <w:rsid w:val="00E15FE6"/>
    <w:rsid w:val="00E164E8"/>
    <w:rsid w:val="00E17EC7"/>
    <w:rsid w:val="00E2014E"/>
    <w:rsid w:val="00E203FE"/>
    <w:rsid w:val="00E2097D"/>
    <w:rsid w:val="00E21A00"/>
    <w:rsid w:val="00E23D54"/>
    <w:rsid w:val="00E24679"/>
    <w:rsid w:val="00E26472"/>
    <w:rsid w:val="00E271C4"/>
    <w:rsid w:val="00E27AF9"/>
    <w:rsid w:val="00E308CB"/>
    <w:rsid w:val="00E308F1"/>
    <w:rsid w:val="00E32892"/>
    <w:rsid w:val="00E35423"/>
    <w:rsid w:val="00E3652F"/>
    <w:rsid w:val="00E36EBC"/>
    <w:rsid w:val="00E3741D"/>
    <w:rsid w:val="00E40056"/>
    <w:rsid w:val="00E4034E"/>
    <w:rsid w:val="00E4081B"/>
    <w:rsid w:val="00E40A4A"/>
    <w:rsid w:val="00E40D8A"/>
    <w:rsid w:val="00E40F38"/>
    <w:rsid w:val="00E41259"/>
    <w:rsid w:val="00E41AB3"/>
    <w:rsid w:val="00E42567"/>
    <w:rsid w:val="00E42F8A"/>
    <w:rsid w:val="00E43BCE"/>
    <w:rsid w:val="00E44A90"/>
    <w:rsid w:val="00E454F3"/>
    <w:rsid w:val="00E4554A"/>
    <w:rsid w:val="00E45C17"/>
    <w:rsid w:val="00E52F94"/>
    <w:rsid w:val="00E53B2B"/>
    <w:rsid w:val="00E54326"/>
    <w:rsid w:val="00E54BD3"/>
    <w:rsid w:val="00E5505D"/>
    <w:rsid w:val="00E55125"/>
    <w:rsid w:val="00E56657"/>
    <w:rsid w:val="00E566B8"/>
    <w:rsid w:val="00E602AA"/>
    <w:rsid w:val="00E607EE"/>
    <w:rsid w:val="00E61A4B"/>
    <w:rsid w:val="00E622E8"/>
    <w:rsid w:val="00E631DD"/>
    <w:rsid w:val="00E63813"/>
    <w:rsid w:val="00E643B9"/>
    <w:rsid w:val="00E64922"/>
    <w:rsid w:val="00E64EDE"/>
    <w:rsid w:val="00E65EDE"/>
    <w:rsid w:val="00E661AF"/>
    <w:rsid w:val="00E663FF"/>
    <w:rsid w:val="00E668B2"/>
    <w:rsid w:val="00E67CBF"/>
    <w:rsid w:val="00E71624"/>
    <w:rsid w:val="00E716A1"/>
    <w:rsid w:val="00E71993"/>
    <w:rsid w:val="00E728C0"/>
    <w:rsid w:val="00E72DB2"/>
    <w:rsid w:val="00E730AB"/>
    <w:rsid w:val="00E73A05"/>
    <w:rsid w:val="00E73E99"/>
    <w:rsid w:val="00E75179"/>
    <w:rsid w:val="00E752A7"/>
    <w:rsid w:val="00E7598B"/>
    <w:rsid w:val="00E76F58"/>
    <w:rsid w:val="00E800FB"/>
    <w:rsid w:val="00E80A91"/>
    <w:rsid w:val="00E80E98"/>
    <w:rsid w:val="00E8100B"/>
    <w:rsid w:val="00E8104C"/>
    <w:rsid w:val="00E8176D"/>
    <w:rsid w:val="00E82151"/>
    <w:rsid w:val="00E82874"/>
    <w:rsid w:val="00E82A94"/>
    <w:rsid w:val="00E82FEE"/>
    <w:rsid w:val="00E842F1"/>
    <w:rsid w:val="00E84821"/>
    <w:rsid w:val="00E84DB2"/>
    <w:rsid w:val="00E87350"/>
    <w:rsid w:val="00E90EDA"/>
    <w:rsid w:val="00E9119E"/>
    <w:rsid w:val="00E93F40"/>
    <w:rsid w:val="00E93F83"/>
    <w:rsid w:val="00E94201"/>
    <w:rsid w:val="00E94210"/>
    <w:rsid w:val="00E95108"/>
    <w:rsid w:val="00E9542D"/>
    <w:rsid w:val="00E95BEC"/>
    <w:rsid w:val="00E95DE7"/>
    <w:rsid w:val="00E960A8"/>
    <w:rsid w:val="00E9646D"/>
    <w:rsid w:val="00E96993"/>
    <w:rsid w:val="00E96BE0"/>
    <w:rsid w:val="00E96BF9"/>
    <w:rsid w:val="00E96D1B"/>
    <w:rsid w:val="00E97F1E"/>
    <w:rsid w:val="00EA0402"/>
    <w:rsid w:val="00EA063D"/>
    <w:rsid w:val="00EA0738"/>
    <w:rsid w:val="00EA09A9"/>
    <w:rsid w:val="00EA0A0E"/>
    <w:rsid w:val="00EA16A0"/>
    <w:rsid w:val="00EA19B3"/>
    <w:rsid w:val="00EA3E8B"/>
    <w:rsid w:val="00EA4117"/>
    <w:rsid w:val="00EA47E9"/>
    <w:rsid w:val="00EA495C"/>
    <w:rsid w:val="00EA4D37"/>
    <w:rsid w:val="00EA58E8"/>
    <w:rsid w:val="00EA7036"/>
    <w:rsid w:val="00EA7151"/>
    <w:rsid w:val="00EA7897"/>
    <w:rsid w:val="00EB1059"/>
    <w:rsid w:val="00EB1C22"/>
    <w:rsid w:val="00EB211C"/>
    <w:rsid w:val="00EB2450"/>
    <w:rsid w:val="00EB28E0"/>
    <w:rsid w:val="00EB38EE"/>
    <w:rsid w:val="00EB3945"/>
    <w:rsid w:val="00EB3E4A"/>
    <w:rsid w:val="00EB6208"/>
    <w:rsid w:val="00EC05E2"/>
    <w:rsid w:val="00EC0D6A"/>
    <w:rsid w:val="00EC11C3"/>
    <w:rsid w:val="00EC1302"/>
    <w:rsid w:val="00EC198D"/>
    <w:rsid w:val="00EC2B24"/>
    <w:rsid w:val="00EC3F37"/>
    <w:rsid w:val="00EC4886"/>
    <w:rsid w:val="00EC4CFE"/>
    <w:rsid w:val="00EC5F63"/>
    <w:rsid w:val="00EC634F"/>
    <w:rsid w:val="00EC6CFF"/>
    <w:rsid w:val="00EC7043"/>
    <w:rsid w:val="00ED061D"/>
    <w:rsid w:val="00ED0900"/>
    <w:rsid w:val="00ED0C88"/>
    <w:rsid w:val="00ED13A2"/>
    <w:rsid w:val="00ED166C"/>
    <w:rsid w:val="00ED1693"/>
    <w:rsid w:val="00ED19DD"/>
    <w:rsid w:val="00ED2562"/>
    <w:rsid w:val="00ED2DF6"/>
    <w:rsid w:val="00ED2E7B"/>
    <w:rsid w:val="00ED3530"/>
    <w:rsid w:val="00ED3857"/>
    <w:rsid w:val="00ED4062"/>
    <w:rsid w:val="00ED462C"/>
    <w:rsid w:val="00ED491C"/>
    <w:rsid w:val="00ED5B68"/>
    <w:rsid w:val="00ED6294"/>
    <w:rsid w:val="00ED6E31"/>
    <w:rsid w:val="00ED6F6C"/>
    <w:rsid w:val="00ED7C40"/>
    <w:rsid w:val="00EE0C39"/>
    <w:rsid w:val="00EE375A"/>
    <w:rsid w:val="00EE3D54"/>
    <w:rsid w:val="00EE41BE"/>
    <w:rsid w:val="00EE43E5"/>
    <w:rsid w:val="00EE4476"/>
    <w:rsid w:val="00EE4BD7"/>
    <w:rsid w:val="00EE4D1F"/>
    <w:rsid w:val="00EE55E7"/>
    <w:rsid w:val="00EE5626"/>
    <w:rsid w:val="00EF0240"/>
    <w:rsid w:val="00EF0C33"/>
    <w:rsid w:val="00EF118F"/>
    <w:rsid w:val="00EF1462"/>
    <w:rsid w:val="00EF1786"/>
    <w:rsid w:val="00EF2037"/>
    <w:rsid w:val="00EF20A9"/>
    <w:rsid w:val="00EF23D5"/>
    <w:rsid w:val="00EF427E"/>
    <w:rsid w:val="00EF4725"/>
    <w:rsid w:val="00EF4F8F"/>
    <w:rsid w:val="00EF5C9C"/>
    <w:rsid w:val="00EF5E91"/>
    <w:rsid w:val="00EF6126"/>
    <w:rsid w:val="00EF6809"/>
    <w:rsid w:val="00EF6CAA"/>
    <w:rsid w:val="00F02366"/>
    <w:rsid w:val="00F02D44"/>
    <w:rsid w:val="00F0342F"/>
    <w:rsid w:val="00F034EA"/>
    <w:rsid w:val="00F03746"/>
    <w:rsid w:val="00F04CFB"/>
    <w:rsid w:val="00F0547B"/>
    <w:rsid w:val="00F06020"/>
    <w:rsid w:val="00F06074"/>
    <w:rsid w:val="00F06D9B"/>
    <w:rsid w:val="00F06E66"/>
    <w:rsid w:val="00F07C87"/>
    <w:rsid w:val="00F1058D"/>
    <w:rsid w:val="00F11324"/>
    <w:rsid w:val="00F11507"/>
    <w:rsid w:val="00F122AF"/>
    <w:rsid w:val="00F12CEF"/>
    <w:rsid w:val="00F1352F"/>
    <w:rsid w:val="00F139CC"/>
    <w:rsid w:val="00F14423"/>
    <w:rsid w:val="00F14C85"/>
    <w:rsid w:val="00F14D6B"/>
    <w:rsid w:val="00F15269"/>
    <w:rsid w:val="00F15E4A"/>
    <w:rsid w:val="00F16B3A"/>
    <w:rsid w:val="00F16D0E"/>
    <w:rsid w:val="00F179BF"/>
    <w:rsid w:val="00F202BF"/>
    <w:rsid w:val="00F217B2"/>
    <w:rsid w:val="00F225DB"/>
    <w:rsid w:val="00F2356C"/>
    <w:rsid w:val="00F23761"/>
    <w:rsid w:val="00F23D3E"/>
    <w:rsid w:val="00F24305"/>
    <w:rsid w:val="00F24F72"/>
    <w:rsid w:val="00F24FE4"/>
    <w:rsid w:val="00F25705"/>
    <w:rsid w:val="00F27090"/>
    <w:rsid w:val="00F272F9"/>
    <w:rsid w:val="00F278AB"/>
    <w:rsid w:val="00F303F2"/>
    <w:rsid w:val="00F30400"/>
    <w:rsid w:val="00F309BF"/>
    <w:rsid w:val="00F30FFB"/>
    <w:rsid w:val="00F31110"/>
    <w:rsid w:val="00F31EEF"/>
    <w:rsid w:val="00F336D1"/>
    <w:rsid w:val="00F33B08"/>
    <w:rsid w:val="00F34CE7"/>
    <w:rsid w:val="00F35305"/>
    <w:rsid w:val="00F3589B"/>
    <w:rsid w:val="00F35962"/>
    <w:rsid w:val="00F35A7D"/>
    <w:rsid w:val="00F36D67"/>
    <w:rsid w:val="00F3768C"/>
    <w:rsid w:val="00F37CB2"/>
    <w:rsid w:val="00F37F1E"/>
    <w:rsid w:val="00F37FB7"/>
    <w:rsid w:val="00F41022"/>
    <w:rsid w:val="00F41C73"/>
    <w:rsid w:val="00F4254E"/>
    <w:rsid w:val="00F42C0A"/>
    <w:rsid w:val="00F4404E"/>
    <w:rsid w:val="00F44DE0"/>
    <w:rsid w:val="00F45BC3"/>
    <w:rsid w:val="00F46FE5"/>
    <w:rsid w:val="00F47476"/>
    <w:rsid w:val="00F476EA"/>
    <w:rsid w:val="00F478B7"/>
    <w:rsid w:val="00F47D2A"/>
    <w:rsid w:val="00F50883"/>
    <w:rsid w:val="00F509F1"/>
    <w:rsid w:val="00F519AB"/>
    <w:rsid w:val="00F52254"/>
    <w:rsid w:val="00F53786"/>
    <w:rsid w:val="00F55F71"/>
    <w:rsid w:val="00F5679B"/>
    <w:rsid w:val="00F5733D"/>
    <w:rsid w:val="00F5768F"/>
    <w:rsid w:val="00F57964"/>
    <w:rsid w:val="00F57B87"/>
    <w:rsid w:val="00F60475"/>
    <w:rsid w:val="00F6107F"/>
    <w:rsid w:val="00F61170"/>
    <w:rsid w:val="00F614A7"/>
    <w:rsid w:val="00F614AE"/>
    <w:rsid w:val="00F61750"/>
    <w:rsid w:val="00F61F82"/>
    <w:rsid w:val="00F6247B"/>
    <w:rsid w:val="00F6279A"/>
    <w:rsid w:val="00F64CB3"/>
    <w:rsid w:val="00F64DD3"/>
    <w:rsid w:val="00F65523"/>
    <w:rsid w:val="00F6561D"/>
    <w:rsid w:val="00F717F0"/>
    <w:rsid w:val="00F72748"/>
    <w:rsid w:val="00F741AB"/>
    <w:rsid w:val="00F74566"/>
    <w:rsid w:val="00F752A5"/>
    <w:rsid w:val="00F76062"/>
    <w:rsid w:val="00F762F7"/>
    <w:rsid w:val="00F76B2F"/>
    <w:rsid w:val="00F76F2A"/>
    <w:rsid w:val="00F77909"/>
    <w:rsid w:val="00F8157F"/>
    <w:rsid w:val="00F8245F"/>
    <w:rsid w:val="00F834F8"/>
    <w:rsid w:val="00F83B87"/>
    <w:rsid w:val="00F83C15"/>
    <w:rsid w:val="00F84ECA"/>
    <w:rsid w:val="00F85731"/>
    <w:rsid w:val="00F87493"/>
    <w:rsid w:val="00F87551"/>
    <w:rsid w:val="00F878EA"/>
    <w:rsid w:val="00F879F5"/>
    <w:rsid w:val="00F87CAE"/>
    <w:rsid w:val="00F901F5"/>
    <w:rsid w:val="00F912D2"/>
    <w:rsid w:val="00F924BA"/>
    <w:rsid w:val="00F93B80"/>
    <w:rsid w:val="00F93F24"/>
    <w:rsid w:val="00F944AE"/>
    <w:rsid w:val="00F9480D"/>
    <w:rsid w:val="00F948F0"/>
    <w:rsid w:val="00F94BEA"/>
    <w:rsid w:val="00F950BE"/>
    <w:rsid w:val="00F95189"/>
    <w:rsid w:val="00F95DD9"/>
    <w:rsid w:val="00F96304"/>
    <w:rsid w:val="00F9650D"/>
    <w:rsid w:val="00F974D0"/>
    <w:rsid w:val="00F97FF9"/>
    <w:rsid w:val="00FA1564"/>
    <w:rsid w:val="00FA1B71"/>
    <w:rsid w:val="00FA2CF3"/>
    <w:rsid w:val="00FA5017"/>
    <w:rsid w:val="00FA623A"/>
    <w:rsid w:val="00FA700B"/>
    <w:rsid w:val="00FA70A7"/>
    <w:rsid w:val="00FA7158"/>
    <w:rsid w:val="00FA786F"/>
    <w:rsid w:val="00FB00D4"/>
    <w:rsid w:val="00FB09ED"/>
    <w:rsid w:val="00FB1BD0"/>
    <w:rsid w:val="00FB1F34"/>
    <w:rsid w:val="00FB3383"/>
    <w:rsid w:val="00FB40BC"/>
    <w:rsid w:val="00FB46CB"/>
    <w:rsid w:val="00FB48E5"/>
    <w:rsid w:val="00FB6293"/>
    <w:rsid w:val="00FB6EFE"/>
    <w:rsid w:val="00FB7221"/>
    <w:rsid w:val="00FB7AB2"/>
    <w:rsid w:val="00FC05CD"/>
    <w:rsid w:val="00FC1F7F"/>
    <w:rsid w:val="00FC2143"/>
    <w:rsid w:val="00FC306B"/>
    <w:rsid w:val="00FC3324"/>
    <w:rsid w:val="00FC3CC8"/>
    <w:rsid w:val="00FC44E0"/>
    <w:rsid w:val="00FC4A86"/>
    <w:rsid w:val="00FC4EAC"/>
    <w:rsid w:val="00FC50E2"/>
    <w:rsid w:val="00FC5379"/>
    <w:rsid w:val="00FC5F58"/>
    <w:rsid w:val="00FC66D1"/>
    <w:rsid w:val="00FC6D45"/>
    <w:rsid w:val="00FC6E5B"/>
    <w:rsid w:val="00FC6FDA"/>
    <w:rsid w:val="00FC776E"/>
    <w:rsid w:val="00FD00F8"/>
    <w:rsid w:val="00FD1F75"/>
    <w:rsid w:val="00FD2546"/>
    <w:rsid w:val="00FD30F3"/>
    <w:rsid w:val="00FD38A0"/>
    <w:rsid w:val="00FD3A11"/>
    <w:rsid w:val="00FD4EEA"/>
    <w:rsid w:val="00FD518A"/>
    <w:rsid w:val="00FD56C0"/>
    <w:rsid w:val="00FD5B36"/>
    <w:rsid w:val="00FD6135"/>
    <w:rsid w:val="00FD76B5"/>
    <w:rsid w:val="00FD7879"/>
    <w:rsid w:val="00FD7FBE"/>
    <w:rsid w:val="00FE001F"/>
    <w:rsid w:val="00FE25C9"/>
    <w:rsid w:val="00FE386D"/>
    <w:rsid w:val="00FE6F55"/>
    <w:rsid w:val="00FE7874"/>
    <w:rsid w:val="00FE7FCC"/>
    <w:rsid w:val="00FF034A"/>
    <w:rsid w:val="00FF06B2"/>
    <w:rsid w:val="00FF07BC"/>
    <w:rsid w:val="00FF0E49"/>
    <w:rsid w:val="00FF100D"/>
    <w:rsid w:val="00FF3328"/>
    <w:rsid w:val="00FF45BB"/>
    <w:rsid w:val="00FF4F73"/>
    <w:rsid w:val="00FF5648"/>
    <w:rsid w:val="00FF5DDF"/>
    <w:rsid w:val="00FF6326"/>
    <w:rsid w:val="00FF6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09745088"/>
  <w15:chartTrackingRefBased/>
  <w15:docId w15:val="{9D27C915-E849-4FFC-8BC1-59B19752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5DB"/>
    <w:pPr>
      <w:spacing w:after="200" w:line="276" w:lineRule="auto"/>
      <w:jc w:val="both"/>
    </w:pPr>
    <w:rPr>
      <w:rFonts w:ascii="Calibri" w:eastAsia="Calibri" w:hAnsi="Calibri"/>
      <w:sz w:val="22"/>
      <w:szCs w:val="22"/>
      <w:lang w:eastAsia="en-US"/>
    </w:rPr>
  </w:style>
  <w:style w:type="paragraph" w:styleId="Heading1">
    <w:name w:val="heading 1"/>
    <w:basedOn w:val="Normal"/>
    <w:next w:val="Normal"/>
    <w:link w:val="Heading1Char"/>
    <w:autoRedefine/>
    <w:uiPriority w:val="9"/>
    <w:qFormat/>
    <w:rsid w:val="00445BF9"/>
    <w:pPr>
      <w:keepNext/>
      <w:keepLines/>
      <w:spacing w:before="120" w:after="120" w:line="360" w:lineRule="auto"/>
      <w:jc w:val="left"/>
      <w:outlineLvl w:val="0"/>
    </w:pPr>
    <w:rPr>
      <w:rFonts w:ascii="Times New Roman" w:hAnsi="Times New Roman"/>
      <w:b/>
      <w:bCs/>
      <w:color w:val="000000" w:themeColor="text1"/>
      <w:kern w:val="32"/>
      <w:sz w:val="28"/>
      <w:szCs w:val="24"/>
    </w:rPr>
  </w:style>
  <w:style w:type="paragraph" w:styleId="Heading2">
    <w:name w:val="heading 2"/>
    <w:basedOn w:val="Normal"/>
    <w:next w:val="Normal"/>
    <w:link w:val="Heading2Char"/>
    <w:autoRedefine/>
    <w:uiPriority w:val="9"/>
    <w:qFormat/>
    <w:rsid w:val="00445BF9"/>
    <w:pPr>
      <w:keepNext/>
      <w:keepLines/>
      <w:numPr>
        <w:ilvl w:val="1"/>
        <w:numId w:val="13"/>
      </w:numPr>
      <w:spacing w:after="240" w:line="360" w:lineRule="auto"/>
      <w:ind w:hanging="1140"/>
      <w:outlineLvl w:val="1"/>
    </w:pPr>
    <w:rPr>
      <w:rFonts w:ascii="Times New Roman" w:hAnsi="Times New Roman"/>
      <w:b/>
      <w:bCs/>
      <w:iCs/>
      <w:color w:val="000000" w:themeColor="text1"/>
      <w:sz w:val="24"/>
      <w:szCs w:val="28"/>
      <w:lang w:val="x-none"/>
    </w:rPr>
  </w:style>
  <w:style w:type="paragraph" w:styleId="Heading3">
    <w:name w:val="heading 3"/>
    <w:basedOn w:val="Normal"/>
    <w:next w:val="Normal"/>
    <w:link w:val="Heading3Char"/>
    <w:unhideWhenUsed/>
    <w:qFormat/>
    <w:rsid w:val="00B925DB"/>
    <w:pPr>
      <w:keepNext/>
      <w:numPr>
        <w:ilvl w:val="2"/>
        <w:numId w:val="2"/>
      </w:numPr>
      <w:spacing w:before="240" w:after="60"/>
      <w:outlineLvl w:val="2"/>
    </w:pPr>
    <w:rPr>
      <w:b/>
      <w:bCs/>
      <w:szCs w:val="26"/>
      <w:lang w:val="x-none"/>
    </w:rPr>
  </w:style>
  <w:style w:type="paragraph" w:styleId="Heading4">
    <w:name w:val="heading 4"/>
    <w:basedOn w:val="Normal"/>
    <w:next w:val="Normal"/>
    <w:link w:val="Heading4Char"/>
    <w:semiHidden/>
    <w:unhideWhenUsed/>
    <w:qFormat/>
    <w:rsid w:val="00B925DB"/>
    <w:pPr>
      <w:keepNext/>
      <w:numPr>
        <w:ilvl w:val="3"/>
        <w:numId w:val="2"/>
      </w:numPr>
      <w:spacing w:before="240" w:after="60"/>
      <w:outlineLvl w:val="3"/>
    </w:pPr>
    <w:rPr>
      <w:b/>
      <w:bCs/>
      <w:sz w:val="28"/>
      <w:szCs w:val="28"/>
      <w:lang w:val="x-none"/>
    </w:rPr>
  </w:style>
  <w:style w:type="paragraph" w:styleId="Heading5">
    <w:name w:val="heading 5"/>
    <w:basedOn w:val="Normal"/>
    <w:next w:val="Normal"/>
    <w:link w:val="Heading5Char"/>
    <w:semiHidden/>
    <w:unhideWhenUsed/>
    <w:qFormat/>
    <w:rsid w:val="00B925DB"/>
    <w:pPr>
      <w:numPr>
        <w:ilvl w:val="4"/>
        <w:numId w:val="2"/>
      </w:numPr>
      <w:spacing w:before="240" w:after="60"/>
      <w:outlineLvl w:val="4"/>
    </w:pPr>
    <w:rPr>
      <w:b/>
      <w:bCs/>
      <w:i/>
      <w:iCs/>
      <w:sz w:val="26"/>
      <w:szCs w:val="26"/>
      <w:lang w:val="x-none"/>
    </w:rPr>
  </w:style>
  <w:style w:type="paragraph" w:styleId="Heading6">
    <w:name w:val="heading 6"/>
    <w:basedOn w:val="Normal"/>
    <w:next w:val="Normal"/>
    <w:link w:val="Heading6Char"/>
    <w:semiHidden/>
    <w:unhideWhenUsed/>
    <w:qFormat/>
    <w:rsid w:val="00B925DB"/>
    <w:pPr>
      <w:numPr>
        <w:ilvl w:val="5"/>
        <w:numId w:val="2"/>
      </w:numPr>
      <w:spacing w:before="240" w:after="60"/>
      <w:outlineLvl w:val="5"/>
    </w:pPr>
    <w:rPr>
      <w:b/>
      <w:bCs/>
      <w:lang w:val="x-none"/>
    </w:rPr>
  </w:style>
  <w:style w:type="paragraph" w:styleId="Heading7">
    <w:name w:val="heading 7"/>
    <w:basedOn w:val="Normal"/>
    <w:next w:val="Normal"/>
    <w:link w:val="Heading7Char"/>
    <w:semiHidden/>
    <w:unhideWhenUsed/>
    <w:qFormat/>
    <w:rsid w:val="00B925DB"/>
    <w:pPr>
      <w:numPr>
        <w:ilvl w:val="6"/>
        <w:numId w:val="2"/>
      </w:numPr>
      <w:spacing w:before="240" w:after="60"/>
      <w:outlineLvl w:val="6"/>
    </w:pPr>
    <w:rPr>
      <w:sz w:val="24"/>
      <w:lang w:val="x-none"/>
    </w:rPr>
  </w:style>
  <w:style w:type="paragraph" w:styleId="Heading8">
    <w:name w:val="heading 8"/>
    <w:basedOn w:val="Normal"/>
    <w:next w:val="Normal"/>
    <w:link w:val="Heading8Char"/>
    <w:semiHidden/>
    <w:unhideWhenUsed/>
    <w:qFormat/>
    <w:rsid w:val="00B925DB"/>
    <w:pPr>
      <w:numPr>
        <w:ilvl w:val="7"/>
        <w:numId w:val="2"/>
      </w:numPr>
      <w:spacing w:before="240" w:after="60"/>
      <w:outlineLvl w:val="7"/>
    </w:pPr>
    <w:rPr>
      <w:i/>
      <w:iCs/>
      <w:sz w:val="24"/>
      <w:lang w:val="x-none"/>
    </w:rPr>
  </w:style>
  <w:style w:type="paragraph" w:styleId="Heading9">
    <w:name w:val="heading 9"/>
    <w:basedOn w:val="Normal"/>
    <w:next w:val="Normal"/>
    <w:link w:val="Heading9Char"/>
    <w:semiHidden/>
    <w:unhideWhenUsed/>
    <w:qFormat/>
    <w:rsid w:val="00B925DB"/>
    <w:pPr>
      <w:numPr>
        <w:ilvl w:val="8"/>
        <w:numId w:val="2"/>
      </w:numPr>
      <w:spacing w:before="240" w:after="60"/>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MCHIP_list paragraph,List Paragraph1,Recommendation,Bullet List,FooterText,stil3,Colorful List Accent 1,numbered,Paragraphe de liste1,列出段落,列出段落1,Bulletr List Paragraph,List Paragraph2,List Paragraph21,Párrafo de lista1"/>
    <w:basedOn w:val="Normal"/>
    <w:link w:val="ListParagraphChar"/>
    <w:uiPriority w:val="34"/>
    <w:qFormat/>
    <w:rsid w:val="00B925DB"/>
    <w:pPr>
      <w:ind w:left="720"/>
    </w:pPr>
  </w:style>
  <w:style w:type="character" w:customStyle="1" w:styleId="Heading2Char">
    <w:name w:val="Heading 2 Char"/>
    <w:link w:val="Heading2"/>
    <w:uiPriority w:val="9"/>
    <w:rsid w:val="00445BF9"/>
    <w:rPr>
      <w:rFonts w:eastAsia="Calibri"/>
      <w:b/>
      <w:bCs/>
      <w:iCs/>
      <w:color w:val="000000" w:themeColor="text1"/>
      <w:sz w:val="24"/>
      <w:szCs w:val="28"/>
      <w:lang w:val="x-none" w:eastAsia="en-US"/>
    </w:rPr>
  </w:style>
  <w:style w:type="character" w:styleId="Hyperlink">
    <w:name w:val="Hyperlink"/>
    <w:uiPriority w:val="99"/>
    <w:rsid w:val="00B925DB"/>
    <w:rPr>
      <w:color w:val="0000FF"/>
      <w:u w:val="single"/>
    </w:rPr>
  </w:style>
  <w:style w:type="paragraph" w:styleId="NormalWeb">
    <w:name w:val="Normal (Web)"/>
    <w:basedOn w:val="Normal"/>
    <w:uiPriority w:val="99"/>
    <w:rsid w:val="00B925DB"/>
    <w:pPr>
      <w:spacing w:before="100" w:beforeAutospacing="1" w:after="100" w:afterAutospacing="1"/>
    </w:pPr>
    <w:rPr>
      <w:rFonts w:ascii="Times New Roman" w:hAnsi="Times New Roman"/>
      <w:sz w:val="24"/>
      <w:lang w:eastAsia="en-GB"/>
    </w:rPr>
  </w:style>
  <w:style w:type="character" w:styleId="HTMLAcronym">
    <w:name w:val="HTML Acronym"/>
    <w:basedOn w:val="DefaultParagraphFont"/>
    <w:uiPriority w:val="99"/>
    <w:semiHidden/>
    <w:unhideWhenUsed/>
    <w:rsid w:val="00B925DB"/>
  </w:style>
  <w:style w:type="paragraph" w:styleId="FootnoteText">
    <w:name w:val="footnote text"/>
    <w:basedOn w:val="Normal"/>
    <w:link w:val="FootnoteTextChar"/>
    <w:uiPriority w:val="99"/>
    <w:semiHidden/>
    <w:rsid w:val="00B925DB"/>
    <w:rPr>
      <w:rFonts w:ascii="Times New Roman" w:hAnsi="Times New Roman"/>
      <w:sz w:val="20"/>
      <w:szCs w:val="20"/>
      <w:lang w:val="x-none"/>
    </w:rPr>
  </w:style>
  <w:style w:type="character" w:customStyle="1" w:styleId="FootnoteTextChar">
    <w:name w:val="Footnote Text Char"/>
    <w:link w:val="FootnoteText"/>
    <w:uiPriority w:val="99"/>
    <w:semiHidden/>
    <w:rsid w:val="00B925DB"/>
    <w:rPr>
      <w:rFonts w:eastAsia="Calibri" w:cs="Times New Roman"/>
      <w:lang w:eastAsia="en-US"/>
    </w:rPr>
  </w:style>
  <w:style w:type="character" w:styleId="FootnoteReference">
    <w:name w:val="footnote reference"/>
    <w:uiPriority w:val="99"/>
    <w:semiHidden/>
    <w:rsid w:val="00B925DB"/>
    <w:rPr>
      <w:vertAlign w:val="superscript"/>
    </w:rPr>
  </w:style>
  <w:style w:type="character" w:styleId="Strong">
    <w:name w:val="Strong"/>
    <w:qFormat/>
    <w:rsid w:val="00B925DB"/>
    <w:rPr>
      <w:b/>
      <w:bCs/>
    </w:rPr>
  </w:style>
  <w:style w:type="paragraph" w:styleId="Header">
    <w:name w:val="header"/>
    <w:basedOn w:val="Normal"/>
    <w:link w:val="HeaderChar"/>
    <w:rsid w:val="00B925DB"/>
    <w:pPr>
      <w:tabs>
        <w:tab w:val="center" w:pos="4320"/>
        <w:tab w:val="right" w:pos="8640"/>
      </w:tabs>
    </w:pPr>
    <w:rPr>
      <w:lang w:val="x-none"/>
    </w:rPr>
  </w:style>
  <w:style w:type="character" w:customStyle="1" w:styleId="HeaderChar">
    <w:name w:val="Header Char"/>
    <w:link w:val="Header"/>
    <w:rsid w:val="00B925DB"/>
    <w:rPr>
      <w:rFonts w:ascii="Calibri" w:eastAsia="Calibri" w:hAnsi="Calibri" w:cs="Times New Roman"/>
      <w:sz w:val="22"/>
      <w:szCs w:val="22"/>
      <w:lang w:eastAsia="en-US"/>
    </w:rPr>
  </w:style>
  <w:style w:type="paragraph" w:styleId="Footer">
    <w:name w:val="footer"/>
    <w:basedOn w:val="Normal"/>
    <w:link w:val="FooterChar"/>
    <w:uiPriority w:val="99"/>
    <w:rsid w:val="00B925DB"/>
    <w:pPr>
      <w:tabs>
        <w:tab w:val="center" w:pos="4320"/>
        <w:tab w:val="right" w:pos="8640"/>
      </w:tabs>
    </w:pPr>
    <w:rPr>
      <w:lang w:val="x-none"/>
    </w:rPr>
  </w:style>
  <w:style w:type="character" w:customStyle="1" w:styleId="FooterChar">
    <w:name w:val="Footer Char"/>
    <w:link w:val="Footer"/>
    <w:uiPriority w:val="99"/>
    <w:rsid w:val="00B925DB"/>
    <w:rPr>
      <w:rFonts w:ascii="Calibri" w:eastAsia="Calibri" w:hAnsi="Calibri" w:cs="Times New Roman"/>
      <w:sz w:val="22"/>
      <w:szCs w:val="22"/>
      <w:lang w:eastAsia="en-US"/>
    </w:rPr>
  </w:style>
  <w:style w:type="table" w:styleId="TableGrid">
    <w:name w:val="Table Grid"/>
    <w:basedOn w:val="TableNormal"/>
    <w:uiPriority w:val="39"/>
    <w:rsid w:val="00B925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
    <w:name w:val="Light List1"/>
    <w:basedOn w:val="TableNormal"/>
    <w:uiPriority w:val="61"/>
    <w:rsid w:val="00B925D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B925DB"/>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11">
    <w:name w:val="Light List - Accent 11"/>
    <w:basedOn w:val="TableNormal"/>
    <w:uiPriority w:val="61"/>
    <w:rsid w:val="00B925D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uiPriority w:val="99"/>
    <w:semiHidden/>
    <w:unhideWhenUsed/>
    <w:rsid w:val="00B925DB"/>
    <w:rPr>
      <w:sz w:val="16"/>
      <w:szCs w:val="16"/>
    </w:rPr>
  </w:style>
  <w:style w:type="paragraph" w:styleId="CommentText">
    <w:name w:val="annotation text"/>
    <w:basedOn w:val="Normal"/>
    <w:link w:val="CommentTextChar"/>
    <w:uiPriority w:val="99"/>
    <w:unhideWhenUsed/>
    <w:rsid w:val="00B925DB"/>
    <w:rPr>
      <w:sz w:val="20"/>
      <w:szCs w:val="20"/>
      <w:lang w:val="x-none"/>
    </w:rPr>
  </w:style>
  <w:style w:type="character" w:customStyle="1" w:styleId="CommentTextChar">
    <w:name w:val="Comment Text Char"/>
    <w:link w:val="CommentText"/>
    <w:uiPriority w:val="99"/>
    <w:rsid w:val="00B925DB"/>
    <w:rPr>
      <w:rFonts w:ascii="Calibri" w:eastAsia="Calibri" w:hAnsi="Calibri" w:cs="Times New Roman"/>
      <w:lang w:eastAsia="en-US"/>
    </w:rPr>
  </w:style>
  <w:style w:type="paragraph" w:styleId="CommentSubject">
    <w:name w:val="annotation subject"/>
    <w:basedOn w:val="CommentText"/>
    <w:next w:val="CommentText"/>
    <w:link w:val="CommentSubjectChar"/>
    <w:uiPriority w:val="99"/>
    <w:semiHidden/>
    <w:unhideWhenUsed/>
    <w:rsid w:val="00B925DB"/>
    <w:rPr>
      <w:b/>
      <w:bCs/>
    </w:rPr>
  </w:style>
  <w:style w:type="character" w:customStyle="1" w:styleId="CommentSubjectChar">
    <w:name w:val="Comment Subject Char"/>
    <w:link w:val="CommentSubject"/>
    <w:uiPriority w:val="99"/>
    <w:semiHidden/>
    <w:rsid w:val="00B925DB"/>
    <w:rPr>
      <w:rFonts w:ascii="Calibri" w:eastAsia="Calibri" w:hAnsi="Calibri" w:cs="Times New Roman"/>
      <w:b/>
      <w:bCs/>
      <w:lang w:eastAsia="en-US"/>
    </w:rPr>
  </w:style>
  <w:style w:type="paragraph" w:styleId="BalloonText">
    <w:name w:val="Balloon Text"/>
    <w:basedOn w:val="Normal"/>
    <w:link w:val="BalloonTextChar"/>
    <w:semiHidden/>
    <w:rsid w:val="00B925DB"/>
    <w:rPr>
      <w:rFonts w:ascii="Tahoma" w:hAnsi="Tahoma"/>
      <w:sz w:val="16"/>
      <w:szCs w:val="16"/>
      <w:lang w:val="x-none"/>
    </w:rPr>
  </w:style>
  <w:style w:type="character" w:customStyle="1" w:styleId="BalloonTextChar">
    <w:name w:val="Balloon Text Char"/>
    <w:link w:val="BalloonText"/>
    <w:semiHidden/>
    <w:rsid w:val="00B925DB"/>
    <w:rPr>
      <w:rFonts w:ascii="Tahoma" w:eastAsia="Calibri" w:hAnsi="Tahoma" w:cs="Tahoma"/>
      <w:sz w:val="16"/>
      <w:szCs w:val="16"/>
      <w:lang w:eastAsia="en-US"/>
    </w:rPr>
  </w:style>
  <w:style w:type="character" w:customStyle="1" w:styleId="Heading1Char">
    <w:name w:val="Heading 1 Char"/>
    <w:link w:val="Heading1"/>
    <w:uiPriority w:val="9"/>
    <w:rsid w:val="00445BF9"/>
    <w:rPr>
      <w:rFonts w:eastAsia="Calibri"/>
      <w:b/>
      <w:bCs/>
      <w:color w:val="000000" w:themeColor="text1"/>
      <w:kern w:val="32"/>
      <w:sz w:val="28"/>
      <w:szCs w:val="24"/>
      <w:lang w:eastAsia="en-US"/>
    </w:rPr>
  </w:style>
  <w:style w:type="character" w:styleId="Emphasis">
    <w:name w:val="Emphasis"/>
    <w:qFormat/>
    <w:rsid w:val="00B925DB"/>
    <w:rPr>
      <w:rFonts w:ascii="Arial" w:hAnsi="Arial" w:cs="Arial" w:hint="default"/>
      <w:i/>
      <w:iCs/>
      <w:sz w:val="24"/>
      <w:szCs w:val="24"/>
    </w:rPr>
  </w:style>
  <w:style w:type="paragraph" w:customStyle="1" w:styleId="Deltadoctitle">
    <w:name w:val="Delta doc title"/>
    <w:basedOn w:val="DeltaSeched1"/>
    <w:rsid w:val="00B925DB"/>
    <w:pPr>
      <w:numPr>
        <w:numId w:val="3"/>
      </w:numPr>
      <w:outlineLvl w:val="9"/>
    </w:pPr>
    <w:rPr>
      <w:sz w:val="32"/>
      <w:szCs w:val="32"/>
    </w:rPr>
  </w:style>
  <w:style w:type="paragraph" w:customStyle="1" w:styleId="DeltaSeched1">
    <w:name w:val="Delta Sec hed 1"/>
    <w:basedOn w:val="Heading1"/>
    <w:next w:val="DeltaBodytext"/>
    <w:rsid w:val="00B925DB"/>
    <w:pPr>
      <w:pageBreakBefore/>
      <w:numPr>
        <w:numId w:val="7"/>
      </w:numPr>
      <w:spacing w:before="180" w:after="180"/>
    </w:pPr>
    <w:rPr>
      <w:bCs w:val="0"/>
      <w:szCs w:val="28"/>
    </w:rPr>
  </w:style>
  <w:style w:type="character" w:styleId="PageNumber">
    <w:name w:val="page number"/>
    <w:basedOn w:val="DefaultParagraphFont"/>
    <w:semiHidden/>
    <w:rsid w:val="00B925DB"/>
  </w:style>
  <w:style w:type="paragraph" w:styleId="TOC1">
    <w:name w:val="toc 1"/>
    <w:basedOn w:val="Normal"/>
    <w:next w:val="Normal"/>
    <w:autoRedefine/>
    <w:uiPriority w:val="39"/>
    <w:qFormat/>
    <w:rsid w:val="00445BF9"/>
    <w:pPr>
      <w:spacing w:after="120" w:line="360" w:lineRule="auto"/>
      <w:jc w:val="left"/>
    </w:pPr>
    <w:rPr>
      <w:rFonts w:ascii="Times New Roman" w:hAnsi="Times New Roman" w:cstheme="minorHAnsi"/>
      <w:b/>
      <w:bCs/>
      <w:sz w:val="24"/>
      <w:szCs w:val="20"/>
    </w:rPr>
  </w:style>
  <w:style w:type="paragraph" w:customStyle="1" w:styleId="Single">
    <w:name w:val="Single"/>
    <w:basedOn w:val="Normal"/>
    <w:rsid w:val="00B925DB"/>
    <w:pPr>
      <w:spacing w:after="130"/>
      <w:jc w:val="right"/>
    </w:pPr>
    <w:rPr>
      <w:rFonts w:ascii="Times New Roman" w:hAnsi="Times New Roman"/>
      <w:szCs w:val="20"/>
      <w:u w:val="single"/>
    </w:rPr>
  </w:style>
  <w:style w:type="paragraph" w:customStyle="1" w:styleId="CoverTitle">
    <w:name w:val="Cover Title"/>
    <w:basedOn w:val="Single"/>
    <w:rsid w:val="00B925DB"/>
    <w:pPr>
      <w:spacing w:after="0" w:line="440" w:lineRule="exact"/>
      <w:jc w:val="center"/>
    </w:pPr>
    <w:rPr>
      <w:rFonts w:ascii="Calibri" w:hAnsi="Calibri"/>
      <w:color w:val="0C419A"/>
      <w:sz w:val="36"/>
      <w:u w:val="none"/>
      <w:lang w:val="en-US"/>
    </w:rPr>
  </w:style>
  <w:style w:type="paragraph" w:customStyle="1" w:styleId="CoverSubTitle">
    <w:name w:val="Cover SubTitle"/>
    <w:basedOn w:val="Single"/>
    <w:rsid w:val="00B925DB"/>
    <w:pPr>
      <w:spacing w:after="0" w:line="440" w:lineRule="exact"/>
      <w:jc w:val="center"/>
    </w:pPr>
    <w:rPr>
      <w:sz w:val="32"/>
      <w:u w:val="none"/>
      <w:lang w:val="en-US"/>
    </w:rPr>
  </w:style>
  <w:style w:type="paragraph" w:customStyle="1" w:styleId="DeltaCoverDate">
    <w:name w:val="Delta Cover Date"/>
    <w:basedOn w:val="Single"/>
    <w:rsid w:val="00B925DB"/>
    <w:pPr>
      <w:spacing w:after="0" w:line="440" w:lineRule="exact"/>
      <w:jc w:val="center"/>
    </w:pPr>
    <w:rPr>
      <w:sz w:val="32"/>
      <w:u w:val="none"/>
      <w:lang w:val="en-US"/>
    </w:rPr>
  </w:style>
  <w:style w:type="paragraph" w:customStyle="1" w:styleId="CoverBranding">
    <w:name w:val="Cover Branding"/>
    <w:basedOn w:val="Normal"/>
    <w:rsid w:val="00B925DB"/>
    <w:pPr>
      <w:spacing w:after="220"/>
      <w:jc w:val="center"/>
    </w:pPr>
    <w:rPr>
      <w:rFonts w:ascii="Times New Roman" w:hAnsi="Times New Roman"/>
      <w:szCs w:val="20"/>
    </w:rPr>
  </w:style>
  <w:style w:type="paragraph" w:styleId="TOC2">
    <w:name w:val="toc 2"/>
    <w:basedOn w:val="Normal"/>
    <w:next w:val="Normal"/>
    <w:autoRedefine/>
    <w:uiPriority w:val="39"/>
    <w:qFormat/>
    <w:rsid w:val="00445BF9"/>
    <w:pPr>
      <w:spacing w:after="120" w:line="360" w:lineRule="auto"/>
      <w:ind w:left="221"/>
      <w:jc w:val="left"/>
    </w:pPr>
    <w:rPr>
      <w:rFonts w:ascii="Times New Roman" w:hAnsi="Times New Roman" w:cstheme="minorHAnsi"/>
      <w:sz w:val="24"/>
      <w:szCs w:val="20"/>
    </w:rPr>
  </w:style>
  <w:style w:type="paragraph" w:customStyle="1" w:styleId="DeltaBodytext">
    <w:name w:val="Delta Body text"/>
    <w:basedOn w:val="Normal"/>
    <w:qFormat/>
    <w:rsid w:val="00B925DB"/>
    <w:pPr>
      <w:spacing w:after="240"/>
    </w:pPr>
  </w:style>
  <w:style w:type="paragraph" w:customStyle="1" w:styleId="DeltaBullet">
    <w:name w:val="Delta Bullet"/>
    <w:basedOn w:val="Normal"/>
    <w:qFormat/>
    <w:rsid w:val="00B925DB"/>
    <w:pPr>
      <w:numPr>
        <w:numId w:val="1"/>
      </w:numPr>
      <w:spacing w:after="120"/>
    </w:pPr>
  </w:style>
  <w:style w:type="character" w:customStyle="1" w:styleId="Heading3Char">
    <w:name w:val="Heading 3 Char"/>
    <w:link w:val="Heading3"/>
    <w:rsid w:val="00B925DB"/>
    <w:rPr>
      <w:rFonts w:ascii="Calibri" w:eastAsia="Calibri" w:hAnsi="Calibri"/>
      <w:b/>
      <w:bCs/>
      <w:sz w:val="22"/>
      <w:szCs w:val="26"/>
      <w:lang w:val="x-none" w:eastAsia="en-US"/>
    </w:rPr>
  </w:style>
  <w:style w:type="character" w:customStyle="1" w:styleId="Heading4Char">
    <w:name w:val="Heading 4 Char"/>
    <w:link w:val="Heading4"/>
    <w:semiHidden/>
    <w:rsid w:val="00B925DB"/>
    <w:rPr>
      <w:rFonts w:ascii="Calibri" w:eastAsia="Calibri" w:hAnsi="Calibri"/>
      <w:b/>
      <w:bCs/>
      <w:sz w:val="28"/>
      <w:szCs w:val="28"/>
      <w:lang w:val="x-none" w:eastAsia="en-US"/>
    </w:rPr>
  </w:style>
  <w:style w:type="character" w:customStyle="1" w:styleId="Heading5Char">
    <w:name w:val="Heading 5 Char"/>
    <w:link w:val="Heading5"/>
    <w:semiHidden/>
    <w:rsid w:val="00B925DB"/>
    <w:rPr>
      <w:rFonts w:ascii="Calibri" w:eastAsia="Calibri" w:hAnsi="Calibri"/>
      <w:b/>
      <w:bCs/>
      <w:i/>
      <w:iCs/>
      <w:sz w:val="26"/>
      <w:szCs w:val="26"/>
      <w:lang w:val="x-none" w:eastAsia="en-US"/>
    </w:rPr>
  </w:style>
  <w:style w:type="character" w:customStyle="1" w:styleId="Heading6Char">
    <w:name w:val="Heading 6 Char"/>
    <w:link w:val="Heading6"/>
    <w:semiHidden/>
    <w:rsid w:val="00B925DB"/>
    <w:rPr>
      <w:rFonts w:ascii="Calibri" w:eastAsia="Calibri" w:hAnsi="Calibri"/>
      <w:b/>
      <w:bCs/>
      <w:sz w:val="22"/>
      <w:szCs w:val="22"/>
      <w:lang w:val="x-none" w:eastAsia="en-US"/>
    </w:rPr>
  </w:style>
  <w:style w:type="character" w:customStyle="1" w:styleId="Heading7Char">
    <w:name w:val="Heading 7 Char"/>
    <w:link w:val="Heading7"/>
    <w:semiHidden/>
    <w:rsid w:val="00B925DB"/>
    <w:rPr>
      <w:rFonts w:ascii="Calibri" w:eastAsia="Calibri" w:hAnsi="Calibri"/>
      <w:sz w:val="24"/>
      <w:szCs w:val="22"/>
      <w:lang w:val="x-none" w:eastAsia="en-US"/>
    </w:rPr>
  </w:style>
  <w:style w:type="character" w:customStyle="1" w:styleId="Heading8Char">
    <w:name w:val="Heading 8 Char"/>
    <w:link w:val="Heading8"/>
    <w:semiHidden/>
    <w:rsid w:val="00B925DB"/>
    <w:rPr>
      <w:rFonts w:ascii="Calibri" w:eastAsia="Calibri" w:hAnsi="Calibri"/>
      <w:i/>
      <w:iCs/>
      <w:sz w:val="24"/>
      <w:szCs w:val="22"/>
      <w:lang w:val="x-none" w:eastAsia="en-US"/>
    </w:rPr>
  </w:style>
  <w:style w:type="character" w:customStyle="1" w:styleId="Heading9Char">
    <w:name w:val="Heading 9 Char"/>
    <w:link w:val="Heading9"/>
    <w:semiHidden/>
    <w:rsid w:val="00B925DB"/>
    <w:rPr>
      <w:rFonts w:ascii="Cambria" w:eastAsia="Calibri" w:hAnsi="Cambria"/>
      <w:sz w:val="22"/>
      <w:szCs w:val="22"/>
      <w:lang w:val="x-none" w:eastAsia="en-US"/>
    </w:rPr>
  </w:style>
  <w:style w:type="paragraph" w:customStyle="1" w:styleId="DeltaSeched2">
    <w:name w:val="Delta Sec hed 2"/>
    <w:basedOn w:val="Heading2"/>
    <w:next w:val="DeltaBodytext"/>
    <w:autoRedefine/>
    <w:qFormat/>
    <w:rsid w:val="00925E51"/>
    <w:pPr>
      <w:spacing w:after="0"/>
    </w:pPr>
    <w:rPr>
      <w:rFonts w:ascii="Gautami" w:hAnsi="Gautami" w:cs="Gautami"/>
      <w:color w:val="auto"/>
      <w:szCs w:val="24"/>
    </w:rPr>
  </w:style>
  <w:style w:type="paragraph" w:styleId="TOCHeading">
    <w:name w:val="TOC Heading"/>
    <w:basedOn w:val="Heading1"/>
    <w:next w:val="Normal"/>
    <w:uiPriority w:val="39"/>
    <w:unhideWhenUsed/>
    <w:qFormat/>
    <w:rsid w:val="00B925DB"/>
    <w:pPr>
      <w:spacing w:before="480"/>
      <w:outlineLvl w:val="9"/>
    </w:pPr>
    <w:rPr>
      <w:rFonts w:ascii="Cambria" w:hAnsi="Cambria"/>
      <w:color w:val="365F91"/>
      <w:kern w:val="0"/>
      <w:szCs w:val="28"/>
      <w:lang w:val="en-US"/>
    </w:rPr>
  </w:style>
  <w:style w:type="paragraph" w:customStyle="1" w:styleId="DeltaCoverTitle">
    <w:name w:val="Delta Cover Title"/>
    <w:basedOn w:val="CoverTitle"/>
    <w:qFormat/>
    <w:rsid w:val="00B925DB"/>
    <w:pPr>
      <w:spacing w:before="120" w:line="240" w:lineRule="auto"/>
      <w:jc w:val="left"/>
    </w:pPr>
    <w:rPr>
      <w:rFonts w:cs="Arial"/>
      <w:sz w:val="56"/>
      <w:szCs w:val="56"/>
      <w:lang w:val="en-GB"/>
    </w:rPr>
  </w:style>
  <w:style w:type="paragraph" w:customStyle="1" w:styleId="DeltaSeched3">
    <w:name w:val="Delta Sec hed 3"/>
    <w:basedOn w:val="Heading3"/>
    <w:next w:val="DeltaBodytext"/>
    <w:qFormat/>
    <w:rsid w:val="00B925DB"/>
    <w:pPr>
      <w:numPr>
        <w:ilvl w:val="0"/>
        <w:numId w:val="0"/>
      </w:numPr>
      <w:spacing w:before="180" w:after="180"/>
      <w:ind w:left="720" w:hanging="720"/>
    </w:pPr>
    <w:rPr>
      <w:rFonts w:cs="Calibri"/>
      <w:color w:val="000000"/>
      <w:szCs w:val="22"/>
    </w:rPr>
  </w:style>
  <w:style w:type="paragraph" w:styleId="TOC3">
    <w:name w:val="toc 3"/>
    <w:basedOn w:val="Normal"/>
    <w:next w:val="Normal"/>
    <w:autoRedefine/>
    <w:uiPriority w:val="39"/>
    <w:unhideWhenUsed/>
    <w:qFormat/>
    <w:rsid w:val="00B925DB"/>
    <w:pPr>
      <w:spacing w:after="0"/>
      <w:ind w:left="440"/>
      <w:jc w:val="left"/>
    </w:pPr>
    <w:rPr>
      <w:rFonts w:asciiTheme="minorHAnsi" w:hAnsiTheme="minorHAnsi" w:cstheme="minorHAnsi"/>
      <w:i/>
      <w:iCs/>
      <w:sz w:val="20"/>
      <w:szCs w:val="20"/>
    </w:rPr>
  </w:style>
  <w:style w:type="paragraph" w:customStyle="1" w:styleId="DeltaBoldHeading">
    <w:name w:val="Delta Bold Heading"/>
    <w:basedOn w:val="DeltaBodytext"/>
    <w:next w:val="DeltaBodytext"/>
    <w:link w:val="DeltaBoldHeadingChar"/>
    <w:qFormat/>
    <w:rsid w:val="00B925DB"/>
    <w:pPr>
      <w:keepNext/>
    </w:pPr>
    <w:rPr>
      <w:b/>
      <w:sz w:val="24"/>
      <w:lang w:val="x-none"/>
    </w:rPr>
  </w:style>
  <w:style w:type="character" w:customStyle="1" w:styleId="DeltaBoldHeadingChar">
    <w:name w:val="Delta Bold Heading Char"/>
    <w:link w:val="DeltaBoldHeading"/>
    <w:rsid w:val="00B925DB"/>
    <w:rPr>
      <w:rFonts w:ascii="Calibri" w:eastAsia="Calibri" w:hAnsi="Calibri" w:cs="Times New Roman"/>
      <w:b/>
      <w:sz w:val="24"/>
      <w:szCs w:val="22"/>
      <w:lang w:eastAsia="en-US"/>
    </w:rPr>
  </w:style>
  <w:style w:type="paragraph" w:customStyle="1" w:styleId="DeltaBoldHeading11">
    <w:name w:val="Delta Bold Heading 11"/>
    <w:basedOn w:val="Normal"/>
    <w:next w:val="DeltaBodytext"/>
    <w:qFormat/>
    <w:rsid w:val="00B925DB"/>
    <w:pPr>
      <w:keepNext/>
      <w:spacing w:after="240"/>
    </w:pPr>
    <w:rPr>
      <w:b/>
    </w:rPr>
  </w:style>
  <w:style w:type="table" w:customStyle="1" w:styleId="DeltaTablestyle">
    <w:name w:val="Delta Table style"/>
    <w:basedOn w:val="TableNormal"/>
    <w:uiPriority w:val="61"/>
    <w:rsid w:val="00B925DB"/>
    <w:rPr>
      <w:rFonts w:ascii="Arial" w:hAnsi="Aria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jc w:val="center"/>
    </w:trPr>
    <w:tblStylePr w:type="firstRow">
      <w:pPr>
        <w:keepNext/>
        <w:wordWrap/>
        <w:spacing w:line="240" w:lineRule="auto"/>
      </w:pPr>
      <w:rPr>
        <w:rFonts w:ascii="Arial" w:hAnsi="Arial"/>
        <w:b/>
        <w:bCs/>
        <w:color w:val="FFFFFF"/>
        <w:sz w:val="20"/>
      </w:rPr>
      <w:tblPr/>
      <w:trPr>
        <w:tblHeader/>
      </w:trPr>
      <w:tcPr>
        <w:shd w:val="clear" w:color="auto" w:fill="0C419A"/>
      </w:tcPr>
    </w:tblStylePr>
    <w:tblStylePr w:type="lastRow">
      <w:pPr>
        <w:spacing w:before="0" w:after="0" w:line="240" w:lineRule="auto"/>
      </w:pPr>
      <w:rPr>
        <w:rFonts w:ascii="Arial" w:hAnsi="Arial"/>
        <w:b/>
        <w:bCs/>
        <w:sz w:val="20"/>
      </w:rPr>
      <w:tblPr/>
      <w:tcPr>
        <w:tcBorders>
          <w:top w:val="double" w:sz="6" w:space="0" w:color="4F81BD"/>
          <w:left w:val="single" w:sz="8" w:space="0" w:color="4F81BD"/>
          <w:bottom w:val="single" w:sz="8" w:space="0" w:color="4F81BD"/>
          <w:right w:val="single" w:sz="8" w:space="0" w:color="4F81BD"/>
        </w:tcBorders>
      </w:tcPr>
    </w:tblStylePr>
    <w:tblStylePr w:type="firstCol">
      <w:rPr>
        <w:rFonts w:ascii="Arial" w:hAnsi="Arial"/>
        <w:b w:val="0"/>
        <w:bCs/>
        <w:i w:val="0"/>
        <w:sz w:val="20"/>
      </w:rPr>
    </w:tblStylePr>
    <w:tblStylePr w:type="lastCol">
      <w:rPr>
        <w:rFonts w:ascii="Arial" w:hAnsi="Arial"/>
        <w:b/>
        <w:bCs/>
        <w:sz w:val="20"/>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ltaTabletext">
    <w:name w:val="Delta Table text"/>
    <w:basedOn w:val="DeltaBodytext"/>
    <w:qFormat/>
    <w:rsid w:val="00B925DB"/>
    <w:pPr>
      <w:spacing w:after="120"/>
    </w:pPr>
    <w:rPr>
      <w:rFonts w:cs="Arial"/>
      <w:bCs/>
      <w:sz w:val="20"/>
    </w:rPr>
  </w:style>
  <w:style w:type="paragraph" w:customStyle="1" w:styleId="Head16ptcentre">
    <w:name w:val="Head 16pt centre"/>
    <w:basedOn w:val="Heading1"/>
    <w:qFormat/>
    <w:rsid w:val="00B925DB"/>
  </w:style>
  <w:style w:type="paragraph" w:customStyle="1" w:styleId="AnnexHead16ptCentre">
    <w:name w:val="Annex Head 16pt Centre"/>
    <w:basedOn w:val="Heading1"/>
    <w:qFormat/>
    <w:rsid w:val="00B925DB"/>
  </w:style>
  <w:style w:type="paragraph" w:customStyle="1" w:styleId="AnnexHead2-14ptleft">
    <w:name w:val="Annex Head 2 - 14pt left"/>
    <w:basedOn w:val="Heading2"/>
    <w:next w:val="Normal"/>
    <w:qFormat/>
    <w:rsid w:val="00B925DB"/>
    <w:rPr>
      <w:i/>
    </w:rPr>
  </w:style>
  <w:style w:type="paragraph" w:customStyle="1" w:styleId="AnnexHead1-16ptCentre">
    <w:name w:val="Annex Head 1 - 16pt Centre"/>
    <w:basedOn w:val="Heading1"/>
    <w:next w:val="Normal"/>
    <w:qFormat/>
    <w:rsid w:val="00B925DB"/>
  </w:style>
  <w:style w:type="paragraph" w:customStyle="1" w:styleId="TOC1-Deltalandscape">
    <w:name w:val="TOC 1 - Delta landscape"/>
    <w:basedOn w:val="TOC1"/>
    <w:qFormat/>
    <w:rsid w:val="00B925DB"/>
  </w:style>
  <w:style w:type="paragraph" w:customStyle="1" w:styleId="TOC2-Deltalandscape">
    <w:name w:val="TOC 2 - Delta landscape"/>
    <w:basedOn w:val="TOC2"/>
    <w:qFormat/>
    <w:rsid w:val="00B925DB"/>
  </w:style>
  <w:style w:type="paragraph" w:customStyle="1" w:styleId="DeltaCoverSubtitlebullet">
    <w:name w:val="Delta Cover Subtitle bullet"/>
    <w:basedOn w:val="DeltaBullet"/>
    <w:qFormat/>
    <w:rsid w:val="00B925DB"/>
    <w:rPr>
      <w:color w:val="0C419A"/>
      <w:sz w:val="36"/>
      <w:szCs w:val="36"/>
    </w:rPr>
  </w:style>
  <w:style w:type="paragraph" w:customStyle="1" w:styleId="DeltaBoxtext">
    <w:name w:val="Delta Box text"/>
    <w:basedOn w:val="DeltaBodytext"/>
    <w:qFormat/>
    <w:rsid w:val="00B925DB"/>
    <w:pPr>
      <w:pBdr>
        <w:top w:val="single" w:sz="4" w:space="10" w:color="000000"/>
        <w:left w:val="single" w:sz="4" w:space="10" w:color="000000"/>
        <w:bottom w:val="single" w:sz="4" w:space="10" w:color="000000"/>
        <w:right w:val="single" w:sz="4" w:space="10" w:color="000000"/>
      </w:pBdr>
      <w:shd w:val="clear" w:color="auto" w:fill="F1A42B"/>
      <w:spacing w:after="120"/>
      <w:ind w:left="709" w:right="851"/>
    </w:pPr>
    <w:rPr>
      <w:color w:val="000000"/>
      <w:sz w:val="20"/>
      <w:szCs w:val="20"/>
    </w:rPr>
  </w:style>
  <w:style w:type="paragraph" w:customStyle="1" w:styleId="DeltaBoxbullet">
    <w:name w:val="Delta Box bullet"/>
    <w:basedOn w:val="DeltaBoxtext"/>
    <w:qFormat/>
    <w:rsid w:val="00B925DB"/>
    <w:pPr>
      <w:numPr>
        <w:numId w:val="4"/>
      </w:numPr>
      <w:ind w:hanging="720"/>
    </w:pPr>
  </w:style>
  <w:style w:type="paragraph" w:customStyle="1" w:styleId="DeltaBoxtitle">
    <w:name w:val="Delta Box title"/>
    <w:basedOn w:val="DeltaBoxtext"/>
    <w:qFormat/>
    <w:rsid w:val="00B925DB"/>
    <w:pPr>
      <w:keepNext/>
    </w:pPr>
    <w:rPr>
      <w:b/>
    </w:rPr>
  </w:style>
  <w:style w:type="paragraph" w:customStyle="1" w:styleId="Deltatablebullet">
    <w:name w:val="Delta table bullet"/>
    <w:basedOn w:val="DeltaBullet"/>
    <w:qFormat/>
    <w:rsid w:val="00B925DB"/>
    <w:rPr>
      <w:sz w:val="20"/>
      <w:szCs w:val="20"/>
    </w:rPr>
  </w:style>
  <w:style w:type="paragraph" w:customStyle="1" w:styleId="Deltahed1">
    <w:name w:val="Delta hed 1"/>
    <w:basedOn w:val="Heading1"/>
    <w:next w:val="DeltaBodytext"/>
    <w:qFormat/>
    <w:rsid w:val="00B925DB"/>
    <w:pPr>
      <w:pageBreakBefore/>
      <w:spacing w:before="180" w:after="180"/>
    </w:pPr>
    <w:rPr>
      <w:szCs w:val="28"/>
    </w:rPr>
  </w:style>
  <w:style w:type="paragraph" w:customStyle="1" w:styleId="Deltahed2">
    <w:name w:val="Delta hed 2"/>
    <w:basedOn w:val="Heading2"/>
    <w:autoRedefine/>
    <w:qFormat/>
    <w:rsid w:val="00B925DB"/>
    <w:pPr>
      <w:spacing w:before="180" w:after="180"/>
    </w:pPr>
    <w:rPr>
      <w:i/>
    </w:rPr>
  </w:style>
  <w:style w:type="paragraph" w:customStyle="1" w:styleId="Deltahed3">
    <w:name w:val="Delta hed 3"/>
    <w:basedOn w:val="Heading3"/>
    <w:qFormat/>
    <w:rsid w:val="00B925DB"/>
    <w:pPr>
      <w:numPr>
        <w:ilvl w:val="0"/>
        <w:numId w:val="0"/>
      </w:numPr>
      <w:spacing w:before="180" w:after="180"/>
    </w:pPr>
    <w:rPr>
      <w:rFonts w:ascii="Arial" w:hAnsi="Arial"/>
      <w:sz w:val="24"/>
    </w:rPr>
  </w:style>
  <w:style w:type="numbering" w:customStyle="1" w:styleId="DeltaAnnexhednumbering">
    <w:name w:val="Delta Annex hed numbering"/>
    <w:uiPriority w:val="99"/>
    <w:rsid w:val="00B925DB"/>
    <w:pPr>
      <w:numPr>
        <w:numId w:val="5"/>
      </w:numPr>
    </w:pPr>
  </w:style>
  <w:style w:type="paragraph" w:customStyle="1" w:styleId="DeltaAnnexhed1">
    <w:name w:val="Delta Annex hed 1"/>
    <w:basedOn w:val="DeltaSeched1"/>
    <w:next w:val="DeltaBodytext"/>
    <w:qFormat/>
    <w:rsid w:val="00B925DB"/>
    <w:pPr>
      <w:numPr>
        <w:numId w:val="6"/>
      </w:numPr>
    </w:pPr>
  </w:style>
  <w:style w:type="table" w:customStyle="1" w:styleId="LightList-Accent12">
    <w:name w:val="Light List - Accent 12"/>
    <w:basedOn w:val="TableNormal"/>
    <w:uiPriority w:val="61"/>
    <w:rsid w:val="00B925D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
    <w:name w:val="Style1"/>
    <w:basedOn w:val="Normal"/>
    <w:qFormat/>
    <w:rsid w:val="00B925DB"/>
  </w:style>
  <w:style w:type="paragraph" w:styleId="TOC9">
    <w:name w:val="toc 9"/>
    <w:basedOn w:val="Normal"/>
    <w:next w:val="Normal"/>
    <w:autoRedefine/>
    <w:uiPriority w:val="39"/>
    <w:unhideWhenUsed/>
    <w:rsid w:val="00B925DB"/>
    <w:pPr>
      <w:spacing w:after="0"/>
      <w:ind w:left="1760"/>
      <w:jc w:val="left"/>
    </w:pPr>
    <w:rPr>
      <w:rFonts w:asciiTheme="minorHAnsi" w:hAnsiTheme="minorHAnsi" w:cstheme="minorHAnsi"/>
      <w:sz w:val="18"/>
      <w:szCs w:val="18"/>
    </w:rPr>
  </w:style>
  <w:style w:type="paragraph" w:styleId="TOC4">
    <w:name w:val="toc 4"/>
    <w:basedOn w:val="Normal"/>
    <w:next w:val="Normal"/>
    <w:autoRedefine/>
    <w:uiPriority w:val="39"/>
    <w:unhideWhenUsed/>
    <w:rsid w:val="00B925DB"/>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qFormat/>
    <w:rsid w:val="00B925DB"/>
    <w:pPr>
      <w:spacing w:after="0"/>
      <w:ind w:left="880"/>
      <w:jc w:val="left"/>
    </w:pPr>
    <w:rPr>
      <w:rFonts w:asciiTheme="minorHAnsi" w:hAnsiTheme="minorHAnsi" w:cstheme="minorHAnsi"/>
      <w:sz w:val="18"/>
      <w:szCs w:val="18"/>
    </w:rPr>
  </w:style>
  <w:style w:type="paragraph" w:styleId="NoSpacing">
    <w:name w:val="No Spacing"/>
    <w:link w:val="NoSpacingChar"/>
    <w:uiPriority w:val="1"/>
    <w:qFormat/>
    <w:rsid w:val="00B925DB"/>
    <w:rPr>
      <w:rFonts w:ascii="Calibri" w:hAnsi="Calibri"/>
      <w:sz w:val="22"/>
      <w:szCs w:val="22"/>
      <w:lang w:val="en-US" w:eastAsia="ja-JP"/>
    </w:rPr>
  </w:style>
  <w:style w:type="character" w:customStyle="1" w:styleId="NoSpacingChar">
    <w:name w:val="No Spacing Char"/>
    <w:link w:val="NoSpacing"/>
    <w:uiPriority w:val="1"/>
    <w:rsid w:val="00B925DB"/>
    <w:rPr>
      <w:rFonts w:ascii="Calibri" w:hAnsi="Calibri"/>
      <w:sz w:val="22"/>
      <w:szCs w:val="22"/>
      <w:lang w:val="en-US" w:eastAsia="ja-JP" w:bidi="ar-SA"/>
    </w:rPr>
  </w:style>
  <w:style w:type="paragraph" w:styleId="Quote">
    <w:name w:val="Quote"/>
    <w:basedOn w:val="Normal"/>
    <w:next w:val="Normal"/>
    <w:link w:val="QuoteChar"/>
    <w:uiPriority w:val="29"/>
    <w:qFormat/>
    <w:rsid w:val="00B925DB"/>
    <w:pPr>
      <w:jc w:val="left"/>
    </w:pPr>
    <w:rPr>
      <w:rFonts w:eastAsia="Times New Roman"/>
      <w:i/>
      <w:iCs/>
      <w:color w:val="000000"/>
      <w:lang w:val="en-US" w:eastAsia="ja-JP"/>
    </w:rPr>
  </w:style>
  <w:style w:type="character" w:customStyle="1" w:styleId="QuoteChar">
    <w:name w:val="Quote Char"/>
    <w:link w:val="Quote"/>
    <w:uiPriority w:val="29"/>
    <w:rsid w:val="00B925DB"/>
    <w:rPr>
      <w:rFonts w:ascii="Calibri" w:eastAsia="Times New Roman" w:hAnsi="Calibri" w:cs="Times New Roman"/>
      <w:i/>
      <w:iCs/>
      <w:color w:val="000000"/>
      <w:sz w:val="22"/>
      <w:szCs w:val="22"/>
      <w:lang w:val="en-US" w:eastAsia="ja-JP"/>
    </w:rPr>
  </w:style>
  <w:style w:type="table" w:styleId="MediumList2-Accent1">
    <w:name w:val="Medium List 2 Accent 1"/>
    <w:basedOn w:val="TableNormal"/>
    <w:uiPriority w:val="66"/>
    <w:rsid w:val="00B925DB"/>
    <w:rPr>
      <w:rFonts w:ascii="Cambria" w:hAnsi="Cambria"/>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converted-space">
    <w:name w:val="apple-converted-space"/>
    <w:basedOn w:val="DefaultParagraphFont"/>
    <w:rsid w:val="00A6570C"/>
  </w:style>
  <w:style w:type="table" w:customStyle="1" w:styleId="TableGrid2">
    <w:name w:val="Table Grid2"/>
    <w:basedOn w:val="TableNormal"/>
    <w:next w:val="TableGrid"/>
    <w:uiPriority w:val="39"/>
    <w:rsid w:val="00B91A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listendoftask">
    <w:name w:val="bulleted list end of task"/>
    <w:basedOn w:val="Normal"/>
    <w:rsid w:val="001D67C6"/>
    <w:pPr>
      <w:numPr>
        <w:numId w:val="8"/>
      </w:numPr>
      <w:spacing w:after="0" w:line="240" w:lineRule="auto"/>
      <w:jc w:val="left"/>
    </w:pPr>
    <w:rPr>
      <w:rFonts w:ascii="Times New Roman" w:eastAsia="Times New Roman" w:hAnsi="Times New Roman"/>
      <w:sz w:val="24"/>
      <w:szCs w:val="24"/>
      <w:lang w:eastAsia="en-GB"/>
    </w:rPr>
  </w:style>
  <w:style w:type="character" w:customStyle="1" w:styleId="fontstyle01">
    <w:name w:val="fontstyle01"/>
    <w:rsid w:val="00C16FD2"/>
    <w:rPr>
      <w:rFonts w:ascii="Times New Roman" w:hAnsi="Times New Roman" w:cs="Times New Roman" w:hint="default"/>
      <w:b w:val="0"/>
      <w:bCs w:val="0"/>
      <w:i w:val="0"/>
      <w:iCs w:val="0"/>
      <w:color w:val="000000"/>
      <w:sz w:val="24"/>
      <w:szCs w:val="24"/>
    </w:rPr>
  </w:style>
  <w:style w:type="character" w:customStyle="1" w:styleId="fontstyle21">
    <w:name w:val="fontstyle21"/>
    <w:rsid w:val="00C16FD2"/>
    <w:rPr>
      <w:rFonts w:ascii="Times New Roman" w:hAnsi="Times New Roman" w:cs="Times New Roman" w:hint="default"/>
      <w:b/>
      <w:bCs/>
      <w:i w:val="0"/>
      <w:iCs w:val="0"/>
      <w:color w:val="000000"/>
      <w:sz w:val="24"/>
      <w:szCs w:val="24"/>
    </w:rPr>
  </w:style>
  <w:style w:type="paragraph" w:styleId="PlainText">
    <w:name w:val="Plain Text"/>
    <w:basedOn w:val="Normal"/>
    <w:link w:val="PlainTextChar"/>
    <w:uiPriority w:val="99"/>
    <w:unhideWhenUsed/>
    <w:rsid w:val="00C16FD2"/>
    <w:pPr>
      <w:spacing w:after="0" w:line="240" w:lineRule="auto"/>
      <w:jc w:val="left"/>
    </w:pPr>
    <w:rPr>
      <w:szCs w:val="21"/>
    </w:rPr>
  </w:style>
  <w:style w:type="character" w:customStyle="1" w:styleId="PlainTextChar">
    <w:name w:val="Plain Text Char"/>
    <w:basedOn w:val="DefaultParagraphFont"/>
    <w:link w:val="PlainText"/>
    <w:uiPriority w:val="99"/>
    <w:rsid w:val="00C16FD2"/>
    <w:rPr>
      <w:rFonts w:ascii="Calibri" w:eastAsia="Calibri" w:hAnsi="Calibri"/>
      <w:sz w:val="22"/>
      <w:szCs w:val="21"/>
      <w:lang w:eastAsia="en-US"/>
    </w:rPr>
  </w:style>
  <w:style w:type="character" w:customStyle="1" w:styleId="UnresolvedMention1">
    <w:name w:val="Unresolved Mention1"/>
    <w:uiPriority w:val="99"/>
    <w:semiHidden/>
    <w:unhideWhenUsed/>
    <w:rsid w:val="00C16FD2"/>
    <w:rPr>
      <w:color w:val="605E5C"/>
      <w:shd w:val="clear" w:color="auto" w:fill="E1DFDD"/>
    </w:rPr>
  </w:style>
  <w:style w:type="paragraph" w:customStyle="1" w:styleId="Headline3">
    <w:name w:val="Headline 3"/>
    <w:basedOn w:val="Normal"/>
    <w:qFormat/>
    <w:rsid w:val="00A70148"/>
    <w:pPr>
      <w:numPr>
        <w:ilvl w:val="2"/>
        <w:numId w:val="7"/>
      </w:numPr>
      <w:spacing w:after="0" w:line="360" w:lineRule="auto"/>
    </w:pPr>
    <w:rPr>
      <w:rFonts w:ascii="Arial" w:eastAsiaTheme="minorHAnsi" w:hAnsi="Arial" w:cs="Arial"/>
      <w:b/>
      <w:color w:val="833C0B" w:themeColor="accent2" w:themeShade="80"/>
      <w:sz w:val="21"/>
      <w:szCs w:val="21"/>
    </w:rPr>
  </w:style>
  <w:style w:type="paragraph" w:styleId="Caption">
    <w:name w:val="caption"/>
    <w:basedOn w:val="Normal"/>
    <w:next w:val="Normal"/>
    <w:unhideWhenUsed/>
    <w:qFormat/>
    <w:rsid w:val="00F478B7"/>
    <w:pPr>
      <w:spacing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E15C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5CC2"/>
    <w:rPr>
      <w:rFonts w:ascii="Calibri" w:eastAsia="Calibri" w:hAnsi="Calibri"/>
      <w:lang w:eastAsia="en-US"/>
    </w:rPr>
  </w:style>
  <w:style w:type="character" w:styleId="EndnoteReference">
    <w:name w:val="endnote reference"/>
    <w:basedOn w:val="DefaultParagraphFont"/>
    <w:uiPriority w:val="99"/>
    <w:semiHidden/>
    <w:unhideWhenUsed/>
    <w:rsid w:val="00E15CC2"/>
    <w:rPr>
      <w:vertAlign w:val="superscript"/>
    </w:rPr>
  </w:style>
  <w:style w:type="paragraph" w:styleId="Revision">
    <w:name w:val="Revision"/>
    <w:hidden/>
    <w:uiPriority w:val="99"/>
    <w:semiHidden/>
    <w:rsid w:val="002D74AA"/>
    <w:rPr>
      <w:rFonts w:ascii="Calibri" w:eastAsia="Calibri" w:hAnsi="Calibri"/>
      <w:sz w:val="22"/>
      <w:szCs w:val="22"/>
      <w:lang w:eastAsia="en-US"/>
    </w:rPr>
  </w:style>
  <w:style w:type="character" w:customStyle="1" w:styleId="ListParagraphChar">
    <w:name w:val="List Paragraph Char"/>
    <w:aliases w:val="References Char,MCHIP_list paragraph Char,List Paragraph1 Char,Recommendation Char,Bullet List Char,FooterText Char,stil3 Char,Colorful List Accent 1 Char,numbered Char,Paragraphe de liste1 Char,列出段落 Char,列出段落1 Char"/>
    <w:link w:val="ListParagraph"/>
    <w:uiPriority w:val="34"/>
    <w:rsid w:val="00B535C6"/>
    <w:rPr>
      <w:rFonts w:ascii="Calibri" w:eastAsia="Calibri" w:hAnsi="Calibri"/>
      <w:sz w:val="22"/>
      <w:szCs w:val="22"/>
      <w:lang w:eastAsia="en-US"/>
    </w:rPr>
  </w:style>
  <w:style w:type="paragraph" w:styleId="TableofFigures">
    <w:name w:val="table of figures"/>
    <w:basedOn w:val="Normal"/>
    <w:next w:val="Normal"/>
    <w:autoRedefine/>
    <w:uiPriority w:val="99"/>
    <w:unhideWhenUsed/>
    <w:rsid w:val="00445BF9"/>
    <w:pPr>
      <w:spacing w:after="120" w:line="360" w:lineRule="auto"/>
      <w:ind w:left="442" w:hanging="442"/>
      <w:jc w:val="left"/>
    </w:pPr>
    <w:rPr>
      <w:rFonts w:ascii="Times New Roman" w:hAnsi="Times New Roman" w:cstheme="minorHAnsi"/>
      <w:sz w:val="24"/>
      <w:szCs w:val="20"/>
    </w:rPr>
  </w:style>
  <w:style w:type="paragraph" w:styleId="TOC6">
    <w:name w:val="toc 6"/>
    <w:basedOn w:val="Normal"/>
    <w:next w:val="Normal"/>
    <w:autoRedefine/>
    <w:uiPriority w:val="39"/>
    <w:unhideWhenUsed/>
    <w:rsid w:val="0043743B"/>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43743B"/>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43743B"/>
    <w:pPr>
      <w:spacing w:after="0"/>
      <w:ind w:left="154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2882">
      <w:bodyDiv w:val="1"/>
      <w:marLeft w:val="0"/>
      <w:marRight w:val="0"/>
      <w:marTop w:val="0"/>
      <w:marBottom w:val="0"/>
      <w:divBdr>
        <w:top w:val="none" w:sz="0" w:space="0" w:color="auto"/>
        <w:left w:val="none" w:sz="0" w:space="0" w:color="auto"/>
        <w:bottom w:val="none" w:sz="0" w:space="0" w:color="auto"/>
        <w:right w:val="none" w:sz="0" w:space="0" w:color="auto"/>
      </w:divBdr>
    </w:div>
    <w:div w:id="41708873">
      <w:bodyDiv w:val="1"/>
      <w:marLeft w:val="0"/>
      <w:marRight w:val="0"/>
      <w:marTop w:val="0"/>
      <w:marBottom w:val="0"/>
      <w:divBdr>
        <w:top w:val="none" w:sz="0" w:space="0" w:color="auto"/>
        <w:left w:val="none" w:sz="0" w:space="0" w:color="auto"/>
        <w:bottom w:val="none" w:sz="0" w:space="0" w:color="auto"/>
        <w:right w:val="none" w:sz="0" w:space="0" w:color="auto"/>
      </w:divBdr>
    </w:div>
    <w:div w:id="65341052">
      <w:bodyDiv w:val="1"/>
      <w:marLeft w:val="0"/>
      <w:marRight w:val="0"/>
      <w:marTop w:val="0"/>
      <w:marBottom w:val="0"/>
      <w:divBdr>
        <w:top w:val="none" w:sz="0" w:space="0" w:color="auto"/>
        <w:left w:val="none" w:sz="0" w:space="0" w:color="auto"/>
        <w:bottom w:val="none" w:sz="0" w:space="0" w:color="auto"/>
        <w:right w:val="none" w:sz="0" w:space="0" w:color="auto"/>
      </w:divBdr>
    </w:div>
    <w:div w:id="70473542">
      <w:bodyDiv w:val="1"/>
      <w:marLeft w:val="0"/>
      <w:marRight w:val="0"/>
      <w:marTop w:val="0"/>
      <w:marBottom w:val="0"/>
      <w:divBdr>
        <w:top w:val="none" w:sz="0" w:space="0" w:color="auto"/>
        <w:left w:val="none" w:sz="0" w:space="0" w:color="auto"/>
        <w:bottom w:val="none" w:sz="0" w:space="0" w:color="auto"/>
        <w:right w:val="none" w:sz="0" w:space="0" w:color="auto"/>
      </w:divBdr>
    </w:div>
    <w:div w:id="116224712">
      <w:bodyDiv w:val="1"/>
      <w:marLeft w:val="0"/>
      <w:marRight w:val="0"/>
      <w:marTop w:val="0"/>
      <w:marBottom w:val="0"/>
      <w:divBdr>
        <w:top w:val="none" w:sz="0" w:space="0" w:color="auto"/>
        <w:left w:val="none" w:sz="0" w:space="0" w:color="auto"/>
        <w:bottom w:val="none" w:sz="0" w:space="0" w:color="auto"/>
        <w:right w:val="none" w:sz="0" w:space="0" w:color="auto"/>
      </w:divBdr>
    </w:div>
    <w:div w:id="117726963">
      <w:bodyDiv w:val="1"/>
      <w:marLeft w:val="0"/>
      <w:marRight w:val="0"/>
      <w:marTop w:val="0"/>
      <w:marBottom w:val="0"/>
      <w:divBdr>
        <w:top w:val="none" w:sz="0" w:space="0" w:color="auto"/>
        <w:left w:val="none" w:sz="0" w:space="0" w:color="auto"/>
        <w:bottom w:val="none" w:sz="0" w:space="0" w:color="auto"/>
        <w:right w:val="none" w:sz="0" w:space="0" w:color="auto"/>
      </w:divBdr>
    </w:div>
    <w:div w:id="146243152">
      <w:bodyDiv w:val="1"/>
      <w:marLeft w:val="0"/>
      <w:marRight w:val="0"/>
      <w:marTop w:val="0"/>
      <w:marBottom w:val="0"/>
      <w:divBdr>
        <w:top w:val="none" w:sz="0" w:space="0" w:color="auto"/>
        <w:left w:val="none" w:sz="0" w:space="0" w:color="auto"/>
        <w:bottom w:val="none" w:sz="0" w:space="0" w:color="auto"/>
        <w:right w:val="none" w:sz="0" w:space="0" w:color="auto"/>
      </w:divBdr>
    </w:div>
    <w:div w:id="177352244">
      <w:bodyDiv w:val="1"/>
      <w:marLeft w:val="0"/>
      <w:marRight w:val="0"/>
      <w:marTop w:val="0"/>
      <w:marBottom w:val="0"/>
      <w:divBdr>
        <w:top w:val="none" w:sz="0" w:space="0" w:color="auto"/>
        <w:left w:val="none" w:sz="0" w:space="0" w:color="auto"/>
        <w:bottom w:val="none" w:sz="0" w:space="0" w:color="auto"/>
        <w:right w:val="none" w:sz="0" w:space="0" w:color="auto"/>
      </w:divBdr>
    </w:div>
    <w:div w:id="187328789">
      <w:bodyDiv w:val="1"/>
      <w:marLeft w:val="0"/>
      <w:marRight w:val="0"/>
      <w:marTop w:val="0"/>
      <w:marBottom w:val="0"/>
      <w:divBdr>
        <w:top w:val="none" w:sz="0" w:space="0" w:color="auto"/>
        <w:left w:val="none" w:sz="0" w:space="0" w:color="auto"/>
        <w:bottom w:val="none" w:sz="0" w:space="0" w:color="auto"/>
        <w:right w:val="none" w:sz="0" w:space="0" w:color="auto"/>
      </w:divBdr>
    </w:div>
    <w:div w:id="280377569">
      <w:bodyDiv w:val="1"/>
      <w:marLeft w:val="0"/>
      <w:marRight w:val="0"/>
      <w:marTop w:val="0"/>
      <w:marBottom w:val="0"/>
      <w:divBdr>
        <w:top w:val="none" w:sz="0" w:space="0" w:color="auto"/>
        <w:left w:val="none" w:sz="0" w:space="0" w:color="auto"/>
        <w:bottom w:val="none" w:sz="0" w:space="0" w:color="auto"/>
        <w:right w:val="none" w:sz="0" w:space="0" w:color="auto"/>
      </w:divBdr>
    </w:div>
    <w:div w:id="286205655">
      <w:bodyDiv w:val="1"/>
      <w:marLeft w:val="0"/>
      <w:marRight w:val="0"/>
      <w:marTop w:val="0"/>
      <w:marBottom w:val="0"/>
      <w:divBdr>
        <w:top w:val="none" w:sz="0" w:space="0" w:color="auto"/>
        <w:left w:val="none" w:sz="0" w:space="0" w:color="auto"/>
        <w:bottom w:val="none" w:sz="0" w:space="0" w:color="auto"/>
        <w:right w:val="none" w:sz="0" w:space="0" w:color="auto"/>
      </w:divBdr>
      <w:divsChild>
        <w:div w:id="1306424322">
          <w:marLeft w:val="2317"/>
          <w:marRight w:val="2317"/>
          <w:marTop w:val="0"/>
          <w:marBottom w:val="0"/>
          <w:divBdr>
            <w:top w:val="none" w:sz="0" w:space="0" w:color="auto"/>
            <w:left w:val="none" w:sz="0" w:space="0" w:color="auto"/>
            <w:bottom w:val="none" w:sz="0" w:space="0" w:color="auto"/>
            <w:right w:val="none" w:sz="0" w:space="0" w:color="auto"/>
          </w:divBdr>
        </w:div>
      </w:divsChild>
    </w:div>
    <w:div w:id="287006030">
      <w:bodyDiv w:val="1"/>
      <w:marLeft w:val="0"/>
      <w:marRight w:val="0"/>
      <w:marTop w:val="0"/>
      <w:marBottom w:val="0"/>
      <w:divBdr>
        <w:top w:val="none" w:sz="0" w:space="0" w:color="auto"/>
        <w:left w:val="none" w:sz="0" w:space="0" w:color="auto"/>
        <w:bottom w:val="none" w:sz="0" w:space="0" w:color="auto"/>
        <w:right w:val="none" w:sz="0" w:space="0" w:color="auto"/>
      </w:divBdr>
    </w:div>
    <w:div w:id="306209882">
      <w:bodyDiv w:val="1"/>
      <w:marLeft w:val="0"/>
      <w:marRight w:val="0"/>
      <w:marTop w:val="0"/>
      <w:marBottom w:val="0"/>
      <w:divBdr>
        <w:top w:val="none" w:sz="0" w:space="0" w:color="auto"/>
        <w:left w:val="none" w:sz="0" w:space="0" w:color="auto"/>
        <w:bottom w:val="none" w:sz="0" w:space="0" w:color="auto"/>
        <w:right w:val="none" w:sz="0" w:space="0" w:color="auto"/>
      </w:divBdr>
    </w:div>
    <w:div w:id="335310030">
      <w:bodyDiv w:val="1"/>
      <w:marLeft w:val="0"/>
      <w:marRight w:val="0"/>
      <w:marTop w:val="0"/>
      <w:marBottom w:val="0"/>
      <w:divBdr>
        <w:top w:val="none" w:sz="0" w:space="0" w:color="auto"/>
        <w:left w:val="none" w:sz="0" w:space="0" w:color="auto"/>
        <w:bottom w:val="none" w:sz="0" w:space="0" w:color="auto"/>
        <w:right w:val="none" w:sz="0" w:space="0" w:color="auto"/>
      </w:divBdr>
    </w:div>
    <w:div w:id="343671074">
      <w:bodyDiv w:val="1"/>
      <w:marLeft w:val="0"/>
      <w:marRight w:val="0"/>
      <w:marTop w:val="0"/>
      <w:marBottom w:val="0"/>
      <w:divBdr>
        <w:top w:val="none" w:sz="0" w:space="0" w:color="auto"/>
        <w:left w:val="none" w:sz="0" w:space="0" w:color="auto"/>
        <w:bottom w:val="none" w:sz="0" w:space="0" w:color="auto"/>
        <w:right w:val="none" w:sz="0" w:space="0" w:color="auto"/>
      </w:divBdr>
    </w:div>
    <w:div w:id="360790128">
      <w:bodyDiv w:val="1"/>
      <w:marLeft w:val="0"/>
      <w:marRight w:val="0"/>
      <w:marTop w:val="0"/>
      <w:marBottom w:val="0"/>
      <w:divBdr>
        <w:top w:val="none" w:sz="0" w:space="0" w:color="auto"/>
        <w:left w:val="none" w:sz="0" w:space="0" w:color="auto"/>
        <w:bottom w:val="none" w:sz="0" w:space="0" w:color="auto"/>
        <w:right w:val="none" w:sz="0" w:space="0" w:color="auto"/>
      </w:divBdr>
    </w:div>
    <w:div w:id="362826649">
      <w:bodyDiv w:val="1"/>
      <w:marLeft w:val="0"/>
      <w:marRight w:val="0"/>
      <w:marTop w:val="0"/>
      <w:marBottom w:val="0"/>
      <w:divBdr>
        <w:top w:val="none" w:sz="0" w:space="0" w:color="auto"/>
        <w:left w:val="none" w:sz="0" w:space="0" w:color="auto"/>
        <w:bottom w:val="none" w:sz="0" w:space="0" w:color="auto"/>
        <w:right w:val="none" w:sz="0" w:space="0" w:color="auto"/>
      </w:divBdr>
    </w:div>
    <w:div w:id="387653984">
      <w:bodyDiv w:val="1"/>
      <w:marLeft w:val="0"/>
      <w:marRight w:val="0"/>
      <w:marTop w:val="0"/>
      <w:marBottom w:val="0"/>
      <w:divBdr>
        <w:top w:val="none" w:sz="0" w:space="0" w:color="auto"/>
        <w:left w:val="none" w:sz="0" w:space="0" w:color="auto"/>
        <w:bottom w:val="none" w:sz="0" w:space="0" w:color="auto"/>
        <w:right w:val="none" w:sz="0" w:space="0" w:color="auto"/>
      </w:divBdr>
    </w:div>
    <w:div w:id="394082563">
      <w:bodyDiv w:val="1"/>
      <w:marLeft w:val="0"/>
      <w:marRight w:val="0"/>
      <w:marTop w:val="0"/>
      <w:marBottom w:val="0"/>
      <w:divBdr>
        <w:top w:val="none" w:sz="0" w:space="0" w:color="auto"/>
        <w:left w:val="none" w:sz="0" w:space="0" w:color="auto"/>
        <w:bottom w:val="none" w:sz="0" w:space="0" w:color="auto"/>
        <w:right w:val="none" w:sz="0" w:space="0" w:color="auto"/>
      </w:divBdr>
    </w:div>
    <w:div w:id="396124710">
      <w:bodyDiv w:val="1"/>
      <w:marLeft w:val="0"/>
      <w:marRight w:val="0"/>
      <w:marTop w:val="0"/>
      <w:marBottom w:val="0"/>
      <w:divBdr>
        <w:top w:val="none" w:sz="0" w:space="0" w:color="auto"/>
        <w:left w:val="none" w:sz="0" w:space="0" w:color="auto"/>
        <w:bottom w:val="none" w:sz="0" w:space="0" w:color="auto"/>
        <w:right w:val="none" w:sz="0" w:space="0" w:color="auto"/>
      </w:divBdr>
    </w:div>
    <w:div w:id="415053507">
      <w:bodyDiv w:val="1"/>
      <w:marLeft w:val="0"/>
      <w:marRight w:val="0"/>
      <w:marTop w:val="0"/>
      <w:marBottom w:val="0"/>
      <w:divBdr>
        <w:top w:val="none" w:sz="0" w:space="0" w:color="auto"/>
        <w:left w:val="none" w:sz="0" w:space="0" w:color="auto"/>
        <w:bottom w:val="none" w:sz="0" w:space="0" w:color="auto"/>
        <w:right w:val="none" w:sz="0" w:space="0" w:color="auto"/>
      </w:divBdr>
    </w:div>
    <w:div w:id="421072197">
      <w:bodyDiv w:val="1"/>
      <w:marLeft w:val="0"/>
      <w:marRight w:val="0"/>
      <w:marTop w:val="0"/>
      <w:marBottom w:val="0"/>
      <w:divBdr>
        <w:top w:val="none" w:sz="0" w:space="0" w:color="auto"/>
        <w:left w:val="none" w:sz="0" w:space="0" w:color="auto"/>
        <w:bottom w:val="none" w:sz="0" w:space="0" w:color="auto"/>
        <w:right w:val="none" w:sz="0" w:space="0" w:color="auto"/>
      </w:divBdr>
    </w:div>
    <w:div w:id="428964006">
      <w:bodyDiv w:val="1"/>
      <w:marLeft w:val="0"/>
      <w:marRight w:val="0"/>
      <w:marTop w:val="0"/>
      <w:marBottom w:val="0"/>
      <w:divBdr>
        <w:top w:val="none" w:sz="0" w:space="0" w:color="auto"/>
        <w:left w:val="none" w:sz="0" w:space="0" w:color="auto"/>
        <w:bottom w:val="none" w:sz="0" w:space="0" w:color="auto"/>
        <w:right w:val="none" w:sz="0" w:space="0" w:color="auto"/>
      </w:divBdr>
    </w:div>
    <w:div w:id="430709602">
      <w:bodyDiv w:val="1"/>
      <w:marLeft w:val="0"/>
      <w:marRight w:val="0"/>
      <w:marTop w:val="0"/>
      <w:marBottom w:val="0"/>
      <w:divBdr>
        <w:top w:val="none" w:sz="0" w:space="0" w:color="auto"/>
        <w:left w:val="none" w:sz="0" w:space="0" w:color="auto"/>
        <w:bottom w:val="none" w:sz="0" w:space="0" w:color="auto"/>
        <w:right w:val="none" w:sz="0" w:space="0" w:color="auto"/>
      </w:divBdr>
      <w:divsChild>
        <w:div w:id="310796222">
          <w:marLeft w:val="2317"/>
          <w:marRight w:val="2317"/>
          <w:marTop w:val="0"/>
          <w:marBottom w:val="0"/>
          <w:divBdr>
            <w:top w:val="none" w:sz="0" w:space="0" w:color="auto"/>
            <w:left w:val="none" w:sz="0" w:space="0" w:color="auto"/>
            <w:bottom w:val="none" w:sz="0" w:space="0" w:color="auto"/>
            <w:right w:val="none" w:sz="0" w:space="0" w:color="auto"/>
          </w:divBdr>
        </w:div>
      </w:divsChild>
    </w:div>
    <w:div w:id="436606120">
      <w:bodyDiv w:val="1"/>
      <w:marLeft w:val="0"/>
      <w:marRight w:val="0"/>
      <w:marTop w:val="0"/>
      <w:marBottom w:val="0"/>
      <w:divBdr>
        <w:top w:val="none" w:sz="0" w:space="0" w:color="auto"/>
        <w:left w:val="none" w:sz="0" w:space="0" w:color="auto"/>
        <w:bottom w:val="none" w:sz="0" w:space="0" w:color="auto"/>
        <w:right w:val="none" w:sz="0" w:space="0" w:color="auto"/>
      </w:divBdr>
    </w:div>
    <w:div w:id="442194809">
      <w:bodyDiv w:val="1"/>
      <w:marLeft w:val="0"/>
      <w:marRight w:val="0"/>
      <w:marTop w:val="0"/>
      <w:marBottom w:val="0"/>
      <w:divBdr>
        <w:top w:val="none" w:sz="0" w:space="0" w:color="auto"/>
        <w:left w:val="none" w:sz="0" w:space="0" w:color="auto"/>
        <w:bottom w:val="none" w:sz="0" w:space="0" w:color="auto"/>
        <w:right w:val="none" w:sz="0" w:space="0" w:color="auto"/>
      </w:divBdr>
    </w:div>
    <w:div w:id="466359790">
      <w:bodyDiv w:val="1"/>
      <w:marLeft w:val="0"/>
      <w:marRight w:val="0"/>
      <w:marTop w:val="0"/>
      <w:marBottom w:val="0"/>
      <w:divBdr>
        <w:top w:val="none" w:sz="0" w:space="0" w:color="auto"/>
        <w:left w:val="none" w:sz="0" w:space="0" w:color="auto"/>
        <w:bottom w:val="none" w:sz="0" w:space="0" w:color="auto"/>
        <w:right w:val="none" w:sz="0" w:space="0" w:color="auto"/>
      </w:divBdr>
      <w:divsChild>
        <w:div w:id="1816410100">
          <w:marLeft w:val="0"/>
          <w:marRight w:val="0"/>
          <w:marTop w:val="0"/>
          <w:marBottom w:val="0"/>
          <w:divBdr>
            <w:top w:val="none" w:sz="0" w:space="0" w:color="auto"/>
            <w:left w:val="none" w:sz="0" w:space="0" w:color="auto"/>
            <w:bottom w:val="none" w:sz="0" w:space="0" w:color="auto"/>
            <w:right w:val="none" w:sz="0" w:space="0" w:color="auto"/>
          </w:divBdr>
          <w:divsChild>
            <w:div w:id="934686">
              <w:marLeft w:val="0"/>
              <w:marRight w:val="0"/>
              <w:marTop w:val="0"/>
              <w:marBottom w:val="0"/>
              <w:divBdr>
                <w:top w:val="none" w:sz="0" w:space="0" w:color="auto"/>
                <w:left w:val="none" w:sz="0" w:space="0" w:color="auto"/>
                <w:bottom w:val="none" w:sz="0" w:space="0" w:color="auto"/>
                <w:right w:val="none" w:sz="0" w:space="0" w:color="auto"/>
              </w:divBdr>
              <w:divsChild>
                <w:div w:id="559096167">
                  <w:marLeft w:val="0"/>
                  <w:marRight w:val="150"/>
                  <w:marTop w:val="0"/>
                  <w:marBottom w:val="0"/>
                  <w:divBdr>
                    <w:top w:val="none" w:sz="0" w:space="0" w:color="auto"/>
                    <w:left w:val="none" w:sz="0" w:space="0" w:color="auto"/>
                    <w:bottom w:val="none" w:sz="0" w:space="0" w:color="auto"/>
                    <w:right w:val="none" w:sz="0" w:space="0" w:color="auto"/>
                  </w:divBdr>
                  <w:divsChild>
                    <w:div w:id="826474990">
                      <w:marLeft w:val="0"/>
                      <w:marRight w:val="0"/>
                      <w:marTop w:val="240"/>
                      <w:marBottom w:val="0"/>
                      <w:divBdr>
                        <w:top w:val="single" w:sz="6" w:space="11" w:color="DDDDDD"/>
                        <w:left w:val="single" w:sz="6" w:space="11" w:color="F0F0F0"/>
                        <w:bottom w:val="single" w:sz="6" w:space="11" w:color="FBFBFB"/>
                        <w:right w:val="single" w:sz="6" w:space="11" w:color="F0F0F0"/>
                      </w:divBdr>
                    </w:div>
                  </w:divsChild>
                </w:div>
              </w:divsChild>
            </w:div>
          </w:divsChild>
        </w:div>
      </w:divsChild>
    </w:div>
    <w:div w:id="509419570">
      <w:bodyDiv w:val="1"/>
      <w:marLeft w:val="0"/>
      <w:marRight w:val="0"/>
      <w:marTop w:val="0"/>
      <w:marBottom w:val="0"/>
      <w:divBdr>
        <w:top w:val="none" w:sz="0" w:space="0" w:color="auto"/>
        <w:left w:val="none" w:sz="0" w:space="0" w:color="auto"/>
        <w:bottom w:val="none" w:sz="0" w:space="0" w:color="auto"/>
        <w:right w:val="none" w:sz="0" w:space="0" w:color="auto"/>
      </w:divBdr>
    </w:div>
    <w:div w:id="517890044">
      <w:bodyDiv w:val="1"/>
      <w:marLeft w:val="0"/>
      <w:marRight w:val="0"/>
      <w:marTop w:val="0"/>
      <w:marBottom w:val="0"/>
      <w:divBdr>
        <w:top w:val="none" w:sz="0" w:space="0" w:color="auto"/>
        <w:left w:val="none" w:sz="0" w:space="0" w:color="auto"/>
        <w:bottom w:val="none" w:sz="0" w:space="0" w:color="auto"/>
        <w:right w:val="none" w:sz="0" w:space="0" w:color="auto"/>
      </w:divBdr>
    </w:div>
    <w:div w:id="543907551">
      <w:bodyDiv w:val="1"/>
      <w:marLeft w:val="0"/>
      <w:marRight w:val="0"/>
      <w:marTop w:val="0"/>
      <w:marBottom w:val="0"/>
      <w:divBdr>
        <w:top w:val="none" w:sz="0" w:space="0" w:color="auto"/>
        <w:left w:val="none" w:sz="0" w:space="0" w:color="auto"/>
        <w:bottom w:val="none" w:sz="0" w:space="0" w:color="auto"/>
        <w:right w:val="none" w:sz="0" w:space="0" w:color="auto"/>
      </w:divBdr>
    </w:div>
    <w:div w:id="547031162">
      <w:bodyDiv w:val="1"/>
      <w:marLeft w:val="0"/>
      <w:marRight w:val="0"/>
      <w:marTop w:val="0"/>
      <w:marBottom w:val="0"/>
      <w:divBdr>
        <w:top w:val="none" w:sz="0" w:space="0" w:color="auto"/>
        <w:left w:val="none" w:sz="0" w:space="0" w:color="auto"/>
        <w:bottom w:val="none" w:sz="0" w:space="0" w:color="auto"/>
        <w:right w:val="none" w:sz="0" w:space="0" w:color="auto"/>
      </w:divBdr>
    </w:div>
    <w:div w:id="555554922">
      <w:bodyDiv w:val="1"/>
      <w:marLeft w:val="0"/>
      <w:marRight w:val="0"/>
      <w:marTop w:val="0"/>
      <w:marBottom w:val="0"/>
      <w:divBdr>
        <w:top w:val="none" w:sz="0" w:space="0" w:color="auto"/>
        <w:left w:val="none" w:sz="0" w:space="0" w:color="auto"/>
        <w:bottom w:val="none" w:sz="0" w:space="0" w:color="auto"/>
        <w:right w:val="none" w:sz="0" w:space="0" w:color="auto"/>
      </w:divBdr>
    </w:div>
    <w:div w:id="557520691">
      <w:bodyDiv w:val="1"/>
      <w:marLeft w:val="0"/>
      <w:marRight w:val="0"/>
      <w:marTop w:val="0"/>
      <w:marBottom w:val="0"/>
      <w:divBdr>
        <w:top w:val="none" w:sz="0" w:space="0" w:color="auto"/>
        <w:left w:val="none" w:sz="0" w:space="0" w:color="auto"/>
        <w:bottom w:val="none" w:sz="0" w:space="0" w:color="auto"/>
        <w:right w:val="none" w:sz="0" w:space="0" w:color="auto"/>
      </w:divBdr>
    </w:div>
    <w:div w:id="578516307">
      <w:bodyDiv w:val="1"/>
      <w:marLeft w:val="0"/>
      <w:marRight w:val="0"/>
      <w:marTop w:val="0"/>
      <w:marBottom w:val="0"/>
      <w:divBdr>
        <w:top w:val="none" w:sz="0" w:space="0" w:color="auto"/>
        <w:left w:val="none" w:sz="0" w:space="0" w:color="auto"/>
        <w:bottom w:val="none" w:sz="0" w:space="0" w:color="auto"/>
        <w:right w:val="none" w:sz="0" w:space="0" w:color="auto"/>
      </w:divBdr>
    </w:div>
    <w:div w:id="586379553">
      <w:bodyDiv w:val="1"/>
      <w:marLeft w:val="0"/>
      <w:marRight w:val="0"/>
      <w:marTop w:val="0"/>
      <w:marBottom w:val="0"/>
      <w:divBdr>
        <w:top w:val="none" w:sz="0" w:space="0" w:color="auto"/>
        <w:left w:val="none" w:sz="0" w:space="0" w:color="auto"/>
        <w:bottom w:val="none" w:sz="0" w:space="0" w:color="auto"/>
        <w:right w:val="none" w:sz="0" w:space="0" w:color="auto"/>
      </w:divBdr>
    </w:div>
    <w:div w:id="635842644">
      <w:bodyDiv w:val="1"/>
      <w:marLeft w:val="0"/>
      <w:marRight w:val="0"/>
      <w:marTop w:val="0"/>
      <w:marBottom w:val="0"/>
      <w:divBdr>
        <w:top w:val="none" w:sz="0" w:space="0" w:color="auto"/>
        <w:left w:val="none" w:sz="0" w:space="0" w:color="auto"/>
        <w:bottom w:val="none" w:sz="0" w:space="0" w:color="auto"/>
        <w:right w:val="none" w:sz="0" w:space="0" w:color="auto"/>
      </w:divBdr>
    </w:div>
    <w:div w:id="641925924">
      <w:bodyDiv w:val="1"/>
      <w:marLeft w:val="0"/>
      <w:marRight w:val="0"/>
      <w:marTop w:val="0"/>
      <w:marBottom w:val="0"/>
      <w:divBdr>
        <w:top w:val="none" w:sz="0" w:space="0" w:color="auto"/>
        <w:left w:val="none" w:sz="0" w:space="0" w:color="auto"/>
        <w:bottom w:val="none" w:sz="0" w:space="0" w:color="auto"/>
        <w:right w:val="none" w:sz="0" w:space="0" w:color="auto"/>
      </w:divBdr>
    </w:div>
    <w:div w:id="651100768">
      <w:bodyDiv w:val="1"/>
      <w:marLeft w:val="0"/>
      <w:marRight w:val="0"/>
      <w:marTop w:val="0"/>
      <w:marBottom w:val="0"/>
      <w:divBdr>
        <w:top w:val="none" w:sz="0" w:space="0" w:color="auto"/>
        <w:left w:val="none" w:sz="0" w:space="0" w:color="auto"/>
        <w:bottom w:val="none" w:sz="0" w:space="0" w:color="auto"/>
        <w:right w:val="none" w:sz="0" w:space="0" w:color="auto"/>
      </w:divBdr>
    </w:div>
    <w:div w:id="673997657">
      <w:bodyDiv w:val="1"/>
      <w:marLeft w:val="0"/>
      <w:marRight w:val="0"/>
      <w:marTop w:val="0"/>
      <w:marBottom w:val="0"/>
      <w:divBdr>
        <w:top w:val="none" w:sz="0" w:space="0" w:color="auto"/>
        <w:left w:val="none" w:sz="0" w:space="0" w:color="auto"/>
        <w:bottom w:val="none" w:sz="0" w:space="0" w:color="auto"/>
        <w:right w:val="none" w:sz="0" w:space="0" w:color="auto"/>
      </w:divBdr>
    </w:div>
    <w:div w:id="687369388">
      <w:bodyDiv w:val="1"/>
      <w:marLeft w:val="0"/>
      <w:marRight w:val="0"/>
      <w:marTop w:val="0"/>
      <w:marBottom w:val="0"/>
      <w:divBdr>
        <w:top w:val="none" w:sz="0" w:space="0" w:color="auto"/>
        <w:left w:val="none" w:sz="0" w:space="0" w:color="auto"/>
        <w:bottom w:val="none" w:sz="0" w:space="0" w:color="auto"/>
        <w:right w:val="none" w:sz="0" w:space="0" w:color="auto"/>
      </w:divBdr>
    </w:div>
    <w:div w:id="694960166">
      <w:bodyDiv w:val="1"/>
      <w:marLeft w:val="0"/>
      <w:marRight w:val="0"/>
      <w:marTop w:val="0"/>
      <w:marBottom w:val="0"/>
      <w:divBdr>
        <w:top w:val="none" w:sz="0" w:space="0" w:color="auto"/>
        <w:left w:val="none" w:sz="0" w:space="0" w:color="auto"/>
        <w:bottom w:val="none" w:sz="0" w:space="0" w:color="auto"/>
        <w:right w:val="none" w:sz="0" w:space="0" w:color="auto"/>
      </w:divBdr>
    </w:div>
    <w:div w:id="709036940">
      <w:bodyDiv w:val="1"/>
      <w:marLeft w:val="0"/>
      <w:marRight w:val="0"/>
      <w:marTop w:val="0"/>
      <w:marBottom w:val="0"/>
      <w:divBdr>
        <w:top w:val="none" w:sz="0" w:space="0" w:color="auto"/>
        <w:left w:val="none" w:sz="0" w:space="0" w:color="auto"/>
        <w:bottom w:val="none" w:sz="0" w:space="0" w:color="auto"/>
        <w:right w:val="none" w:sz="0" w:space="0" w:color="auto"/>
      </w:divBdr>
    </w:div>
    <w:div w:id="709646296">
      <w:bodyDiv w:val="1"/>
      <w:marLeft w:val="0"/>
      <w:marRight w:val="0"/>
      <w:marTop w:val="0"/>
      <w:marBottom w:val="0"/>
      <w:divBdr>
        <w:top w:val="none" w:sz="0" w:space="0" w:color="auto"/>
        <w:left w:val="none" w:sz="0" w:space="0" w:color="auto"/>
        <w:bottom w:val="none" w:sz="0" w:space="0" w:color="auto"/>
        <w:right w:val="none" w:sz="0" w:space="0" w:color="auto"/>
      </w:divBdr>
    </w:div>
    <w:div w:id="734477527">
      <w:bodyDiv w:val="1"/>
      <w:marLeft w:val="0"/>
      <w:marRight w:val="0"/>
      <w:marTop w:val="0"/>
      <w:marBottom w:val="0"/>
      <w:divBdr>
        <w:top w:val="none" w:sz="0" w:space="0" w:color="auto"/>
        <w:left w:val="none" w:sz="0" w:space="0" w:color="auto"/>
        <w:bottom w:val="none" w:sz="0" w:space="0" w:color="auto"/>
        <w:right w:val="none" w:sz="0" w:space="0" w:color="auto"/>
      </w:divBdr>
    </w:div>
    <w:div w:id="735935244">
      <w:bodyDiv w:val="1"/>
      <w:marLeft w:val="0"/>
      <w:marRight w:val="0"/>
      <w:marTop w:val="0"/>
      <w:marBottom w:val="0"/>
      <w:divBdr>
        <w:top w:val="none" w:sz="0" w:space="0" w:color="auto"/>
        <w:left w:val="none" w:sz="0" w:space="0" w:color="auto"/>
        <w:bottom w:val="none" w:sz="0" w:space="0" w:color="auto"/>
        <w:right w:val="none" w:sz="0" w:space="0" w:color="auto"/>
      </w:divBdr>
    </w:div>
    <w:div w:id="787313135">
      <w:bodyDiv w:val="1"/>
      <w:marLeft w:val="0"/>
      <w:marRight w:val="0"/>
      <w:marTop w:val="0"/>
      <w:marBottom w:val="0"/>
      <w:divBdr>
        <w:top w:val="none" w:sz="0" w:space="0" w:color="auto"/>
        <w:left w:val="none" w:sz="0" w:space="0" w:color="auto"/>
        <w:bottom w:val="none" w:sz="0" w:space="0" w:color="auto"/>
        <w:right w:val="none" w:sz="0" w:space="0" w:color="auto"/>
      </w:divBdr>
    </w:div>
    <w:div w:id="840511174">
      <w:bodyDiv w:val="1"/>
      <w:marLeft w:val="0"/>
      <w:marRight w:val="0"/>
      <w:marTop w:val="0"/>
      <w:marBottom w:val="0"/>
      <w:divBdr>
        <w:top w:val="none" w:sz="0" w:space="0" w:color="auto"/>
        <w:left w:val="none" w:sz="0" w:space="0" w:color="auto"/>
        <w:bottom w:val="none" w:sz="0" w:space="0" w:color="auto"/>
        <w:right w:val="none" w:sz="0" w:space="0" w:color="auto"/>
      </w:divBdr>
      <w:divsChild>
        <w:div w:id="1848908836">
          <w:marLeft w:val="2317"/>
          <w:marRight w:val="2317"/>
          <w:marTop w:val="0"/>
          <w:marBottom w:val="0"/>
          <w:divBdr>
            <w:top w:val="none" w:sz="0" w:space="0" w:color="auto"/>
            <w:left w:val="none" w:sz="0" w:space="0" w:color="auto"/>
            <w:bottom w:val="none" w:sz="0" w:space="0" w:color="auto"/>
            <w:right w:val="none" w:sz="0" w:space="0" w:color="auto"/>
          </w:divBdr>
        </w:div>
      </w:divsChild>
    </w:div>
    <w:div w:id="871039151">
      <w:bodyDiv w:val="1"/>
      <w:marLeft w:val="0"/>
      <w:marRight w:val="0"/>
      <w:marTop w:val="0"/>
      <w:marBottom w:val="0"/>
      <w:divBdr>
        <w:top w:val="none" w:sz="0" w:space="0" w:color="auto"/>
        <w:left w:val="none" w:sz="0" w:space="0" w:color="auto"/>
        <w:bottom w:val="none" w:sz="0" w:space="0" w:color="auto"/>
        <w:right w:val="none" w:sz="0" w:space="0" w:color="auto"/>
      </w:divBdr>
    </w:div>
    <w:div w:id="872574303">
      <w:bodyDiv w:val="1"/>
      <w:marLeft w:val="0"/>
      <w:marRight w:val="0"/>
      <w:marTop w:val="0"/>
      <w:marBottom w:val="0"/>
      <w:divBdr>
        <w:top w:val="none" w:sz="0" w:space="0" w:color="auto"/>
        <w:left w:val="none" w:sz="0" w:space="0" w:color="auto"/>
        <w:bottom w:val="none" w:sz="0" w:space="0" w:color="auto"/>
        <w:right w:val="none" w:sz="0" w:space="0" w:color="auto"/>
      </w:divBdr>
      <w:divsChild>
        <w:div w:id="1025325258">
          <w:marLeft w:val="2317"/>
          <w:marRight w:val="2317"/>
          <w:marTop w:val="0"/>
          <w:marBottom w:val="0"/>
          <w:divBdr>
            <w:top w:val="none" w:sz="0" w:space="0" w:color="auto"/>
            <w:left w:val="none" w:sz="0" w:space="0" w:color="auto"/>
            <w:bottom w:val="none" w:sz="0" w:space="0" w:color="auto"/>
            <w:right w:val="none" w:sz="0" w:space="0" w:color="auto"/>
          </w:divBdr>
          <w:divsChild>
            <w:div w:id="237250571">
              <w:marLeft w:val="0"/>
              <w:marRight w:val="0"/>
              <w:marTop w:val="0"/>
              <w:marBottom w:val="0"/>
              <w:divBdr>
                <w:top w:val="none" w:sz="0" w:space="0" w:color="auto"/>
                <w:left w:val="none" w:sz="0" w:space="0" w:color="auto"/>
                <w:bottom w:val="none" w:sz="0" w:space="0" w:color="auto"/>
                <w:right w:val="none" w:sz="0" w:space="0" w:color="auto"/>
              </w:divBdr>
            </w:div>
            <w:div w:id="1355837728">
              <w:marLeft w:val="0"/>
              <w:marRight w:val="0"/>
              <w:marTop w:val="0"/>
              <w:marBottom w:val="0"/>
              <w:divBdr>
                <w:top w:val="none" w:sz="0" w:space="0" w:color="auto"/>
                <w:left w:val="none" w:sz="0" w:space="0" w:color="auto"/>
                <w:bottom w:val="none" w:sz="0" w:space="0" w:color="auto"/>
                <w:right w:val="none" w:sz="0" w:space="0" w:color="auto"/>
              </w:divBdr>
            </w:div>
            <w:div w:id="18788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5800">
      <w:bodyDiv w:val="1"/>
      <w:marLeft w:val="0"/>
      <w:marRight w:val="0"/>
      <w:marTop w:val="0"/>
      <w:marBottom w:val="0"/>
      <w:divBdr>
        <w:top w:val="none" w:sz="0" w:space="0" w:color="auto"/>
        <w:left w:val="none" w:sz="0" w:space="0" w:color="auto"/>
        <w:bottom w:val="none" w:sz="0" w:space="0" w:color="auto"/>
        <w:right w:val="none" w:sz="0" w:space="0" w:color="auto"/>
      </w:divBdr>
    </w:div>
    <w:div w:id="982270366">
      <w:bodyDiv w:val="1"/>
      <w:marLeft w:val="0"/>
      <w:marRight w:val="0"/>
      <w:marTop w:val="0"/>
      <w:marBottom w:val="0"/>
      <w:divBdr>
        <w:top w:val="none" w:sz="0" w:space="0" w:color="auto"/>
        <w:left w:val="none" w:sz="0" w:space="0" w:color="auto"/>
        <w:bottom w:val="none" w:sz="0" w:space="0" w:color="auto"/>
        <w:right w:val="none" w:sz="0" w:space="0" w:color="auto"/>
      </w:divBdr>
    </w:div>
    <w:div w:id="991324209">
      <w:bodyDiv w:val="1"/>
      <w:marLeft w:val="0"/>
      <w:marRight w:val="0"/>
      <w:marTop w:val="0"/>
      <w:marBottom w:val="0"/>
      <w:divBdr>
        <w:top w:val="none" w:sz="0" w:space="0" w:color="auto"/>
        <w:left w:val="none" w:sz="0" w:space="0" w:color="auto"/>
        <w:bottom w:val="none" w:sz="0" w:space="0" w:color="auto"/>
        <w:right w:val="none" w:sz="0" w:space="0" w:color="auto"/>
      </w:divBdr>
    </w:div>
    <w:div w:id="1029573500">
      <w:bodyDiv w:val="1"/>
      <w:marLeft w:val="0"/>
      <w:marRight w:val="0"/>
      <w:marTop w:val="0"/>
      <w:marBottom w:val="0"/>
      <w:divBdr>
        <w:top w:val="none" w:sz="0" w:space="0" w:color="auto"/>
        <w:left w:val="none" w:sz="0" w:space="0" w:color="auto"/>
        <w:bottom w:val="none" w:sz="0" w:space="0" w:color="auto"/>
        <w:right w:val="none" w:sz="0" w:space="0" w:color="auto"/>
      </w:divBdr>
    </w:div>
    <w:div w:id="1051996537">
      <w:bodyDiv w:val="1"/>
      <w:marLeft w:val="0"/>
      <w:marRight w:val="0"/>
      <w:marTop w:val="0"/>
      <w:marBottom w:val="0"/>
      <w:divBdr>
        <w:top w:val="none" w:sz="0" w:space="0" w:color="auto"/>
        <w:left w:val="none" w:sz="0" w:space="0" w:color="auto"/>
        <w:bottom w:val="none" w:sz="0" w:space="0" w:color="auto"/>
        <w:right w:val="none" w:sz="0" w:space="0" w:color="auto"/>
      </w:divBdr>
    </w:div>
    <w:div w:id="1067268979">
      <w:bodyDiv w:val="1"/>
      <w:marLeft w:val="0"/>
      <w:marRight w:val="0"/>
      <w:marTop w:val="0"/>
      <w:marBottom w:val="0"/>
      <w:divBdr>
        <w:top w:val="none" w:sz="0" w:space="0" w:color="auto"/>
        <w:left w:val="none" w:sz="0" w:space="0" w:color="auto"/>
        <w:bottom w:val="none" w:sz="0" w:space="0" w:color="auto"/>
        <w:right w:val="none" w:sz="0" w:space="0" w:color="auto"/>
      </w:divBdr>
    </w:div>
    <w:div w:id="1096636305">
      <w:bodyDiv w:val="1"/>
      <w:marLeft w:val="0"/>
      <w:marRight w:val="0"/>
      <w:marTop w:val="0"/>
      <w:marBottom w:val="0"/>
      <w:divBdr>
        <w:top w:val="none" w:sz="0" w:space="0" w:color="auto"/>
        <w:left w:val="none" w:sz="0" w:space="0" w:color="auto"/>
        <w:bottom w:val="none" w:sz="0" w:space="0" w:color="auto"/>
        <w:right w:val="none" w:sz="0" w:space="0" w:color="auto"/>
      </w:divBdr>
    </w:div>
    <w:div w:id="1110246545">
      <w:bodyDiv w:val="1"/>
      <w:marLeft w:val="0"/>
      <w:marRight w:val="0"/>
      <w:marTop w:val="0"/>
      <w:marBottom w:val="0"/>
      <w:divBdr>
        <w:top w:val="none" w:sz="0" w:space="0" w:color="auto"/>
        <w:left w:val="none" w:sz="0" w:space="0" w:color="auto"/>
        <w:bottom w:val="none" w:sz="0" w:space="0" w:color="auto"/>
        <w:right w:val="none" w:sz="0" w:space="0" w:color="auto"/>
      </w:divBdr>
    </w:div>
    <w:div w:id="1132362795">
      <w:bodyDiv w:val="1"/>
      <w:marLeft w:val="0"/>
      <w:marRight w:val="0"/>
      <w:marTop w:val="0"/>
      <w:marBottom w:val="0"/>
      <w:divBdr>
        <w:top w:val="none" w:sz="0" w:space="0" w:color="auto"/>
        <w:left w:val="none" w:sz="0" w:space="0" w:color="auto"/>
        <w:bottom w:val="none" w:sz="0" w:space="0" w:color="auto"/>
        <w:right w:val="none" w:sz="0" w:space="0" w:color="auto"/>
      </w:divBdr>
    </w:div>
    <w:div w:id="1192693280">
      <w:bodyDiv w:val="1"/>
      <w:marLeft w:val="0"/>
      <w:marRight w:val="0"/>
      <w:marTop w:val="0"/>
      <w:marBottom w:val="0"/>
      <w:divBdr>
        <w:top w:val="none" w:sz="0" w:space="0" w:color="auto"/>
        <w:left w:val="none" w:sz="0" w:space="0" w:color="auto"/>
        <w:bottom w:val="none" w:sz="0" w:space="0" w:color="auto"/>
        <w:right w:val="none" w:sz="0" w:space="0" w:color="auto"/>
      </w:divBdr>
    </w:div>
    <w:div w:id="1225945285">
      <w:bodyDiv w:val="1"/>
      <w:marLeft w:val="0"/>
      <w:marRight w:val="0"/>
      <w:marTop w:val="0"/>
      <w:marBottom w:val="0"/>
      <w:divBdr>
        <w:top w:val="none" w:sz="0" w:space="0" w:color="auto"/>
        <w:left w:val="none" w:sz="0" w:space="0" w:color="auto"/>
        <w:bottom w:val="none" w:sz="0" w:space="0" w:color="auto"/>
        <w:right w:val="none" w:sz="0" w:space="0" w:color="auto"/>
      </w:divBdr>
    </w:div>
    <w:div w:id="1227035653">
      <w:bodyDiv w:val="1"/>
      <w:marLeft w:val="0"/>
      <w:marRight w:val="0"/>
      <w:marTop w:val="0"/>
      <w:marBottom w:val="0"/>
      <w:divBdr>
        <w:top w:val="none" w:sz="0" w:space="0" w:color="auto"/>
        <w:left w:val="none" w:sz="0" w:space="0" w:color="auto"/>
        <w:bottom w:val="none" w:sz="0" w:space="0" w:color="auto"/>
        <w:right w:val="none" w:sz="0" w:space="0" w:color="auto"/>
      </w:divBdr>
    </w:div>
    <w:div w:id="1231229789">
      <w:bodyDiv w:val="1"/>
      <w:marLeft w:val="0"/>
      <w:marRight w:val="0"/>
      <w:marTop w:val="0"/>
      <w:marBottom w:val="0"/>
      <w:divBdr>
        <w:top w:val="none" w:sz="0" w:space="0" w:color="auto"/>
        <w:left w:val="none" w:sz="0" w:space="0" w:color="auto"/>
        <w:bottom w:val="none" w:sz="0" w:space="0" w:color="auto"/>
        <w:right w:val="none" w:sz="0" w:space="0" w:color="auto"/>
      </w:divBdr>
    </w:div>
    <w:div w:id="1268544833">
      <w:bodyDiv w:val="1"/>
      <w:marLeft w:val="0"/>
      <w:marRight w:val="0"/>
      <w:marTop w:val="0"/>
      <w:marBottom w:val="0"/>
      <w:divBdr>
        <w:top w:val="none" w:sz="0" w:space="0" w:color="auto"/>
        <w:left w:val="none" w:sz="0" w:space="0" w:color="auto"/>
        <w:bottom w:val="none" w:sz="0" w:space="0" w:color="auto"/>
        <w:right w:val="none" w:sz="0" w:space="0" w:color="auto"/>
      </w:divBdr>
      <w:divsChild>
        <w:div w:id="591470679">
          <w:marLeft w:val="2317"/>
          <w:marRight w:val="2317"/>
          <w:marTop w:val="0"/>
          <w:marBottom w:val="0"/>
          <w:divBdr>
            <w:top w:val="none" w:sz="0" w:space="0" w:color="auto"/>
            <w:left w:val="none" w:sz="0" w:space="0" w:color="auto"/>
            <w:bottom w:val="none" w:sz="0" w:space="0" w:color="auto"/>
            <w:right w:val="none" w:sz="0" w:space="0" w:color="auto"/>
          </w:divBdr>
        </w:div>
      </w:divsChild>
    </w:div>
    <w:div w:id="1270889182">
      <w:bodyDiv w:val="1"/>
      <w:marLeft w:val="0"/>
      <w:marRight w:val="0"/>
      <w:marTop w:val="0"/>
      <w:marBottom w:val="0"/>
      <w:divBdr>
        <w:top w:val="none" w:sz="0" w:space="0" w:color="auto"/>
        <w:left w:val="none" w:sz="0" w:space="0" w:color="auto"/>
        <w:bottom w:val="none" w:sz="0" w:space="0" w:color="auto"/>
        <w:right w:val="none" w:sz="0" w:space="0" w:color="auto"/>
      </w:divBdr>
    </w:div>
    <w:div w:id="1288273262">
      <w:bodyDiv w:val="1"/>
      <w:marLeft w:val="0"/>
      <w:marRight w:val="0"/>
      <w:marTop w:val="0"/>
      <w:marBottom w:val="0"/>
      <w:divBdr>
        <w:top w:val="none" w:sz="0" w:space="0" w:color="auto"/>
        <w:left w:val="none" w:sz="0" w:space="0" w:color="auto"/>
        <w:bottom w:val="none" w:sz="0" w:space="0" w:color="auto"/>
        <w:right w:val="none" w:sz="0" w:space="0" w:color="auto"/>
      </w:divBdr>
    </w:div>
    <w:div w:id="1299452856">
      <w:bodyDiv w:val="1"/>
      <w:marLeft w:val="0"/>
      <w:marRight w:val="0"/>
      <w:marTop w:val="0"/>
      <w:marBottom w:val="0"/>
      <w:divBdr>
        <w:top w:val="none" w:sz="0" w:space="0" w:color="auto"/>
        <w:left w:val="none" w:sz="0" w:space="0" w:color="auto"/>
        <w:bottom w:val="none" w:sz="0" w:space="0" w:color="auto"/>
        <w:right w:val="none" w:sz="0" w:space="0" w:color="auto"/>
      </w:divBdr>
    </w:div>
    <w:div w:id="1325428274">
      <w:bodyDiv w:val="1"/>
      <w:marLeft w:val="0"/>
      <w:marRight w:val="0"/>
      <w:marTop w:val="0"/>
      <w:marBottom w:val="0"/>
      <w:divBdr>
        <w:top w:val="none" w:sz="0" w:space="0" w:color="auto"/>
        <w:left w:val="none" w:sz="0" w:space="0" w:color="auto"/>
        <w:bottom w:val="none" w:sz="0" w:space="0" w:color="auto"/>
        <w:right w:val="none" w:sz="0" w:space="0" w:color="auto"/>
      </w:divBdr>
    </w:div>
    <w:div w:id="1340229140">
      <w:bodyDiv w:val="1"/>
      <w:marLeft w:val="0"/>
      <w:marRight w:val="0"/>
      <w:marTop w:val="0"/>
      <w:marBottom w:val="0"/>
      <w:divBdr>
        <w:top w:val="none" w:sz="0" w:space="0" w:color="auto"/>
        <w:left w:val="none" w:sz="0" w:space="0" w:color="auto"/>
        <w:bottom w:val="none" w:sz="0" w:space="0" w:color="auto"/>
        <w:right w:val="none" w:sz="0" w:space="0" w:color="auto"/>
      </w:divBdr>
    </w:div>
    <w:div w:id="1343430555">
      <w:bodyDiv w:val="1"/>
      <w:marLeft w:val="0"/>
      <w:marRight w:val="0"/>
      <w:marTop w:val="0"/>
      <w:marBottom w:val="0"/>
      <w:divBdr>
        <w:top w:val="none" w:sz="0" w:space="0" w:color="auto"/>
        <w:left w:val="none" w:sz="0" w:space="0" w:color="auto"/>
        <w:bottom w:val="none" w:sz="0" w:space="0" w:color="auto"/>
        <w:right w:val="none" w:sz="0" w:space="0" w:color="auto"/>
      </w:divBdr>
    </w:div>
    <w:div w:id="1354839348">
      <w:bodyDiv w:val="1"/>
      <w:marLeft w:val="0"/>
      <w:marRight w:val="0"/>
      <w:marTop w:val="0"/>
      <w:marBottom w:val="0"/>
      <w:divBdr>
        <w:top w:val="none" w:sz="0" w:space="0" w:color="auto"/>
        <w:left w:val="none" w:sz="0" w:space="0" w:color="auto"/>
        <w:bottom w:val="none" w:sz="0" w:space="0" w:color="auto"/>
        <w:right w:val="none" w:sz="0" w:space="0" w:color="auto"/>
      </w:divBdr>
    </w:div>
    <w:div w:id="1392922581">
      <w:bodyDiv w:val="1"/>
      <w:marLeft w:val="0"/>
      <w:marRight w:val="0"/>
      <w:marTop w:val="0"/>
      <w:marBottom w:val="0"/>
      <w:divBdr>
        <w:top w:val="none" w:sz="0" w:space="0" w:color="auto"/>
        <w:left w:val="none" w:sz="0" w:space="0" w:color="auto"/>
        <w:bottom w:val="none" w:sz="0" w:space="0" w:color="auto"/>
        <w:right w:val="none" w:sz="0" w:space="0" w:color="auto"/>
      </w:divBdr>
    </w:div>
    <w:div w:id="1403139927">
      <w:bodyDiv w:val="1"/>
      <w:marLeft w:val="0"/>
      <w:marRight w:val="0"/>
      <w:marTop w:val="0"/>
      <w:marBottom w:val="0"/>
      <w:divBdr>
        <w:top w:val="none" w:sz="0" w:space="0" w:color="auto"/>
        <w:left w:val="none" w:sz="0" w:space="0" w:color="auto"/>
        <w:bottom w:val="none" w:sz="0" w:space="0" w:color="auto"/>
        <w:right w:val="none" w:sz="0" w:space="0" w:color="auto"/>
      </w:divBdr>
    </w:div>
    <w:div w:id="1486120222">
      <w:bodyDiv w:val="1"/>
      <w:marLeft w:val="0"/>
      <w:marRight w:val="0"/>
      <w:marTop w:val="0"/>
      <w:marBottom w:val="0"/>
      <w:divBdr>
        <w:top w:val="none" w:sz="0" w:space="0" w:color="auto"/>
        <w:left w:val="none" w:sz="0" w:space="0" w:color="auto"/>
        <w:bottom w:val="none" w:sz="0" w:space="0" w:color="auto"/>
        <w:right w:val="none" w:sz="0" w:space="0" w:color="auto"/>
      </w:divBdr>
    </w:div>
    <w:div w:id="1508520238">
      <w:bodyDiv w:val="1"/>
      <w:marLeft w:val="0"/>
      <w:marRight w:val="0"/>
      <w:marTop w:val="0"/>
      <w:marBottom w:val="0"/>
      <w:divBdr>
        <w:top w:val="none" w:sz="0" w:space="0" w:color="auto"/>
        <w:left w:val="none" w:sz="0" w:space="0" w:color="auto"/>
        <w:bottom w:val="none" w:sz="0" w:space="0" w:color="auto"/>
        <w:right w:val="none" w:sz="0" w:space="0" w:color="auto"/>
      </w:divBdr>
    </w:div>
    <w:div w:id="1521239350">
      <w:bodyDiv w:val="1"/>
      <w:marLeft w:val="0"/>
      <w:marRight w:val="0"/>
      <w:marTop w:val="0"/>
      <w:marBottom w:val="0"/>
      <w:divBdr>
        <w:top w:val="none" w:sz="0" w:space="0" w:color="auto"/>
        <w:left w:val="none" w:sz="0" w:space="0" w:color="auto"/>
        <w:bottom w:val="none" w:sz="0" w:space="0" w:color="auto"/>
        <w:right w:val="none" w:sz="0" w:space="0" w:color="auto"/>
      </w:divBdr>
    </w:div>
    <w:div w:id="1536386456">
      <w:bodyDiv w:val="1"/>
      <w:marLeft w:val="0"/>
      <w:marRight w:val="0"/>
      <w:marTop w:val="0"/>
      <w:marBottom w:val="0"/>
      <w:divBdr>
        <w:top w:val="none" w:sz="0" w:space="0" w:color="auto"/>
        <w:left w:val="none" w:sz="0" w:space="0" w:color="auto"/>
        <w:bottom w:val="none" w:sz="0" w:space="0" w:color="auto"/>
        <w:right w:val="none" w:sz="0" w:space="0" w:color="auto"/>
      </w:divBdr>
    </w:div>
    <w:div w:id="1539321451">
      <w:bodyDiv w:val="1"/>
      <w:marLeft w:val="0"/>
      <w:marRight w:val="0"/>
      <w:marTop w:val="0"/>
      <w:marBottom w:val="0"/>
      <w:divBdr>
        <w:top w:val="none" w:sz="0" w:space="0" w:color="auto"/>
        <w:left w:val="none" w:sz="0" w:space="0" w:color="auto"/>
        <w:bottom w:val="none" w:sz="0" w:space="0" w:color="auto"/>
        <w:right w:val="none" w:sz="0" w:space="0" w:color="auto"/>
      </w:divBdr>
    </w:div>
    <w:div w:id="1544245158">
      <w:bodyDiv w:val="1"/>
      <w:marLeft w:val="0"/>
      <w:marRight w:val="0"/>
      <w:marTop w:val="0"/>
      <w:marBottom w:val="0"/>
      <w:divBdr>
        <w:top w:val="none" w:sz="0" w:space="0" w:color="auto"/>
        <w:left w:val="none" w:sz="0" w:space="0" w:color="auto"/>
        <w:bottom w:val="none" w:sz="0" w:space="0" w:color="auto"/>
        <w:right w:val="none" w:sz="0" w:space="0" w:color="auto"/>
      </w:divBdr>
    </w:div>
    <w:div w:id="1628465507">
      <w:bodyDiv w:val="1"/>
      <w:marLeft w:val="0"/>
      <w:marRight w:val="0"/>
      <w:marTop w:val="0"/>
      <w:marBottom w:val="0"/>
      <w:divBdr>
        <w:top w:val="none" w:sz="0" w:space="0" w:color="auto"/>
        <w:left w:val="none" w:sz="0" w:space="0" w:color="auto"/>
        <w:bottom w:val="none" w:sz="0" w:space="0" w:color="auto"/>
        <w:right w:val="none" w:sz="0" w:space="0" w:color="auto"/>
      </w:divBdr>
    </w:div>
    <w:div w:id="1630283011">
      <w:bodyDiv w:val="1"/>
      <w:marLeft w:val="0"/>
      <w:marRight w:val="0"/>
      <w:marTop w:val="0"/>
      <w:marBottom w:val="0"/>
      <w:divBdr>
        <w:top w:val="none" w:sz="0" w:space="0" w:color="auto"/>
        <w:left w:val="none" w:sz="0" w:space="0" w:color="auto"/>
        <w:bottom w:val="none" w:sz="0" w:space="0" w:color="auto"/>
        <w:right w:val="none" w:sz="0" w:space="0" w:color="auto"/>
      </w:divBdr>
    </w:div>
    <w:div w:id="1641767609">
      <w:bodyDiv w:val="1"/>
      <w:marLeft w:val="0"/>
      <w:marRight w:val="0"/>
      <w:marTop w:val="0"/>
      <w:marBottom w:val="0"/>
      <w:divBdr>
        <w:top w:val="none" w:sz="0" w:space="0" w:color="auto"/>
        <w:left w:val="none" w:sz="0" w:space="0" w:color="auto"/>
        <w:bottom w:val="none" w:sz="0" w:space="0" w:color="auto"/>
        <w:right w:val="none" w:sz="0" w:space="0" w:color="auto"/>
      </w:divBdr>
    </w:div>
    <w:div w:id="1687488415">
      <w:bodyDiv w:val="1"/>
      <w:marLeft w:val="0"/>
      <w:marRight w:val="0"/>
      <w:marTop w:val="0"/>
      <w:marBottom w:val="0"/>
      <w:divBdr>
        <w:top w:val="none" w:sz="0" w:space="0" w:color="auto"/>
        <w:left w:val="none" w:sz="0" w:space="0" w:color="auto"/>
        <w:bottom w:val="none" w:sz="0" w:space="0" w:color="auto"/>
        <w:right w:val="none" w:sz="0" w:space="0" w:color="auto"/>
      </w:divBdr>
    </w:div>
    <w:div w:id="1689520630">
      <w:bodyDiv w:val="1"/>
      <w:marLeft w:val="0"/>
      <w:marRight w:val="0"/>
      <w:marTop w:val="0"/>
      <w:marBottom w:val="0"/>
      <w:divBdr>
        <w:top w:val="none" w:sz="0" w:space="0" w:color="auto"/>
        <w:left w:val="none" w:sz="0" w:space="0" w:color="auto"/>
        <w:bottom w:val="none" w:sz="0" w:space="0" w:color="auto"/>
        <w:right w:val="none" w:sz="0" w:space="0" w:color="auto"/>
      </w:divBdr>
    </w:div>
    <w:div w:id="1697149592">
      <w:bodyDiv w:val="1"/>
      <w:marLeft w:val="0"/>
      <w:marRight w:val="0"/>
      <w:marTop w:val="0"/>
      <w:marBottom w:val="0"/>
      <w:divBdr>
        <w:top w:val="none" w:sz="0" w:space="0" w:color="auto"/>
        <w:left w:val="none" w:sz="0" w:space="0" w:color="auto"/>
        <w:bottom w:val="none" w:sz="0" w:space="0" w:color="auto"/>
        <w:right w:val="none" w:sz="0" w:space="0" w:color="auto"/>
      </w:divBdr>
    </w:div>
    <w:div w:id="1758793680">
      <w:bodyDiv w:val="1"/>
      <w:marLeft w:val="0"/>
      <w:marRight w:val="0"/>
      <w:marTop w:val="0"/>
      <w:marBottom w:val="0"/>
      <w:divBdr>
        <w:top w:val="none" w:sz="0" w:space="0" w:color="auto"/>
        <w:left w:val="none" w:sz="0" w:space="0" w:color="auto"/>
        <w:bottom w:val="none" w:sz="0" w:space="0" w:color="auto"/>
        <w:right w:val="none" w:sz="0" w:space="0" w:color="auto"/>
      </w:divBdr>
    </w:div>
    <w:div w:id="1766727451">
      <w:bodyDiv w:val="1"/>
      <w:marLeft w:val="0"/>
      <w:marRight w:val="0"/>
      <w:marTop w:val="0"/>
      <w:marBottom w:val="0"/>
      <w:divBdr>
        <w:top w:val="none" w:sz="0" w:space="0" w:color="auto"/>
        <w:left w:val="none" w:sz="0" w:space="0" w:color="auto"/>
        <w:bottom w:val="none" w:sz="0" w:space="0" w:color="auto"/>
        <w:right w:val="none" w:sz="0" w:space="0" w:color="auto"/>
      </w:divBdr>
    </w:div>
    <w:div w:id="1770351970">
      <w:bodyDiv w:val="1"/>
      <w:marLeft w:val="0"/>
      <w:marRight w:val="0"/>
      <w:marTop w:val="0"/>
      <w:marBottom w:val="0"/>
      <w:divBdr>
        <w:top w:val="none" w:sz="0" w:space="0" w:color="auto"/>
        <w:left w:val="none" w:sz="0" w:space="0" w:color="auto"/>
        <w:bottom w:val="none" w:sz="0" w:space="0" w:color="auto"/>
        <w:right w:val="none" w:sz="0" w:space="0" w:color="auto"/>
      </w:divBdr>
      <w:divsChild>
        <w:div w:id="966814860">
          <w:marLeft w:val="2317"/>
          <w:marRight w:val="2317"/>
          <w:marTop w:val="0"/>
          <w:marBottom w:val="0"/>
          <w:divBdr>
            <w:top w:val="none" w:sz="0" w:space="0" w:color="auto"/>
            <w:left w:val="none" w:sz="0" w:space="0" w:color="auto"/>
            <w:bottom w:val="none" w:sz="0" w:space="0" w:color="auto"/>
            <w:right w:val="none" w:sz="0" w:space="0" w:color="auto"/>
          </w:divBdr>
        </w:div>
      </w:divsChild>
    </w:div>
    <w:div w:id="1772047380">
      <w:bodyDiv w:val="1"/>
      <w:marLeft w:val="0"/>
      <w:marRight w:val="0"/>
      <w:marTop w:val="0"/>
      <w:marBottom w:val="0"/>
      <w:divBdr>
        <w:top w:val="none" w:sz="0" w:space="0" w:color="auto"/>
        <w:left w:val="none" w:sz="0" w:space="0" w:color="auto"/>
        <w:bottom w:val="none" w:sz="0" w:space="0" w:color="auto"/>
        <w:right w:val="none" w:sz="0" w:space="0" w:color="auto"/>
      </w:divBdr>
    </w:div>
    <w:div w:id="1798182505">
      <w:bodyDiv w:val="1"/>
      <w:marLeft w:val="0"/>
      <w:marRight w:val="0"/>
      <w:marTop w:val="0"/>
      <w:marBottom w:val="0"/>
      <w:divBdr>
        <w:top w:val="none" w:sz="0" w:space="0" w:color="auto"/>
        <w:left w:val="none" w:sz="0" w:space="0" w:color="auto"/>
        <w:bottom w:val="none" w:sz="0" w:space="0" w:color="auto"/>
        <w:right w:val="none" w:sz="0" w:space="0" w:color="auto"/>
      </w:divBdr>
    </w:div>
    <w:div w:id="1818452741">
      <w:bodyDiv w:val="1"/>
      <w:marLeft w:val="0"/>
      <w:marRight w:val="0"/>
      <w:marTop w:val="0"/>
      <w:marBottom w:val="0"/>
      <w:divBdr>
        <w:top w:val="none" w:sz="0" w:space="0" w:color="auto"/>
        <w:left w:val="none" w:sz="0" w:space="0" w:color="auto"/>
        <w:bottom w:val="none" w:sz="0" w:space="0" w:color="auto"/>
        <w:right w:val="none" w:sz="0" w:space="0" w:color="auto"/>
      </w:divBdr>
      <w:divsChild>
        <w:div w:id="2099252041">
          <w:marLeft w:val="2317"/>
          <w:marRight w:val="2317"/>
          <w:marTop w:val="0"/>
          <w:marBottom w:val="0"/>
          <w:divBdr>
            <w:top w:val="none" w:sz="0" w:space="0" w:color="auto"/>
            <w:left w:val="none" w:sz="0" w:space="0" w:color="auto"/>
            <w:bottom w:val="none" w:sz="0" w:space="0" w:color="auto"/>
            <w:right w:val="none" w:sz="0" w:space="0" w:color="auto"/>
          </w:divBdr>
        </w:div>
      </w:divsChild>
    </w:div>
    <w:div w:id="1820997299">
      <w:bodyDiv w:val="1"/>
      <w:marLeft w:val="0"/>
      <w:marRight w:val="0"/>
      <w:marTop w:val="0"/>
      <w:marBottom w:val="0"/>
      <w:divBdr>
        <w:top w:val="none" w:sz="0" w:space="0" w:color="auto"/>
        <w:left w:val="none" w:sz="0" w:space="0" w:color="auto"/>
        <w:bottom w:val="none" w:sz="0" w:space="0" w:color="auto"/>
        <w:right w:val="none" w:sz="0" w:space="0" w:color="auto"/>
      </w:divBdr>
    </w:div>
    <w:div w:id="1833371813">
      <w:bodyDiv w:val="1"/>
      <w:marLeft w:val="0"/>
      <w:marRight w:val="0"/>
      <w:marTop w:val="0"/>
      <w:marBottom w:val="0"/>
      <w:divBdr>
        <w:top w:val="none" w:sz="0" w:space="0" w:color="auto"/>
        <w:left w:val="none" w:sz="0" w:space="0" w:color="auto"/>
        <w:bottom w:val="none" w:sz="0" w:space="0" w:color="auto"/>
        <w:right w:val="none" w:sz="0" w:space="0" w:color="auto"/>
      </w:divBdr>
      <w:divsChild>
        <w:div w:id="1981416478">
          <w:marLeft w:val="2317"/>
          <w:marRight w:val="2317"/>
          <w:marTop w:val="0"/>
          <w:marBottom w:val="0"/>
          <w:divBdr>
            <w:top w:val="none" w:sz="0" w:space="0" w:color="auto"/>
            <w:left w:val="none" w:sz="0" w:space="0" w:color="auto"/>
            <w:bottom w:val="none" w:sz="0" w:space="0" w:color="auto"/>
            <w:right w:val="none" w:sz="0" w:space="0" w:color="auto"/>
          </w:divBdr>
        </w:div>
      </w:divsChild>
    </w:div>
    <w:div w:id="1839154875">
      <w:bodyDiv w:val="1"/>
      <w:marLeft w:val="0"/>
      <w:marRight w:val="0"/>
      <w:marTop w:val="0"/>
      <w:marBottom w:val="0"/>
      <w:divBdr>
        <w:top w:val="none" w:sz="0" w:space="0" w:color="auto"/>
        <w:left w:val="none" w:sz="0" w:space="0" w:color="auto"/>
        <w:bottom w:val="none" w:sz="0" w:space="0" w:color="auto"/>
        <w:right w:val="none" w:sz="0" w:space="0" w:color="auto"/>
      </w:divBdr>
    </w:div>
    <w:div w:id="1872692221">
      <w:bodyDiv w:val="1"/>
      <w:marLeft w:val="0"/>
      <w:marRight w:val="0"/>
      <w:marTop w:val="0"/>
      <w:marBottom w:val="0"/>
      <w:divBdr>
        <w:top w:val="none" w:sz="0" w:space="0" w:color="auto"/>
        <w:left w:val="none" w:sz="0" w:space="0" w:color="auto"/>
        <w:bottom w:val="none" w:sz="0" w:space="0" w:color="auto"/>
        <w:right w:val="none" w:sz="0" w:space="0" w:color="auto"/>
      </w:divBdr>
    </w:div>
    <w:div w:id="1876769208">
      <w:bodyDiv w:val="1"/>
      <w:marLeft w:val="0"/>
      <w:marRight w:val="0"/>
      <w:marTop w:val="0"/>
      <w:marBottom w:val="0"/>
      <w:divBdr>
        <w:top w:val="none" w:sz="0" w:space="0" w:color="auto"/>
        <w:left w:val="none" w:sz="0" w:space="0" w:color="auto"/>
        <w:bottom w:val="none" w:sz="0" w:space="0" w:color="auto"/>
        <w:right w:val="none" w:sz="0" w:space="0" w:color="auto"/>
      </w:divBdr>
    </w:div>
    <w:div w:id="1878161133">
      <w:bodyDiv w:val="1"/>
      <w:marLeft w:val="0"/>
      <w:marRight w:val="0"/>
      <w:marTop w:val="0"/>
      <w:marBottom w:val="0"/>
      <w:divBdr>
        <w:top w:val="none" w:sz="0" w:space="0" w:color="auto"/>
        <w:left w:val="none" w:sz="0" w:space="0" w:color="auto"/>
        <w:bottom w:val="none" w:sz="0" w:space="0" w:color="auto"/>
        <w:right w:val="none" w:sz="0" w:space="0" w:color="auto"/>
      </w:divBdr>
    </w:div>
    <w:div w:id="1884900566">
      <w:bodyDiv w:val="1"/>
      <w:marLeft w:val="0"/>
      <w:marRight w:val="0"/>
      <w:marTop w:val="0"/>
      <w:marBottom w:val="0"/>
      <w:divBdr>
        <w:top w:val="none" w:sz="0" w:space="0" w:color="auto"/>
        <w:left w:val="none" w:sz="0" w:space="0" w:color="auto"/>
        <w:bottom w:val="none" w:sz="0" w:space="0" w:color="auto"/>
        <w:right w:val="none" w:sz="0" w:space="0" w:color="auto"/>
      </w:divBdr>
    </w:div>
    <w:div w:id="1888376578">
      <w:bodyDiv w:val="1"/>
      <w:marLeft w:val="0"/>
      <w:marRight w:val="0"/>
      <w:marTop w:val="0"/>
      <w:marBottom w:val="0"/>
      <w:divBdr>
        <w:top w:val="none" w:sz="0" w:space="0" w:color="auto"/>
        <w:left w:val="none" w:sz="0" w:space="0" w:color="auto"/>
        <w:bottom w:val="none" w:sz="0" w:space="0" w:color="auto"/>
        <w:right w:val="none" w:sz="0" w:space="0" w:color="auto"/>
      </w:divBdr>
    </w:div>
    <w:div w:id="1904944083">
      <w:bodyDiv w:val="1"/>
      <w:marLeft w:val="0"/>
      <w:marRight w:val="0"/>
      <w:marTop w:val="0"/>
      <w:marBottom w:val="0"/>
      <w:divBdr>
        <w:top w:val="none" w:sz="0" w:space="0" w:color="auto"/>
        <w:left w:val="none" w:sz="0" w:space="0" w:color="auto"/>
        <w:bottom w:val="none" w:sz="0" w:space="0" w:color="auto"/>
        <w:right w:val="none" w:sz="0" w:space="0" w:color="auto"/>
      </w:divBdr>
    </w:div>
    <w:div w:id="1905488834">
      <w:bodyDiv w:val="1"/>
      <w:marLeft w:val="0"/>
      <w:marRight w:val="0"/>
      <w:marTop w:val="0"/>
      <w:marBottom w:val="0"/>
      <w:divBdr>
        <w:top w:val="none" w:sz="0" w:space="0" w:color="auto"/>
        <w:left w:val="none" w:sz="0" w:space="0" w:color="auto"/>
        <w:bottom w:val="none" w:sz="0" w:space="0" w:color="auto"/>
        <w:right w:val="none" w:sz="0" w:space="0" w:color="auto"/>
      </w:divBdr>
    </w:div>
    <w:div w:id="1913586033">
      <w:bodyDiv w:val="1"/>
      <w:marLeft w:val="0"/>
      <w:marRight w:val="0"/>
      <w:marTop w:val="0"/>
      <w:marBottom w:val="0"/>
      <w:divBdr>
        <w:top w:val="none" w:sz="0" w:space="0" w:color="auto"/>
        <w:left w:val="none" w:sz="0" w:space="0" w:color="auto"/>
        <w:bottom w:val="none" w:sz="0" w:space="0" w:color="auto"/>
        <w:right w:val="none" w:sz="0" w:space="0" w:color="auto"/>
      </w:divBdr>
    </w:div>
    <w:div w:id="1949585372">
      <w:bodyDiv w:val="1"/>
      <w:marLeft w:val="0"/>
      <w:marRight w:val="0"/>
      <w:marTop w:val="0"/>
      <w:marBottom w:val="0"/>
      <w:divBdr>
        <w:top w:val="none" w:sz="0" w:space="0" w:color="auto"/>
        <w:left w:val="none" w:sz="0" w:space="0" w:color="auto"/>
        <w:bottom w:val="none" w:sz="0" w:space="0" w:color="auto"/>
        <w:right w:val="none" w:sz="0" w:space="0" w:color="auto"/>
      </w:divBdr>
    </w:div>
    <w:div w:id="1956253366">
      <w:bodyDiv w:val="1"/>
      <w:marLeft w:val="0"/>
      <w:marRight w:val="0"/>
      <w:marTop w:val="0"/>
      <w:marBottom w:val="0"/>
      <w:divBdr>
        <w:top w:val="none" w:sz="0" w:space="0" w:color="auto"/>
        <w:left w:val="none" w:sz="0" w:space="0" w:color="auto"/>
        <w:bottom w:val="none" w:sz="0" w:space="0" w:color="auto"/>
        <w:right w:val="none" w:sz="0" w:space="0" w:color="auto"/>
      </w:divBdr>
    </w:div>
    <w:div w:id="1964074720">
      <w:bodyDiv w:val="1"/>
      <w:marLeft w:val="0"/>
      <w:marRight w:val="0"/>
      <w:marTop w:val="0"/>
      <w:marBottom w:val="0"/>
      <w:divBdr>
        <w:top w:val="none" w:sz="0" w:space="0" w:color="auto"/>
        <w:left w:val="none" w:sz="0" w:space="0" w:color="auto"/>
        <w:bottom w:val="none" w:sz="0" w:space="0" w:color="auto"/>
        <w:right w:val="none" w:sz="0" w:space="0" w:color="auto"/>
      </w:divBdr>
      <w:divsChild>
        <w:div w:id="1947081566">
          <w:marLeft w:val="0"/>
          <w:marRight w:val="0"/>
          <w:marTop w:val="0"/>
          <w:marBottom w:val="0"/>
          <w:divBdr>
            <w:top w:val="none" w:sz="0" w:space="0" w:color="auto"/>
            <w:left w:val="none" w:sz="0" w:space="0" w:color="auto"/>
            <w:bottom w:val="none" w:sz="0" w:space="0" w:color="auto"/>
            <w:right w:val="none" w:sz="0" w:space="0" w:color="auto"/>
          </w:divBdr>
          <w:divsChild>
            <w:div w:id="2007899755">
              <w:marLeft w:val="0"/>
              <w:marRight w:val="0"/>
              <w:marTop w:val="0"/>
              <w:marBottom w:val="0"/>
              <w:divBdr>
                <w:top w:val="none" w:sz="0" w:space="0" w:color="auto"/>
                <w:left w:val="none" w:sz="0" w:space="0" w:color="auto"/>
                <w:bottom w:val="none" w:sz="0" w:space="0" w:color="auto"/>
                <w:right w:val="none" w:sz="0" w:space="0" w:color="auto"/>
              </w:divBdr>
              <w:divsChild>
                <w:div w:id="50888609">
                  <w:marLeft w:val="0"/>
                  <w:marRight w:val="150"/>
                  <w:marTop w:val="0"/>
                  <w:marBottom w:val="0"/>
                  <w:divBdr>
                    <w:top w:val="none" w:sz="0" w:space="0" w:color="auto"/>
                    <w:left w:val="none" w:sz="0" w:space="0" w:color="auto"/>
                    <w:bottom w:val="none" w:sz="0" w:space="0" w:color="auto"/>
                    <w:right w:val="none" w:sz="0" w:space="0" w:color="auto"/>
                  </w:divBdr>
                  <w:divsChild>
                    <w:div w:id="336469034">
                      <w:marLeft w:val="0"/>
                      <w:marRight w:val="0"/>
                      <w:marTop w:val="240"/>
                      <w:marBottom w:val="0"/>
                      <w:divBdr>
                        <w:top w:val="single" w:sz="6" w:space="11" w:color="DDDDDD"/>
                        <w:left w:val="single" w:sz="6" w:space="11" w:color="F0F0F0"/>
                        <w:bottom w:val="single" w:sz="6" w:space="11" w:color="FBFBFB"/>
                        <w:right w:val="single" w:sz="6" w:space="11" w:color="F0F0F0"/>
                      </w:divBdr>
                      <w:divsChild>
                        <w:div w:id="1619216554">
                          <w:blockQuote w:val="1"/>
                          <w:marLeft w:val="360"/>
                          <w:marRight w:val="0"/>
                          <w:marTop w:val="360"/>
                          <w:marBottom w:val="360"/>
                          <w:divBdr>
                            <w:top w:val="none" w:sz="0" w:space="0" w:color="auto"/>
                            <w:left w:val="none" w:sz="0" w:space="0" w:color="auto"/>
                            <w:bottom w:val="none" w:sz="0" w:space="0" w:color="auto"/>
                            <w:right w:val="none" w:sz="0" w:space="0" w:color="auto"/>
                          </w:divBdr>
                          <w:divsChild>
                            <w:div w:id="1486969274">
                              <w:blockQuote w:val="1"/>
                              <w:marLeft w:val="36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339345">
      <w:bodyDiv w:val="1"/>
      <w:marLeft w:val="0"/>
      <w:marRight w:val="0"/>
      <w:marTop w:val="0"/>
      <w:marBottom w:val="0"/>
      <w:divBdr>
        <w:top w:val="none" w:sz="0" w:space="0" w:color="auto"/>
        <w:left w:val="none" w:sz="0" w:space="0" w:color="auto"/>
        <w:bottom w:val="none" w:sz="0" w:space="0" w:color="auto"/>
        <w:right w:val="none" w:sz="0" w:space="0" w:color="auto"/>
      </w:divBdr>
    </w:div>
    <w:div w:id="1978757781">
      <w:bodyDiv w:val="1"/>
      <w:marLeft w:val="0"/>
      <w:marRight w:val="0"/>
      <w:marTop w:val="0"/>
      <w:marBottom w:val="0"/>
      <w:divBdr>
        <w:top w:val="none" w:sz="0" w:space="0" w:color="auto"/>
        <w:left w:val="none" w:sz="0" w:space="0" w:color="auto"/>
        <w:bottom w:val="none" w:sz="0" w:space="0" w:color="auto"/>
        <w:right w:val="none" w:sz="0" w:space="0" w:color="auto"/>
      </w:divBdr>
    </w:div>
    <w:div w:id="2020347722">
      <w:bodyDiv w:val="1"/>
      <w:marLeft w:val="0"/>
      <w:marRight w:val="0"/>
      <w:marTop w:val="0"/>
      <w:marBottom w:val="0"/>
      <w:divBdr>
        <w:top w:val="none" w:sz="0" w:space="0" w:color="auto"/>
        <w:left w:val="none" w:sz="0" w:space="0" w:color="auto"/>
        <w:bottom w:val="none" w:sz="0" w:space="0" w:color="auto"/>
        <w:right w:val="none" w:sz="0" w:space="0" w:color="auto"/>
      </w:divBdr>
    </w:div>
    <w:div w:id="2048094959">
      <w:bodyDiv w:val="1"/>
      <w:marLeft w:val="0"/>
      <w:marRight w:val="0"/>
      <w:marTop w:val="0"/>
      <w:marBottom w:val="0"/>
      <w:divBdr>
        <w:top w:val="none" w:sz="0" w:space="0" w:color="auto"/>
        <w:left w:val="none" w:sz="0" w:space="0" w:color="auto"/>
        <w:bottom w:val="none" w:sz="0" w:space="0" w:color="auto"/>
        <w:right w:val="none" w:sz="0" w:space="0" w:color="auto"/>
      </w:divBdr>
    </w:div>
    <w:div w:id="2048139406">
      <w:bodyDiv w:val="1"/>
      <w:marLeft w:val="0"/>
      <w:marRight w:val="0"/>
      <w:marTop w:val="0"/>
      <w:marBottom w:val="0"/>
      <w:divBdr>
        <w:top w:val="none" w:sz="0" w:space="0" w:color="auto"/>
        <w:left w:val="none" w:sz="0" w:space="0" w:color="auto"/>
        <w:bottom w:val="none" w:sz="0" w:space="0" w:color="auto"/>
        <w:right w:val="none" w:sz="0" w:space="0" w:color="auto"/>
      </w:divBdr>
    </w:div>
    <w:div w:id="2061393947">
      <w:bodyDiv w:val="1"/>
      <w:marLeft w:val="0"/>
      <w:marRight w:val="0"/>
      <w:marTop w:val="0"/>
      <w:marBottom w:val="0"/>
      <w:divBdr>
        <w:top w:val="none" w:sz="0" w:space="0" w:color="auto"/>
        <w:left w:val="none" w:sz="0" w:space="0" w:color="auto"/>
        <w:bottom w:val="none" w:sz="0" w:space="0" w:color="auto"/>
        <w:right w:val="none" w:sz="0" w:space="0" w:color="auto"/>
      </w:divBdr>
    </w:div>
    <w:div w:id="2069645292">
      <w:bodyDiv w:val="1"/>
      <w:marLeft w:val="0"/>
      <w:marRight w:val="0"/>
      <w:marTop w:val="0"/>
      <w:marBottom w:val="0"/>
      <w:divBdr>
        <w:top w:val="none" w:sz="0" w:space="0" w:color="auto"/>
        <w:left w:val="none" w:sz="0" w:space="0" w:color="auto"/>
        <w:bottom w:val="none" w:sz="0" w:space="0" w:color="auto"/>
        <w:right w:val="none" w:sz="0" w:space="0" w:color="auto"/>
      </w:divBdr>
    </w:div>
    <w:div w:id="2074959805">
      <w:bodyDiv w:val="1"/>
      <w:marLeft w:val="0"/>
      <w:marRight w:val="0"/>
      <w:marTop w:val="0"/>
      <w:marBottom w:val="0"/>
      <w:divBdr>
        <w:top w:val="none" w:sz="0" w:space="0" w:color="auto"/>
        <w:left w:val="none" w:sz="0" w:space="0" w:color="auto"/>
        <w:bottom w:val="none" w:sz="0" w:space="0" w:color="auto"/>
        <w:right w:val="none" w:sz="0" w:space="0" w:color="auto"/>
      </w:divBdr>
    </w:div>
    <w:div w:id="2101636099">
      <w:bodyDiv w:val="1"/>
      <w:marLeft w:val="0"/>
      <w:marRight w:val="0"/>
      <w:marTop w:val="0"/>
      <w:marBottom w:val="0"/>
      <w:divBdr>
        <w:top w:val="none" w:sz="0" w:space="0" w:color="auto"/>
        <w:left w:val="none" w:sz="0" w:space="0" w:color="auto"/>
        <w:bottom w:val="none" w:sz="0" w:space="0" w:color="auto"/>
        <w:right w:val="none" w:sz="0" w:space="0" w:color="auto"/>
      </w:divBdr>
    </w:div>
    <w:div w:id="2124375212">
      <w:bodyDiv w:val="1"/>
      <w:marLeft w:val="0"/>
      <w:marRight w:val="0"/>
      <w:marTop w:val="0"/>
      <w:marBottom w:val="0"/>
      <w:divBdr>
        <w:top w:val="none" w:sz="0" w:space="0" w:color="auto"/>
        <w:left w:val="none" w:sz="0" w:space="0" w:color="auto"/>
        <w:bottom w:val="none" w:sz="0" w:space="0" w:color="auto"/>
        <w:right w:val="none" w:sz="0" w:space="0" w:color="auto"/>
      </w:divBdr>
    </w:div>
    <w:div w:id="2139029511">
      <w:bodyDiv w:val="1"/>
      <w:marLeft w:val="0"/>
      <w:marRight w:val="0"/>
      <w:marTop w:val="0"/>
      <w:marBottom w:val="0"/>
      <w:divBdr>
        <w:top w:val="none" w:sz="0" w:space="0" w:color="auto"/>
        <w:left w:val="none" w:sz="0" w:space="0" w:color="auto"/>
        <w:bottom w:val="none" w:sz="0" w:space="0" w:color="auto"/>
        <w:right w:val="none" w:sz="0" w:space="0" w:color="auto"/>
      </w:divBdr>
    </w:div>
    <w:div w:id="214473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ublic.tableau.com/views/OECDDACAidataglancebyrecipient_new/Recipients?:embed=y&amp;:display_count=yes&amp;:showTabs=y&amp;:toolbar=no?&amp;:showVizHome=no" TargetMode="External"/><Relationship Id="rId25" Type="http://schemas.openxmlformats.org/officeDocument/2006/relationships/chart" Target="charts/chart10.xml"/><Relationship Id="rId33" Type="http://schemas.openxmlformats.org/officeDocument/2006/relationships/hyperlink" Target="http://154.72.196.89/porta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5.xml"/><Relationship Id="rId29" Type="http://schemas.openxmlformats.org/officeDocument/2006/relationships/hyperlink" Target="http://documents.worldbank.org/curated/en/170721468179663842/pdf/101173-CAS-P155948-OUO-9-IDA-R2016-0049-2-Box394874B.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1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www.afdb.org/fileadmin/uploads/afdb/Documents/Boards-Documents/Uganda_-_Country_Strategy_Paper_2017-2021.pdf" TargetMode="Externa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Dropbox\NDP\A-Administration\T-Templates\Delta%20report%20&amp;%20proposal%20template%202013-04.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9542266676124945"/>
          <c:y val="7.407407407407407E-2"/>
          <c:w val="0.62573360762337149"/>
          <c:h val="0.7341822628254554"/>
        </c:manualLayout>
      </c:layout>
      <c:bar3DChart>
        <c:barDir val="bar"/>
        <c:grouping val="clustered"/>
        <c:varyColors val="0"/>
        <c:ser>
          <c:idx val="0"/>
          <c:order val="0"/>
          <c:tx>
            <c:strRef>
              <c:f>'Expenditure (2)'!$K$60</c:f>
              <c:strCache>
                <c:ptCount val="1"/>
                <c:pt idx="0">
                  <c:v>External</c:v>
                </c:pt>
              </c:strCache>
            </c:strRef>
          </c:tx>
          <c:invertIfNegative val="0"/>
          <c:cat>
            <c:strRef>
              <c:f>'Expenditure (2)'!$Q$59:$S$59</c:f>
              <c:strCache>
                <c:ptCount val="3"/>
                <c:pt idx="0">
                  <c:v>FY 2015/16</c:v>
                </c:pt>
                <c:pt idx="1">
                  <c:v>FY 2016/17</c:v>
                </c:pt>
                <c:pt idx="2">
                  <c:v>FY 2017/18</c:v>
                </c:pt>
              </c:strCache>
            </c:strRef>
          </c:cat>
          <c:val>
            <c:numRef>
              <c:f>'Expenditure (2)'!$Q$60:$S$60</c:f>
              <c:numCache>
                <c:formatCode>#,##0.00</c:formatCode>
                <c:ptCount val="3"/>
                <c:pt idx="0">
                  <c:v>5597.75</c:v>
                </c:pt>
                <c:pt idx="1">
                  <c:v>6524.54</c:v>
                </c:pt>
                <c:pt idx="2">
                  <c:v>7075.4</c:v>
                </c:pt>
              </c:numCache>
            </c:numRef>
          </c:val>
          <c:extLst>
            <c:ext xmlns:c16="http://schemas.microsoft.com/office/drawing/2014/chart" uri="{C3380CC4-5D6E-409C-BE32-E72D297353CC}">
              <c16:uniqueId val="{00000000-AC21-4E65-A5DD-C0C07D0B0AE0}"/>
            </c:ext>
          </c:extLst>
        </c:ser>
        <c:ser>
          <c:idx val="1"/>
          <c:order val="1"/>
          <c:tx>
            <c:strRef>
              <c:f>'Expenditure (2)'!$K$61</c:f>
              <c:strCache>
                <c:ptCount val="1"/>
                <c:pt idx="0">
                  <c:v>Domestic</c:v>
                </c:pt>
              </c:strCache>
            </c:strRef>
          </c:tx>
          <c:invertIfNegative val="0"/>
          <c:cat>
            <c:strRef>
              <c:f>'Expenditure (2)'!$Q$59:$S$59</c:f>
              <c:strCache>
                <c:ptCount val="3"/>
                <c:pt idx="0">
                  <c:v>FY 2015/16</c:v>
                </c:pt>
                <c:pt idx="1">
                  <c:v>FY 2016/17</c:v>
                </c:pt>
                <c:pt idx="2">
                  <c:v>FY 2017/18</c:v>
                </c:pt>
              </c:strCache>
            </c:strRef>
          </c:cat>
          <c:val>
            <c:numRef>
              <c:f>'Expenditure (2)'!$Q$61:$S$61</c:f>
              <c:numCache>
                <c:formatCode>#,##0.00</c:formatCode>
                <c:ptCount val="3"/>
                <c:pt idx="0">
                  <c:v>12713.62</c:v>
                </c:pt>
                <c:pt idx="1">
                  <c:v>13906.07</c:v>
                </c:pt>
                <c:pt idx="2">
                  <c:v>14927.22</c:v>
                </c:pt>
              </c:numCache>
            </c:numRef>
          </c:val>
          <c:extLst>
            <c:ext xmlns:c16="http://schemas.microsoft.com/office/drawing/2014/chart" uri="{C3380CC4-5D6E-409C-BE32-E72D297353CC}">
              <c16:uniqueId val="{00000001-AC21-4E65-A5DD-C0C07D0B0AE0}"/>
            </c:ext>
          </c:extLst>
        </c:ser>
        <c:dLbls>
          <c:showLegendKey val="0"/>
          <c:showVal val="0"/>
          <c:showCatName val="0"/>
          <c:showSerName val="0"/>
          <c:showPercent val="0"/>
          <c:showBubbleSize val="0"/>
        </c:dLbls>
        <c:gapWidth val="150"/>
        <c:shape val="cylinder"/>
        <c:axId val="668108472"/>
        <c:axId val="668110432"/>
        <c:axId val="0"/>
      </c:bar3DChart>
      <c:catAx>
        <c:axId val="668108472"/>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GB"/>
                  <a:t>Financial Years</a:t>
                </a:r>
              </a:p>
            </c:rich>
          </c:tx>
          <c:layout>
            <c:manualLayout>
              <c:xMode val="edge"/>
              <c:yMode val="edge"/>
              <c:x val="3.3549221840227718E-2"/>
              <c:y val="0.38553629559555935"/>
            </c:manualLayout>
          </c:layout>
          <c:overlay val="0"/>
        </c:title>
        <c:numFmt formatCode="General" sourceLinked="1"/>
        <c:majorTickMark val="out"/>
        <c:minorTickMark val="none"/>
        <c:tickLblPos val="nextTo"/>
        <c:crossAx val="668110432"/>
        <c:crosses val="autoZero"/>
        <c:auto val="1"/>
        <c:lblAlgn val="ctr"/>
        <c:lblOffset val="100"/>
        <c:noMultiLvlLbl val="0"/>
      </c:catAx>
      <c:valAx>
        <c:axId val="668110432"/>
        <c:scaling>
          <c:orientation val="minMax"/>
        </c:scaling>
        <c:delete val="0"/>
        <c:axPos val="b"/>
        <c:majorGridlines/>
        <c:title>
          <c:tx>
            <c:rich>
              <a:bodyPr/>
              <a:lstStyle/>
              <a:p>
                <a:pPr>
                  <a:defRPr sz="1000" b="1" i="0" u="none" strike="noStrike" baseline="0">
                    <a:solidFill>
                      <a:srgbClr val="000000"/>
                    </a:solidFill>
                    <a:latin typeface="Calibri"/>
                    <a:ea typeface="Calibri"/>
                    <a:cs typeface="Calibri"/>
                  </a:defRPr>
                </a:pPr>
                <a:r>
                  <a:rPr lang="en-GB"/>
                  <a:t>Amount in UGX bn</a:t>
                </a:r>
              </a:p>
            </c:rich>
          </c:tx>
          <c:layout>
            <c:manualLayout>
              <c:xMode val="edge"/>
              <c:yMode val="edge"/>
              <c:x val="0.54768178625559127"/>
              <c:y val="0.92836259425169032"/>
            </c:manualLayout>
          </c:layout>
          <c:overlay val="0"/>
        </c:title>
        <c:numFmt formatCode="#,##0.00" sourceLinked="1"/>
        <c:majorTickMark val="out"/>
        <c:minorTickMark val="none"/>
        <c:tickLblPos val="nextTo"/>
        <c:crossAx val="668108472"/>
        <c:crosses val="autoZero"/>
        <c:crossBetween val="between"/>
      </c:valAx>
      <c:spPr>
        <a:noFill/>
        <a:ln w="25387">
          <a:noFill/>
        </a:ln>
      </c:spPr>
    </c:plotArea>
    <c:legend>
      <c:legendPos val="r"/>
      <c:layout>
        <c:manualLayout>
          <c:xMode val="edge"/>
          <c:yMode val="edge"/>
          <c:x val="0.81633753527287967"/>
          <c:y val="0.50362835387626015"/>
          <c:w val="0.16564440008379233"/>
          <c:h val="0.14308932231527594"/>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528148267642003"/>
          <c:y val="0.10965967361560747"/>
          <c:w val="0.82271256844263507"/>
          <c:h val="0.78068065276878507"/>
        </c:manualLayout>
      </c:layout>
      <c:pie3DChart>
        <c:varyColors val="1"/>
        <c:ser>
          <c:idx val="0"/>
          <c:order val="0"/>
          <c:tx>
            <c:strRef>
              <c:f>Sheet1!$E$52</c:f>
              <c:strCache>
                <c:ptCount val="1"/>
                <c:pt idx="0">
                  <c:v>AVERAGE</c:v>
                </c:pt>
              </c:strCache>
            </c:strRef>
          </c:tx>
          <c:dPt>
            <c:idx val="0"/>
            <c:bubble3D val="0"/>
            <c:extLst>
              <c:ext xmlns:c16="http://schemas.microsoft.com/office/drawing/2014/chart" uri="{C3380CC4-5D6E-409C-BE32-E72D297353CC}">
                <c16:uniqueId val="{00000000-C351-4AF4-9839-1AD33F46B1D5}"/>
              </c:ext>
            </c:extLst>
          </c:dPt>
          <c:dPt>
            <c:idx val="1"/>
            <c:bubble3D val="0"/>
            <c:extLst>
              <c:ext xmlns:c16="http://schemas.microsoft.com/office/drawing/2014/chart" uri="{C3380CC4-5D6E-409C-BE32-E72D297353CC}">
                <c16:uniqueId val="{00000001-C351-4AF4-9839-1AD33F46B1D5}"/>
              </c:ext>
            </c:extLst>
          </c:dPt>
          <c:dPt>
            <c:idx val="2"/>
            <c:bubble3D val="0"/>
            <c:extLst>
              <c:ext xmlns:c16="http://schemas.microsoft.com/office/drawing/2014/chart" uri="{C3380CC4-5D6E-409C-BE32-E72D297353CC}">
                <c16:uniqueId val="{00000002-C351-4AF4-9839-1AD33F46B1D5}"/>
              </c:ext>
            </c:extLst>
          </c:dPt>
          <c:dPt>
            <c:idx val="3"/>
            <c:bubble3D val="0"/>
            <c:extLst>
              <c:ext xmlns:c16="http://schemas.microsoft.com/office/drawing/2014/chart" uri="{C3380CC4-5D6E-409C-BE32-E72D297353CC}">
                <c16:uniqueId val="{00000003-C351-4AF4-9839-1AD33F46B1D5}"/>
              </c:ext>
            </c:extLst>
          </c:dPt>
          <c:dPt>
            <c:idx val="4"/>
            <c:bubble3D val="0"/>
            <c:extLst>
              <c:ext xmlns:c16="http://schemas.microsoft.com/office/drawing/2014/chart" uri="{C3380CC4-5D6E-409C-BE32-E72D297353CC}">
                <c16:uniqueId val="{00000004-C351-4AF4-9839-1AD33F46B1D5}"/>
              </c:ext>
            </c:extLst>
          </c:dPt>
          <c:dPt>
            <c:idx val="5"/>
            <c:bubble3D val="0"/>
            <c:extLst>
              <c:ext xmlns:c16="http://schemas.microsoft.com/office/drawing/2014/chart" uri="{C3380CC4-5D6E-409C-BE32-E72D297353CC}">
                <c16:uniqueId val="{00000005-C351-4AF4-9839-1AD33F46B1D5}"/>
              </c:ext>
            </c:extLst>
          </c:dPt>
          <c:dPt>
            <c:idx val="6"/>
            <c:bubble3D val="0"/>
            <c:extLst>
              <c:ext xmlns:c16="http://schemas.microsoft.com/office/drawing/2014/chart" uri="{C3380CC4-5D6E-409C-BE32-E72D297353CC}">
                <c16:uniqueId val="{00000006-C351-4AF4-9839-1AD33F46B1D5}"/>
              </c:ext>
            </c:extLst>
          </c:dPt>
          <c:dPt>
            <c:idx val="7"/>
            <c:bubble3D val="0"/>
            <c:extLst>
              <c:ext xmlns:c16="http://schemas.microsoft.com/office/drawing/2014/chart" uri="{C3380CC4-5D6E-409C-BE32-E72D297353CC}">
                <c16:uniqueId val="{00000007-C351-4AF4-9839-1AD33F46B1D5}"/>
              </c:ext>
            </c:extLst>
          </c:dPt>
          <c:dPt>
            <c:idx val="8"/>
            <c:bubble3D val="0"/>
            <c:extLst>
              <c:ext xmlns:c16="http://schemas.microsoft.com/office/drawing/2014/chart" uri="{C3380CC4-5D6E-409C-BE32-E72D297353CC}">
                <c16:uniqueId val="{00000008-C351-4AF4-9839-1AD33F46B1D5}"/>
              </c:ext>
            </c:extLst>
          </c:dPt>
          <c:dPt>
            <c:idx val="9"/>
            <c:bubble3D val="0"/>
            <c:extLst>
              <c:ext xmlns:c16="http://schemas.microsoft.com/office/drawing/2014/chart" uri="{C3380CC4-5D6E-409C-BE32-E72D297353CC}">
                <c16:uniqueId val="{00000009-C351-4AF4-9839-1AD33F46B1D5}"/>
              </c:ext>
            </c:extLst>
          </c:dPt>
          <c:dPt>
            <c:idx val="10"/>
            <c:bubble3D val="0"/>
            <c:extLst>
              <c:ext xmlns:c16="http://schemas.microsoft.com/office/drawing/2014/chart" uri="{C3380CC4-5D6E-409C-BE32-E72D297353CC}">
                <c16:uniqueId val="{0000000A-C351-4AF4-9839-1AD33F46B1D5}"/>
              </c:ext>
            </c:extLst>
          </c:dPt>
          <c:dPt>
            <c:idx val="11"/>
            <c:bubble3D val="0"/>
            <c:extLst>
              <c:ext xmlns:c16="http://schemas.microsoft.com/office/drawing/2014/chart" uri="{C3380CC4-5D6E-409C-BE32-E72D297353CC}">
                <c16:uniqueId val="{0000000B-C351-4AF4-9839-1AD33F46B1D5}"/>
              </c:ext>
            </c:extLst>
          </c:dPt>
          <c:dLbls>
            <c:dLbl>
              <c:idx val="3"/>
              <c:layout>
                <c:manualLayout>
                  <c:x val="6.9582893392864567E-2"/>
                  <c:y val="0.16097700617836147"/>
                </c:manualLayout>
              </c:layout>
              <c:spPr>
                <a:noFill/>
                <a:ln w="25391">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51-4AF4-9839-1AD33F46B1D5}"/>
                </c:ext>
              </c:extLst>
            </c:dLbl>
            <c:dLbl>
              <c:idx val="4"/>
              <c:layout>
                <c:manualLayout>
                  <c:x val="-6.4345340511115692E-2"/>
                  <c:y val="0.16597890674529095"/>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351-4AF4-9839-1AD33F46B1D5}"/>
                </c:ext>
              </c:extLst>
            </c:dLbl>
            <c:dLbl>
              <c:idx val="5"/>
              <c:layout>
                <c:manualLayout>
                  <c:x val="-4.5754619702421215E-2"/>
                  <c:y val="0.14568301244246817"/>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51-4AF4-9839-1AD33F46B1D5}"/>
                </c:ext>
              </c:extLst>
            </c:dLbl>
            <c:dLbl>
              <c:idx val="6"/>
              <c:layout>
                <c:manualLayout>
                  <c:x val="-5.6813339907227277E-2"/>
                  <c:y val="0.1165071411528104"/>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351-4AF4-9839-1AD33F46B1D5}"/>
                </c:ext>
              </c:extLst>
            </c:dLbl>
            <c:dLbl>
              <c:idx val="7"/>
              <c:layout>
                <c:manualLayout>
                  <c:x val="-0.10500389144676048"/>
                  <c:y val="8.9576984695094924E-2"/>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51-4AF4-9839-1AD33F46B1D5}"/>
                </c:ext>
              </c:extLst>
            </c:dLbl>
            <c:dLbl>
              <c:idx val="8"/>
              <c:layout>
                <c:manualLayout>
                  <c:x val="-0.12075469306102252"/>
                  <c:y val="1.547772437536217E-2"/>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351-4AF4-9839-1AD33F46B1D5}"/>
                </c:ext>
              </c:extLst>
            </c:dLbl>
            <c:spPr>
              <a:noFill/>
              <a:ln w="25391">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Sheet1!$D$53:$D$64</c:f>
              <c:strCache>
                <c:ptCount val="12"/>
                <c:pt idx="0">
                  <c:v>ENERGY AND MINERAL DEVT</c:v>
                </c:pt>
                <c:pt idx="1">
                  <c:v>HEALTH</c:v>
                </c:pt>
                <c:pt idx="2">
                  <c:v>WORKS AND TRANSPORT</c:v>
                </c:pt>
                <c:pt idx="3">
                  <c:v>WATER AND ENVIRONMENT</c:v>
                </c:pt>
                <c:pt idx="4">
                  <c:v>SECURITY</c:v>
                </c:pt>
                <c:pt idx="5">
                  <c:v>PUBLIC SECTOR MGT</c:v>
                </c:pt>
                <c:pt idx="6">
                  <c:v>EDUCATION</c:v>
                </c:pt>
                <c:pt idx="7">
                  <c:v>AGRICULTURE</c:v>
                </c:pt>
                <c:pt idx="8">
                  <c:v>LANDS, HOUSING &amp; URBAN DEVT</c:v>
                </c:pt>
                <c:pt idx="9">
                  <c:v>ACCOUNTABILITY</c:v>
                </c:pt>
                <c:pt idx="10">
                  <c:v>ICT AND NATIONAL GUIDANCE</c:v>
                </c:pt>
                <c:pt idx="11">
                  <c:v>OTHERS</c:v>
                </c:pt>
              </c:strCache>
            </c:strRef>
          </c:cat>
          <c:val>
            <c:numRef>
              <c:f>Sheet1!$E$53:$E$64</c:f>
              <c:numCache>
                <c:formatCode>0.00%</c:formatCode>
                <c:ptCount val="12"/>
                <c:pt idx="0">
                  <c:v>0.3056955648569683</c:v>
                </c:pt>
                <c:pt idx="1">
                  <c:v>0.17160059900689126</c:v>
                </c:pt>
                <c:pt idx="2">
                  <c:v>0.14935304178529055</c:v>
                </c:pt>
                <c:pt idx="3">
                  <c:v>8.3577696463406334E-2</c:v>
                </c:pt>
                <c:pt idx="4">
                  <c:v>6.1526090893736507E-2</c:v>
                </c:pt>
                <c:pt idx="5">
                  <c:v>5.7872901186450353E-2</c:v>
                </c:pt>
                <c:pt idx="6">
                  <c:v>5.2150752645742343E-2</c:v>
                </c:pt>
                <c:pt idx="7">
                  <c:v>3.7063729110168038E-2</c:v>
                </c:pt>
                <c:pt idx="8">
                  <c:v>3.104921974791126E-2</c:v>
                </c:pt>
                <c:pt idx="9">
                  <c:v>2.7711494600195188E-2</c:v>
                </c:pt>
                <c:pt idx="10">
                  <c:v>1.0217846462197987E-2</c:v>
                </c:pt>
                <c:pt idx="11">
                  <c:v>1.2181063241041979E-2</c:v>
                </c:pt>
              </c:numCache>
            </c:numRef>
          </c:val>
          <c:extLst>
            <c:ext xmlns:c16="http://schemas.microsoft.com/office/drawing/2014/chart" uri="{C3380CC4-5D6E-409C-BE32-E72D297353CC}">
              <c16:uniqueId val="{0000000C-C351-4AF4-9839-1AD33F46B1D5}"/>
            </c:ext>
          </c:extLst>
        </c:ser>
        <c:dLbls>
          <c:showLegendKey val="0"/>
          <c:showVal val="0"/>
          <c:showCatName val="0"/>
          <c:showSerName val="0"/>
          <c:showPercent val="0"/>
          <c:showBubbleSize val="0"/>
          <c:showLeaderLines val="1"/>
        </c:dLbls>
      </c:pie3DChart>
      <c:spPr>
        <a:noFill/>
        <a:ln w="25391">
          <a:noFill/>
        </a:ln>
      </c:spPr>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Sheet2!$D$5</c:f>
              <c:strCache>
                <c:ptCount val="1"/>
                <c:pt idx="0">
                  <c:v>FY2015/16</c:v>
                </c:pt>
              </c:strCache>
            </c:strRef>
          </c:tx>
          <c:invertIfNegative val="0"/>
          <c:cat>
            <c:strRef>
              <c:f>Sheet2!$C$6:$C$17</c:f>
              <c:strCache>
                <c:ptCount val="12"/>
                <c:pt idx="0">
                  <c:v> ENERGY AND MINERAL DEVELOPMENT </c:v>
                </c:pt>
                <c:pt idx="1">
                  <c:v> WORKS AND TRANSPORT </c:v>
                </c:pt>
                <c:pt idx="2">
                  <c:v> WATER AND ENVIRONMENT </c:v>
                </c:pt>
                <c:pt idx="3">
                  <c:v> SECURITY </c:v>
                </c:pt>
                <c:pt idx="4">
                  <c:v> PUBLIC SECTOR MANAGEMENT </c:v>
                </c:pt>
                <c:pt idx="5">
                  <c:v> EDUCATION </c:v>
                </c:pt>
                <c:pt idx="6">
                  <c:v> HEALTH </c:v>
                </c:pt>
                <c:pt idx="7">
                  <c:v> LANDS, HOUSING AND URBAN DEVELOPMENT </c:v>
                </c:pt>
                <c:pt idx="8">
                  <c:v> AGRICULTURE </c:v>
                </c:pt>
                <c:pt idx="9">
                  <c:v> ACCOUNTABILITY </c:v>
                </c:pt>
                <c:pt idx="10">
                  <c:v> ICT AND NATIONAL GUIDANCE </c:v>
                </c:pt>
                <c:pt idx="11">
                  <c:v> TOURISM, TRADE AND INDUSTRY </c:v>
                </c:pt>
              </c:strCache>
            </c:strRef>
          </c:cat>
          <c:val>
            <c:numRef>
              <c:f>Sheet2!$D$6:$D$17</c:f>
              <c:numCache>
                <c:formatCode>0.0%</c:formatCode>
                <c:ptCount val="12"/>
                <c:pt idx="0">
                  <c:v>0.44771879137183629</c:v>
                </c:pt>
                <c:pt idx="1">
                  <c:v>0.12345741020241893</c:v>
                </c:pt>
                <c:pt idx="2">
                  <c:v>9.5759608467116022E-2</c:v>
                </c:pt>
                <c:pt idx="3">
                  <c:v>7.0503067291087809E-2</c:v>
                </c:pt>
                <c:pt idx="4">
                  <c:v>6.5595280153086521E-2</c:v>
                </c:pt>
                <c:pt idx="5">
                  <c:v>5.5004112989233085E-2</c:v>
                </c:pt>
                <c:pt idx="6">
                  <c:v>6.3921362033536128E-2</c:v>
                </c:pt>
                <c:pt idx="7">
                  <c:v>3.5372279188339718E-2</c:v>
                </c:pt>
                <c:pt idx="8">
                  <c:v>1.7032580260379373E-2</c:v>
                </c:pt>
                <c:pt idx="9">
                  <c:v>1.9963287006351763E-2</c:v>
                </c:pt>
                <c:pt idx="10">
                  <c:v>3.7249225949496029E-3</c:v>
                </c:pt>
                <c:pt idx="11">
                  <c:v>1.9148499908291634E-3</c:v>
                </c:pt>
              </c:numCache>
            </c:numRef>
          </c:val>
          <c:extLst>
            <c:ext xmlns:c16="http://schemas.microsoft.com/office/drawing/2014/chart" uri="{C3380CC4-5D6E-409C-BE32-E72D297353CC}">
              <c16:uniqueId val="{00000000-5740-4F34-8180-601186501608}"/>
            </c:ext>
          </c:extLst>
        </c:ser>
        <c:ser>
          <c:idx val="1"/>
          <c:order val="1"/>
          <c:tx>
            <c:strRef>
              <c:f>Sheet2!$E$5</c:f>
              <c:strCache>
                <c:ptCount val="1"/>
                <c:pt idx="0">
                  <c:v>FY2016/17</c:v>
                </c:pt>
              </c:strCache>
            </c:strRef>
          </c:tx>
          <c:invertIfNegative val="0"/>
          <c:cat>
            <c:strRef>
              <c:f>Sheet2!$C$6:$C$17</c:f>
              <c:strCache>
                <c:ptCount val="12"/>
                <c:pt idx="0">
                  <c:v> ENERGY AND MINERAL DEVELOPMENT </c:v>
                </c:pt>
                <c:pt idx="1">
                  <c:v> WORKS AND TRANSPORT </c:v>
                </c:pt>
                <c:pt idx="2">
                  <c:v> WATER AND ENVIRONMENT </c:v>
                </c:pt>
                <c:pt idx="3">
                  <c:v> SECURITY </c:v>
                </c:pt>
                <c:pt idx="4">
                  <c:v> PUBLIC SECTOR MANAGEMENT </c:v>
                </c:pt>
                <c:pt idx="5">
                  <c:v> EDUCATION </c:v>
                </c:pt>
                <c:pt idx="6">
                  <c:v> HEALTH </c:v>
                </c:pt>
                <c:pt idx="7">
                  <c:v> LANDS, HOUSING AND URBAN DEVELOPMENT </c:v>
                </c:pt>
                <c:pt idx="8">
                  <c:v> AGRICULTURE </c:v>
                </c:pt>
                <c:pt idx="9">
                  <c:v> ACCOUNTABILITY </c:v>
                </c:pt>
                <c:pt idx="10">
                  <c:v> ICT AND NATIONAL GUIDANCE </c:v>
                </c:pt>
                <c:pt idx="11">
                  <c:v> TOURISM, TRADE AND INDUSTRY </c:v>
                </c:pt>
              </c:strCache>
            </c:strRef>
          </c:cat>
          <c:val>
            <c:numRef>
              <c:f>Sheet2!$E$6:$E$17</c:f>
              <c:numCache>
                <c:formatCode>0.0%</c:formatCode>
                <c:ptCount val="12"/>
                <c:pt idx="0">
                  <c:v>0.29459274144310987</c:v>
                </c:pt>
                <c:pt idx="1">
                  <c:v>0.17264306973726867</c:v>
                </c:pt>
                <c:pt idx="2">
                  <c:v>8.2285200449591367E-2</c:v>
                </c:pt>
                <c:pt idx="3">
                  <c:v>9.4801304718460627E-2</c:v>
                </c:pt>
                <c:pt idx="4">
                  <c:v>8.3222243923646216E-2</c:v>
                </c:pt>
                <c:pt idx="5">
                  <c:v>6.0724658623354563E-2</c:v>
                </c:pt>
                <c:pt idx="6">
                  <c:v>5.4959612775158269E-2</c:v>
                </c:pt>
                <c:pt idx="7">
                  <c:v>3.8743069848874212E-2</c:v>
                </c:pt>
                <c:pt idx="8">
                  <c:v>5.5428056207923321E-2</c:v>
                </c:pt>
                <c:pt idx="9">
                  <c:v>3.2403436127632509E-2</c:v>
                </c:pt>
                <c:pt idx="10">
                  <c:v>2.7977264719305998E-2</c:v>
                </c:pt>
                <c:pt idx="11">
                  <c:v>1.9179095565346267E-3</c:v>
                </c:pt>
              </c:numCache>
            </c:numRef>
          </c:val>
          <c:extLst>
            <c:ext xmlns:c16="http://schemas.microsoft.com/office/drawing/2014/chart" uri="{C3380CC4-5D6E-409C-BE32-E72D297353CC}">
              <c16:uniqueId val="{00000001-5740-4F34-8180-601186501608}"/>
            </c:ext>
          </c:extLst>
        </c:ser>
        <c:ser>
          <c:idx val="2"/>
          <c:order val="2"/>
          <c:tx>
            <c:strRef>
              <c:f>Sheet2!$F$5</c:f>
              <c:strCache>
                <c:ptCount val="1"/>
                <c:pt idx="0">
                  <c:v>FY2017/18</c:v>
                </c:pt>
              </c:strCache>
            </c:strRef>
          </c:tx>
          <c:invertIfNegative val="0"/>
          <c:cat>
            <c:strRef>
              <c:f>Sheet2!$C$6:$C$17</c:f>
              <c:strCache>
                <c:ptCount val="12"/>
                <c:pt idx="0">
                  <c:v> ENERGY AND MINERAL DEVELOPMENT </c:v>
                </c:pt>
                <c:pt idx="1">
                  <c:v> WORKS AND TRANSPORT </c:v>
                </c:pt>
                <c:pt idx="2">
                  <c:v> WATER AND ENVIRONMENT </c:v>
                </c:pt>
                <c:pt idx="3">
                  <c:v> SECURITY </c:v>
                </c:pt>
                <c:pt idx="4">
                  <c:v> PUBLIC SECTOR MANAGEMENT </c:v>
                </c:pt>
                <c:pt idx="5">
                  <c:v> EDUCATION </c:v>
                </c:pt>
                <c:pt idx="6">
                  <c:v> HEALTH </c:v>
                </c:pt>
                <c:pt idx="7">
                  <c:v> LANDS, HOUSING AND URBAN DEVELOPMENT </c:v>
                </c:pt>
                <c:pt idx="8">
                  <c:v> AGRICULTURE </c:v>
                </c:pt>
                <c:pt idx="9">
                  <c:v> ACCOUNTABILITY </c:v>
                </c:pt>
                <c:pt idx="10">
                  <c:v> ICT AND NATIONAL GUIDANCE </c:v>
                </c:pt>
                <c:pt idx="11">
                  <c:v> TOURISM, TRADE AND INDUSTRY </c:v>
                </c:pt>
              </c:strCache>
            </c:strRef>
          </c:cat>
          <c:val>
            <c:numRef>
              <c:f>Sheet2!$F$6:$F$17</c:f>
              <c:numCache>
                <c:formatCode>0.0%</c:formatCode>
                <c:ptCount val="12"/>
                <c:pt idx="0">
                  <c:v>0.35354363507592945</c:v>
                </c:pt>
                <c:pt idx="1">
                  <c:v>0.25002885391100627</c:v>
                </c:pt>
                <c:pt idx="2">
                  <c:v>9.6075886409469347E-2</c:v>
                </c:pt>
                <c:pt idx="3">
                  <c:v>6.1143853015282752E-2</c:v>
                </c:pt>
                <c:pt idx="4">
                  <c:v>5.0588559392816347E-2</c:v>
                </c:pt>
                <c:pt idx="5">
                  <c:v>4.2808358659740121E-2</c:v>
                </c:pt>
                <c:pt idx="6">
                  <c:v>3.5782923516312272E-2</c:v>
                </c:pt>
                <c:pt idx="7">
                  <c:v>3.9709192248612531E-2</c:v>
                </c:pt>
                <c:pt idx="8">
                  <c:v>3.974575410635342E-2</c:v>
                </c:pt>
                <c:pt idx="9">
                  <c:v>2.408589349301821E-2</c:v>
                </c:pt>
                <c:pt idx="10">
                  <c:v>4.6954731705025603E-3</c:v>
                </c:pt>
                <c:pt idx="11">
                  <c:v>1.6812217011316379E-3</c:v>
                </c:pt>
              </c:numCache>
            </c:numRef>
          </c:val>
          <c:extLst>
            <c:ext xmlns:c16="http://schemas.microsoft.com/office/drawing/2014/chart" uri="{C3380CC4-5D6E-409C-BE32-E72D297353CC}">
              <c16:uniqueId val="{00000002-5740-4F34-8180-601186501608}"/>
            </c:ext>
          </c:extLst>
        </c:ser>
        <c:dLbls>
          <c:showLegendKey val="0"/>
          <c:showVal val="0"/>
          <c:showCatName val="0"/>
          <c:showSerName val="0"/>
          <c:showPercent val="0"/>
          <c:showBubbleSize val="0"/>
        </c:dLbls>
        <c:gapWidth val="75"/>
        <c:shape val="cylinder"/>
        <c:axId val="732544336"/>
        <c:axId val="732544728"/>
        <c:axId val="0"/>
      </c:bar3DChart>
      <c:catAx>
        <c:axId val="732544336"/>
        <c:scaling>
          <c:orientation val="minMax"/>
        </c:scaling>
        <c:delete val="0"/>
        <c:axPos val="b"/>
        <c:numFmt formatCode="General" sourceLinked="1"/>
        <c:majorTickMark val="none"/>
        <c:minorTickMark val="none"/>
        <c:tickLblPos val="nextTo"/>
        <c:crossAx val="732544728"/>
        <c:crosses val="autoZero"/>
        <c:auto val="1"/>
        <c:lblAlgn val="ctr"/>
        <c:lblOffset val="100"/>
        <c:noMultiLvlLbl val="0"/>
      </c:catAx>
      <c:valAx>
        <c:axId val="732544728"/>
        <c:scaling>
          <c:orientation val="minMax"/>
        </c:scaling>
        <c:delete val="0"/>
        <c:axPos val="l"/>
        <c:majorGridlines/>
        <c:numFmt formatCode="0.0%" sourceLinked="1"/>
        <c:majorTickMark val="none"/>
        <c:minorTickMark val="none"/>
        <c:tickLblPos val="nextTo"/>
        <c:spPr>
          <a:ln w="9525">
            <a:noFill/>
          </a:ln>
        </c:spPr>
        <c:crossAx val="732544336"/>
        <c:crosses val="autoZero"/>
        <c:crossBetween val="between"/>
      </c:valAx>
      <c:spPr>
        <a:noFill/>
        <a:ln w="25399">
          <a:noFill/>
        </a:ln>
      </c:spPr>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Sheet2!$D$25</c:f>
              <c:strCache>
                <c:ptCount val="1"/>
                <c:pt idx="0">
                  <c:v>FY2015/16</c:v>
                </c:pt>
              </c:strCache>
            </c:strRef>
          </c:tx>
          <c:invertIfNegative val="0"/>
          <c:cat>
            <c:strRef>
              <c:f>Sheet2!$C$26:$C$36</c:f>
              <c:strCache>
                <c:ptCount val="11"/>
                <c:pt idx="0">
                  <c:v>Health</c:v>
                </c:pt>
                <c:pt idx="1">
                  <c:v>Education</c:v>
                </c:pt>
                <c:pt idx="2">
                  <c:v>Water&amp; sanitation</c:v>
                </c:pt>
                <c:pt idx="3">
                  <c:v>Justice Law and Order</c:v>
                </c:pt>
                <c:pt idx="4">
                  <c:v>Accountability</c:v>
                </c:pt>
                <c:pt idx="5">
                  <c:v>Agriculture</c:v>
                </c:pt>
                <c:pt idx="6">
                  <c:v>Trade and Tourism</c:v>
                </c:pt>
                <c:pt idx="7">
                  <c:v>Public Sector Management</c:v>
                </c:pt>
                <c:pt idx="8">
                  <c:v>Social Development</c:v>
                </c:pt>
                <c:pt idx="9">
                  <c:v>Energy &amp; Minerals</c:v>
                </c:pt>
                <c:pt idx="10">
                  <c:v>Humanitarian</c:v>
                </c:pt>
              </c:strCache>
            </c:strRef>
          </c:cat>
          <c:val>
            <c:numRef>
              <c:f>Sheet2!$D$26:$D$36</c:f>
              <c:numCache>
                <c:formatCode>0.00%</c:formatCode>
                <c:ptCount val="11"/>
                <c:pt idx="0">
                  <c:v>0.71385739031743012</c:v>
                </c:pt>
                <c:pt idx="1">
                  <c:v>4.9730790482108787E-2</c:v>
                </c:pt>
                <c:pt idx="2">
                  <c:v>4.2967619233055247E-2</c:v>
                </c:pt>
                <c:pt idx="3">
                  <c:v>3.6846888107212428E-2</c:v>
                </c:pt>
                <c:pt idx="4">
                  <c:v>3.7390200736515986E-2</c:v>
                </c:pt>
                <c:pt idx="5">
                  <c:v>3.6564320773874323E-2</c:v>
                </c:pt>
                <c:pt idx="6">
                  <c:v>3.385280984517796E-2</c:v>
                </c:pt>
                <c:pt idx="7">
                  <c:v>2.0507132109216245E-2</c:v>
                </c:pt>
                <c:pt idx="8">
                  <c:v>2.296850129752015E-2</c:v>
                </c:pt>
                <c:pt idx="9">
                  <c:v>2.6005095637171172E-3</c:v>
                </c:pt>
                <c:pt idx="10">
                  <c:v>2.7138375341716867E-3</c:v>
                </c:pt>
              </c:numCache>
            </c:numRef>
          </c:val>
          <c:extLst>
            <c:ext xmlns:c16="http://schemas.microsoft.com/office/drawing/2014/chart" uri="{C3380CC4-5D6E-409C-BE32-E72D297353CC}">
              <c16:uniqueId val="{00000000-83C5-4BD3-A23A-69FCC7B94EA9}"/>
            </c:ext>
          </c:extLst>
        </c:ser>
        <c:ser>
          <c:idx val="1"/>
          <c:order val="1"/>
          <c:tx>
            <c:strRef>
              <c:f>Sheet2!$E$25</c:f>
              <c:strCache>
                <c:ptCount val="1"/>
                <c:pt idx="0">
                  <c:v>FY2016/17</c:v>
                </c:pt>
              </c:strCache>
            </c:strRef>
          </c:tx>
          <c:invertIfNegative val="0"/>
          <c:cat>
            <c:strRef>
              <c:f>Sheet2!$C$26:$C$36</c:f>
              <c:strCache>
                <c:ptCount val="11"/>
                <c:pt idx="0">
                  <c:v>Health</c:v>
                </c:pt>
                <c:pt idx="1">
                  <c:v>Education</c:v>
                </c:pt>
                <c:pt idx="2">
                  <c:v>Water&amp; sanitation</c:v>
                </c:pt>
                <c:pt idx="3">
                  <c:v>Justice Law and Order</c:v>
                </c:pt>
                <c:pt idx="4">
                  <c:v>Accountability</c:v>
                </c:pt>
                <c:pt idx="5">
                  <c:v>Agriculture</c:v>
                </c:pt>
                <c:pt idx="6">
                  <c:v>Trade and Tourism</c:v>
                </c:pt>
                <c:pt idx="7">
                  <c:v>Public Sector Management</c:v>
                </c:pt>
                <c:pt idx="8">
                  <c:v>Social Development</c:v>
                </c:pt>
                <c:pt idx="9">
                  <c:v>Energy &amp; Minerals</c:v>
                </c:pt>
                <c:pt idx="10">
                  <c:v>Humanitarian</c:v>
                </c:pt>
              </c:strCache>
            </c:strRef>
          </c:cat>
          <c:val>
            <c:numRef>
              <c:f>Sheet2!$E$26:$E$36</c:f>
              <c:numCache>
                <c:formatCode>0.00%</c:formatCode>
                <c:ptCount val="11"/>
                <c:pt idx="0">
                  <c:v>0.71048999533544344</c:v>
                </c:pt>
                <c:pt idx="1">
                  <c:v>4.9496201309829971E-2</c:v>
                </c:pt>
                <c:pt idx="2">
                  <c:v>5.0017895906312372E-2</c:v>
                </c:pt>
                <c:pt idx="3">
                  <c:v>4.1391004425422352E-2</c:v>
                </c:pt>
                <c:pt idx="4">
                  <c:v>3.9311905356678382E-2</c:v>
                </c:pt>
                <c:pt idx="5">
                  <c:v>3.6261763708044854E-2</c:v>
                </c:pt>
                <c:pt idx="6">
                  <c:v>3.3693119991791261E-2</c:v>
                </c:pt>
                <c:pt idx="7">
                  <c:v>2.0289201752552017E-2</c:v>
                </c:pt>
                <c:pt idx="8">
                  <c:v>1.6460669726201943E-2</c:v>
                </c:pt>
                <c:pt idx="9">
                  <c:v>2.5882424877237235E-3</c:v>
                </c:pt>
                <c:pt idx="10">
                  <c:v>0</c:v>
                </c:pt>
              </c:numCache>
            </c:numRef>
          </c:val>
          <c:extLst>
            <c:ext xmlns:c16="http://schemas.microsoft.com/office/drawing/2014/chart" uri="{C3380CC4-5D6E-409C-BE32-E72D297353CC}">
              <c16:uniqueId val="{00000001-83C5-4BD3-A23A-69FCC7B94EA9}"/>
            </c:ext>
          </c:extLst>
        </c:ser>
        <c:ser>
          <c:idx val="2"/>
          <c:order val="2"/>
          <c:tx>
            <c:strRef>
              <c:f>Sheet2!$F$25</c:f>
              <c:strCache>
                <c:ptCount val="1"/>
                <c:pt idx="0">
                  <c:v>FY2017/18</c:v>
                </c:pt>
              </c:strCache>
            </c:strRef>
          </c:tx>
          <c:invertIfNegative val="0"/>
          <c:cat>
            <c:strRef>
              <c:f>Sheet2!$C$26:$C$36</c:f>
              <c:strCache>
                <c:ptCount val="11"/>
                <c:pt idx="0">
                  <c:v>Health</c:v>
                </c:pt>
                <c:pt idx="1">
                  <c:v>Education</c:v>
                </c:pt>
                <c:pt idx="2">
                  <c:v>Water&amp; sanitation</c:v>
                </c:pt>
                <c:pt idx="3">
                  <c:v>Justice Law and Order</c:v>
                </c:pt>
                <c:pt idx="4">
                  <c:v>Accountability</c:v>
                </c:pt>
                <c:pt idx="5">
                  <c:v>Agriculture</c:v>
                </c:pt>
                <c:pt idx="6">
                  <c:v>Trade and Tourism</c:v>
                </c:pt>
                <c:pt idx="7">
                  <c:v>Public Sector Management</c:v>
                </c:pt>
                <c:pt idx="8">
                  <c:v>Social Development</c:v>
                </c:pt>
                <c:pt idx="9">
                  <c:v>Energy &amp; Minerals</c:v>
                </c:pt>
                <c:pt idx="10">
                  <c:v>Humanitarian</c:v>
                </c:pt>
              </c:strCache>
            </c:strRef>
          </c:cat>
          <c:val>
            <c:numRef>
              <c:f>Sheet2!$F$26:$F$36</c:f>
              <c:numCache>
                <c:formatCode>0.00%</c:formatCode>
                <c:ptCount val="11"/>
                <c:pt idx="0">
                  <c:v>0.71507837044899247</c:v>
                </c:pt>
                <c:pt idx="1">
                  <c:v>4.9815849918249867E-2</c:v>
                </c:pt>
                <c:pt idx="2">
                  <c:v>5.0465160528443409E-2</c:v>
                </c:pt>
                <c:pt idx="3">
                  <c:v>3.7157698638485837E-2</c:v>
                </c:pt>
                <c:pt idx="4">
                  <c:v>3.7484103894435704E-2</c:v>
                </c:pt>
                <c:pt idx="5">
                  <c:v>3.6495943746136503E-2</c:v>
                </c:pt>
                <c:pt idx="6">
                  <c:v>3.3910711617687654E-2</c:v>
                </c:pt>
                <c:pt idx="7">
                  <c:v>2.042023029483463E-2</c:v>
                </c:pt>
                <c:pt idx="8">
                  <c:v>1.6566973443101426E-2</c:v>
                </c:pt>
                <c:pt idx="9">
                  <c:v>2.6049574696326455E-3</c:v>
                </c:pt>
                <c:pt idx="10">
                  <c:v>0</c:v>
                </c:pt>
              </c:numCache>
            </c:numRef>
          </c:val>
          <c:extLst>
            <c:ext xmlns:c16="http://schemas.microsoft.com/office/drawing/2014/chart" uri="{C3380CC4-5D6E-409C-BE32-E72D297353CC}">
              <c16:uniqueId val="{00000002-83C5-4BD3-A23A-69FCC7B94EA9}"/>
            </c:ext>
          </c:extLst>
        </c:ser>
        <c:dLbls>
          <c:showLegendKey val="0"/>
          <c:showVal val="0"/>
          <c:showCatName val="0"/>
          <c:showSerName val="0"/>
          <c:showPercent val="0"/>
          <c:showBubbleSize val="0"/>
        </c:dLbls>
        <c:gapWidth val="75"/>
        <c:shape val="cylinder"/>
        <c:axId val="732547472"/>
        <c:axId val="732541200"/>
        <c:axId val="0"/>
      </c:bar3DChart>
      <c:catAx>
        <c:axId val="732547472"/>
        <c:scaling>
          <c:orientation val="minMax"/>
        </c:scaling>
        <c:delete val="0"/>
        <c:axPos val="b"/>
        <c:numFmt formatCode="General" sourceLinked="1"/>
        <c:majorTickMark val="none"/>
        <c:minorTickMark val="none"/>
        <c:tickLblPos val="nextTo"/>
        <c:crossAx val="732541200"/>
        <c:crosses val="autoZero"/>
        <c:auto val="1"/>
        <c:lblAlgn val="ctr"/>
        <c:lblOffset val="100"/>
        <c:noMultiLvlLbl val="0"/>
      </c:catAx>
      <c:valAx>
        <c:axId val="732541200"/>
        <c:scaling>
          <c:orientation val="minMax"/>
        </c:scaling>
        <c:delete val="0"/>
        <c:axPos val="l"/>
        <c:majorGridlines/>
        <c:numFmt formatCode="0.00%" sourceLinked="1"/>
        <c:majorTickMark val="none"/>
        <c:minorTickMark val="none"/>
        <c:tickLblPos val="nextTo"/>
        <c:spPr>
          <a:ln w="9519">
            <a:noFill/>
          </a:ln>
        </c:spPr>
        <c:crossAx val="732547472"/>
        <c:crosses val="autoZero"/>
        <c:crossBetween val="between"/>
      </c:valAx>
      <c:spPr>
        <a:noFill/>
        <a:ln w="25384">
          <a:noFill/>
        </a:ln>
      </c:spPr>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'SECTOR SUMMARY'!$A$25</c:f>
              <c:strCache>
                <c:ptCount val="1"/>
                <c:pt idx="0">
                  <c:v>Budget</c:v>
                </c:pt>
              </c:strCache>
            </c:strRef>
          </c:tx>
          <c:spPr>
            <a:solidFill>
              <a:schemeClr val="accent1"/>
            </a:solidFill>
            <a:ln>
              <a:noFill/>
            </a:ln>
            <a:effectLst/>
            <a:sp3d/>
          </c:spPr>
          <c:invertIfNegative val="0"/>
          <c:cat>
            <c:strRef>
              <c:f>'SECTOR SUMMARY'!$B$24:$D$24</c:f>
              <c:strCache>
                <c:ptCount val="3"/>
                <c:pt idx="0">
                  <c:v>FY2015/16</c:v>
                </c:pt>
                <c:pt idx="1">
                  <c:v>FY 2016/17</c:v>
                </c:pt>
                <c:pt idx="2">
                  <c:v>FY2017/18</c:v>
                </c:pt>
              </c:strCache>
            </c:strRef>
          </c:cat>
          <c:val>
            <c:numRef>
              <c:f>'SECTOR SUMMARY'!$B$25:$D$25</c:f>
              <c:numCache>
                <c:formatCode>0.0</c:formatCode>
                <c:ptCount val="3"/>
                <c:pt idx="0">
                  <c:v>1726.1326925640531</c:v>
                </c:pt>
                <c:pt idx="1">
                  <c:v>1753.1027086342758</c:v>
                </c:pt>
                <c:pt idx="2">
                  <c:v>1840.5875749140018</c:v>
                </c:pt>
              </c:numCache>
            </c:numRef>
          </c:val>
          <c:extLst>
            <c:ext xmlns:c16="http://schemas.microsoft.com/office/drawing/2014/chart" uri="{C3380CC4-5D6E-409C-BE32-E72D297353CC}">
              <c16:uniqueId val="{00000000-E4C4-4D2A-A9B1-12585B534733}"/>
            </c:ext>
          </c:extLst>
        </c:ser>
        <c:ser>
          <c:idx val="1"/>
          <c:order val="1"/>
          <c:tx>
            <c:strRef>
              <c:f>'SECTOR SUMMARY'!$A$26</c:f>
              <c:strCache>
                <c:ptCount val="1"/>
                <c:pt idx="0">
                  <c:v>Actual</c:v>
                </c:pt>
              </c:strCache>
            </c:strRef>
          </c:tx>
          <c:spPr>
            <a:solidFill>
              <a:schemeClr val="accent2"/>
            </a:solidFill>
            <a:ln>
              <a:noFill/>
            </a:ln>
            <a:effectLst/>
            <a:sp3d/>
          </c:spPr>
          <c:invertIfNegative val="0"/>
          <c:cat>
            <c:strRef>
              <c:f>'SECTOR SUMMARY'!$B$24:$D$24</c:f>
              <c:strCache>
                <c:ptCount val="3"/>
                <c:pt idx="0">
                  <c:v>FY2015/16</c:v>
                </c:pt>
                <c:pt idx="1">
                  <c:v>FY 2016/17</c:v>
                </c:pt>
                <c:pt idx="2">
                  <c:v>FY2017/18</c:v>
                </c:pt>
              </c:strCache>
            </c:strRef>
          </c:cat>
          <c:val>
            <c:numRef>
              <c:f>'SECTOR SUMMARY'!$B$26:$D$26</c:f>
              <c:numCache>
                <c:formatCode>0.0</c:formatCode>
                <c:ptCount val="3"/>
                <c:pt idx="0">
                  <c:v>1276.6824529929499</c:v>
                </c:pt>
                <c:pt idx="1">
                  <c:v>1204.3637296339759</c:v>
                </c:pt>
                <c:pt idx="2">
                  <c:v>1403.4849323840019</c:v>
                </c:pt>
              </c:numCache>
            </c:numRef>
          </c:val>
          <c:extLst>
            <c:ext xmlns:c16="http://schemas.microsoft.com/office/drawing/2014/chart" uri="{C3380CC4-5D6E-409C-BE32-E72D297353CC}">
              <c16:uniqueId val="{00000001-E4C4-4D2A-A9B1-12585B534733}"/>
            </c:ext>
          </c:extLst>
        </c:ser>
        <c:dLbls>
          <c:showLegendKey val="0"/>
          <c:showVal val="0"/>
          <c:showCatName val="0"/>
          <c:showSerName val="0"/>
          <c:showPercent val="0"/>
          <c:showBubbleSize val="0"/>
        </c:dLbls>
        <c:gapWidth val="150"/>
        <c:shape val="box"/>
        <c:axId val="732545120"/>
        <c:axId val="732545904"/>
        <c:axId val="0"/>
      </c:bar3DChart>
      <c:catAx>
        <c:axId val="732545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cap="none" spc="0" normalizeH="0" baseline="0">
                <a:solidFill>
                  <a:schemeClr val="tx1">
                    <a:lumMod val="65000"/>
                    <a:lumOff val="35000"/>
                  </a:schemeClr>
                </a:solidFill>
                <a:latin typeface="+mn-lt"/>
                <a:ea typeface="+mn-ea"/>
                <a:cs typeface="+mn-cs"/>
              </a:defRPr>
            </a:pPr>
            <a:endParaRPr lang="en-US"/>
          </a:p>
        </c:txPr>
        <c:crossAx val="732545904"/>
        <c:crosses val="autoZero"/>
        <c:auto val="1"/>
        <c:lblAlgn val="ctr"/>
        <c:lblOffset val="100"/>
        <c:noMultiLvlLbl val="0"/>
      </c:catAx>
      <c:valAx>
        <c:axId val="732545904"/>
        <c:scaling>
          <c:orientation val="minMax"/>
        </c:scaling>
        <c:delete val="0"/>
        <c:axPos val="l"/>
        <c:majorGridlines>
          <c:spPr>
            <a:ln w="9517" cap="flat" cmpd="sng" algn="ctr">
              <a:solidFill>
                <a:schemeClr val="tx1">
                  <a:lumMod val="15000"/>
                  <a:lumOff val="85000"/>
                </a:schemeClr>
              </a:solidFill>
              <a:round/>
            </a:ln>
            <a:effectLst/>
          </c:spPr>
        </c:majorGridlines>
        <c:minorGridlines>
          <c:spPr>
            <a:ln w="9517" cap="flat" cmpd="sng" algn="ctr">
              <a:solidFill>
                <a:schemeClr val="tx1">
                  <a:lumMod val="5000"/>
                  <a:lumOff val="95000"/>
                </a:schemeClr>
              </a:solidFill>
              <a:round/>
            </a:ln>
            <a:effectLst/>
          </c:spPr>
        </c:minorGridlines>
        <c:title>
          <c:tx>
            <c:rich>
              <a:bodyPr/>
              <a:lstStyle/>
              <a:p>
                <a:pPr>
                  <a:defRPr sz="899" b="0" i="0" u="none" strike="noStrike" baseline="0">
                    <a:solidFill>
                      <a:srgbClr val="333333"/>
                    </a:solidFill>
                    <a:latin typeface="Calibri"/>
                    <a:ea typeface="Calibri"/>
                    <a:cs typeface="Calibri"/>
                  </a:defRPr>
                </a:pPr>
                <a:r>
                  <a:rPr lang="en-GB"/>
                  <a:t>Amount (usdm)</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732545120"/>
        <c:crosses val="autoZero"/>
        <c:crossBetween val="between"/>
      </c:valAx>
      <c:spPr>
        <a:noFill/>
        <a:ln w="25379">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96" b="0" i="0" u="none" strike="noStrike" kern="1200" cap="none" spc="0" normalizeH="0" baseline="0">
                <a:solidFill>
                  <a:schemeClr val="tx1">
                    <a:lumMod val="65000"/>
                    <a:lumOff val="35000"/>
                  </a:schemeClr>
                </a:solidFill>
                <a:latin typeface="+mj-lt"/>
                <a:ea typeface="+mj-ea"/>
                <a:cs typeface="+mj-cs"/>
              </a:defRPr>
            </a:pPr>
            <a:r>
              <a:rPr lang="en-US" b="1"/>
              <a:t>Budget support</a:t>
            </a:r>
          </a:p>
        </c:rich>
      </c:tx>
      <c:overlay val="0"/>
      <c:spPr>
        <a:noFill/>
        <a:ln w="25345">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'SECTOR SUMMARY'!$A$25</c:f>
              <c:strCache>
                <c:ptCount val="1"/>
                <c:pt idx="0">
                  <c:v>Budget</c:v>
                </c:pt>
              </c:strCache>
            </c:strRef>
          </c:tx>
          <c:spPr>
            <a:solidFill>
              <a:srgbClr val="5B9BD5"/>
            </a:solidFill>
            <a:ln w="25345">
              <a:noFill/>
            </a:ln>
          </c:spPr>
          <c:invertIfNegative val="0"/>
          <c:cat>
            <c:strRef>
              <c:f>'SECTOR SUMMARY'!$B$24:$D$24</c:f>
              <c:strCache>
                <c:ptCount val="3"/>
                <c:pt idx="0">
                  <c:v>FY2015/16</c:v>
                </c:pt>
                <c:pt idx="1">
                  <c:v>FY 2016/17</c:v>
                </c:pt>
                <c:pt idx="2">
                  <c:v>FY2017/18</c:v>
                </c:pt>
              </c:strCache>
            </c:strRef>
          </c:cat>
          <c:val>
            <c:numRef>
              <c:f>'SECTOR SUMMARY'!$B$25:$D$25</c:f>
              <c:numCache>
                <c:formatCode>0.0</c:formatCode>
                <c:ptCount val="3"/>
                <c:pt idx="0">
                  <c:v>16.700960007435</c:v>
                </c:pt>
                <c:pt idx="1">
                  <c:v>206.38469245427598</c:v>
                </c:pt>
                <c:pt idx="2">
                  <c:v>6.217330029008</c:v>
                </c:pt>
              </c:numCache>
            </c:numRef>
          </c:val>
          <c:extLst>
            <c:ext xmlns:c16="http://schemas.microsoft.com/office/drawing/2014/chart" uri="{C3380CC4-5D6E-409C-BE32-E72D297353CC}">
              <c16:uniqueId val="{00000000-FE4E-4786-8EC6-04EB3A267D5E}"/>
            </c:ext>
          </c:extLst>
        </c:ser>
        <c:ser>
          <c:idx val="1"/>
          <c:order val="1"/>
          <c:tx>
            <c:strRef>
              <c:f>'SECTOR SUMMARY'!$A$26</c:f>
              <c:strCache>
                <c:ptCount val="1"/>
                <c:pt idx="0">
                  <c:v>Actual</c:v>
                </c:pt>
              </c:strCache>
            </c:strRef>
          </c:tx>
          <c:spPr>
            <a:solidFill>
              <a:srgbClr val="ED7D31"/>
            </a:solidFill>
            <a:ln w="25345">
              <a:noFill/>
            </a:ln>
          </c:spPr>
          <c:invertIfNegative val="0"/>
          <c:cat>
            <c:strRef>
              <c:f>'SECTOR SUMMARY'!$B$24:$D$24</c:f>
              <c:strCache>
                <c:ptCount val="3"/>
                <c:pt idx="0">
                  <c:v>FY2015/16</c:v>
                </c:pt>
                <c:pt idx="1">
                  <c:v>FY 2016/17</c:v>
                </c:pt>
                <c:pt idx="2">
                  <c:v>FY2017/18</c:v>
                </c:pt>
              </c:strCache>
            </c:strRef>
          </c:cat>
          <c:val>
            <c:numRef>
              <c:f>'SECTOR SUMMARY'!$B$26:$D$26</c:f>
              <c:numCache>
                <c:formatCode>0.0</c:formatCode>
                <c:ptCount val="3"/>
                <c:pt idx="0">
                  <c:v>35.593458116366996</c:v>
                </c:pt>
                <c:pt idx="1">
                  <c:v>169.02592627292702</c:v>
                </c:pt>
                <c:pt idx="2">
                  <c:v>47.951074328362004</c:v>
                </c:pt>
              </c:numCache>
            </c:numRef>
          </c:val>
          <c:extLst>
            <c:ext xmlns:c16="http://schemas.microsoft.com/office/drawing/2014/chart" uri="{C3380CC4-5D6E-409C-BE32-E72D297353CC}">
              <c16:uniqueId val="{00000001-FE4E-4786-8EC6-04EB3A267D5E}"/>
            </c:ext>
          </c:extLst>
        </c:ser>
        <c:dLbls>
          <c:showLegendKey val="0"/>
          <c:showVal val="0"/>
          <c:showCatName val="0"/>
          <c:showSerName val="0"/>
          <c:showPercent val="0"/>
          <c:showBubbleSize val="0"/>
        </c:dLbls>
        <c:gapWidth val="150"/>
        <c:shape val="box"/>
        <c:axId val="732548648"/>
        <c:axId val="732538064"/>
        <c:axId val="0"/>
      </c:bar3DChart>
      <c:catAx>
        <c:axId val="732548648"/>
        <c:scaling>
          <c:orientation val="minMax"/>
        </c:scaling>
        <c:delete val="0"/>
        <c:axPos val="b"/>
        <c:numFmt formatCode="General" sourceLinked="1"/>
        <c:majorTickMark val="none"/>
        <c:minorTickMark val="none"/>
        <c:tickLblPos val="nextTo"/>
        <c:spPr>
          <a:ln w="6336">
            <a:noFill/>
          </a:ln>
        </c:spPr>
        <c:txPr>
          <a:bodyPr rot="-60000000" spcFirstLastPara="1" vertOverflow="ellipsis" vert="horz" wrap="square" anchor="ctr" anchorCtr="1"/>
          <a:lstStyle/>
          <a:p>
            <a:pPr>
              <a:defRPr sz="898" b="0" i="0" u="none" strike="noStrike" kern="1200" cap="none" spc="0" normalizeH="0" baseline="0">
                <a:solidFill>
                  <a:schemeClr val="tx1">
                    <a:lumMod val="65000"/>
                    <a:lumOff val="35000"/>
                  </a:schemeClr>
                </a:solidFill>
                <a:latin typeface="+mn-lt"/>
                <a:ea typeface="+mn-ea"/>
                <a:cs typeface="+mn-cs"/>
              </a:defRPr>
            </a:pPr>
            <a:endParaRPr lang="en-US"/>
          </a:p>
        </c:txPr>
        <c:crossAx val="732538064"/>
        <c:crosses val="autoZero"/>
        <c:auto val="1"/>
        <c:lblAlgn val="ctr"/>
        <c:lblOffset val="100"/>
        <c:noMultiLvlLbl val="0"/>
      </c:catAx>
      <c:valAx>
        <c:axId val="732538064"/>
        <c:scaling>
          <c:orientation val="minMax"/>
        </c:scaling>
        <c:delete val="0"/>
        <c:axPos val="l"/>
        <c:majorGridlines>
          <c:spPr>
            <a:ln w="9504" cap="flat" cmpd="sng" algn="ctr">
              <a:solidFill>
                <a:schemeClr val="tx1">
                  <a:lumMod val="15000"/>
                  <a:lumOff val="85000"/>
                </a:schemeClr>
              </a:solidFill>
              <a:round/>
            </a:ln>
            <a:effectLst/>
          </c:spPr>
        </c:majorGridlines>
        <c:minorGridlines>
          <c:spPr>
            <a:ln w="9504" cap="flat" cmpd="sng" algn="ctr">
              <a:solidFill>
                <a:schemeClr val="tx1">
                  <a:lumMod val="5000"/>
                  <a:lumOff val="95000"/>
                </a:schemeClr>
              </a:solidFill>
              <a:round/>
            </a:ln>
            <a:effectLst/>
          </c:spPr>
        </c:minorGridlines>
        <c:title>
          <c:tx>
            <c:rich>
              <a:bodyPr/>
              <a:lstStyle/>
              <a:p>
                <a:pPr>
                  <a:defRPr sz="898" b="0" i="0" u="none" strike="noStrike" baseline="0">
                    <a:solidFill>
                      <a:srgbClr val="333333"/>
                    </a:solidFill>
                    <a:latin typeface="Calibri"/>
                    <a:ea typeface="Calibri"/>
                    <a:cs typeface="Calibri"/>
                  </a:defRPr>
                </a:pPr>
                <a:r>
                  <a:rPr lang="en-GB"/>
                  <a:t>Amount (usdm)</a:t>
                </a:r>
              </a:p>
            </c:rich>
          </c:tx>
          <c:overlay val="0"/>
          <c:spPr>
            <a:noFill/>
            <a:ln w="25345">
              <a:noFill/>
            </a:ln>
          </c:spPr>
        </c:title>
        <c:numFmt formatCode="0.0" sourceLinked="1"/>
        <c:majorTickMark val="none"/>
        <c:minorTickMark val="none"/>
        <c:tickLblPos val="nextTo"/>
        <c:spPr>
          <a:ln w="6336">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732548648"/>
        <c:crosses val="autoZero"/>
        <c:crossBetween val="between"/>
      </c:valAx>
      <c:spPr>
        <a:noFill/>
        <a:ln w="25345">
          <a:noFill/>
        </a:ln>
      </c:spPr>
    </c:plotArea>
    <c:legend>
      <c:legendPos val="b"/>
      <c:overlay val="0"/>
      <c:spPr>
        <a:noFill/>
        <a:ln w="25345">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96" b="0" i="0" u="none" strike="noStrike" kern="1200" cap="none" spc="0" normalizeH="0" baseline="0">
                <a:solidFill>
                  <a:schemeClr val="tx1">
                    <a:lumMod val="65000"/>
                    <a:lumOff val="35000"/>
                  </a:schemeClr>
                </a:solidFill>
                <a:latin typeface="+mj-lt"/>
                <a:ea typeface="+mj-ea"/>
                <a:cs typeface="+mj-cs"/>
              </a:defRPr>
            </a:pPr>
            <a:r>
              <a:rPr lang="en-US" b="1"/>
              <a:t>Project support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'SECTOR SUMMARY'!$A$25</c:f>
              <c:strCache>
                <c:ptCount val="1"/>
                <c:pt idx="0">
                  <c:v>Budget</c:v>
                </c:pt>
              </c:strCache>
            </c:strRef>
          </c:tx>
          <c:spPr>
            <a:solidFill>
              <a:schemeClr val="accent1"/>
            </a:solidFill>
            <a:ln>
              <a:noFill/>
            </a:ln>
            <a:effectLst/>
            <a:sp3d/>
          </c:spPr>
          <c:invertIfNegative val="0"/>
          <c:cat>
            <c:strRef>
              <c:f>'SECTOR SUMMARY'!$B$24:$D$24</c:f>
              <c:strCache>
                <c:ptCount val="3"/>
                <c:pt idx="0">
                  <c:v>FY2015/16</c:v>
                </c:pt>
                <c:pt idx="1">
                  <c:v>FY 2016/17</c:v>
                </c:pt>
                <c:pt idx="2">
                  <c:v>FY2017/18</c:v>
                </c:pt>
              </c:strCache>
            </c:strRef>
          </c:cat>
          <c:val>
            <c:numRef>
              <c:f>'SECTOR SUMMARY'!$B$25:$D$25</c:f>
              <c:numCache>
                <c:formatCode>0.0</c:formatCode>
                <c:ptCount val="3"/>
                <c:pt idx="0">
                  <c:v>1709.431732556618</c:v>
                </c:pt>
                <c:pt idx="1">
                  <c:v>1546.7180161799997</c:v>
                </c:pt>
                <c:pt idx="2">
                  <c:v>1834.3702448849938</c:v>
                </c:pt>
              </c:numCache>
            </c:numRef>
          </c:val>
          <c:extLst>
            <c:ext xmlns:c16="http://schemas.microsoft.com/office/drawing/2014/chart" uri="{C3380CC4-5D6E-409C-BE32-E72D297353CC}">
              <c16:uniqueId val="{00000000-AD8E-4A03-AB86-93224734D178}"/>
            </c:ext>
          </c:extLst>
        </c:ser>
        <c:ser>
          <c:idx val="1"/>
          <c:order val="1"/>
          <c:tx>
            <c:strRef>
              <c:f>'SECTOR SUMMARY'!$A$26</c:f>
              <c:strCache>
                <c:ptCount val="1"/>
                <c:pt idx="0">
                  <c:v>Actual</c:v>
                </c:pt>
              </c:strCache>
            </c:strRef>
          </c:tx>
          <c:spPr>
            <a:solidFill>
              <a:schemeClr val="accent2"/>
            </a:solidFill>
            <a:ln>
              <a:noFill/>
            </a:ln>
            <a:effectLst/>
            <a:sp3d/>
          </c:spPr>
          <c:invertIfNegative val="0"/>
          <c:cat>
            <c:strRef>
              <c:f>'SECTOR SUMMARY'!$B$24:$D$24</c:f>
              <c:strCache>
                <c:ptCount val="3"/>
                <c:pt idx="0">
                  <c:v>FY2015/16</c:v>
                </c:pt>
                <c:pt idx="1">
                  <c:v>FY 2016/17</c:v>
                </c:pt>
                <c:pt idx="2">
                  <c:v>FY2017/18</c:v>
                </c:pt>
              </c:strCache>
            </c:strRef>
          </c:cat>
          <c:val>
            <c:numRef>
              <c:f>'SECTOR SUMMARY'!$B$26:$D$26</c:f>
              <c:numCache>
                <c:formatCode>0.0</c:formatCode>
                <c:ptCount val="3"/>
                <c:pt idx="0">
                  <c:v>1241.088994876583</c:v>
                </c:pt>
                <c:pt idx="1">
                  <c:v>1035.3378033610488</c:v>
                </c:pt>
                <c:pt idx="2">
                  <c:v>1355.5338580556399</c:v>
                </c:pt>
              </c:numCache>
            </c:numRef>
          </c:val>
          <c:extLst>
            <c:ext xmlns:c16="http://schemas.microsoft.com/office/drawing/2014/chart" uri="{C3380CC4-5D6E-409C-BE32-E72D297353CC}">
              <c16:uniqueId val="{00000001-AD8E-4A03-AB86-93224734D178}"/>
            </c:ext>
          </c:extLst>
        </c:ser>
        <c:dLbls>
          <c:showLegendKey val="0"/>
          <c:showVal val="0"/>
          <c:showCatName val="0"/>
          <c:showSerName val="0"/>
          <c:showPercent val="0"/>
          <c:showBubbleSize val="0"/>
        </c:dLbls>
        <c:gapWidth val="150"/>
        <c:shape val="box"/>
        <c:axId val="732549824"/>
        <c:axId val="732550216"/>
        <c:axId val="0"/>
      </c:bar3DChart>
      <c:catAx>
        <c:axId val="732549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cap="none" spc="0" normalizeH="0" baseline="0">
                <a:solidFill>
                  <a:schemeClr val="tx1">
                    <a:lumMod val="65000"/>
                    <a:lumOff val="35000"/>
                  </a:schemeClr>
                </a:solidFill>
                <a:latin typeface="+mn-lt"/>
                <a:ea typeface="+mn-ea"/>
                <a:cs typeface="+mn-cs"/>
              </a:defRPr>
            </a:pPr>
            <a:endParaRPr lang="en-US"/>
          </a:p>
        </c:txPr>
        <c:crossAx val="732550216"/>
        <c:crosses val="autoZero"/>
        <c:auto val="1"/>
        <c:lblAlgn val="ctr"/>
        <c:lblOffset val="100"/>
        <c:noMultiLvlLbl val="0"/>
      </c:catAx>
      <c:valAx>
        <c:axId val="732550216"/>
        <c:scaling>
          <c:orientation val="minMax"/>
        </c:scaling>
        <c:delete val="0"/>
        <c:axPos val="l"/>
        <c:majorGridlines>
          <c:spPr>
            <a:ln w="9504" cap="flat" cmpd="sng" algn="ctr">
              <a:solidFill>
                <a:schemeClr val="tx1">
                  <a:lumMod val="15000"/>
                  <a:lumOff val="85000"/>
                </a:schemeClr>
              </a:solidFill>
              <a:round/>
            </a:ln>
            <a:effectLst/>
          </c:spPr>
        </c:majorGridlines>
        <c:minorGridlines>
          <c:spPr>
            <a:ln w="9504" cap="flat" cmpd="sng" algn="ctr">
              <a:solidFill>
                <a:schemeClr val="tx1">
                  <a:lumMod val="5000"/>
                  <a:lumOff val="95000"/>
                </a:schemeClr>
              </a:solidFill>
              <a:round/>
            </a:ln>
            <a:effectLst/>
          </c:spPr>
        </c:minorGridlines>
        <c:title>
          <c:tx>
            <c:rich>
              <a:bodyPr/>
              <a:lstStyle/>
              <a:p>
                <a:pPr>
                  <a:defRPr sz="898" b="0" i="0" u="none" strike="noStrike" baseline="0">
                    <a:solidFill>
                      <a:srgbClr val="333333"/>
                    </a:solidFill>
                    <a:latin typeface="Calibri"/>
                    <a:ea typeface="Calibri"/>
                    <a:cs typeface="Calibri"/>
                  </a:defRPr>
                </a:pPr>
                <a:r>
                  <a:rPr lang="en-GB"/>
                  <a:t>Amount (usdm)</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732549824"/>
        <c:crosses val="autoZero"/>
        <c:crossBetween val="between"/>
      </c:valAx>
      <c:spPr>
        <a:noFill/>
        <a:ln w="25345">
          <a:noFill/>
        </a:ln>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'NDP1'!$D$4</c:f>
              <c:strCache>
                <c:ptCount val="1"/>
                <c:pt idx="0">
                  <c:v>Amounts</c:v>
                </c:pt>
              </c:strCache>
            </c:strRef>
          </c:tx>
          <c:spPr>
            <a:solidFill>
              <a:srgbClr val="4F81BD"/>
            </a:solidFill>
            <a:ln w="25373">
              <a:noFill/>
            </a:ln>
          </c:spPr>
          <c:invertIfNegative val="0"/>
          <c:cat>
            <c:strRef>
              <c:f>'NDP1'!$E$3:$M$3</c:f>
              <c:strCache>
                <c:ptCount val="9"/>
                <c:pt idx="0">
                  <c:v>FY 2010/11</c:v>
                </c:pt>
                <c:pt idx="1">
                  <c:v>FY 2011/12</c:v>
                </c:pt>
                <c:pt idx="2">
                  <c:v>FY 2012/13</c:v>
                </c:pt>
                <c:pt idx="3">
                  <c:v>FY 2013/14</c:v>
                </c:pt>
                <c:pt idx="4">
                  <c:v>FY 2014/15</c:v>
                </c:pt>
                <c:pt idx="6">
                  <c:v>FY 2015/16</c:v>
                </c:pt>
                <c:pt idx="7">
                  <c:v>FY 2016/17</c:v>
                </c:pt>
                <c:pt idx="8">
                  <c:v>FY 2017/18</c:v>
                </c:pt>
              </c:strCache>
            </c:strRef>
          </c:cat>
          <c:val>
            <c:numRef>
              <c:f>'NDP1'!$E$4:$M$4</c:f>
              <c:numCache>
                <c:formatCode>General</c:formatCode>
                <c:ptCount val="9"/>
                <c:pt idx="0">
                  <c:v>1341.5986377756051</c:v>
                </c:pt>
                <c:pt idx="1">
                  <c:v>1477.5476495154244</c:v>
                </c:pt>
                <c:pt idx="2">
                  <c:v>1344.1518981629588</c:v>
                </c:pt>
                <c:pt idx="3">
                  <c:v>1145.7040254305937</c:v>
                </c:pt>
                <c:pt idx="4">
                  <c:v>1153.4557644521012</c:v>
                </c:pt>
                <c:pt idx="6">
                  <c:v>1541.3711127126198</c:v>
                </c:pt>
                <c:pt idx="7">
                  <c:v>1470.9232373379789</c:v>
                </c:pt>
                <c:pt idx="8">
                  <c:v>1668.2881105378842</c:v>
                </c:pt>
              </c:numCache>
            </c:numRef>
          </c:val>
          <c:extLst>
            <c:ext xmlns:c16="http://schemas.microsoft.com/office/drawing/2014/chart" uri="{C3380CC4-5D6E-409C-BE32-E72D297353CC}">
              <c16:uniqueId val="{00000000-0874-432A-BD67-21F21B7611E9}"/>
            </c:ext>
          </c:extLst>
        </c:ser>
        <c:dLbls>
          <c:showLegendKey val="0"/>
          <c:showVal val="0"/>
          <c:showCatName val="0"/>
          <c:showSerName val="0"/>
          <c:showPercent val="0"/>
          <c:showBubbleSize val="0"/>
        </c:dLbls>
        <c:gapWidth val="150"/>
        <c:shape val="box"/>
        <c:axId val="668106904"/>
        <c:axId val="522901928"/>
        <c:axId val="0"/>
      </c:bar3DChart>
      <c:catAx>
        <c:axId val="668106904"/>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en-GB"/>
                  <a:t>Fiscal Years</a:t>
                </a:r>
              </a:p>
            </c:rich>
          </c:tx>
          <c:overlay val="0"/>
          <c:spPr>
            <a:noFill/>
            <a:ln w="25373">
              <a:noFill/>
            </a:ln>
          </c:spPr>
        </c:title>
        <c:numFmt formatCode="General" sourceLinked="1"/>
        <c:majorTickMark val="none"/>
        <c:minorTickMark val="none"/>
        <c:tickLblPos val="nextTo"/>
        <c:spPr>
          <a:ln w="951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522901928"/>
        <c:crosses val="autoZero"/>
        <c:auto val="1"/>
        <c:lblAlgn val="ctr"/>
        <c:lblOffset val="100"/>
        <c:noMultiLvlLbl val="0"/>
      </c:catAx>
      <c:valAx>
        <c:axId val="522901928"/>
        <c:scaling>
          <c:orientation val="minMax"/>
        </c:scaling>
        <c:delete val="0"/>
        <c:axPos val="l"/>
        <c:majorGridlines>
          <c:spPr>
            <a:ln w="9515"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en-GB"/>
                  <a:t>Amount (USD m)</a:t>
                </a:r>
              </a:p>
            </c:rich>
          </c:tx>
          <c:overlay val="0"/>
          <c:spPr>
            <a:noFill/>
            <a:ln w="25373">
              <a:noFill/>
            </a:ln>
          </c:spPr>
        </c:title>
        <c:numFmt formatCode="General" sourceLinked="1"/>
        <c:majorTickMark val="none"/>
        <c:minorTickMark val="none"/>
        <c:tickLblPos val="nextTo"/>
        <c:spPr>
          <a:ln w="951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668106904"/>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24343222110291043"/>
          <c:y val="6.4089630587221363E-2"/>
          <c:w val="0.70192937371079267"/>
          <c:h val="0.72094174795314769"/>
        </c:manualLayout>
      </c:layout>
      <c:bar3DChart>
        <c:barDir val="col"/>
        <c:grouping val="clustered"/>
        <c:varyColors val="0"/>
        <c:ser>
          <c:idx val="0"/>
          <c:order val="0"/>
          <c:tx>
            <c:strRef>
              <c:f>Sheet3!$C$20</c:f>
              <c:strCache>
                <c:ptCount val="1"/>
                <c:pt idx="0">
                  <c:v>Project Support</c:v>
                </c:pt>
              </c:strCache>
            </c:strRef>
          </c:tx>
          <c:invertIfNegative val="0"/>
          <c:cat>
            <c:strRef>
              <c:f>Sheet3!$D$19:$F$19</c:f>
              <c:strCache>
                <c:ptCount val="3"/>
                <c:pt idx="0">
                  <c:v>FY 2015/16</c:v>
                </c:pt>
                <c:pt idx="1">
                  <c:v>FY 2016/17</c:v>
                </c:pt>
                <c:pt idx="2">
                  <c:v>FY 2017/18</c:v>
                </c:pt>
              </c:strCache>
            </c:strRef>
          </c:cat>
          <c:val>
            <c:numRef>
              <c:f>Sheet3!$D$20:$F$20</c:f>
              <c:numCache>
                <c:formatCode>0.00</c:formatCode>
                <c:ptCount val="3"/>
                <c:pt idx="0">
                  <c:v>1506.8508109562526</c:v>
                </c:pt>
                <c:pt idx="1">
                  <c:v>1303.4526603950519</c:v>
                </c:pt>
                <c:pt idx="2">
                  <c:v>1620.3370362095216</c:v>
                </c:pt>
              </c:numCache>
            </c:numRef>
          </c:val>
          <c:extLst>
            <c:ext xmlns:c16="http://schemas.microsoft.com/office/drawing/2014/chart" uri="{C3380CC4-5D6E-409C-BE32-E72D297353CC}">
              <c16:uniqueId val="{00000000-C72F-4CC7-8480-3B73557CE69B}"/>
            </c:ext>
          </c:extLst>
        </c:ser>
        <c:ser>
          <c:idx val="1"/>
          <c:order val="1"/>
          <c:tx>
            <c:strRef>
              <c:f>Sheet3!$C$21</c:f>
              <c:strCache>
                <c:ptCount val="1"/>
                <c:pt idx="0">
                  <c:v>Budget Support</c:v>
                </c:pt>
              </c:strCache>
            </c:strRef>
          </c:tx>
          <c:invertIfNegative val="0"/>
          <c:cat>
            <c:strRef>
              <c:f>Sheet3!$D$19:$F$19</c:f>
              <c:strCache>
                <c:ptCount val="3"/>
                <c:pt idx="0">
                  <c:v>FY 2015/16</c:v>
                </c:pt>
                <c:pt idx="1">
                  <c:v>FY 2016/17</c:v>
                </c:pt>
                <c:pt idx="2">
                  <c:v>FY 2017/18</c:v>
                </c:pt>
              </c:strCache>
            </c:strRef>
          </c:cat>
          <c:val>
            <c:numRef>
              <c:f>Sheet3!$D$21:$F$21</c:f>
              <c:numCache>
                <c:formatCode>0.00</c:formatCode>
                <c:ptCount val="3"/>
                <c:pt idx="0">
                  <c:v>34.520301756367004</c:v>
                </c:pt>
                <c:pt idx="1">
                  <c:v>167.47057694292704</c:v>
                </c:pt>
                <c:pt idx="2">
                  <c:v>47.951074328362004</c:v>
                </c:pt>
              </c:numCache>
            </c:numRef>
          </c:val>
          <c:extLst>
            <c:ext xmlns:c16="http://schemas.microsoft.com/office/drawing/2014/chart" uri="{C3380CC4-5D6E-409C-BE32-E72D297353CC}">
              <c16:uniqueId val="{00000001-C72F-4CC7-8480-3B73557CE69B}"/>
            </c:ext>
          </c:extLst>
        </c:ser>
        <c:dLbls>
          <c:showLegendKey val="0"/>
          <c:showVal val="0"/>
          <c:showCatName val="0"/>
          <c:showSerName val="0"/>
          <c:showPercent val="0"/>
          <c:showBubbleSize val="0"/>
        </c:dLbls>
        <c:gapWidth val="150"/>
        <c:shape val="cylinder"/>
        <c:axId val="861166256"/>
        <c:axId val="861163904"/>
        <c:axId val="0"/>
      </c:bar3DChart>
      <c:catAx>
        <c:axId val="861166256"/>
        <c:scaling>
          <c:orientation val="minMax"/>
        </c:scaling>
        <c:delete val="0"/>
        <c:axPos val="b"/>
        <c:numFmt formatCode="General" sourceLinked="1"/>
        <c:majorTickMark val="none"/>
        <c:minorTickMark val="none"/>
        <c:tickLblPos val="nextTo"/>
        <c:crossAx val="861163904"/>
        <c:crosses val="autoZero"/>
        <c:auto val="1"/>
        <c:lblAlgn val="ctr"/>
        <c:lblOffset val="100"/>
        <c:noMultiLvlLbl val="0"/>
      </c:catAx>
      <c:valAx>
        <c:axId val="861163904"/>
        <c:scaling>
          <c:orientation val="minMax"/>
        </c:scaling>
        <c:delete val="0"/>
        <c:axPos val="l"/>
        <c:majorGridlines/>
        <c:title>
          <c:tx>
            <c:rich>
              <a:bodyPr/>
              <a:lstStyle/>
              <a:p>
                <a:pPr>
                  <a:defRPr/>
                </a:pPr>
                <a:r>
                  <a:rPr lang="en-US"/>
                  <a:t>Amount</a:t>
                </a:r>
                <a:r>
                  <a:rPr lang="en-US" baseline="0"/>
                  <a:t> (USDM)</a:t>
                </a:r>
                <a:endParaRPr lang="en-US"/>
              </a:p>
            </c:rich>
          </c:tx>
          <c:overlay val="0"/>
        </c:title>
        <c:numFmt formatCode="0.00" sourceLinked="1"/>
        <c:majorTickMark val="none"/>
        <c:minorTickMark val="none"/>
        <c:tickLblPos val="nextTo"/>
        <c:crossAx val="861166256"/>
        <c:crosses val="autoZero"/>
        <c:crossBetween val="between"/>
      </c:valAx>
      <c:spPr>
        <a:noFill/>
        <a:ln w="25400">
          <a:noFill/>
        </a:ln>
      </c:spPr>
    </c:plotArea>
    <c:legend>
      <c:legendPos val="r"/>
      <c:layout>
        <c:manualLayout>
          <c:xMode val="edge"/>
          <c:yMode val="edge"/>
          <c:x val="0.13770276104520879"/>
          <c:y val="0.85389869549888342"/>
          <c:w val="0.78570890126984783"/>
          <c:h val="0.1439435891409096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'NDP2'!$E$33</c:f>
              <c:strCache>
                <c:ptCount val="1"/>
                <c:pt idx="0">
                  <c:v>FYs 2015/16- 2017/18</c:v>
                </c:pt>
              </c:strCache>
            </c:strRef>
          </c:tx>
          <c:dPt>
            <c:idx val="0"/>
            <c:bubble3D val="0"/>
            <c:extLst>
              <c:ext xmlns:c16="http://schemas.microsoft.com/office/drawing/2014/chart" uri="{C3380CC4-5D6E-409C-BE32-E72D297353CC}">
                <c16:uniqueId val="{00000000-01FA-4730-BB33-6CADF4CC4A41}"/>
              </c:ext>
            </c:extLst>
          </c:dPt>
          <c:dPt>
            <c:idx val="1"/>
            <c:bubble3D val="0"/>
            <c:extLst>
              <c:ext xmlns:c16="http://schemas.microsoft.com/office/drawing/2014/chart" uri="{C3380CC4-5D6E-409C-BE32-E72D297353CC}">
                <c16:uniqueId val="{00000001-01FA-4730-BB33-6CADF4CC4A41}"/>
              </c:ext>
            </c:extLst>
          </c:dPt>
          <c:dPt>
            <c:idx val="2"/>
            <c:bubble3D val="0"/>
            <c:extLst>
              <c:ext xmlns:c16="http://schemas.microsoft.com/office/drawing/2014/chart" uri="{C3380CC4-5D6E-409C-BE32-E72D297353CC}">
                <c16:uniqueId val="{00000002-01FA-4730-BB33-6CADF4CC4A41}"/>
              </c:ext>
            </c:extLst>
          </c:dPt>
          <c:dPt>
            <c:idx val="3"/>
            <c:bubble3D val="0"/>
            <c:extLst>
              <c:ext xmlns:c16="http://schemas.microsoft.com/office/drawing/2014/chart" uri="{C3380CC4-5D6E-409C-BE32-E72D297353CC}">
                <c16:uniqueId val="{00000003-01FA-4730-BB33-6CADF4CC4A41}"/>
              </c:ext>
            </c:extLst>
          </c:dPt>
          <c:dPt>
            <c:idx val="4"/>
            <c:bubble3D val="0"/>
            <c:extLst>
              <c:ext xmlns:c16="http://schemas.microsoft.com/office/drawing/2014/chart" uri="{C3380CC4-5D6E-409C-BE32-E72D297353CC}">
                <c16:uniqueId val="{00000004-01FA-4730-BB33-6CADF4CC4A41}"/>
              </c:ext>
            </c:extLst>
          </c:dPt>
          <c:dPt>
            <c:idx val="5"/>
            <c:bubble3D val="0"/>
            <c:extLst>
              <c:ext xmlns:c16="http://schemas.microsoft.com/office/drawing/2014/chart" uri="{C3380CC4-5D6E-409C-BE32-E72D297353CC}">
                <c16:uniqueId val="{00000005-01FA-4730-BB33-6CADF4CC4A41}"/>
              </c:ext>
            </c:extLst>
          </c:dPt>
          <c:dPt>
            <c:idx val="6"/>
            <c:bubble3D val="0"/>
            <c:extLst>
              <c:ext xmlns:c16="http://schemas.microsoft.com/office/drawing/2014/chart" uri="{C3380CC4-5D6E-409C-BE32-E72D297353CC}">
                <c16:uniqueId val="{00000006-01FA-4730-BB33-6CADF4CC4A41}"/>
              </c:ext>
            </c:extLst>
          </c:dPt>
          <c:dPt>
            <c:idx val="7"/>
            <c:bubble3D val="0"/>
            <c:extLst>
              <c:ext xmlns:c16="http://schemas.microsoft.com/office/drawing/2014/chart" uri="{C3380CC4-5D6E-409C-BE32-E72D297353CC}">
                <c16:uniqueId val="{00000007-01FA-4730-BB33-6CADF4CC4A41}"/>
              </c:ext>
            </c:extLst>
          </c:dPt>
          <c:dPt>
            <c:idx val="8"/>
            <c:bubble3D val="0"/>
            <c:extLst>
              <c:ext xmlns:c16="http://schemas.microsoft.com/office/drawing/2014/chart" uri="{C3380CC4-5D6E-409C-BE32-E72D297353CC}">
                <c16:uniqueId val="{00000008-01FA-4730-BB33-6CADF4CC4A41}"/>
              </c:ext>
            </c:extLst>
          </c:dPt>
          <c:dPt>
            <c:idx val="9"/>
            <c:bubble3D val="0"/>
            <c:extLst>
              <c:ext xmlns:c16="http://schemas.microsoft.com/office/drawing/2014/chart" uri="{C3380CC4-5D6E-409C-BE32-E72D297353CC}">
                <c16:uniqueId val="{00000009-01FA-4730-BB33-6CADF4CC4A41}"/>
              </c:ext>
            </c:extLst>
          </c:dPt>
          <c:dPt>
            <c:idx val="10"/>
            <c:bubble3D val="0"/>
            <c:extLst>
              <c:ext xmlns:c16="http://schemas.microsoft.com/office/drawing/2014/chart" uri="{C3380CC4-5D6E-409C-BE32-E72D297353CC}">
                <c16:uniqueId val="{0000000A-01FA-4730-BB33-6CADF4CC4A41}"/>
              </c:ext>
            </c:extLst>
          </c:dPt>
          <c:dLbls>
            <c:dLbl>
              <c:idx val="3"/>
              <c:layout>
                <c:manualLayout>
                  <c:x val="5.0255380577427823E-2"/>
                  <c:y val="8.0415228995251997E-2"/>
                </c:manualLayout>
              </c:layout>
              <c:spPr>
                <a:noFill/>
                <a:ln w="25398">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FA-4730-BB33-6CADF4CC4A41}"/>
                </c:ext>
              </c:extLst>
            </c:dLbl>
            <c:dLbl>
              <c:idx val="4"/>
              <c:layout>
                <c:manualLayout>
                  <c:x val="1.7926509186351705E-4"/>
                  <c:y val="8.4882872786968946E-2"/>
                </c:manualLayout>
              </c:layout>
              <c:spPr>
                <a:noFill/>
                <a:ln w="25398">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1FA-4730-BB33-6CADF4CC4A41}"/>
                </c:ext>
              </c:extLst>
            </c:dLbl>
            <c:dLbl>
              <c:idx val="5"/>
              <c:layout>
                <c:manualLayout>
                  <c:x val="-2.7987926509186353E-2"/>
                  <c:y val="1.5526654673783755E-2"/>
                </c:manualLayout>
              </c:layout>
              <c:spPr>
                <a:noFill/>
                <a:ln w="25398">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FA-4730-BB33-6CADF4CC4A41}"/>
                </c:ext>
              </c:extLst>
            </c:dLbl>
            <c:dLbl>
              <c:idx val="6"/>
              <c:layout>
                <c:manualLayout>
                  <c:x val="-9.4249343832020927E-3"/>
                  <c:y val="1.558406322805155E-2"/>
                </c:manualLayout>
              </c:layout>
              <c:spPr>
                <a:noFill/>
                <a:ln w="25398">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1FA-4730-BB33-6CADF4CC4A41}"/>
                </c:ext>
              </c:extLst>
            </c:dLbl>
            <c:dLbl>
              <c:idx val="9"/>
              <c:layout>
                <c:manualLayout>
                  <c:x val="0.12864173228346454"/>
                  <c:y val="-0.17785484679583591"/>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FA-4730-BB33-6CADF4CC4A41}"/>
                </c:ext>
              </c:extLst>
            </c:dLbl>
            <c:dLbl>
              <c:idx val="11"/>
              <c:layout>
                <c:manualLayout>
                  <c:x val="0.24405800524934385"/>
                  <c:y val="2.1383785360163314E-3"/>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1FA-4730-BB33-6CADF4CC4A41}"/>
                </c:ext>
              </c:extLst>
            </c:dLbl>
            <c:spPr>
              <a:noFill/>
              <a:ln w="25398">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'NDP2'!$D$34:$D$44</c:f>
              <c:strCache>
                <c:ptCount val="11"/>
                <c:pt idx="0">
                  <c:v>China</c:v>
                </c:pt>
                <c:pt idx="1">
                  <c:v>IDA</c:v>
                </c:pt>
                <c:pt idx="2">
                  <c:v>USA</c:v>
                </c:pt>
                <c:pt idx="3">
                  <c:v>AfDB/F</c:v>
                </c:pt>
                <c:pt idx="4">
                  <c:v>PTA/TDB</c:v>
                </c:pt>
                <c:pt idx="5">
                  <c:v>African Union</c:v>
                </c:pt>
                <c:pt idx="6">
                  <c:v>JBIC</c:v>
                </c:pt>
                <c:pt idx="7">
                  <c:v>Japan</c:v>
                </c:pt>
                <c:pt idx="8">
                  <c:v>IsDB</c:v>
                </c:pt>
                <c:pt idx="9">
                  <c:v>France</c:v>
                </c:pt>
                <c:pt idx="10">
                  <c:v>Others</c:v>
                </c:pt>
              </c:strCache>
            </c:strRef>
          </c:cat>
          <c:val>
            <c:numRef>
              <c:f>'NDP2'!$E$34:$E$44</c:f>
              <c:numCache>
                <c:formatCode>0.00%</c:formatCode>
                <c:ptCount val="11"/>
                <c:pt idx="0">
                  <c:v>0.28033478231205361</c:v>
                </c:pt>
                <c:pt idx="1">
                  <c:v>0.17385863949574584</c:v>
                </c:pt>
                <c:pt idx="2">
                  <c:v>0.14614563165549385</c:v>
                </c:pt>
                <c:pt idx="3">
                  <c:v>6.6626117960181294E-2</c:v>
                </c:pt>
                <c:pt idx="4">
                  <c:v>4.4272644981584154E-2</c:v>
                </c:pt>
                <c:pt idx="5">
                  <c:v>4.3816582101446115E-2</c:v>
                </c:pt>
                <c:pt idx="6">
                  <c:v>2.8143424517144262E-2</c:v>
                </c:pt>
                <c:pt idx="7">
                  <c:v>2.188986079528216E-2</c:v>
                </c:pt>
                <c:pt idx="8">
                  <c:v>1.8947498776137533E-2</c:v>
                </c:pt>
                <c:pt idx="9">
                  <c:v>1.8195105427961055E-2</c:v>
                </c:pt>
                <c:pt idx="10">
                  <c:v>0.15776971197697004</c:v>
                </c:pt>
              </c:numCache>
            </c:numRef>
          </c:val>
          <c:extLst>
            <c:ext xmlns:c16="http://schemas.microsoft.com/office/drawing/2014/chart" uri="{C3380CC4-5D6E-409C-BE32-E72D297353CC}">
              <c16:uniqueId val="{0000000C-01FA-4730-BB33-6CADF4CC4A41}"/>
            </c:ext>
          </c:extLst>
        </c:ser>
        <c:dLbls>
          <c:showLegendKey val="0"/>
          <c:showVal val="0"/>
          <c:showCatName val="0"/>
          <c:showSerName val="0"/>
          <c:showPercent val="0"/>
          <c:showBubbleSize val="0"/>
          <c:showLeaderLines val="1"/>
        </c:dLbls>
      </c:pie3DChart>
      <c:spPr>
        <a:noFill/>
        <a:ln w="25398">
          <a:noFill/>
        </a:ln>
      </c:spPr>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'NDP2'!$E$17</c:f>
              <c:strCache>
                <c:ptCount val="1"/>
                <c:pt idx="0">
                  <c:v>FY 2015/16</c:v>
                </c:pt>
              </c:strCache>
            </c:strRef>
          </c:tx>
          <c:invertIfNegative val="0"/>
          <c:cat>
            <c:strRef>
              <c:f>'NDP2'!$D$18:$D$28</c:f>
              <c:strCache>
                <c:ptCount val="11"/>
                <c:pt idx="0">
                  <c:v>China</c:v>
                </c:pt>
                <c:pt idx="1">
                  <c:v>IDA</c:v>
                </c:pt>
                <c:pt idx="2">
                  <c:v>USA </c:v>
                </c:pt>
                <c:pt idx="3">
                  <c:v>AfDB/F</c:v>
                </c:pt>
                <c:pt idx="4">
                  <c:v>PTA/TDB</c:v>
                </c:pt>
                <c:pt idx="5">
                  <c:v>African Union</c:v>
                </c:pt>
                <c:pt idx="6">
                  <c:v>JBIC</c:v>
                </c:pt>
                <c:pt idx="7">
                  <c:v>Japan</c:v>
                </c:pt>
                <c:pt idx="8">
                  <c:v>IsDB</c:v>
                </c:pt>
                <c:pt idx="9">
                  <c:v>France</c:v>
                </c:pt>
                <c:pt idx="10">
                  <c:v>Others</c:v>
                </c:pt>
              </c:strCache>
            </c:strRef>
          </c:cat>
          <c:val>
            <c:numRef>
              <c:f>'NDP2'!$E$18:$E$28</c:f>
              <c:numCache>
                <c:formatCode>0.00%</c:formatCode>
                <c:ptCount val="11"/>
                <c:pt idx="0">
                  <c:v>0.35508827012543687</c:v>
                </c:pt>
                <c:pt idx="1">
                  <c:v>0.14674535452452889</c:v>
                </c:pt>
                <c:pt idx="2">
                  <c:v>0.14753156986301821</c:v>
                </c:pt>
                <c:pt idx="3">
                  <c:v>8.0786623985221587E-2</c:v>
                </c:pt>
                <c:pt idx="4">
                  <c:v>0</c:v>
                </c:pt>
                <c:pt idx="5">
                  <c:v>4.5499286590740456E-2</c:v>
                </c:pt>
                <c:pt idx="6">
                  <c:v>0</c:v>
                </c:pt>
                <c:pt idx="7">
                  <c:v>3.2304621134993147E-2</c:v>
                </c:pt>
                <c:pt idx="8">
                  <c:v>1.5491565389601258E-2</c:v>
                </c:pt>
                <c:pt idx="9">
                  <c:v>5.6837708180102649E-3</c:v>
                </c:pt>
                <c:pt idx="10">
                  <c:v>0.17086893756844926</c:v>
                </c:pt>
              </c:numCache>
            </c:numRef>
          </c:val>
          <c:extLst>
            <c:ext xmlns:c16="http://schemas.microsoft.com/office/drawing/2014/chart" uri="{C3380CC4-5D6E-409C-BE32-E72D297353CC}">
              <c16:uniqueId val="{00000000-0CB1-4973-A4CB-5C58DE64652A}"/>
            </c:ext>
          </c:extLst>
        </c:ser>
        <c:ser>
          <c:idx val="1"/>
          <c:order val="1"/>
          <c:tx>
            <c:strRef>
              <c:f>'NDP2'!$F$17</c:f>
              <c:strCache>
                <c:ptCount val="1"/>
                <c:pt idx="0">
                  <c:v>FY 2016/17</c:v>
                </c:pt>
              </c:strCache>
            </c:strRef>
          </c:tx>
          <c:invertIfNegative val="0"/>
          <c:cat>
            <c:strRef>
              <c:f>'NDP2'!$D$18:$D$28</c:f>
              <c:strCache>
                <c:ptCount val="11"/>
                <c:pt idx="0">
                  <c:v>China</c:v>
                </c:pt>
                <c:pt idx="1">
                  <c:v>IDA</c:v>
                </c:pt>
                <c:pt idx="2">
                  <c:v>USA </c:v>
                </c:pt>
                <c:pt idx="3">
                  <c:v>AfDB/F</c:v>
                </c:pt>
                <c:pt idx="4">
                  <c:v>PTA/TDB</c:v>
                </c:pt>
                <c:pt idx="5">
                  <c:v>African Union</c:v>
                </c:pt>
                <c:pt idx="6">
                  <c:v>JBIC</c:v>
                </c:pt>
                <c:pt idx="7">
                  <c:v>Japan</c:v>
                </c:pt>
                <c:pt idx="8">
                  <c:v>IsDB</c:v>
                </c:pt>
                <c:pt idx="9">
                  <c:v>France</c:v>
                </c:pt>
                <c:pt idx="10">
                  <c:v>Others</c:v>
                </c:pt>
              </c:strCache>
            </c:strRef>
          </c:cat>
          <c:val>
            <c:numRef>
              <c:f>'NDP2'!$F$18:$F$28</c:f>
              <c:numCache>
                <c:formatCode>0.00%</c:formatCode>
                <c:ptCount val="11"/>
                <c:pt idx="0">
                  <c:v>0.23398245656078098</c:v>
                </c:pt>
                <c:pt idx="1">
                  <c:v>0.19002158919308493</c:v>
                </c:pt>
                <c:pt idx="2">
                  <c:v>0.15459739449866977</c:v>
                </c:pt>
                <c:pt idx="3">
                  <c:v>6.278819880519293E-2</c:v>
                </c:pt>
                <c:pt idx="4">
                  <c:v>0.10933344614301421</c:v>
                </c:pt>
                <c:pt idx="5">
                  <c:v>5.0822245641792219E-2</c:v>
                </c:pt>
                <c:pt idx="6">
                  <c:v>3.1210554514664653E-2</c:v>
                </c:pt>
                <c:pt idx="7">
                  <c:v>1.5242194828062576E-2</c:v>
                </c:pt>
                <c:pt idx="8">
                  <c:v>2.068791421859285E-2</c:v>
                </c:pt>
                <c:pt idx="9">
                  <c:v>1.2281105646796065E-2</c:v>
                </c:pt>
                <c:pt idx="10">
                  <c:v>0.11903289994934871</c:v>
                </c:pt>
              </c:numCache>
            </c:numRef>
          </c:val>
          <c:extLst>
            <c:ext xmlns:c16="http://schemas.microsoft.com/office/drawing/2014/chart" uri="{C3380CC4-5D6E-409C-BE32-E72D297353CC}">
              <c16:uniqueId val="{00000001-0CB1-4973-A4CB-5C58DE64652A}"/>
            </c:ext>
          </c:extLst>
        </c:ser>
        <c:ser>
          <c:idx val="2"/>
          <c:order val="2"/>
          <c:tx>
            <c:strRef>
              <c:f>'NDP2'!$G$17</c:f>
              <c:strCache>
                <c:ptCount val="1"/>
                <c:pt idx="0">
                  <c:v>FY 2017/18</c:v>
                </c:pt>
              </c:strCache>
            </c:strRef>
          </c:tx>
          <c:invertIfNegative val="0"/>
          <c:cat>
            <c:strRef>
              <c:f>'NDP2'!$D$18:$D$28</c:f>
              <c:strCache>
                <c:ptCount val="11"/>
                <c:pt idx="0">
                  <c:v>China</c:v>
                </c:pt>
                <c:pt idx="1">
                  <c:v>IDA</c:v>
                </c:pt>
                <c:pt idx="2">
                  <c:v>USA </c:v>
                </c:pt>
                <c:pt idx="3">
                  <c:v>AfDB/F</c:v>
                </c:pt>
                <c:pt idx="4">
                  <c:v>PTA/TDB</c:v>
                </c:pt>
                <c:pt idx="5">
                  <c:v>African Union</c:v>
                </c:pt>
                <c:pt idx="6">
                  <c:v>JBIC</c:v>
                </c:pt>
                <c:pt idx="7">
                  <c:v>Japan</c:v>
                </c:pt>
                <c:pt idx="8">
                  <c:v>IsDB</c:v>
                </c:pt>
                <c:pt idx="9">
                  <c:v>France</c:v>
                </c:pt>
                <c:pt idx="10">
                  <c:v>Others</c:v>
                </c:pt>
              </c:strCache>
            </c:strRef>
          </c:cat>
          <c:val>
            <c:numRef>
              <c:f>'NDP2'!$G$18:$G$28</c:f>
              <c:numCache>
                <c:formatCode>0.00%</c:formatCode>
                <c:ptCount val="11"/>
                <c:pt idx="0">
                  <c:v>0.25193362024994287</c:v>
                </c:pt>
                <c:pt idx="1">
                  <c:v>0.18480897476962369</c:v>
                </c:pt>
                <c:pt idx="2">
                  <c:v>0.13630793060479351</c:v>
                </c:pt>
                <c:pt idx="3">
                  <c:v>5.6303531090129401E-2</c:v>
                </c:pt>
                <c:pt idx="4">
                  <c:v>2.348448880173825E-2</c:v>
                </c:pt>
                <c:pt idx="5">
                  <c:v>3.512821407180567E-2</c:v>
                </c:pt>
                <c:pt idx="6">
                  <c:v>5.3219719036768143E-2</c:v>
                </c:pt>
                <c:pt idx="7">
                  <c:v>1.8122766422790756E-2</c:v>
                </c:pt>
                <c:pt idx="8">
                  <c:v>2.0663016720218488E-2</c:v>
                </c:pt>
                <c:pt idx="9">
                  <c:v>3.6620439819076839E-2</c:v>
                </c:pt>
                <c:pt idx="10">
                  <c:v>0.18340729841311221</c:v>
                </c:pt>
              </c:numCache>
            </c:numRef>
          </c:val>
          <c:extLst>
            <c:ext xmlns:c16="http://schemas.microsoft.com/office/drawing/2014/chart" uri="{C3380CC4-5D6E-409C-BE32-E72D297353CC}">
              <c16:uniqueId val="{00000002-0CB1-4973-A4CB-5C58DE64652A}"/>
            </c:ext>
          </c:extLst>
        </c:ser>
        <c:dLbls>
          <c:showLegendKey val="0"/>
          <c:showVal val="0"/>
          <c:showCatName val="0"/>
          <c:showSerName val="0"/>
          <c:showPercent val="0"/>
          <c:showBubbleSize val="0"/>
        </c:dLbls>
        <c:gapWidth val="150"/>
        <c:shape val="cylinder"/>
        <c:axId val="861159984"/>
        <c:axId val="732541592"/>
        <c:axId val="0"/>
      </c:bar3DChart>
      <c:catAx>
        <c:axId val="861159984"/>
        <c:scaling>
          <c:orientation val="minMax"/>
        </c:scaling>
        <c:delete val="0"/>
        <c:axPos val="b"/>
        <c:numFmt formatCode="General" sourceLinked="1"/>
        <c:majorTickMark val="out"/>
        <c:minorTickMark val="none"/>
        <c:tickLblPos val="nextTo"/>
        <c:crossAx val="732541592"/>
        <c:crosses val="autoZero"/>
        <c:auto val="1"/>
        <c:lblAlgn val="ctr"/>
        <c:lblOffset val="100"/>
        <c:noMultiLvlLbl val="0"/>
      </c:catAx>
      <c:valAx>
        <c:axId val="732541592"/>
        <c:scaling>
          <c:orientation val="minMax"/>
        </c:scaling>
        <c:delete val="0"/>
        <c:axPos val="l"/>
        <c:majorGridlines/>
        <c:numFmt formatCode="0.00%" sourceLinked="1"/>
        <c:majorTickMark val="out"/>
        <c:minorTickMark val="none"/>
        <c:tickLblPos val="nextTo"/>
        <c:crossAx val="861159984"/>
        <c:crosses val="autoZero"/>
        <c:crossBetween val="between"/>
      </c:valAx>
      <c:spPr>
        <a:noFill/>
        <a:ln w="25414">
          <a:noFill/>
        </a:ln>
      </c:spPr>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'NDP1'!$E$33</c:f>
              <c:strCache>
                <c:ptCount val="1"/>
                <c:pt idx="0">
                  <c:v>FYs 2010/11- 2014/15</c:v>
                </c:pt>
              </c:strCache>
            </c:strRef>
          </c:tx>
          <c:dPt>
            <c:idx val="0"/>
            <c:bubble3D val="0"/>
            <c:extLst>
              <c:ext xmlns:c16="http://schemas.microsoft.com/office/drawing/2014/chart" uri="{C3380CC4-5D6E-409C-BE32-E72D297353CC}">
                <c16:uniqueId val="{00000000-B9AD-4CDF-87BD-426014501FAC}"/>
              </c:ext>
            </c:extLst>
          </c:dPt>
          <c:dPt>
            <c:idx val="1"/>
            <c:bubble3D val="0"/>
            <c:extLst>
              <c:ext xmlns:c16="http://schemas.microsoft.com/office/drawing/2014/chart" uri="{C3380CC4-5D6E-409C-BE32-E72D297353CC}">
                <c16:uniqueId val="{00000001-B9AD-4CDF-87BD-426014501FAC}"/>
              </c:ext>
            </c:extLst>
          </c:dPt>
          <c:dPt>
            <c:idx val="2"/>
            <c:bubble3D val="0"/>
            <c:extLst>
              <c:ext xmlns:c16="http://schemas.microsoft.com/office/drawing/2014/chart" uri="{C3380CC4-5D6E-409C-BE32-E72D297353CC}">
                <c16:uniqueId val="{00000002-B9AD-4CDF-87BD-426014501FAC}"/>
              </c:ext>
            </c:extLst>
          </c:dPt>
          <c:dPt>
            <c:idx val="3"/>
            <c:bubble3D val="0"/>
            <c:extLst>
              <c:ext xmlns:c16="http://schemas.microsoft.com/office/drawing/2014/chart" uri="{C3380CC4-5D6E-409C-BE32-E72D297353CC}">
                <c16:uniqueId val="{00000003-B9AD-4CDF-87BD-426014501FAC}"/>
              </c:ext>
            </c:extLst>
          </c:dPt>
          <c:dPt>
            <c:idx val="4"/>
            <c:bubble3D val="0"/>
            <c:extLst>
              <c:ext xmlns:c16="http://schemas.microsoft.com/office/drawing/2014/chart" uri="{C3380CC4-5D6E-409C-BE32-E72D297353CC}">
                <c16:uniqueId val="{00000004-B9AD-4CDF-87BD-426014501FAC}"/>
              </c:ext>
            </c:extLst>
          </c:dPt>
          <c:dPt>
            <c:idx val="5"/>
            <c:bubble3D val="0"/>
            <c:extLst>
              <c:ext xmlns:c16="http://schemas.microsoft.com/office/drawing/2014/chart" uri="{C3380CC4-5D6E-409C-BE32-E72D297353CC}">
                <c16:uniqueId val="{00000005-B9AD-4CDF-87BD-426014501FAC}"/>
              </c:ext>
            </c:extLst>
          </c:dPt>
          <c:dPt>
            <c:idx val="6"/>
            <c:bubble3D val="0"/>
            <c:extLst>
              <c:ext xmlns:c16="http://schemas.microsoft.com/office/drawing/2014/chart" uri="{C3380CC4-5D6E-409C-BE32-E72D297353CC}">
                <c16:uniqueId val="{00000006-B9AD-4CDF-87BD-426014501FAC}"/>
              </c:ext>
            </c:extLst>
          </c:dPt>
          <c:dPt>
            <c:idx val="7"/>
            <c:bubble3D val="0"/>
            <c:extLst>
              <c:ext xmlns:c16="http://schemas.microsoft.com/office/drawing/2014/chart" uri="{C3380CC4-5D6E-409C-BE32-E72D297353CC}">
                <c16:uniqueId val="{00000007-B9AD-4CDF-87BD-426014501FAC}"/>
              </c:ext>
            </c:extLst>
          </c:dPt>
          <c:dPt>
            <c:idx val="8"/>
            <c:bubble3D val="0"/>
            <c:extLst>
              <c:ext xmlns:c16="http://schemas.microsoft.com/office/drawing/2014/chart" uri="{C3380CC4-5D6E-409C-BE32-E72D297353CC}">
                <c16:uniqueId val="{00000008-B9AD-4CDF-87BD-426014501FAC}"/>
              </c:ext>
            </c:extLst>
          </c:dPt>
          <c:dPt>
            <c:idx val="9"/>
            <c:bubble3D val="0"/>
            <c:extLst>
              <c:ext xmlns:c16="http://schemas.microsoft.com/office/drawing/2014/chart" uri="{C3380CC4-5D6E-409C-BE32-E72D297353CC}">
                <c16:uniqueId val="{00000009-B9AD-4CDF-87BD-426014501FAC}"/>
              </c:ext>
            </c:extLst>
          </c:dPt>
          <c:dPt>
            <c:idx val="10"/>
            <c:bubble3D val="0"/>
            <c:extLst>
              <c:ext xmlns:c16="http://schemas.microsoft.com/office/drawing/2014/chart" uri="{C3380CC4-5D6E-409C-BE32-E72D297353CC}">
                <c16:uniqueId val="{0000000A-B9AD-4CDF-87BD-426014501FAC}"/>
              </c:ext>
            </c:extLst>
          </c:dPt>
          <c:dLbls>
            <c:dLbl>
              <c:idx val="4"/>
              <c:layout>
                <c:manualLayout>
                  <c:x val="2.0179265091863519E-2"/>
                  <c:y val="4.9926568167743074E-2"/>
                </c:manualLayout>
              </c:layout>
              <c:spPr>
                <a:noFill/>
                <a:ln w="25398">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9AD-4CDF-87BD-426014501FAC}"/>
                </c:ext>
              </c:extLst>
            </c:dLbl>
            <c:dLbl>
              <c:idx val="5"/>
              <c:layout>
                <c:manualLayout>
                  <c:x val="-1.4654593175853018E-2"/>
                  <c:y val="0.10541429512322187"/>
                </c:manualLayout>
              </c:layout>
              <c:spPr>
                <a:noFill/>
                <a:ln w="25398">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AD-4CDF-87BD-426014501FAC}"/>
                </c:ext>
              </c:extLst>
            </c:dLbl>
            <c:dLbl>
              <c:idx val="8"/>
              <c:layout>
                <c:manualLayout>
                  <c:x val="1.2121212121212121E-3"/>
                  <c:y val="-0.14960277024195506"/>
                </c:manualLayout>
              </c:layout>
              <c:spPr>
                <a:noFill/>
                <a:ln w="25398">
                  <a:noFill/>
                </a:ln>
              </c:spPr>
              <c:txPr>
                <a:bodyPr wrap="square" lIns="38100" tIns="19050" rIns="38100" bIns="19050" anchor="ctr">
                  <a:spAutoFit/>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9AD-4CDF-87BD-426014501FAC}"/>
                </c:ext>
              </c:extLst>
            </c:dLbl>
            <c:dLbl>
              <c:idx val="9"/>
              <c:layout>
                <c:manualLayout>
                  <c:x val="6.5308398950131227E-2"/>
                  <c:y val="-0.23278616214639836"/>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9AD-4CDF-87BD-426014501FAC}"/>
                </c:ext>
              </c:extLst>
            </c:dLbl>
            <c:dLbl>
              <c:idx val="11"/>
              <c:layout>
                <c:manualLayout>
                  <c:x val="0.24405800524934385"/>
                  <c:y val="2.1383785360163314E-3"/>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9AD-4CDF-87BD-426014501FAC}"/>
                </c:ext>
              </c:extLst>
            </c:dLbl>
            <c:spPr>
              <a:noFill/>
              <a:ln w="25398">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'NDP1'!$D$34:$D$44</c:f>
              <c:strCache>
                <c:ptCount val="11"/>
                <c:pt idx="0">
                  <c:v>IDA</c:v>
                </c:pt>
                <c:pt idx="1">
                  <c:v>USA</c:v>
                </c:pt>
                <c:pt idx="2">
                  <c:v>AfDF/B</c:v>
                </c:pt>
                <c:pt idx="3">
                  <c:v>European Union</c:v>
                </c:pt>
                <c:pt idx="4">
                  <c:v>China</c:v>
                </c:pt>
                <c:pt idx="5">
                  <c:v>African Union</c:v>
                </c:pt>
                <c:pt idx="6">
                  <c:v>Norway</c:v>
                </c:pt>
                <c:pt idx="7">
                  <c:v>UNICEF</c:v>
                </c:pt>
                <c:pt idx="8">
                  <c:v>United Kingdom</c:v>
                </c:pt>
                <c:pt idx="9">
                  <c:v>Global Fund</c:v>
                </c:pt>
                <c:pt idx="10">
                  <c:v>OTHERS</c:v>
                </c:pt>
              </c:strCache>
            </c:strRef>
          </c:cat>
          <c:val>
            <c:numRef>
              <c:f>'NDP1'!$E$34:$E$44</c:f>
              <c:numCache>
                <c:formatCode>0.00%</c:formatCode>
                <c:ptCount val="11"/>
                <c:pt idx="0">
                  <c:v>0.21880452103094569</c:v>
                </c:pt>
                <c:pt idx="1">
                  <c:v>0.17602132126062092</c:v>
                </c:pt>
                <c:pt idx="2">
                  <c:v>0.10595214344838519</c:v>
                </c:pt>
                <c:pt idx="3">
                  <c:v>6.9049391507078964E-2</c:v>
                </c:pt>
                <c:pt idx="4">
                  <c:v>5.7798519155763527E-2</c:v>
                </c:pt>
                <c:pt idx="5">
                  <c:v>5.3249848790246371E-2</c:v>
                </c:pt>
                <c:pt idx="6">
                  <c:v>3.5161512750875784E-2</c:v>
                </c:pt>
                <c:pt idx="7">
                  <c:v>3.1862437757558107E-2</c:v>
                </c:pt>
                <c:pt idx="8">
                  <c:v>3.176412436878151E-2</c:v>
                </c:pt>
                <c:pt idx="9">
                  <c:v>3.068542909784551E-2</c:v>
                </c:pt>
                <c:pt idx="10">
                  <c:v>0.18965075083189847</c:v>
                </c:pt>
              </c:numCache>
            </c:numRef>
          </c:val>
          <c:extLst>
            <c:ext xmlns:c16="http://schemas.microsoft.com/office/drawing/2014/chart" uri="{C3380CC4-5D6E-409C-BE32-E72D297353CC}">
              <c16:uniqueId val="{0000000C-B9AD-4CDF-87BD-426014501FAC}"/>
            </c:ext>
          </c:extLst>
        </c:ser>
        <c:dLbls>
          <c:showLegendKey val="0"/>
          <c:showVal val="0"/>
          <c:showCatName val="0"/>
          <c:showSerName val="0"/>
          <c:showPercent val="0"/>
          <c:showBubbleSize val="0"/>
          <c:showLeaderLines val="1"/>
        </c:dLbls>
      </c:pie3DChart>
      <c:spPr>
        <a:noFill/>
        <a:ln w="25398">
          <a:noFill/>
        </a:ln>
      </c:spPr>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'NDP1'!$E$17</c:f>
              <c:strCache>
                <c:ptCount val="1"/>
                <c:pt idx="0">
                  <c:v>FY 2010/11</c:v>
                </c:pt>
              </c:strCache>
            </c:strRef>
          </c:tx>
          <c:invertIfNegative val="0"/>
          <c:cat>
            <c:strRef>
              <c:f>'NDP1'!$D$18:$D$28</c:f>
              <c:strCache>
                <c:ptCount val="11"/>
                <c:pt idx="0">
                  <c:v>IDA</c:v>
                </c:pt>
                <c:pt idx="1">
                  <c:v>USA</c:v>
                </c:pt>
                <c:pt idx="2">
                  <c:v>AfDF/B</c:v>
                </c:pt>
                <c:pt idx="3">
                  <c:v>European Union</c:v>
                </c:pt>
                <c:pt idx="4">
                  <c:v>China</c:v>
                </c:pt>
                <c:pt idx="5">
                  <c:v>African Union</c:v>
                </c:pt>
                <c:pt idx="6">
                  <c:v>Norway</c:v>
                </c:pt>
                <c:pt idx="7">
                  <c:v>UNICEF</c:v>
                </c:pt>
                <c:pt idx="8">
                  <c:v>United Kingdom</c:v>
                </c:pt>
                <c:pt idx="9">
                  <c:v>Global Fund</c:v>
                </c:pt>
                <c:pt idx="10">
                  <c:v>OTHERS</c:v>
                </c:pt>
              </c:strCache>
            </c:strRef>
          </c:cat>
          <c:val>
            <c:numRef>
              <c:f>'NDP1'!$E$18:$E$28</c:f>
              <c:numCache>
                <c:formatCode>0.00%</c:formatCode>
                <c:ptCount val="11"/>
                <c:pt idx="0">
                  <c:v>0.1930741744710163</c:v>
                </c:pt>
                <c:pt idx="1">
                  <c:v>0.15904905833371144</c:v>
                </c:pt>
                <c:pt idx="2">
                  <c:v>9.3376726863572762E-2</c:v>
                </c:pt>
                <c:pt idx="3">
                  <c:v>0.12557351098303293</c:v>
                </c:pt>
                <c:pt idx="4">
                  <c:v>3.0921156584343933E-2</c:v>
                </c:pt>
                <c:pt idx="5">
                  <c:v>4.6782212826380114E-2</c:v>
                </c:pt>
                <c:pt idx="6">
                  <c:v>2.5704887818024196E-2</c:v>
                </c:pt>
                <c:pt idx="7">
                  <c:v>3.1007783422450069E-2</c:v>
                </c:pt>
                <c:pt idx="8">
                  <c:v>7.2860838268361899E-2</c:v>
                </c:pt>
                <c:pt idx="9">
                  <c:v>3.2731070801329098E-3</c:v>
                </c:pt>
                <c:pt idx="10">
                  <c:v>0.21837654334897333</c:v>
                </c:pt>
              </c:numCache>
            </c:numRef>
          </c:val>
          <c:extLst>
            <c:ext xmlns:c16="http://schemas.microsoft.com/office/drawing/2014/chart" uri="{C3380CC4-5D6E-409C-BE32-E72D297353CC}">
              <c16:uniqueId val="{00000000-74A2-4EC4-95C3-FE8798CF05C3}"/>
            </c:ext>
          </c:extLst>
        </c:ser>
        <c:ser>
          <c:idx val="1"/>
          <c:order val="1"/>
          <c:tx>
            <c:strRef>
              <c:f>'NDP1'!$F$17</c:f>
              <c:strCache>
                <c:ptCount val="1"/>
                <c:pt idx="0">
                  <c:v>FY 2011/12</c:v>
                </c:pt>
              </c:strCache>
            </c:strRef>
          </c:tx>
          <c:invertIfNegative val="0"/>
          <c:cat>
            <c:strRef>
              <c:f>'NDP1'!$D$18:$D$28</c:f>
              <c:strCache>
                <c:ptCount val="11"/>
                <c:pt idx="0">
                  <c:v>IDA</c:v>
                </c:pt>
                <c:pt idx="1">
                  <c:v>USA</c:v>
                </c:pt>
                <c:pt idx="2">
                  <c:v>AfDF/B</c:v>
                </c:pt>
                <c:pt idx="3">
                  <c:v>European Union</c:v>
                </c:pt>
                <c:pt idx="4">
                  <c:v>China</c:v>
                </c:pt>
                <c:pt idx="5">
                  <c:v>African Union</c:v>
                </c:pt>
                <c:pt idx="6">
                  <c:v>Norway</c:v>
                </c:pt>
                <c:pt idx="7">
                  <c:v>UNICEF</c:v>
                </c:pt>
                <c:pt idx="8">
                  <c:v>United Kingdom</c:v>
                </c:pt>
                <c:pt idx="9">
                  <c:v>Global Fund</c:v>
                </c:pt>
                <c:pt idx="10">
                  <c:v>OTHERS</c:v>
                </c:pt>
              </c:strCache>
            </c:strRef>
          </c:cat>
          <c:val>
            <c:numRef>
              <c:f>'NDP1'!$F$18:$F$28</c:f>
              <c:numCache>
                <c:formatCode>0.00%</c:formatCode>
                <c:ptCount val="11"/>
                <c:pt idx="0">
                  <c:v>0.19633670648142343</c:v>
                </c:pt>
                <c:pt idx="1">
                  <c:v>0.16781028448816304</c:v>
                </c:pt>
                <c:pt idx="2">
                  <c:v>0.11553469604348685</c:v>
                </c:pt>
                <c:pt idx="3">
                  <c:v>7.5466012697189819E-2</c:v>
                </c:pt>
                <c:pt idx="4">
                  <c:v>8.8807438071400888E-2</c:v>
                </c:pt>
                <c:pt idx="5">
                  <c:v>4.2768919175449116E-2</c:v>
                </c:pt>
                <c:pt idx="6">
                  <c:v>6.3651716111598214E-2</c:v>
                </c:pt>
                <c:pt idx="7">
                  <c:v>1.8763775238715627E-2</c:v>
                </c:pt>
                <c:pt idx="8">
                  <c:v>5.0703917962253799E-2</c:v>
                </c:pt>
                <c:pt idx="9">
                  <c:v>2.8817966049328077E-2</c:v>
                </c:pt>
                <c:pt idx="10">
                  <c:v>0.1513385676809911</c:v>
                </c:pt>
              </c:numCache>
            </c:numRef>
          </c:val>
          <c:extLst>
            <c:ext xmlns:c16="http://schemas.microsoft.com/office/drawing/2014/chart" uri="{C3380CC4-5D6E-409C-BE32-E72D297353CC}">
              <c16:uniqueId val="{00000001-74A2-4EC4-95C3-FE8798CF05C3}"/>
            </c:ext>
          </c:extLst>
        </c:ser>
        <c:ser>
          <c:idx val="2"/>
          <c:order val="2"/>
          <c:tx>
            <c:strRef>
              <c:f>'NDP1'!$G$17</c:f>
              <c:strCache>
                <c:ptCount val="1"/>
                <c:pt idx="0">
                  <c:v>FY 2012/13</c:v>
                </c:pt>
              </c:strCache>
            </c:strRef>
          </c:tx>
          <c:invertIfNegative val="0"/>
          <c:cat>
            <c:strRef>
              <c:f>'NDP1'!$D$18:$D$28</c:f>
              <c:strCache>
                <c:ptCount val="11"/>
                <c:pt idx="0">
                  <c:v>IDA</c:v>
                </c:pt>
                <c:pt idx="1">
                  <c:v>USA</c:v>
                </c:pt>
                <c:pt idx="2">
                  <c:v>AfDF/B</c:v>
                </c:pt>
                <c:pt idx="3">
                  <c:v>European Union</c:v>
                </c:pt>
                <c:pt idx="4">
                  <c:v>China</c:v>
                </c:pt>
                <c:pt idx="5">
                  <c:v>African Union</c:v>
                </c:pt>
                <c:pt idx="6">
                  <c:v>Norway</c:v>
                </c:pt>
                <c:pt idx="7">
                  <c:v>UNICEF</c:v>
                </c:pt>
                <c:pt idx="8">
                  <c:v>United Kingdom</c:v>
                </c:pt>
                <c:pt idx="9">
                  <c:v>Global Fund</c:v>
                </c:pt>
                <c:pt idx="10">
                  <c:v>OTHERS</c:v>
                </c:pt>
              </c:strCache>
            </c:strRef>
          </c:cat>
          <c:val>
            <c:numRef>
              <c:f>'NDP1'!$G$18:$G$28</c:f>
              <c:numCache>
                <c:formatCode>0.00%</c:formatCode>
                <c:ptCount val="11"/>
                <c:pt idx="0">
                  <c:v>0.25047454370463113</c:v>
                </c:pt>
                <c:pt idx="1">
                  <c:v>0.16694608719943543</c:v>
                </c:pt>
                <c:pt idx="2">
                  <c:v>0.10733350012885083</c:v>
                </c:pt>
                <c:pt idx="3">
                  <c:v>5.1184660946263082E-2</c:v>
                </c:pt>
                <c:pt idx="4">
                  <c:v>5.6251295330721887E-2</c:v>
                </c:pt>
                <c:pt idx="5">
                  <c:v>5.5742618153797566E-2</c:v>
                </c:pt>
                <c:pt idx="6">
                  <c:v>1.3616281306437664E-2</c:v>
                </c:pt>
                <c:pt idx="7">
                  <c:v>3.4396901915020567E-2</c:v>
                </c:pt>
                <c:pt idx="8">
                  <c:v>1.1885305437336952E-2</c:v>
                </c:pt>
                <c:pt idx="9">
                  <c:v>9.8172183650037131E-2</c:v>
                </c:pt>
                <c:pt idx="10">
                  <c:v>0.15399662222746777</c:v>
                </c:pt>
              </c:numCache>
            </c:numRef>
          </c:val>
          <c:extLst>
            <c:ext xmlns:c16="http://schemas.microsoft.com/office/drawing/2014/chart" uri="{C3380CC4-5D6E-409C-BE32-E72D297353CC}">
              <c16:uniqueId val="{00000002-74A2-4EC4-95C3-FE8798CF05C3}"/>
            </c:ext>
          </c:extLst>
        </c:ser>
        <c:ser>
          <c:idx val="3"/>
          <c:order val="3"/>
          <c:tx>
            <c:strRef>
              <c:f>'NDP1'!$H$17</c:f>
              <c:strCache>
                <c:ptCount val="1"/>
                <c:pt idx="0">
                  <c:v>FY 2013/14</c:v>
                </c:pt>
              </c:strCache>
            </c:strRef>
          </c:tx>
          <c:invertIfNegative val="0"/>
          <c:cat>
            <c:strRef>
              <c:f>'NDP1'!$D$18:$D$28</c:f>
              <c:strCache>
                <c:ptCount val="11"/>
                <c:pt idx="0">
                  <c:v>IDA</c:v>
                </c:pt>
                <c:pt idx="1">
                  <c:v>USA</c:v>
                </c:pt>
                <c:pt idx="2">
                  <c:v>AfDF/B</c:v>
                </c:pt>
                <c:pt idx="3">
                  <c:v>European Union</c:v>
                </c:pt>
                <c:pt idx="4">
                  <c:v>China</c:v>
                </c:pt>
                <c:pt idx="5">
                  <c:v>African Union</c:v>
                </c:pt>
                <c:pt idx="6">
                  <c:v>Norway</c:v>
                </c:pt>
                <c:pt idx="7">
                  <c:v>UNICEF</c:v>
                </c:pt>
                <c:pt idx="8">
                  <c:v>United Kingdom</c:v>
                </c:pt>
                <c:pt idx="9">
                  <c:v>Global Fund</c:v>
                </c:pt>
                <c:pt idx="10">
                  <c:v>OTHERS</c:v>
                </c:pt>
              </c:strCache>
            </c:strRef>
          </c:cat>
          <c:val>
            <c:numRef>
              <c:f>'NDP1'!$H$18:$H$28</c:f>
              <c:numCache>
                <c:formatCode>0.00%</c:formatCode>
                <c:ptCount val="11"/>
                <c:pt idx="0">
                  <c:v>0.2508519972677784</c:v>
                </c:pt>
                <c:pt idx="1">
                  <c:v>0.19673571445756843</c:v>
                </c:pt>
                <c:pt idx="2">
                  <c:v>0.11368379423960345</c:v>
                </c:pt>
                <c:pt idx="3">
                  <c:v>1.4816890247645783E-2</c:v>
                </c:pt>
                <c:pt idx="4">
                  <c:v>5.5150824481274223E-2</c:v>
                </c:pt>
                <c:pt idx="5">
                  <c:v>6.5840433764426665E-2</c:v>
                </c:pt>
                <c:pt idx="6">
                  <c:v>4.5401913572774809E-2</c:v>
                </c:pt>
                <c:pt idx="7">
                  <c:v>3.9962156877988229E-2</c:v>
                </c:pt>
                <c:pt idx="8">
                  <c:v>1.3049364027151799E-2</c:v>
                </c:pt>
                <c:pt idx="9">
                  <c:v>6.2681947873063941E-3</c:v>
                </c:pt>
                <c:pt idx="10">
                  <c:v>0.19823871627648174</c:v>
                </c:pt>
              </c:numCache>
            </c:numRef>
          </c:val>
          <c:extLst>
            <c:ext xmlns:c16="http://schemas.microsoft.com/office/drawing/2014/chart" uri="{C3380CC4-5D6E-409C-BE32-E72D297353CC}">
              <c16:uniqueId val="{00000003-74A2-4EC4-95C3-FE8798CF05C3}"/>
            </c:ext>
          </c:extLst>
        </c:ser>
        <c:ser>
          <c:idx val="4"/>
          <c:order val="4"/>
          <c:tx>
            <c:strRef>
              <c:f>'NDP1'!$I$17</c:f>
              <c:strCache>
                <c:ptCount val="1"/>
                <c:pt idx="0">
                  <c:v>FY 2014/15</c:v>
                </c:pt>
              </c:strCache>
            </c:strRef>
          </c:tx>
          <c:invertIfNegative val="0"/>
          <c:cat>
            <c:strRef>
              <c:f>'NDP1'!$D$18:$D$28</c:f>
              <c:strCache>
                <c:ptCount val="11"/>
                <c:pt idx="0">
                  <c:v>IDA</c:v>
                </c:pt>
                <c:pt idx="1">
                  <c:v>USA</c:v>
                </c:pt>
                <c:pt idx="2">
                  <c:v>AfDF/B</c:v>
                </c:pt>
                <c:pt idx="3">
                  <c:v>European Union</c:v>
                </c:pt>
                <c:pt idx="4">
                  <c:v>China</c:v>
                </c:pt>
                <c:pt idx="5">
                  <c:v>African Union</c:v>
                </c:pt>
                <c:pt idx="6">
                  <c:v>Norway</c:v>
                </c:pt>
                <c:pt idx="7">
                  <c:v>UNICEF</c:v>
                </c:pt>
                <c:pt idx="8">
                  <c:v>United Kingdom</c:v>
                </c:pt>
                <c:pt idx="9">
                  <c:v>Global Fund</c:v>
                </c:pt>
                <c:pt idx="10">
                  <c:v>OTHERS</c:v>
                </c:pt>
              </c:strCache>
            </c:strRef>
          </c:cat>
          <c:val>
            <c:numRef>
              <c:f>'NDP1'!$I$18:$I$28</c:f>
              <c:numCache>
                <c:formatCode>0.00%</c:formatCode>
                <c:ptCount val="11"/>
                <c:pt idx="0">
                  <c:v>0.20877450557132921</c:v>
                </c:pt>
                <c:pt idx="1">
                  <c:v>0.19628052238964003</c:v>
                </c:pt>
                <c:pt idx="2">
                  <c:v>9.9014336911680226E-2</c:v>
                </c:pt>
                <c:pt idx="3">
                  <c:v>6.9772229151662812E-2</c:v>
                </c:pt>
                <c:pt idx="4">
                  <c:v>5.3771191797252121E-2</c:v>
                </c:pt>
                <c:pt idx="5">
                  <c:v>5.878738230781614E-2</c:v>
                </c:pt>
                <c:pt idx="6">
                  <c:v>2.4601036173743977E-2</c:v>
                </c:pt>
                <c:pt idx="7">
                  <c:v>3.8636789873922078E-2</c:v>
                </c:pt>
                <c:pt idx="8">
                  <c:v>1.4569244655711327E-3</c:v>
                </c:pt>
                <c:pt idx="9">
                  <c:v>1.0570287457700164E-2</c:v>
                </c:pt>
                <c:pt idx="10">
                  <c:v>0.23833479389968207</c:v>
                </c:pt>
              </c:numCache>
            </c:numRef>
          </c:val>
          <c:extLst>
            <c:ext xmlns:c16="http://schemas.microsoft.com/office/drawing/2014/chart" uri="{C3380CC4-5D6E-409C-BE32-E72D297353CC}">
              <c16:uniqueId val="{00000004-74A2-4EC4-95C3-FE8798CF05C3}"/>
            </c:ext>
          </c:extLst>
        </c:ser>
        <c:dLbls>
          <c:showLegendKey val="0"/>
          <c:showVal val="0"/>
          <c:showCatName val="0"/>
          <c:showSerName val="0"/>
          <c:showPercent val="0"/>
          <c:showBubbleSize val="0"/>
        </c:dLbls>
        <c:gapWidth val="150"/>
        <c:shape val="cylinder"/>
        <c:axId val="732540808"/>
        <c:axId val="732539240"/>
        <c:axId val="0"/>
      </c:bar3DChart>
      <c:catAx>
        <c:axId val="732540808"/>
        <c:scaling>
          <c:orientation val="minMax"/>
        </c:scaling>
        <c:delete val="0"/>
        <c:axPos val="b"/>
        <c:numFmt formatCode="General" sourceLinked="1"/>
        <c:majorTickMark val="out"/>
        <c:minorTickMark val="none"/>
        <c:tickLblPos val="nextTo"/>
        <c:crossAx val="732539240"/>
        <c:crosses val="autoZero"/>
        <c:auto val="1"/>
        <c:lblAlgn val="ctr"/>
        <c:lblOffset val="100"/>
        <c:noMultiLvlLbl val="0"/>
      </c:catAx>
      <c:valAx>
        <c:axId val="732539240"/>
        <c:scaling>
          <c:orientation val="minMax"/>
        </c:scaling>
        <c:delete val="0"/>
        <c:axPos val="l"/>
        <c:majorGridlines/>
        <c:numFmt formatCode="0.00%" sourceLinked="1"/>
        <c:majorTickMark val="out"/>
        <c:minorTickMark val="none"/>
        <c:tickLblPos val="nextTo"/>
        <c:crossAx val="732540808"/>
        <c:crosses val="autoZero"/>
        <c:crossBetween val="between"/>
      </c:valAx>
      <c:spPr>
        <a:noFill/>
        <a:ln w="25381">
          <a:noFill/>
        </a:ln>
      </c:spPr>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599"/>
              <a:t>Project Support by Type    (USD m)</a:t>
            </a:r>
          </a:p>
        </c:rich>
      </c:tx>
      <c:overlay val="0"/>
    </c:title>
    <c:autoTitleDeleted val="0"/>
    <c:plotArea>
      <c:layout/>
      <c:barChart>
        <c:barDir val="bar"/>
        <c:grouping val="clustered"/>
        <c:varyColors val="0"/>
        <c:ser>
          <c:idx val="0"/>
          <c:order val="0"/>
          <c:tx>
            <c:strRef>
              <c:f>Sheet3!$C$5</c:f>
              <c:strCache>
                <c:ptCount val="1"/>
                <c:pt idx="0">
                  <c:v>Grants</c:v>
                </c:pt>
              </c:strCache>
            </c:strRef>
          </c:tx>
          <c:invertIfNegative val="0"/>
          <c:cat>
            <c:strRef>
              <c:f>Sheet3!$D$4:$F$4</c:f>
              <c:strCache>
                <c:ptCount val="3"/>
                <c:pt idx="0">
                  <c:v>FY 2015/16</c:v>
                </c:pt>
                <c:pt idx="1">
                  <c:v>FY 2016/17</c:v>
                </c:pt>
                <c:pt idx="2">
                  <c:v>FY 2017/18</c:v>
                </c:pt>
              </c:strCache>
            </c:strRef>
          </c:cat>
          <c:val>
            <c:numRef>
              <c:f>Sheet3!$D$5:$F$5</c:f>
              <c:numCache>
                <c:formatCode>0.00</c:formatCode>
                <c:ptCount val="3"/>
                <c:pt idx="0">
                  <c:v>503.08266778843483</c:v>
                </c:pt>
                <c:pt idx="1">
                  <c:v>461.47801048989669</c:v>
                </c:pt>
                <c:pt idx="2">
                  <c:v>451.33013874179773</c:v>
                </c:pt>
              </c:numCache>
            </c:numRef>
          </c:val>
          <c:extLst>
            <c:ext xmlns:c16="http://schemas.microsoft.com/office/drawing/2014/chart" uri="{C3380CC4-5D6E-409C-BE32-E72D297353CC}">
              <c16:uniqueId val="{00000000-B40B-4B58-A1E2-BF6CF08121EA}"/>
            </c:ext>
          </c:extLst>
        </c:ser>
        <c:ser>
          <c:idx val="1"/>
          <c:order val="1"/>
          <c:tx>
            <c:strRef>
              <c:f>Sheet3!$C$6</c:f>
              <c:strCache>
                <c:ptCount val="1"/>
                <c:pt idx="0">
                  <c:v>Loans</c:v>
                </c:pt>
              </c:strCache>
            </c:strRef>
          </c:tx>
          <c:invertIfNegative val="0"/>
          <c:cat>
            <c:strRef>
              <c:f>Sheet3!$D$4:$F$4</c:f>
              <c:strCache>
                <c:ptCount val="3"/>
                <c:pt idx="0">
                  <c:v>FY 2015/16</c:v>
                </c:pt>
                <c:pt idx="1">
                  <c:v>FY 2016/17</c:v>
                </c:pt>
                <c:pt idx="2">
                  <c:v>FY 2017/18</c:v>
                </c:pt>
              </c:strCache>
            </c:strRef>
          </c:cat>
          <c:val>
            <c:numRef>
              <c:f>Sheet3!$D$6:$F$6</c:f>
              <c:numCache>
                <c:formatCode>0.00</c:formatCode>
                <c:ptCount val="3"/>
                <c:pt idx="0">
                  <c:v>1003.7681431678177</c:v>
                </c:pt>
                <c:pt idx="1">
                  <c:v>841.97464990515527</c:v>
                </c:pt>
                <c:pt idx="2">
                  <c:v>1169.0068974677238</c:v>
                </c:pt>
              </c:numCache>
            </c:numRef>
          </c:val>
          <c:extLst>
            <c:ext xmlns:c16="http://schemas.microsoft.com/office/drawing/2014/chart" uri="{C3380CC4-5D6E-409C-BE32-E72D297353CC}">
              <c16:uniqueId val="{00000001-B40B-4B58-A1E2-BF6CF08121EA}"/>
            </c:ext>
          </c:extLst>
        </c:ser>
        <c:dLbls>
          <c:showLegendKey val="0"/>
          <c:showVal val="0"/>
          <c:showCatName val="0"/>
          <c:showSerName val="0"/>
          <c:showPercent val="0"/>
          <c:showBubbleSize val="0"/>
        </c:dLbls>
        <c:gapWidth val="150"/>
        <c:axId val="732543160"/>
        <c:axId val="732546296"/>
      </c:barChart>
      <c:catAx>
        <c:axId val="732543160"/>
        <c:scaling>
          <c:orientation val="minMax"/>
        </c:scaling>
        <c:delete val="0"/>
        <c:axPos val="l"/>
        <c:numFmt formatCode="General" sourceLinked="1"/>
        <c:majorTickMark val="none"/>
        <c:minorTickMark val="none"/>
        <c:tickLblPos val="nextTo"/>
        <c:crossAx val="732546296"/>
        <c:crosses val="autoZero"/>
        <c:auto val="1"/>
        <c:lblAlgn val="ctr"/>
        <c:lblOffset val="100"/>
        <c:noMultiLvlLbl val="0"/>
      </c:catAx>
      <c:valAx>
        <c:axId val="732546296"/>
        <c:scaling>
          <c:orientation val="minMax"/>
        </c:scaling>
        <c:delete val="0"/>
        <c:axPos val="b"/>
        <c:majorGridlines/>
        <c:numFmt formatCode="0.00" sourceLinked="1"/>
        <c:majorTickMark val="none"/>
        <c:minorTickMark val="none"/>
        <c:tickLblPos val="nextTo"/>
        <c:txPr>
          <a:bodyPr/>
          <a:lstStyle/>
          <a:p>
            <a:pPr>
              <a:defRPr sz="900"/>
            </a:pPr>
            <a:endParaRPr lang="en-US"/>
          </a:p>
        </c:txPr>
        <c:crossAx val="732543160"/>
        <c:crosses val="autoZero"/>
        <c:crossBetween val="between"/>
        <c:majorUnit val="200"/>
        <c:minorUnit val="40"/>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Budget Support by Type (USDm)</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Sheet3!$C$13</c:f>
              <c:strCache>
                <c:ptCount val="1"/>
                <c:pt idx="0">
                  <c:v>Loans</c:v>
                </c:pt>
              </c:strCache>
            </c:strRef>
          </c:tx>
          <c:invertIfNegative val="0"/>
          <c:cat>
            <c:strRef>
              <c:f>Sheet3!$D$12:$F$12</c:f>
              <c:strCache>
                <c:ptCount val="3"/>
                <c:pt idx="0">
                  <c:v>FY 2015/16</c:v>
                </c:pt>
                <c:pt idx="1">
                  <c:v>FY 2016/17</c:v>
                </c:pt>
                <c:pt idx="2">
                  <c:v>FY 2017/18</c:v>
                </c:pt>
              </c:strCache>
            </c:strRef>
          </c:cat>
          <c:val>
            <c:numRef>
              <c:f>Sheet3!$D$13:$F$13</c:f>
              <c:numCache>
                <c:formatCode>0.0</c:formatCode>
                <c:ptCount val="3"/>
                <c:pt idx="0">
                  <c:v>0</c:v>
                </c:pt>
                <c:pt idx="1">
                  <c:v>160.82110655000002</c:v>
                </c:pt>
                <c:pt idx="2">
                  <c:v>39.178893450000004</c:v>
                </c:pt>
              </c:numCache>
            </c:numRef>
          </c:val>
          <c:extLst>
            <c:ext xmlns:c16="http://schemas.microsoft.com/office/drawing/2014/chart" uri="{C3380CC4-5D6E-409C-BE32-E72D297353CC}">
              <c16:uniqueId val="{00000000-2650-4156-8207-A6446C12022A}"/>
            </c:ext>
          </c:extLst>
        </c:ser>
        <c:ser>
          <c:idx val="1"/>
          <c:order val="1"/>
          <c:tx>
            <c:strRef>
              <c:f>Sheet3!$C$14</c:f>
              <c:strCache>
                <c:ptCount val="1"/>
                <c:pt idx="0">
                  <c:v>Grants</c:v>
                </c:pt>
              </c:strCache>
            </c:strRef>
          </c:tx>
          <c:invertIfNegative val="0"/>
          <c:cat>
            <c:strRef>
              <c:f>Sheet3!$D$12:$F$12</c:f>
              <c:strCache>
                <c:ptCount val="3"/>
                <c:pt idx="0">
                  <c:v>FY 2015/16</c:v>
                </c:pt>
                <c:pt idx="1">
                  <c:v>FY 2016/17</c:v>
                </c:pt>
                <c:pt idx="2">
                  <c:v>FY 2017/18</c:v>
                </c:pt>
              </c:strCache>
            </c:strRef>
          </c:cat>
          <c:val>
            <c:numRef>
              <c:f>Sheet3!$D$14:$F$14</c:f>
              <c:numCache>
                <c:formatCode>0.0</c:formatCode>
                <c:ptCount val="3"/>
                <c:pt idx="0">
                  <c:v>34.520301756367004</c:v>
                </c:pt>
                <c:pt idx="1">
                  <c:v>6.6494703929270145</c:v>
                </c:pt>
                <c:pt idx="2">
                  <c:v>8.7721808783620006</c:v>
                </c:pt>
              </c:numCache>
            </c:numRef>
          </c:val>
          <c:extLst>
            <c:ext xmlns:c16="http://schemas.microsoft.com/office/drawing/2014/chart" uri="{C3380CC4-5D6E-409C-BE32-E72D297353CC}">
              <c16:uniqueId val="{00000001-2650-4156-8207-A6446C12022A}"/>
            </c:ext>
          </c:extLst>
        </c:ser>
        <c:dLbls>
          <c:showLegendKey val="0"/>
          <c:showVal val="0"/>
          <c:showCatName val="0"/>
          <c:showSerName val="0"/>
          <c:showPercent val="0"/>
          <c:showBubbleSize val="0"/>
        </c:dLbls>
        <c:gapWidth val="150"/>
        <c:shape val="box"/>
        <c:axId val="732547864"/>
        <c:axId val="732540024"/>
        <c:axId val="0"/>
      </c:bar3DChart>
      <c:catAx>
        <c:axId val="732547864"/>
        <c:scaling>
          <c:orientation val="minMax"/>
        </c:scaling>
        <c:delete val="0"/>
        <c:axPos val="l"/>
        <c:numFmt formatCode="General" sourceLinked="1"/>
        <c:majorTickMark val="none"/>
        <c:minorTickMark val="none"/>
        <c:tickLblPos val="nextTo"/>
        <c:crossAx val="732540024"/>
        <c:crosses val="autoZero"/>
        <c:auto val="1"/>
        <c:lblAlgn val="ctr"/>
        <c:lblOffset val="100"/>
        <c:noMultiLvlLbl val="0"/>
      </c:catAx>
      <c:valAx>
        <c:axId val="732540024"/>
        <c:scaling>
          <c:orientation val="minMax"/>
        </c:scaling>
        <c:delete val="0"/>
        <c:axPos val="b"/>
        <c:majorGridlines/>
        <c:numFmt formatCode="0.0" sourceLinked="1"/>
        <c:majorTickMark val="none"/>
        <c:minorTickMark val="none"/>
        <c:tickLblPos val="nextTo"/>
        <c:crossAx val="732547864"/>
        <c:crosses val="autoZero"/>
        <c:crossBetween val="between"/>
      </c:valAx>
      <c:spPr>
        <a:noFill/>
        <a:ln w="25398">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9ABC85-1788-4B2E-B8D8-95792AD3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Delta report &amp; proposal template 2013-04</Template>
  <TotalTime>1</TotalTime>
  <Pages>60</Pages>
  <Words>17647</Words>
  <Characters>100588</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Development Partnerships Thematic Report First Draft</vt:lpstr>
    </vt:vector>
  </TitlesOfParts>
  <Company>HP</Company>
  <LinksUpToDate>false</LinksUpToDate>
  <CharactersWithSpaces>118000</CharactersWithSpaces>
  <SharedDoc>false</SharedDoc>
  <HLinks>
    <vt:vector size="180" baseType="variant">
      <vt:variant>
        <vt:i4>1245235</vt:i4>
      </vt:variant>
      <vt:variant>
        <vt:i4>176</vt:i4>
      </vt:variant>
      <vt:variant>
        <vt:i4>0</vt:i4>
      </vt:variant>
      <vt:variant>
        <vt:i4>5</vt:i4>
      </vt:variant>
      <vt:variant>
        <vt:lpwstr/>
      </vt:variant>
      <vt:variant>
        <vt:lpwstr>_Toc531550228</vt:lpwstr>
      </vt:variant>
      <vt:variant>
        <vt:i4>1245235</vt:i4>
      </vt:variant>
      <vt:variant>
        <vt:i4>170</vt:i4>
      </vt:variant>
      <vt:variant>
        <vt:i4>0</vt:i4>
      </vt:variant>
      <vt:variant>
        <vt:i4>5</vt:i4>
      </vt:variant>
      <vt:variant>
        <vt:lpwstr/>
      </vt:variant>
      <vt:variant>
        <vt:lpwstr>_Toc531550227</vt:lpwstr>
      </vt:variant>
      <vt:variant>
        <vt:i4>1245235</vt:i4>
      </vt:variant>
      <vt:variant>
        <vt:i4>164</vt:i4>
      </vt:variant>
      <vt:variant>
        <vt:i4>0</vt:i4>
      </vt:variant>
      <vt:variant>
        <vt:i4>5</vt:i4>
      </vt:variant>
      <vt:variant>
        <vt:lpwstr/>
      </vt:variant>
      <vt:variant>
        <vt:lpwstr>_Toc531550226</vt:lpwstr>
      </vt:variant>
      <vt:variant>
        <vt:i4>1245235</vt:i4>
      </vt:variant>
      <vt:variant>
        <vt:i4>158</vt:i4>
      </vt:variant>
      <vt:variant>
        <vt:i4>0</vt:i4>
      </vt:variant>
      <vt:variant>
        <vt:i4>5</vt:i4>
      </vt:variant>
      <vt:variant>
        <vt:lpwstr/>
      </vt:variant>
      <vt:variant>
        <vt:lpwstr>_Toc531550225</vt:lpwstr>
      </vt:variant>
      <vt:variant>
        <vt:i4>1245235</vt:i4>
      </vt:variant>
      <vt:variant>
        <vt:i4>152</vt:i4>
      </vt:variant>
      <vt:variant>
        <vt:i4>0</vt:i4>
      </vt:variant>
      <vt:variant>
        <vt:i4>5</vt:i4>
      </vt:variant>
      <vt:variant>
        <vt:lpwstr/>
      </vt:variant>
      <vt:variant>
        <vt:lpwstr>_Toc531550224</vt:lpwstr>
      </vt:variant>
      <vt:variant>
        <vt:i4>1245235</vt:i4>
      </vt:variant>
      <vt:variant>
        <vt:i4>146</vt:i4>
      </vt:variant>
      <vt:variant>
        <vt:i4>0</vt:i4>
      </vt:variant>
      <vt:variant>
        <vt:i4>5</vt:i4>
      </vt:variant>
      <vt:variant>
        <vt:lpwstr/>
      </vt:variant>
      <vt:variant>
        <vt:lpwstr>_Toc531550223</vt:lpwstr>
      </vt:variant>
      <vt:variant>
        <vt:i4>1245235</vt:i4>
      </vt:variant>
      <vt:variant>
        <vt:i4>140</vt:i4>
      </vt:variant>
      <vt:variant>
        <vt:i4>0</vt:i4>
      </vt:variant>
      <vt:variant>
        <vt:i4>5</vt:i4>
      </vt:variant>
      <vt:variant>
        <vt:lpwstr/>
      </vt:variant>
      <vt:variant>
        <vt:lpwstr>_Toc531550222</vt:lpwstr>
      </vt:variant>
      <vt:variant>
        <vt:i4>1245235</vt:i4>
      </vt:variant>
      <vt:variant>
        <vt:i4>134</vt:i4>
      </vt:variant>
      <vt:variant>
        <vt:i4>0</vt:i4>
      </vt:variant>
      <vt:variant>
        <vt:i4>5</vt:i4>
      </vt:variant>
      <vt:variant>
        <vt:lpwstr/>
      </vt:variant>
      <vt:variant>
        <vt:lpwstr>_Toc531550221</vt:lpwstr>
      </vt:variant>
      <vt:variant>
        <vt:i4>1245235</vt:i4>
      </vt:variant>
      <vt:variant>
        <vt:i4>128</vt:i4>
      </vt:variant>
      <vt:variant>
        <vt:i4>0</vt:i4>
      </vt:variant>
      <vt:variant>
        <vt:i4>5</vt:i4>
      </vt:variant>
      <vt:variant>
        <vt:lpwstr/>
      </vt:variant>
      <vt:variant>
        <vt:lpwstr>_Toc531550220</vt:lpwstr>
      </vt:variant>
      <vt:variant>
        <vt:i4>1048627</vt:i4>
      </vt:variant>
      <vt:variant>
        <vt:i4>122</vt:i4>
      </vt:variant>
      <vt:variant>
        <vt:i4>0</vt:i4>
      </vt:variant>
      <vt:variant>
        <vt:i4>5</vt:i4>
      </vt:variant>
      <vt:variant>
        <vt:lpwstr/>
      </vt:variant>
      <vt:variant>
        <vt:lpwstr>_Toc531550219</vt:lpwstr>
      </vt:variant>
      <vt:variant>
        <vt:i4>1048627</vt:i4>
      </vt:variant>
      <vt:variant>
        <vt:i4>116</vt:i4>
      </vt:variant>
      <vt:variant>
        <vt:i4>0</vt:i4>
      </vt:variant>
      <vt:variant>
        <vt:i4>5</vt:i4>
      </vt:variant>
      <vt:variant>
        <vt:lpwstr/>
      </vt:variant>
      <vt:variant>
        <vt:lpwstr>_Toc531550218</vt:lpwstr>
      </vt:variant>
      <vt:variant>
        <vt:i4>1048627</vt:i4>
      </vt:variant>
      <vt:variant>
        <vt:i4>110</vt:i4>
      </vt:variant>
      <vt:variant>
        <vt:i4>0</vt:i4>
      </vt:variant>
      <vt:variant>
        <vt:i4>5</vt:i4>
      </vt:variant>
      <vt:variant>
        <vt:lpwstr/>
      </vt:variant>
      <vt:variant>
        <vt:lpwstr>_Toc531550217</vt:lpwstr>
      </vt:variant>
      <vt:variant>
        <vt:i4>1048627</vt:i4>
      </vt:variant>
      <vt:variant>
        <vt:i4>104</vt:i4>
      </vt:variant>
      <vt:variant>
        <vt:i4>0</vt:i4>
      </vt:variant>
      <vt:variant>
        <vt:i4>5</vt:i4>
      </vt:variant>
      <vt:variant>
        <vt:lpwstr/>
      </vt:variant>
      <vt:variant>
        <vt:lpwstr>_Toc531550216</vt:lpwstr>
      </vt:variant>
      <vt:variant>
        <vt:i4>1048627</vt:i4>
      </vt:variant>
      <vt:variant>
        <vt:i4>98</vt:i4>
      </vt:variant>
      <vt:variant>
        <vt:i4>0</vt:i4>
      </vt:variant>
      <vt:variant>
        <vt:i4>5</vt:i4>
      </vt:variant>
      <vt:variant>
        <vt:lpwstr/>
      </vt:variant>
      <vt:variant>
        <vt:lpwstr>_Toc531550215</vt:lpwstr>
      </vt:variant>
      <vt:variant>
        <vt:i4>1048627</vt:i4>
      </vt:variant>
      <vt:variant>
        <vt:i4>92</vt:i4>
      </vt:variant>
      <vt:variant>
        <vt:i4>0</vt:i4>
      </vt:variant>
      <vt:variant>
        <vt:i4>5</vt:i4>
      </vt:variant>
      <vt:variant>
        <vt:lpwstr/>
      </vt:variant>
      <vt:variant>
        <vt:lpwstr>_Toc531550214</vt:lpwstr>
      </vt:variant>
      <vt:variant>
        <vt:i4>1048627</vt:i4>
      </vt:variant>
      <vt:variant>
        <vt:i4>86</vt:i4>
      </vt:variant>
      <vt:variant>
        <vt:i4>0</vt:i4>
      </vt:variant>
      <vt:variant>
        <vt:i4>5</vt:i4>
      </vt:variant>
      <vt:variant>
        <vt:lpwstr/>
      </vt:variant>
      <vt:variant>
        <vt:lpwstr>_Toc531550213</vt:lpwstr>
      </vt:variant>
      <vt:variant>
        <vt:i4>1048627</vt:i4>
      </vt:variant>
      <vt:variant>
        <vt:i4>80</vt:i4>
      </vt:variant>
      <vt:variant>
        <vt:i4>0</vt:i4>
      </vt:variant>
      <vt:variant>
        <vt:i4>5</vt:i4>
      </vt:variant>
      <vt:variant>
        <vt:lpwstr/>
      </vt:variant>
      <vt:variant>
        <vt:lpwstr>_Toc531550212</vt:lpwstr>
      </vt:variant>
      <vt:variant>
        <vt:i4>1048627</vt:i4>
      </vt:variant>
      <vt:variant>
        <vt:i4>74</vt:i4>
      </vt:variant>
      <vt:variant>
        <vt:i4>0</vt:i4>
      </vt:variant>
      <vt:variant>
        <vt:i4>5</vt:i4>
      </vt:variant>
      <vt:variant>
        <vt:lpwstr/>
      </vt:variant>
      <vt:variant>
        <vt:lpwstr>_Toc531550211</vt:lpwstr>
      </vt:variant>
      <vt:variant>
        <vt:i4>1048627</vt:i4>
      </vt:variant>
      <vt:variant>
        <vt:i4>68</vt:i4>
      </vt:variant>
      <vt:variant>
        <vt:i4>0</vt:i4>
      </vt:variant>
      <vt:variant>
        <vt:i4>5</vt:i4>
      </vt:variant>
      <vt:variant>
        <vt:lpwstr/>
      </vt:variant>
      <vt:variant>
        <vt:lpwstr>_Toc531550210</vt:lpwstr>
      </vt:variant>
      <vt:variant>
        <vt:i4>1114163</vt:i4>
      </vt:variant>
      <vt:variant>
        <vt:i4>62</vt:i4>
      </vt:variant>
      <vt:variant>
        <vt:i4>0</vt:i4>
      </vt:variant>
      <vt:variant>
        <vt:i4>5</vt:i4>
      </vt:variant>
      <vt:variant>
        <vt:lpwstr/>
      </vt:variant>
      <vt:variant>
        <vt:lpwstr>_Toc531550209</vt:lpwstr>
      </vt:variant>
      <vt:variant>
        <vt:i4>1114163</vt:i4>
      </vt:variant>
      <vt:variant>
        <vt:i4>56</vt:i4>
      </vt:variant>
      <vt:variant>
        <vt:i4>0</vt:i4>
      </vt:variant>
      <vt:variant>
        <vt:i4>5</vt:i4>
      </vt:variant>
      <vt:variant>
        <vt:lpwstr/>
      </vt:variant>
      <vt:variant>
        <vt:lpwstr>_Toc531550208</vt:lpwstr>
      </vt:variant>
      <vt:variant>
        <vt:i4>1114163</vt:i4>
      </vt:variant>
      <vt:variant>
        <vt:i4>50</vt:i4>
      </vt:variant>
      <vt:variant>
        <vt:i4>0</vt:i4>
      </vt:variant>
      <vt:variant>
        <vt:i4>5</vt:i4>
      </vt:variant>
      <vt:variant>
        <vt:lpwstr/>
      </vt:variant>
      <vt:variant>
        <vt:lpwstr>_Toc531550207</vt:lpwstr>
      </vt:variant>
      <vt:variant>
        <vt:i4>1114163</vt:i4>
      </vt:variant>
      <vt:variant>
        <vt:i4>44</vt:i4>
      </vt:variant>
      <vt:variant>
        <vt:i4>0</vt:i4>
      </vt:variant>
      <vt:variant>
        <vt:i4>5</vt:i4>
      </vt:variant>
      <vt:variant>
        <vt:lpwstr/>
      </vt:variant>
      <vt:variant>
        <vt:lpwstr>_Toc531550206</vt:lpwstr>
      </vt:variant>
      <vt:variant>
        <vt:i4>1114163</vt:i4>
      </vt:variant>
      <vt:variant>
        <vt:i4>38</vt:i4>
      </vt:variant>
      <vt:variant>
        <vt:i4>0</vt:i4>
      </vt:variant>
      <vt:variant>
        <vt:i4>5</vt:i4>
      </vt:variant>
      <vt:variant>
        <vt:lpwstr/>
      </vt:variant>
      <vt:variant>
        <vt:lpwstr>_Toc531550205</vt:lpwstr>
      </vt:variant>
      <vt:variant>
        <vt:i4>1114163</vt:i4>
      </vt:variant>
      <vt:variant>
        <vt:i4>32</vt:i4>
      </vt:variant>
      <vt:variant>
        <vt:i4>0</vt:i4>
      </vt:variant>
      <vt:variant>
        <vt:i4>5</vt:i4>
      </vt:variant>
      <vt:variant>
        <vt:lpwstr/>
      </vt:variant>
      <vt:variant>
        <vt:lpwstr>_Toc531550204</vt:lpwstr>
      </vt:variant>
      <vt:variant>
        <vt:i4>1114163</vt:i4>
      </vt:variant>
      <vt:variant>
        <vt:i4>26</vt:i4>
      </vt:variant>
      <vt:variant>
        <vt:i4>0</vt:i4>
      </vt:variant>
      <vt:variant>
        <vt:i4>5</vt:i4>
      </vt:variant>
      <vt:variant>
        <vt:lpwstr/>
      </vt:variant>
      <vt:variant>
        <vt:lpwstr>_Toc531550203</vt:lpwstr>
      </vt:variant>
      <vt:variant>
        <vt:i4>1114163</vt:i4>
      </vt:variant>
      <vt:variant>
        <vt:i4>20</vt:i4>
      </vt:variant>
      <vt:variant>
        <vt:i4>0</vt:i4>
      </vt:variant>
      <vt:variant>
        <vt:i4>5</vt:i4>
      </vt:variant>
      <vt:variant>
        <vt:lpwstr/>
      </vt:variant>
      <vt:variant>
        <vt:lpwstr>_Toc531550202</vt:lpwstr>
      </vt:variant>
      <vt:variant>
        <vt:i4>1114163</vt:i4>
      </vt:variant>
      <vt:variant>
        <vt:i4>14</vt:i4>
      </vt:variant>
      <vt:variant>
        <vt:i4>0</vt:i4>
      </vt:variant>
      <vt:variant>
        <vt:i4>5</vt:i4>
      </vt:variant>
      <vt:variant>
        <vt:lpwstr/>
      </vt:variant>
      <vt:variant>
        <vt:lpwstr>_Toc531550201</vt:lpwstr>
      </vt:variant>
      <vt:variant>
        <vt:i4>1114163</vt:i4>
      </vt:variant>
      <vt:variant>
        <vt:i4>8</vt:i4>
      </vt:variant>
      <vt:variant>
        <vt:i4>0</vt:i4>
      </vt:variant>
      <vt:variant>
        <vt:i4>5</vt:i4>
      </vt:variant>
      <vt:variant>
        <vt:lpwstr/>
      </vt:variant>
      <vt:variant>
        <vt:lpwstr>_Toc531550200</vt:lpwstr>
      </vt:variant>
      <vt:variant>
        <vt:i4>1572912</vt:i4>
      </vt:variant>
      <vt:variant>
        <vt:i4>2</vt:i4>
      </vt:variant>
      <vt:variant>
        <vt:i4>0</vt:i4>
      </vt:variant>
      <vt:variant>
        <vt:i4>5</vt:i4>
      </vt:variant>
      <vt:variant>
        <vt:lpwstr/>
      </vt:variant>
      <vt:variant>
        <vt:lpwstr>_Toc531550199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Partnerships Thematic Report First Draft</dc:title>
  <dc:subject>Mid-Term Review of the National Development Plan    (2010/11-2014/15)</dc:subject>
  <dc:creator>HP</dc:creator>
  <cp:keywords/>
  <cp:lastModifiedBy>Epiaka</cp:lastModifiedBy>
  <cp:revision>2</cp:revision>
  <cp:lastPrinted>2019-05-21T10:47:00Z</cp:lastPrinted>
  <dcterms:created xsi:type="dcterms:W3CDTF">2020-01-21T11:36:00Z</dcterms:created>
  <dcterms:modified xsi:type="dcterms:W3CDTF">2020-01-21T11:36:00Z</dcterms:modified>
</cp:coreProperties>
</file>